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68C3" w:rsidRPr="00E568C3" w:rsidTr="006A350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35811" w:rsidRPr="00E568C3" w:rsidRDefault="00A35811" w:rsidP="004C0F9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5811" w:rsidRPr="00E568C3" w:rsidRDefault="00A35811" w:rsidP="004C0F9B">
            <w:r w:rsidRPr="00E568C3">
              <w:rPr>
                <w:noProof/>
                <w:lang w:val="en-US"/>
              </w:rPr>
              <w:drawing>
                <wp:inline distT="0" distB="0" distL="0" distR="0" wp14:anchorId="038F0474" wp14:editId="20AA82BA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35811" w:rsidRPr="00E568C3" w:rsidRDefault="00A35811" w:rsidP="004C0F9B">
            <w:pPr>
              <w:jc w:val="right"/>
            </w:pPr>
            <w:r w:rsidRPr="00E568C3">
              <w:rPr>
                <w:b/>
                <w:sz w:val="40"/>
                <w:szCs w:val="40"/>
              </w:rPr>
              <w:t>F</w:t>
            </w:r>
          </w:p>
        </w:tc>
      </w:tr>
      <w:tr w:rsidR="00E568C3" w:rsidRPr="00E568C3" w:rsidTr="004C0F9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35811" w:rsidRPr="00E568C3" w:rsidRDefault="00A35811" w:rsidP="004C0F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68C3">
              <w:rPr>
                <w:rFonts w:ascii="Arial Black" w:hAnsi="Arial Black"/>
                <w:caps/>
                <w:sz w:val="15"/>
              </w:rPr>
              <w:t>CDIP/17/</w:t>
            </w:r>
            <w:bookmarkStart w:id="1" w:name="Code"/>
            <w:bookmarkEnd w:id="1"/>
            <w:r w:rsidRPr="00E568C3">
              <w:rPr>
                <w:rFonts w:ascii="Arial Black" w:hAnsi="Arial Black"/>
                <w:caps/>
                <w:sz w:val="15"/>
              </w:rPr>
              <w:t xml:space="preserve">9 </w:t>
            </w:r>
          </w:p>
        </w:tc>
      </w:tr>
      <w:tr w:rsidR="00E568C3" w:rsidRPr="00E568C3" w:rsidTr="004C0F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35811" w:rsidRPr="00E568C3" w:rsidRDefault="00A35811" w:rsidP="00CF6C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68C3">
              <w:rPr>
                <w:rFonts w:ascii="Arial Black" w:hAnsi="Arial Black"/>
                <w:caps/>
                <w:sz w:val="15"/>
              </w:rPr>
              <w:t>ORIGINAL</w:t>
            </w:r>
            <w:r w:rsidR="008A2E3E" w:rsidRPr="00E568C3">
              <w:rPr>
                <w:rFonts w:ascii="Arial Black" w:hAnsi="Arial Black"/>
                <w:caps/>
                <w:sz w:val="15"/>
              </w:rPr>
              <w:t> </w:t>
            </w:r>
            <w:r w:rsidRPr="00E568C3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 w:rsidRPr="00E568C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A35811" w:rsidRPr="00E568C3" w:rsidTr="004C0F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35811" w:rsidRPr="00E568C3" w:rsidRDefault="00A35811" w:rsidP="00CF6C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568C3">
              <w:rPr>
                <w:rFonts w:ascii="Arial Black" w:hAnsi="Arial Black"/>
                <w:caps/>
                <w:sz w:val="15"/>
              </w:rPr>
              <w:t>DATE</w:t>
            </w:r>
            <w:r w:rsidR="008A2E3E" w:rsidRPr="00E568C3">
              <w:rPr>
                <w:rFonts w:ascii="Arial Black" w:hAnsi="Arial Black"/>
                <w:caps/>
                <w:sz w:val="15"/>
              </w:rPr>
              <w:t> </w:t>
            </w:r>
            <w:r w:rsidRPr="00E568C3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Pr="00E568C3">
              <w:rPr>
                <w:rFonts w:ascii="Arial Black" w:hAnsi="Arial Black"/>
                <w:caps/>
                <w:sz w:val="15"/>
              </w:rPr>
              <w:t>2</w:t>
            </w:r>
            <w:r w:rsidR="00871730" w:rsidRPr="00E568C3">
              <w:rPr>
                <w:rFonts w:ascii="Arial Black" w:hAnsi="Arial Black"/>
                <w:caps/>
                <w:sz w:val="15"/>
              </w:rPr>
              <w:t>5 février 20</w:t>
            </w:r>
            <w:r w:rsidRPr="00E568C3">
              <w:rPr>
                <w:rFonts w:ascii="Arial Black" w:hAnsi="Arial Black"/>
                <w:caps/>
                <w:sz w:val="15"/>
              </w:rPr>
              <w:t>16</w:t>
            </w:r>
          </w:p>
        </w:tc>
      </w:tr>
    </w:tbl>
    <w:p w:rsidR="00F55AA9" w:rsidRDefault="00F55AA9" w:rsidP="00A35811"/>
    <w:p w:rsidR="00F55AA9" w:rsidRDefault="00F55AA9" w:rsidP="00A35811"/>
    <w:p w:rsidR="00F55AA9" w:rsidRDefault="00F55AA9" w:rsidP="00A35811"/>
    <w:p w:rsidR="00F55AA9" w:rsidRDefault="00F55AA9" w:rsidP="00A35811"/>
    <w:p w:rsidR="00F55AA9" w:rsidRDefault="00F55AA9" w:rsidP="00A35811"/>
    <w:p w:rsidR="00F55AA9" w:rsidRDefault="00A35811" w:rsidP="00A35811">
      <w:pPr>
        <w:rPr>
          <w:b/>
          <w:sz w:val="28"/>
          <w:szCs w:val="28"/>
        </w:rPr>
      </w:pPr>
      <w:r w:rsidRPr="00E568C3">
        <w:rPr>
          <w:b/>
          <w:sz w:val="28"/>
          <w:szCs w:val="28"/>
        </w:rPr>
        <w:t>Comité du développement et de la propriété intellectuelle (CDIP)</w:t>
      </w:r>
    </w:p>
    <w:p w:rsidR="00F55AA9" w:rsidRDefault="00F55AA9" w:rsidP="00A35811"/>
    <w:p w:rsidR="00F55AA9" w:rsidRDefault="00F55AA9" w:rsidP="00A35811"/>
    <w:p w:rsidR="00F55AA9" w:rsidRDefault="00A35811" w:rsidP="00A35811">
      <w:pPr>
        <w:rPr>
          <w:b/>
          <w:sz w:val="24"/>
          <w:szCs w:val="24"/>
        </w:rPr>
      </w:pPr>
      <w:r w:rsidRPr="00E568C3">
        <w:rPr>
          <w:b/>
          <w:sz w:val="24"/>
          <w:szCs w:val="24"/>
        </w:rPr>
        <w:t>Dix</w:t>
      </w:r>
      <w:r w:rsidR="006A3508" w:rsidRPr="00E568C3">
        <w:rPr>
          <w:b/>
          <w:sz w:val="24"/>
          <w:szCs w:val="24"/>
        </w:rPr>
        <w:noBreakHyphen/>
      </w:r>
      <w:r w:rsidRPr="00E568C3">
        <w:rPr>
          <w:b/>
          <w:sz w:val="24"/>
          <w:szCs w:val="24"/>
        </w:rPr>
        <w:t>septième session</w:t>
      </w:r>
    </w:p>
    <w:p w:rsidR="00F55AA9" w:rsidRDefault="00A35811" w:rsidP="00A35811">
      <w:pPr>
        <w:rPr>
          <w:b/>
          <w:sz w:val="24"/>
          <w:szCs w:val="24"/>
        </w:rPr>
      </w:pPr>
      <w:r w:rsidRPr="00E568C3">
        <w:rPr>
          <w:b/>
          <w:sz w:val="24"/>
          <w:szCs w:val="24"/>
        </w:rPr>
        <w:t>Genève, 11 – 15 avril 2016</w:t>
      </w:r>
    </w:p>
    <w:p w:rsidR="00F55AA9" w:rsidRDefault="00F55AA9" w:rsidP="00A35811"/>
    <w:p w:rsidR="00F55AA9" w:rsidRDefault="00F55AA9" w:rsidP="00A35811"/>
    <w:p w:rsidR="00F55AA9" w:rsidRDefault="00F55AA9" w:rsidP="00A35811"/>
    <w:p w:rsidR="00F55AA9" w:rsidRDefault="001F6918" w:rsidP="00505805">
      <w:pPr>
        <w:rPr>
          <w:caps/>
          <w:szCs w:val="22"/>
        </w:rPr>
      </w:pPr>
      <w:r w:rsidRPr="00E568C3">
        <w:rPr>
          <w:szCs w:val="22"/>
        </w:rPr>
        <w:t>C</w:t>
      </w:r>
      <w:r w:rsidR="00EE792B" w:rsidRPr="00E568C3">
        <w:rPr>
          <w:szCs w:val="22"/>
        </w:rPr>
        <w:t>A</w:t>
      </w:r>
      <w:r w:rsidRPr="00E568C3">
        <w:rPr>
          <w:szCs w:val="22"/>
        </w:rPr>
        <w:t>RTOGRA</w:t>
      </w:r>
      <w:r w:rsidR="00EE792B" w:rsidRPr="00E568C3">
        <w:rPr>
          <w:szCs w:val="22"/>
        </w:rPr>
        <w:t>P</w:t>
      </w:r>
      <w:r w:rsidRPr="00E568C3">
        <w:rPr>
          <w:szCs w:val="22"/>
        </w:rPr>
        <w:t>H</w:t>
      </w:r>
      <w:r w:rsidR="00EE792B" w:rsidRPr="00E568C3">
        <w:rPr>
          <w:szCs w:val="22"/>
        </w:rPr>
        <w:t>I</w:t>
      </w:r>
      <w:r w:rsidRPr="00E568C3">
        <w:rPr>
          <w:szCs w:val="22"/>
        </w:rPr>
        <w:t>E</w:t>
      </w:r>
      <w:r w:rsidR="00EE792B" w:rsidRPr="00E568C3">
        <w:rPr>
          <w:szCs w:val="22"/>
        </w:rPr>
        <w:t xml:space="preserve"> </w:t>
      </w:r>
      <w:r w:rsidRPr="00E568C3">
        <w:rPr>
          <w:szCs w:val="22"/>
        </w:rPr>
        <w:t>DES</w:t>
      </w:r>
      <w:r w:rsidR="00EE792B" w:rsidRPr="00E568C3">
        <w:rPr>
          <w:szCs w:val="22"/>
        </w:rPr>
        <w:t xml:space="preserve"> ACTIVIT</w:t>
      </w:r>
      <w:r w:rsidRPr="00E568C3">
        <w:rPr>
          <w:szCs w:val="22"/>
        </w:rPr>
        <w:t>É</w:t>
      </w:r>
      <w:r w:rsidR="00EE792B" w:rsidRPr="00E568C3">
        <w:rPr>
          <w:szCs w:val="22"/>
        </w:rPr>
        <w:t>S RELAT</w:t>
      </w:r>
      <w:r w:rsidRPr="00E568C3">
        <w:rPr>
          <w:szCs w:val="22"/>
        </w:rPr>
        <w:t>IV</w:t>
      </w:r>
      <w:r w:rsidR="00EE792B" w:rsidRPr="00E568C3">
        <w:rPr>
          <w:szCs w:val="22"/>
        </w:rPr>
        <w:t>E</w:t>
      </w:r>
      <w:r w:rsidRPr="00E568C3">
        <w:rPr>
          <w:szCs w:val="22"/>
        </w:rPr>
        <w:t>S</w:t>
      </w:r>
      <w:r w:rsidR="00EE792B" w:rsidRPr="00E568C3">
        <w:rPr>
          <w:szCs w:val="22"/>
        </w:rPr>
        <w:t xml:space="preserve"> </w:t>
      </w:r>
      <w:r w:rsidRPr="00E568C3">
        <w:rPr>
          <w:szCs w:val="22"/>
        </w:rPr>
        <w:t>AU TRANSFERT DE</w:t>
      </w:r>
      <w:r w:rsidR="00EE792B" w:rsidRPr="00E568C3">
        <w:rPr>
          <w:szCs w:val="22"/>
        </w:rPr>
        <w:t xml:space="preserve"> TECHNOLOG</w:t>
      </w:r>
      <w:r w:rsidRPr="00E568C3">
        <w:rPr>
          <w:szCs w:val="22"/>
        </w:rPr>
        <w:t>IE</w:t>
      </w:r>
    </w:p>
    <w:p w:rsidR="00F55AA9" w:rsidRDefault="00F55AA9" w:rsidP="00025A9C">
      <w:pPr>
        <w:rPr>
          <w:szCs w:val="22"/>
        </w:rPr>
      </w:pPr>
    </w:p>
    <w:p w:rsidR="00F55AA9" w:rsidRDefault="00F55AA9" w:rsidP="00025A9C">
      <w:pPr>
        <w:rPr>
          <w:szCs w:val="22"/>
        </w:rPr>
      </w:pPr>
    </w:p>
    <w:p w:rsidR="00F55AA9" w:rsidRDefault="001F6918" w:rsidP="00A81A5D">
      <w:pPr>
        <w:rPr>
          <w:i/>
        </w:rPr>
      </w:pPr>
      <w:r w:rsidRPr="00E568C3">
        <w:rPr>
          <w:i/>
        </w:rPr>
        <w:t>Document établi par le</w:t>
      </w:r>
      <w:r w:rsidR="0039510D" w:rsidRPr="00E568C3">
        <w:rPr>
          <w:i/>
        </w:rPr>
        <w:t xml:space="preserve"> </w:t>
      </w:r>
      <w:r w:rsidR="00A81A5D" w:rsidRPr="00E568C3">
        <w:rPr>
          <w:i/>
        </w:rPr>
        <w:t>Secr</w:t>
      </w:r>
      <w:r w:rsidRPr="00E568C3">
        <w:rPr>
          <w:i/>
        </w:rPr>
        <w:t>é</w:t>
      </w:r>
      <w:r w:rsidR="00A81A5D" w:rsidRPr="00E568C3">
        <w:rPr>
          <w:i/>
        </w:rPr>
        <w:t>tariat</w:t>
      </w:r>
    </w:p>
    <w:p w:rsidR="00F55AA9" w:rsidRDefault="00F55AA9" w:rsidP="003145EF"/>
    <w:p w:rsidR="00F55AA9" w:rsidRDefault="00F55AA9" w:rsidP="003145EF"/>
    <w:p w:rsidR="00F55AA9" w:rsidRDefault="00F55AA9" w:rsidP="003145EF"/>
    <w:p w:rsidR="00F55AA9" w:rsidRDefault="00F55AA9" w:rsidP="003145EF"/>
    <w:p w:rsidR="00F55AA9" w:rsidRDefault="001F6918" w:rsidP="006A3508">
      <w:pPr>
        <w:pStyle w:val="ONUMFS"/>
      </w:pPr>
      <w:r w:rsidRPr="00E568C3">
        <w:t>Au cours de sa seizième </w:t>
      </w:r>
      <w:r w:rsidR="000556BB" w:rsidRPr="00E568C3">
        <w:t>session</w:t>
      </w:r>
      <w:r w:rsidR="00A81A5D" w:rsidRPr="00E568C3">
        <w:t>,</w:t>
      </w:r>
      <w:r w:rsidR="000556BB" w:rsidRPr="00E568C3">
        <w:t xml:space="preserve"> </w:t>
      </w:r>
      <w:r w:rsidRPr="00E568C3">
        <w:t>tenue du 9 au 13 n</w:t>
      </w:r>
      <w:r w:rsidR="00801C13" w:rsidRPr="00E568C3">
        <w:t>ovembr</w:t>
      </w:r>
      <w:r w:rsidRPr="00E568C3">
        <w:t>e </w:t>
      </w:r>
      <w:r w:rsidR="000556BB" w:rsidRPr="00E568C3">
        <w:t xml:space="preserve">2015, </w:t>
      </w:r>
      <w:r w:rsidRPr="00E568C3">
        <w:t>l</w:t>
      </w:r>
      <w:r w:rsidR="000556BB" w:rsidRPr="00E568C3">
        <w:t>e</w:t>
      </w:r>
      <w:r w:rsidR="00A17161" w:rsidRPr="00E568C3">
        <w:t xml:space="preserve"> Comit</w:t>
      </w:r>
      <w:r w:rsidRPr="00E568C3">
        <w:t>é du dé</w:t>
      </w:r>
      <w:r w:rsidR="00A17161" w:rsidRPr="00E568C3">
        <w:t>velop</w:t>
      </w:r>
      <w:r w:rsidRPr="00E568C3">
        <w:t>pe</w:t>
      </w:r>
      <w:r w:rsidR="00A17161" w:rsidRPr="00E568C3">
        <w:t xml:space="preserve">ment </w:t>
      </w:r>
      <w:r w:rsidRPr="00E568C3">
        <w:t>et de l</w:t>
      </w:r>
      <w:r w:rsidR="00A17161" w:rsidRPr="00E568C3">
        <w:t>a</w:t>
      </w:r>
      <w:r w:rsidRPr="00E568C3">
        <w:t xml:space="preserve"> propriété i</w:t>
      </w:r>
      <w:r w:rsidR="00A17161" w:rsidRPr="00E568C3">
        <w:t>ntellectu</w:t>
      </w:r>
      <w:r w:rsidRPr="00E568C3">
        <w:t>e</w:t>
      </w:r>
      <w:r w:rsidR="00A17161" w:rsidRPr="00E568C3">
        <w:t>l</w:t>
      </w:r>
      <w:r w:rsidRPr="00E568C3">
        <w:t>le</w:t>
      </w:r>
      <w:r w:rsidR="00A17161" w:rsidRPr="00E568C3">
        <w:t xml:space="preserve"> (CDIP), </w:t>
      </w:r>
      <w:r w:rsidRPr="00E568C3">
        <w:t>dans le cadre de l</w:t>
      </w:r>
      <w:r w:rsidR="00871730" w:rsidRPr="00E568C3">
        <w:t>’</w:t>
      </w:r>
      <w:r w:rsidRPr="00E568C3">
        <w:t>examen du rapport d</w:t>
      </w:r>
      <w:r w:rsidR="00871730" w:rsidRPr="00E568C3">
        <w:t>’</w:t>
      </w:r>
      <w:r w:rsidRPr="00E568C3">
        <w:t>év</w:t>
      </w:r>
      <w:r w:rsidR="000556BB" w:rsidRPr="00E568C3">
        <w:t xml:space="preserve">aluation </w:t>
      </w:r>
      <w:r w:rsidRPr="00E568C3">
        <w:rPr>
          <w:szCs w:val="22"/>
        </w:rPr>
        <w:t>du projet relatif à la propriété intellectuelle et au transfert de technologie : élaborer des solutions face aux défis communs</w:t>
      </w:r>
      <w:r w:rsidR="008E1059" w:rsidRPr="00E568C3">
        <w:t>,</w:t>
      </w:r>
      <w:r w:rsidR="00A17161" w:rsidRPr="00E568C3">
        <w:t xml:space="preserve"> </w:t>
      </w:r>
      <w:r w:rsidRPr="00E568C3">
        <w:t>a demandé au Secrétariat de l</w:t>
      </w:r>
      <w:r w:rsidR="00871730" w:rsidRPr="00E568C3">
        <w:t>’</w:t>
      </w:r>
      <w:r w:rsidRPr="00E568C3">
        <w:t>OMPI</w:t>
      </w:r>
      <w:r w:rsidR="00A17161" w:rsidRPr="00E568C3">
        <w:t xml:space="preserve"> </w:t>
      </w:r>
      <w:r w:rsidRPr="00E568C3">
        <w:t>de</w:t>
      </w:r>
      <w:r w:rsidR="00A17161" w:rsidRPr="00E568C3">
        <w:t xml:space="preserve"> </w:t>
      </w:r>
      <w:r w:rsidR="006E40E9" w:rsidRPr="00E568C3">
        <w:t>“</w:t>
      </w:r>
      <w:r w:rsidR="005673ED" w:rsidRPr="00E568C3">
        <w:t>dresser</w:t>
      </w:r>
      <w:r w:rsidRPr="00E568C3">
        <w:t xml:space="preserve"> l</w:t>
      </w:r>
      <w:r w:rsidR="00871730" w:rsidRPr="00E568C3">
        <w:t>’</w:t>
      </w:r>
      <w:r w:rsidRPr="00E568C3">
        <w:t>inventaire des activités actuellement menées par l</w:t>
      </w:r>
      <w:r w:rsidR="00871730" w:rsidRPr="00E568C3">
        <w:t>’</w:t>
      </w:r>
      <w:r w:rsidRPr="00E568C3">
        <w:t>OMPI dans le domaine du transfert de t</w:t>
      </w:r>
      <w:r w:rsidR="00A17161" w:rsidRPr="00E568C3">
        <w:t>echnolog</w:t>
      </w:r>
      <w:r w:rsidRPr="00E568C3">
        <w:t>ie</w:t>
      </w:r>
      <w:r w:rsidR="006E40E9" w:rsidRPr="00E568C3">
        <w:t>”</w:t>
      </w:r>
      <w:r w:rsidR="000556BB" w:rsidRPr="00E568C3">
        <w:t>.</w:t>
      </w:r>
    </w:p>
    <w:p w:rsidR="00F55AA9" w:rsidRDefault="00224A87" w:rsidP="003145EF">
      <w:pPr>
        <w:pStyle w:val="ONUMFS"/>
        <w:rPr>
          <w:szCs w:val="22"/>
        </w:rPr>
      </w:pPr>
      <w:r w:rsidRPr="00E568C3">
        <w:rPr>
          <w:szCs w:val="22"/>
        </w:rPr>
        <w:t>Conformément à cette demande, l</w:t>
      </w:r>
      <w:r w:rsidR="00871730" w:rsidRPr="00E568C3">
        <w:rPr>
          <w:szCs w:val="22"/>
        </w:rPr>
        <w:t>’</w:t>
      </w:r>
      <w:r w:rsidR="000556BB" w:rsidRPr="00E568C3">
        <w:rPr>
          <w:szCs w:val="22"/>
        </w:rPr>
        <w:t>annex</w:t>
      </w:r>
      <w:r w:rsidR="001F6918" w:rsidRPr="00E568C3">
        <w:rPr>
          <w:szCs w:val="22"/>
        </w:rPr>
        <w:t>e du présen</w:t>
      </w:r>
      <w:r w:rsidR="000556BB" w:rsidRPr="00E568C3">
        <w:rPr>
          <w:szCs w:val="22"/>
        </w:rPr>
        <w:t xml:space="preserve">t document </w:t>
      </w:r>
      <w:r w:rsidR="00505805" w:rsidRPr="00E568C3">
        <w:rPr>
          <w:szCs w:val="22"/>
        </w:rPr>
        <w:t>conti</w:t>
      </w:r>
      <w:r w:rsidR="001F6918" w:rsidRPr="00E568C3">
        <w:rPr>
          <w:szCs w:val="22"/>
        </w:rPr>
        <w:t>e</w:t>
      </w:r>
      <w:r w:rsidR="00505805" w:rsidRPr="00E568C3">
        <w:rPr>
          <w:szCs w:val="22"/>
        </w:rPr>
        <w:t>n</w:t>
      </w:r>
      <w:r w:rsidR="001F6918" w:rsidRPr="00E568C3">
        <w:rPr>
          <w:szCs w:val="22"/>
        </w:rPr>
        <w:t>t</w:t>
      </w:r>
      <w:r w:rsidR="00505805" w:rsidRPr="00E568C3">
        <w:rPr>
          <w:szCs w:val="22"/>
        </w:rPr>
        <w:t xml:space="preserve"> </w:t>
      </w:r>
      <w:r w:rsidRPr="00E568C3">
        <w:rPr>
          <w:szCs w:val="22"/>
        </w:rPr>
        <w:t>ledit état des lieux</w:t>
      </w:r>
      <w:r w:rsidR="001F6918" w:rsidRPr="00E568C3">
        <w:rPr>
          <w:szCs w:val="22"/>
        </w:rPr>
        <w:t xml:space="preserve"> des </w:t>
      </w:r>
      <w:r w:rsidR="00450B3B" w:rsidRPr="00E568C3">
        <w:rPr>
          <w:szCs w:val="22"/>
        </w:rPr>
        <w:t>activit</w:t>
      </w:r>
      <w:r w:rsidR="001F6918" w:rsidRPr="00E568C3">
        <w:rPr>
          <w:szCs w:val="22"/>
        </w:rPr>
        <w:t>é</w:t>
      </w:r>
      <w:r w:rsidR="00450B3B" w:rsidRPr="00E568C3">
        <w:rPr>
          <w:szCs w:val="22"/>
        </w:rPr>
        <w:t>s</w:t>
      </w:r>
      <w:r w:rsidR="008E1059" w:rsidRPr="00E568C3">
        <w:rPr>
          <w:szCs w:val="22"/>
        </w:rPr>
        <w:t xml:space="preserve"> </w:t>
      </w:r>
      <w:r w:rsidR="005673ED" w:rsidRPr="00E568C3">
        <w:rPr>
          <w:szCs w:val="22"/>
        </w:rPr>
        <w:t>mené</w:t>
      </w:r>
      <w:r w:rsidR="001F6918" w:rsidRPr="00E568C3">
        <w:rPr>
          <w:szCs w:val="22"/>
        </w:rPr>
        <w:t>es par l</w:t>
      </w:r>
      <w:r w:rsidR="00871730" w:rsidRPr="00E568C3">
        <w:rPr>
          <w:szCs w:val="22"/>
        </w:rPr>
        <w:t>’</w:t>
      </w:r>
      <w:r w:rsidR="001F6918" w:rsidRPr="00E568C3">
        <w:rPr>
          <w:szCs w:val="22"/>
        </w:rPr>
        <w:t>OMPI au cours de l</w:t>
      </w:r>
      <w:r w:rsidR="00871730" w:rsidRPr="00E568C3">
        <w:rPr>
          <w:szCs w:val="22"/>
        </w:rPr>
        <w:t>’</w:t>
      </w:r>
      <w:r w:rsidR="001F6918" w:rsidRPr="00E568C3">
        <w:rPr>
          <w:szCs w:val="22"/>
        </w:rPr>
        <w:t>exercice biennal</w:t>
      </w:r>
      <w:r w:rsidR="008A2E3E" w:rsidRPr="00E568C3">
        <w:rPr>
          <w:szCs w:val="22"/>
        </w:rPr>
        <w:t> </w:t>
      </w:r>
      <w:r w:rsidR="002D72BF" w:rsidRPr="00E568C3">
        <w:rPr>
          <w:szCs w:val="22"/>
        </w:rPr>
        <w:t>2014</w:t>
      </w:r>
      <w:r w:rsidR="006A3508" w:rsidRPr="00E568C3">
        <w:rPr>
          <w:szCs w:val="22"/>
        </w:rPr>
        <w:noBreakHyphen/>
      </w:r>
      <w:r w:rsidR="001F6918" w:rsidRPr="00E568C3">
        <w:rPr>
          <w:szCs w:val="22"/>
        </w:rPr>
        <w:t>20</w:t>
      </w:r>
      <w:r w:rsidR="002D72BF" w:rsidRPr="00E568C3">
        <w:rPr>
          <w:szCs w:val="22"/>
        </w:rPr>
        <w:t>15</w:t>
      </w:r>
      <w:r w:rsidR="008E1059" w:rsidRPr="00E568C3">
        <w:rPr>
          <w:szCs w:val="22"/>
        </w:rPr>
        <w:t>.</w:t>
      </w:r>
    </w:p>
    <w:p w:rsidR="00F55AA9" w:rsidRDefault="005673ED" w:rsidP="003145EF">
      <w:pPr>
        <w:pStyle w:val="ONUMFS"/>
        <w:ind w:left="5533"/>
        <w:rPr>
          <w:i/>
        </w:rPr>
      </w:pPr>
      <w:r w:rsidRPr="00E568C3">
        <w:rPr>
          <w:i/>
        </w:rPr>
        <w:t>L</w:t>
      </w:r>
      <w:r w:rsidR="002A6D8F" w:rsidRPr="00E568C3">
        <w:rPr>
          <w:i/>
        </w:rPr>
        <w:t xml:space="preserve">e CDIP </w:t>
      </w:r>
      <w:r w:rsidRPr="00E568C3">
        <w:rPr>
          <w:i/>
        </w:rPr>
        <w:t>e</w:t>
      </w:r>
      <w:r w:rsidR="002A6D8F" w:rsidRPr="00E568C3">
        <w:rPr>
          <w:i/>
        </w:rPr>
        <w:t>s</w:t>
      </w:r>
      <w:r w:rsidRPr="00E568C3">
        <w:rPr>
          <w:i/>
        </w:rPr>
        <w:t>t</w:t>
      </w:r>
      <w:r w:rsidR="002A6D8F" w:rsidRPr="00E568C3">
        <w:rPr>
          <w:i/>
        </w:rPr>
        <w:t xml:space="preserve"> invit</w:t>
      </w:r>
      <w:r w:rsidRPr="00E568C3">
        <w:rPr>
          <w:i/>
        </w:rPr>
        <w:t>é</w:t>
      </w:r>
      <w:r w:rsidR="002A6D8F" w:rsidRPr="00E568C3">
        <w:rPr>
          <w:i/>
        </w:rPr>
        <w:t xml:space="preserve"> </w:t>
      </w:r>
      <w:r w:rsidRPr="00E568C3">
        <w:rPr>
          <w:i/>
        </w:rPr>
        <w:t>à prendre</w:t>
      </w:r>
      <w:r w:rsidR="002A6D8F" w:rsidRPr="00E568C3">
        <w:rPr>
          <w:i/>
        </w:rPr>
        <w:t xml:space="preserve"> note </w:t>
      </w:r>
      <w:r w:rsidRPr="00E568C3">
        <w:rPr>
          <w:i/>
        </w:rPr>
        <w:t>des</w:t>
      </w:r>
      <w:r w:rsidR="002A6D8F" w:rsidRPr="00E568C3">
        <w:rPr>
          <w:i/>
        </w:rPr>
        <w:t xml:space="preserve"> information</w:t>
      </w:r>
      <w:r w:rsidRPr="00E568C3">
        <w:rPr>
          <w:i/>
        </w:rPr>
        <w:t>s</w:t>
      </w:r>
      <w:r w:rsidR="002A6D8F" w:rsidRPr="00E568C3">
        <w:rPr>
          <w:i/>
        </w:rPr>
        <w:t xml:space="preserve"> </w:t>
      </w:r>
      <w:r w:rsidRPr="00E568C3">
        <w:rPr>
          <w:i/>
        </w:rPr>
        <w:t>figurant dans l</w:t>
      </w:r>
      <w:r w:rsidR="00871730" w:rsidRPr="00E568C3">
        <w:rPr>
          <w:i/>
        </w:rPr>
        <w:t>’</w:t>
      </w:r>
      <w:r w:rsidRPr="00E568C3">
        <w:rPr>
          <w:i/>
        </w:rPr>
        <w:t>a</w:t>
      </w:r>
      <w:r w:rsidR="002A6D8F" w:rsidRPr="00E568C3">
        <w:rPr>
          <w:i/>
        </w:rPr>
        <w:t>nnex</w:t>
      </w:r>
      <w:r w:rsidRPr="00E568C3">
        <w:rPr>
          <w:i/>
        </w:rPr>
        <w:t>e</w:t>
      </w:r>
      <w:r w:rsidR="002A6D8F" w:rsidRPr="00E568C3">
        <w:rPr>
          <w:i/>
        </w:rPr>
        <w:t xml:space="preserve"> </w:t>
      </w:r>
      <w:r w:rsidRPr="00E568C3">
        <w:rPr>
          <w:i/>
        </w:rPr>
        <w:t>du présent</w:t>
      </w:r>
      <w:r w:rsidR="002A6D8F" w:rsidRPr="00E568C3">
        <w:rPr>
          <w:i/>
        </w:rPr>
        <w:t xml:space="preserve"> document.</w:t>
      </w:r>
    </w:p>
    <w:p w:rsidR="00F55AA9" w:rsidRDefault="00F55AA9" w:rsidP="003145EF"/>
    <w:p w:rsidR="00F55AA9" w:rsidRDefault="00F55AA9" w:rsidP="003145EF"/>
    <w:p w:rsidR="00F55AA9" w:rsidRDefault="003145EF">
      <w:pPr>
        <w:pStyle w:val="Endofdocument-Annex"/>
      </w:pPr>
      <w:r w:rsidRPr="00E568C3">
        <w:t>[L</w:t>
      </w:r>
      <w:r w:rsidR="00871730" w:rsidRPr="00E568C3">
        <w:t>’</w:t>
      </w:r>
      <w:r w:rsidRPr="00E568C3">
        <w:t>annexe suit]</w:t>
      </w:r>
    </w:p>
    <w:p w:rsidR="00F55AA9" w:rsidRDefault="00F55AA9" w:rsidP="002A6D8F">
      <w:pPr>
        <w:ind w:left="4536"/>
        <w:rPr>
          <w:szCs w:val="22"/>
        </w:rPr>
      </w:pPr>
    </w:p>
    <w:p w:rsidR="008E1059" w:rsidRPr="00E568C3" w:rsidRDefault="008E1059">
      <w:pPr>
        <w:rPr>
          <w:szCs w:val="22"/>
        </w:rPr>
        <w:sectPr w:rsidR="008E1059" w:rsidRPr="00E568C3" w:rsidSect="006A3508">
          <w:headerReference w:type="default" r:id="rId10"/>
          <w:footerReference w:type="first" r:id="rId11"/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F55AA9" w:rsidRDefault="008E1059" w:rsidP="003145EF">
      <w:pPr>
        <w:pStyle w:val="Heading2"/>
      </w:pPr>
      <w:r w:rsidRPr="00E568C3">
        <w:lastRenderedPageBreak/>
        <w:t>I.</w:t>
      </w:r>
      <w:r w:rsidRPr="00E568C3">
        <w:tab/>
      </w:r>
      <w:r w:rsidR="00DE1C29" w:rsidRPr="00E568C3">
        <w:t>SERVICES ET ACTIVITéS D</w:t>
      </w:r>
      <w:r w:rsidR="00871730" w:rsidRPr="00E568C3">
        <w:t>’</w:t>
      </w:r>
      <w:r w:rsidR="00DE1C29" w:rsidRPr="00E568C3">
        <w:t>APPUI DE L</w:t>
      </w:r>
      <w:r w:rsidR="00871730" w:rsidRPr="00E568C3">
        <w:t>’</w:t>
      </w:r>
      <w:r w:rsidR="00DE1C29" w:rsidRPr="00E568C3">
        <w:t>OMPI EN MATIèRE DE TRANSFERT DE</w:t>
      </w:r>
      <w:r w:rsidR="00EC01BC" w:rsidRPr="00E568C3">
        <w:t xml:space="preserve"> Technolog</w:t>
      </w:r>
      <w:r w:rsidR="00DE1C29" w:rsidRPr="00E568C3">
        <w:t xml:space="preserve">IE </w:t>
      </w:r>
      <w:r w:rsidR="00224A87" w:rsidRPr="00E568C3">
        <w:t>EN FAVEUR</w:t>
      </w:r>
      <w:r w:rsidR="00DE1C29" w:rsidRPr="00E568C3">
        <w:t xml:space="preserve"> DES </w:t>
      </w:r>
      <w:r w:rsidR="00EC01BC" w:rsidRPr="00E568C3">
        <w:t>Universit</w:t>
      </w:r>
      <w:r w:rsidR="00DE1C29" w:rsidRPr="00E568C3">
        <w:t>é</w:t>
      </w:r>
      <w:r w:rsidR="00EC01BC" w:rsidRPr="00E568C3">
        <w:t xml:space="preserve">s </w:t>
      </w:r>
      <w:r w:rsidR="00DE1C29" w:rsidRPr="00E568C3">
        <w:t xml:space="preserve">ET </w:t>
      </w:r>
      <w:r w:rsidR="00EC01BC" w:rsidRPr="00E568C3">
        <w:t>d</w:t>
      </w:r>
      <w:r w:rsidR="00DE1C29" w:rsidRPr="00E568C3">
        <w:t>ES</w:t>
      </w:r>
      <w:r w:rsidR="00EC01BC" w:rsidRPr="00E568C3">
        <w:t xml:space="preserve"> </w:t>
      </w:r>
      <w:r w:rsidR="00DE1C29" w:rsidRPr="00E568C3">
        <w:t>IN</w:t>
      </w:r>
      <w:r w:rsidR="00873F8D" w:rsidRPr="00E568C3">
        <w:t>s</w:t>
      </w:r>
      <w:r w:rsidR="00DE1C29" w:rsidRPr="00E568C3">
        <w:t>T</w:t>
      </w:r>
      <w:r w:rsidR="00873F8D" w:rsidRPr="00E568C3">
        <w:t>itut</w:t>
      </w:r>
      <w:r w:rsidR="00DE1C29" w:rsidRPr="00E568C3">
        <w:t xml:space="preserve">S DE </w:t>
      </w:r>
      <w:r w:rsidR="00EC01BC" w:rsidRPr="00E568C3">
        <w:t>Rech</w:t>
      </w:r>
      <w:r w:rsidR="00DE1C29" w:rsidRPr="00E568C3">
        <w:t>ERCHE</w:t>
      </w:r>
    </w:p>
    <w:p w:rsidR="00F55AA9" w:rsidRDefault="00F55AA9" w:rsidP="00EF7920">
      <w:pPr>
        <w:autoSpaceDE w:val="0"/>
        <w:autoSpaceDN w:val="0"/>
        <w:adjustRightInd w:val="0"/>
        <w:rPr>
          <w:rFonts w:eastAsia="SimSun"/>
          <w:szCs w:val="22"/>
          <w:lang w:eastAsia="zh-CN"/>
        </w:rPr>
      </w:pPr>
    </w:p>
    <w:p w:rsidR="00F55AA9" w:rsidRDefault="00546377" w:rsidP="003145EF">
      <w:pPr>
        <w:pStyle w:val="ONUMFS"/>
        <w:numPr>
          <w:ilvl w:val="0"/>
          <w:numId w:val="8"/>
        </w:numPr>
      </w:pPr>
      <w:r w:rsidRPr="00E568C3">
        <w:t>L</w:t>
      </w:r>
      <w:r w:rsidR="007C1147" w:rsidRPr="00E568C3">
        <w:t xml:space="preserve">e </w:t>
      </w:r>
      <w:r w:rsidR="00CF2C73" w:rsidRPr="00E568C3">
        <w:t>Secr</w:t>
      </w:r>
      <w:r w:rsidRPr="00E568C3">
        <w:t>é</w:t>
      </w:r>
      <w:r w:rsidR="00CF2C73" w:rsidRPr="00E568C3">
        <w:t>tariat</w:t>
      </w:r>
      <w:r w:rsidR="00E720B6" w:rsidRPr="00E568C3">
        <w:t xml:space="preserve"> </w:t>
      </w:r>
      <w:r w:rsidRPr="00E568C3">
        <w:t>a fourni des</w:t>
      </w:r>
      <w:r w:rsidR="00E720B6" w:rsidRPr="00E568C3">
        <w:t xml:space="preserve"> informat</w:t>
      </w:r>
      <w:r w:rsidR="001512B0" w:rsidRPr="00E568C3">
        <w:t>ion</w:t>
      </w:r>
      <w:r w:rsidRPr="00E568C3">
        <w:t>s</w:t>
      </w:r>
      <w:r w:rsidR="001512B0" w:rsidRPr="00E568C3">
        <w:t xml:space="preserve"> </w:t>
      </w:r>
      <w:r w:rsidRPr="00E568C3">
        <w:t>concernant les services actuellement fournis par les groupes en matière de transfert de t</w:t>
      </w:r>
      <w:r w:rsidR="00CF2C73" w:rsidRPr="00E568C3">
        <w:t>echnolog</w:t>
      </w:r>
      <w:r w:rsidRPr="00E568C3">
        <w:t>ie</w:t>
      </w:r>
      <w:r w:rsidR="00CF2C73" w:rsidRPr="00E568C3">
        <w:t xml:space="preserve"> </w:t>
      </w:r>
      <w:r w:rsidRPr="00E568C3">
        <w:t>et leur impact escompté sur l</w:t>
      </w:r>
      <w:r w:rsidR="008E3970" w:rsidRPr="00E568C3">
        <w:t>e</w:t>
      </w:r>
      <w:r w:rsidR="005A63E9" w:rsidRPr="00E568C3">
        <w:t>s</w:t>
      </w:r>
      <w:r w:rsidR="008E3970" w:rsidRPr="00E568C3">
        <w:t xml:space="preserve"> pilier</w:t>
      </w:r>
      <w:r w:rsidR="005A63E9" w:rsidRPr="00E568C3">
        <w:t>s</w:t>
      </w:r>
      <w:r w:rsidR="008E3970" w:rsidRPr="00E568C3">
        <w:t xml:space="preserve"> </w:t>
      </w:r>
      <w:r w:rsidR="005A63E9" w:rsidRPr="00E568C3">
        <w:t xml:space="preserve">que </w:t>
      </w:r>
      <w:r w:rsidR="008E3970" w:rsidRPr="00E568C3">
        <w:t>constitu</w:t>
      </w:r>
      <w:r w:rsidR="005A63E9" w:rsidRPr="00E568C3">
        <w:t>e</w:t>
      </w:r>
      <w:r w:rsidR="008E3970" w:rsidRPr="00E568C3">
        <w:t>n</w:t>
      </w:r>
      <w:r w:rsidR="005A63E9" w:rsidRPr="00E568C3">
        <w:t>t</w:t>
      </w:r>
      <w:r w:rsidR="008E3970" w:rsidRPr="00E568C3">
        <w:t xml:space="preserve"> d</w:t>
      </w:r>
      <w:r w:rsidR="005A63E9" w:rsidRPr="00E568C3">
        <w:t xml:space="preserve">es </w:t>
      </w:r>
      <w:r w:rsidRPr="00E568C3">
        <w:t xml:space="preserve">écosystèmes </w:t>
      </w:r>
      <w:r w:rsidR="005647FF" w:rsidRPr="00E568C3">
        <w:t xml:space="preserve">favorables </w:t>
      </w:r>
      <w:r w:rsidRPr="00E568C3">
        <w:t>pour les principa</w:t>
      </w:r>
      <w:r w:rsidR="008E3970" w:rsidRPr="00E568C3">
        <w:t>les sources</w:t>
      </w:r>
      <w:r w:rsidRPr="00E568C3">
        <w:t xml:space="preserve"> de </w:t>
      </w:r>
      <w:r w:rsidR="005A63E9" w:rsidRPr="00E568C3">
        <w:t>savoir</w:t>
      </w:r>
      <w:r w:rsidRPr="00E568C3">
        <w:t xml:space="preserve"> et de propriété intellectuelle dans les pays en développement (universités et </w:t>
      </w:r>
      <w:r w:rsidR="00873F8D" w:rsidRPr="00E568C3">
        <w:t>ins</w:t>
      </w:r>
      <w:r w:rsidRPr="00E568C3">
        <w:t>ti</w:t>
      </w:r>
      <w:r w:rsidR="00873F8D" w:rsidRPr="00E568C3">
        <w:t>tu</w:t>
      </w:r>
      <w:r w:rsidRPr="00E568C3">
        <w:t>ts de recherche</w:t>
      </w:r>
      <w:r w:rsidR="006A3508" w:rsidRPr="00E568C3">
        <w:noBreakHyphen/>
      </w:r>
      <w:r w:rsidRPr="00E568C3">
        <w:t>développeme</w:t>
      </w:r>
      <w:r w:rsidR="006A3508" w:rsidRPr="00E568C3">
        <w:t>nt).  On</w:t>
      </w:r>
      <w:r w:rsidR="00F62CBD" w:rsidRPr="00E568C3">
        <w:t xml:space="preserve"> trouvera </w:t>
      </w:r>
      <w:r w:rsidR="005A63E9" w:rsidRPr="00E568C3">
        <w:t>également</w:t>
      </w:r>
      <w:r w:rsidR="00F62CBD" w:rsidRPr="00E568C3">
        <w:t xml:space="preserve"> ci</w:t>
      </w:r>
      <w:r w:rsidR="006A3508" w:rsidRPr="00E568C3">
        <w:noBreakHyphen/>
      </w:r>
      <w:r w:rsidR="005A63E9" w:rsidRPr="00E568C3">
        <w:t>aprè</w:t>
      </w:r>
      <w:r w:rsidR="00F62CBD" w:rsidRPr="00E568C3">
        <w:t>s les activités de l</w:t>
      </w:r>
      <w:r w:rsidR="00871730" w:rsidRPr="00E568C3">
        <w:t>’</w:t>
      </w:r>
      <w:r w:rsidR="00F62CBD" w:rsidRPr="00E568C3">
        <w:t xml:space="preserve">OMPI dans le domaine de la </w:t>
      </w:r>
      <w:r w:rsidR="007105FD" w:rsidRPr="00E568C3">
        <w:t xml:space="preserve">collaboration </w:t>
      </w:r>
      <w:r w:rsidR="00F62CBD" w:rsidRPr="00E568C3">
        <w:t>et de l</w:t>
      </w:r>
      <w:r w:rsidR="00871730" w:rsidRPr="00E568C3">
        <w:t>’</w:t>
      </w:r>
      <w:r w:rsidR="00F62CBD" w:rsidRPr="00E568C3">
        <w:t>é</w:t>
      </w:r>
      <w:r w:rsidR="007105FD" w:rsidRPr="00E568C3">
        <w:t xml:space="preserve">change </w:t>
      </w:r>
      <w:r w:rsidR="00F62CBD" w:rsidRPr="00E568C3">
        <w:t>d</w:t>
      </w:r>
      <w:r w:rsidR="00871730" w:rsidRPr="00E568C3">
        <w:t>’</w:t>
      </w:r>
      <w:r w:rsidR="007105FD" w:rsidRPr="00E568C3">
        <w:t>information</w:t>
      </w:r>
      <w:r w:rsidR="00F62CBD" w:rsidRPr="00E568C3">
        <w:t>s</w:t>
      </w:r>
      <w:r w:rsidR="007105FD" w:rsidRPr="00E568C3">
        <w:t xml:space="preserve"> </w:t>
      </w:r>
      <w:r w:rsidR="00F62CBD" w:rsidRPr="00E568C3">
        <w:t>avec d</w:t>
      </w:r>
      <w:r w:rsidR="00871730" w:rsidRPr="00E568C3">
        <w:t>’</w:t>
      </w:r>
      <w:r w:rsidR="00F62CBD" w:rsidRPr="00E568C3">
        <w:t xml:space="preserve">autres organisations </w:t>
      </w:r>
      <w:r w:rsidR="007105FD" w:rsidRPr="00E568C3">
        <w:t>international</w:t>
      </w:r>
      <w:r w:rsidR="00F62CBD" w:rsidRPr="00E568C3">
        <w:t>es</w:t>
      </w:r>
      <w:r w:rsidR="007105FD" w:rsidRPr="00E568C3">
        <w:t xml:space="preserve"> </w:t>
      </w:r>
      <w:r w:rsidR="00F62CBD" w:rsidRPr="00E568C3">
        <w:t>et</w:t>
      </w:r>
      <w:r w:rsidR="007105FD" w:rsidRPr="00E568C3">
        <w:t xml:space="preserve"> r</w:t>
      </w:r>
      <w:r w:rsidR="00F62CBD" w:rsidRPr="00E568C3">
        <w:t>é</w:t>
      </w:r>
      <w:r w:rsidR="007105FD" w:rsidRPr="00E568C3">
        <w:t>gional</w:t>
      </w:r>
      <w:r w:rsidR="00F62CBD" w:rsidRPr="00E568C3">
        <w:t>es pertinentes</w:t>
      </w:r>
      <w:r w:rsidR="007105FD" w:rsidRPr="00E568C3">
        <w:t xml:space="preserve"> </w:t>
      </w:r>
      <w:r w:rsidR="00F62CBD" w:rsidRPr="00E568C3">
        <w:t>susceptibles de fournir des services de transfert de connaissances en</w:t>
      </w:r>
      <w:r w:rsidR="006A3508" w:rsidRPr="00E568C3">
        <w:noBreakHyphen/>
      </w:r>
      <w:r w:rsidR="00F62CBD" w:rsidRPr="00E568C3">
        <w:t>dehors du cadre du mandat de l</w:t>
      </w:r>
      <w:r w:rsidR="00871730" w:rsidRPr="00E568C3">
        <w:t>’</w:t>
      </w:r>
      <w:r w:rsidR="00F62CBD" w:rsidRPr="00E568C3">
        <w:t xml:space="preserve">OMPI, ainsi que des </w:t>
      </w:r>
      <w:r w:rsidR="005A63E9" w:rsidRPr="00E568C3">
        <w:t>info</w:t>
      </w:r>
      <w:r w:rsidR="00F62CBD" w:rsidRPr="00E568C3">
        <w:t>r</w:t>
      </w:r>
      <w:r w:rsidR="005A63E9" w:rsidRPr="00E568C3">
        <w:t>ma</w:t>
      </w:r>
      <w:r w:rsidR="00F62CBD" w:rsidRPr="00E568C3">
        <w:t>t</w:t>
      </w:r>
      <w:r w:rsidR="005A63E9" w:rsidRPr="00E568C3">
        <w:t>ion</w:t>
      </w:r>
      <w:r w:rsidR="00F62CBD" w:rsidRPr="00E568C3">
        <w:t>s concr</w:t>
      </w:r>
      <w:r w:rsidR="005A63E9" w:rsidRPr="00E568C3">
        <w:t>è</w:t>
      </w:r>
      <w:r w:rsidR="00F62CBD" w:rsidRPr="00E568C3">
        <w:t>t</w:t>
      </w:r>
      <w:r w:rsidR="005A63E9" w:rsidRPr="00E568C3">
        <w:t>e</w:t>
      </w:r>
      <w:r w:rsidR="00F62CBD" w:rsidRPr="00E568C3">
        <w:t>s sur les événements ou les pays dans lesquels ces services ont été fournis au cours du dernier exercice biennal</w:t>
      </w:r>
      <w:r w:rsidR="008A2E3E" w:rsidRPr="00E568C3">
        <w:t> </w:t>
      </w:r>
      <w:r w:rsidR="002D72BF" w:rsidRPr="00E568C3">
        <w:t>2014</w:t>
      </w:r>
      <w:r w:rsidR="006A3508" w:rsidRPr="00E568C3">
        <w:noBreakHyphen/>
      </w:r>
      <w:r w:rsidR="00F62CBD" w:rsidRPr="00E568C3">
        <w:t>20</w:t>
      </w:r>
      <w:r w:rsidR="00CF2C73" w:rsidRPr="00E568C3">
        <w:t xml:space="preserve">15.  </w:t>
      </w:r>
      <w:r w:rsidR="00F62CBD" w:rsidRPr="00E568C3">
        <w:t>Les</w:t>
      </w:r>
      <w:r w:rsidR="007105FD" w:rsidRPr="00E568C3">
        <w:t xml:space="preserve"> services </w:t>
      </w:r>
      <w:r w:rsidR="00F62CBD" w:rsidRPr="00E568C3">
        <w:t>répertoriés sont</w:t>
      </w:r>
      <w:r w:rsidR="007105FD" w:rsidRPr="00E568C3">
        <w:t xml:space="preserve"> pr</w:t>
      </w:r>
      <w:r w:rsidR="00F62CBD" w:rsidRPr="00E568C3">
        <w:t>é</w:t>
      </w:r>
      <w:r w:rsidR="007105FD" w:rsidRPr="00E568C3">
        <w:t>sent</w:t>
      </w:r>
      <w:r w:rsidR="00F62CBD" w:rsidRPr="00E568C3">
        <w:t>és dans les chapitres thématiques suivants </w:t>
      </w:r>
      <w:r w:rsidR="00E720B6" w:rsidRPr="00E568C3">
        <w:t>:</w:t>
      </w:r>
    </w:p>
    <w:p w:rsidR="00F55AA9" w:rsidRDefault="00F62CBD" w:rsidP="003145EF">
      <w:pPr>
        <w:pStyle w:val="ONUMFS"/>
        <w:numPr>
          <w:ilvl w:val="1"/>
          <w:numId w:val="2"/>
        </w:numPr>
      </w:pPr>
      <w:r w:rsidRPr="00E568C3">
        <w:t>Services de conseil et p</w:t>
      </w:r>
      <w:r w:rsidR="00A41269" w:rsidRPr="00E568C3">
        <w:t>rogram</w:t>
      </w:r>
      <w:r w:rsidRPr="00E568C3">
        <w:t>me</w:t>
      </w:r>
      <w:r w:rsidR="00A41269" w:rsidRPr="00E568C3">
        <w:t xml:space="preserve">s </w:t>
      </w:r>
      <w:r w:rsidRPr="00E568C3">
        <w:t>r</w:t>
      </w:r>
      <w:r w:rsidR="00F6040F" w:rsidRPr="00E568C3">
        <w:t>elat</w:t>
      </w:r>
      <w:r w:rsidRPr="00E568C3">
        <w:t xml:space="preserve">ifs à la </w:t>
      </w:r>
      <w:r w:rsidR="005647FF" w:rsidRPr="00E568C3">
        <w:t>création d</w:t>
      </w:r>
      <w:r w:rsidR="00871730" w:rsidRPr="00E568C3">
        <w:t>’</w:t>
      </w:r>
      <w:r w:rsidR="005647FF" w:rsidRPr="00E568C3">
        <w:t xml:space="preserve">un cadre juridique favorable au transfert de savoir </w:t>
      </w:r>
      <w:r w:rsidR="004B7755" w:rsidRPr="00E568C3">
        <w:t>et</w:t>
      </w:r>
      <w:r w:rsidR="005647FF" w:rsidRPr="00E568C3">
        <w:t xml:space="preserve"> de t</w:t>
      </w:r>
      <w:r w:rsidR="00A41269" w:rsidRPr="00E568C3">
        <w:t>echnolog</w:t>
      </w:r>
      <w:r w:rsidR="005647FF" w:rsidRPr="00E568C3">
        <w:t>ie</w:t>
      </w:r>
      <w:r w:rsidR="00E720B6" w:rsidRPr="00E568C3">
        <w:t>;</w:t>
      </w:r>
    </w:p>
    <w:p w:rsidR="00F55AA9" w:rsidRDefault="005647FF" w:rsidP="003145EF">
      <w:pPr>
        <w:pStyle w:val="ONUMFS"/>
        <w:numPr>
          <w:ilvl w:val="1"/>
          <w:numId w:val="2"/>
        </w:numPr>
      </w:pPr>
      <w:r w:rsidRPr="00E568C3">
        <w:t xml:space="preserve">Mise en place de structures organisationnelles pour le transfert de savoir </w:t>
      </w:r>
      <w:r w:rsidR="004B7755" w:rsidRPr="00E568C3">
        <w:t>et</w:t>
      </w:r>
      <w:r w:rsidRPr="00E568C3">
        <w:t xml:space="preserve"> de t</w:t>
      </w:r>
      <w:r w:rsidR="00A41269" w:rsidRPr="00E568C3">
        <w:t>echnolog</w:t>
      </w:r>
      <w:r w:rsidRPr="00E568C3">
        <w:t>ie</w:t>
      </w:r>
      <w:r w:rsidR="00E720B6" w:rsidRPr="00E568C3">
        <w:t>;</w:t>
      </w:r>
    </w:p>
    <w:p w:rsidR="00F55AA9" w:rsidRDefault="00E14402" w:rsidP="003145EF">
      <w:pPr>
        <w:pStyle w:val="ONUMFS"/>
        <w:numPr>
          <w:ilvl w:val="1"/>
          <w:numId w:val="2"/>
        </w:numPr>
      </w:pPr>
      <w:r w:rsidRPr="00E568C3">
        <w:t>Mise en valeur d</w:t>
      </w:r>
      <w:r w:rsidR="005647FF" w:rsidRPr="00E568C3">
        <w:t>u capital h</w:t>
      </w:r>
      <w:r w:rsidR="00E720B6" w:rsidRPr="00E568C3">
        <w:t>uma</w:t>
      </w:r>
      <w:r w:rsidR="005647FF" w:rsidRPr="00E568C3">
        <w:t>i</w:t>
      </w:r>
      <w:r w:rsidR="00E720B6" w:rsidRPr="00E568C3">
        <w:t xml:space="preserve">n – </w:t>
      </w:r>
      <w:r w:rsidR="005647FF" w:rsidRPr="00E568C3">
        <w:t>programmes de renforcement des c</w:t>
      </w:r>
      <w:r w:rsidR="00E720B6" w:rsidRPr="00E568C3">
        <w:t>apacit</w:t>
      </w:r>
      <w:r w:rsidR="005647FF" w:rsidRPr="00E568C3">
        <w:t>és</w:t>
      </w:r>
      <w:r w:rsidR="00E720B6" w:rsidRPr="00E568C3">
        <w:t>;</w:t>
      </w:r>
    </w:p>
    <w:p w:rsidR="00F55AA9" w:rsidRDefault="005647FF" w:rsidP="003145EF">
      <w:pPr>
        <w:pStyle w:val="ONUMFS"/>
        <w:numPr>
          <w:ilvl w:val="1"/>
          <w:numId w:val="2"/>
        </w:numPr>
      </w:pPr>
      <w:r w:rsidRPr="00E568C3">
        <w:t>Élabor</w:t>
      </w:r>
      <w:r w:rsidR="00A41269" w:rsidRPr="00E568C3">
        <w:t xml:space="preserve">ation </w:t>
      </w:r>
      <w:r w:rsidRPr="00E568C3">
        <w:t>d</w:t>
      </w:r>
      <w:r w:rsidR="00871730" w:rsidRPr="00E568C3">
        <w:t>’</w:t>
      </w:r>
      <w:r w:rsidRPr="00E568C3">
        <w:t>outils, de</w:t>
      </w:r>
      <w:r w:rsidR="00A41269" w:rsidRPr="00E568C3">
        <w:t xml:space="preserve"> </w:t>
      </w:r>
      <w:r w:rsidRPr="00E568C3">
        <w:t>m</w:t>
      </w:r>
      <w:r w:rsidR="00A41269" w:rsidRPr="00E568C3">
        <w:t>anu</w:t>
      </w:r>
      <w:r w:rsidRPr="00E568C3">
        <w:t>e</w:t>
      </w:r>
      <w:r w:rsidR="00A41269" w:rsidRPr="00E568C3">
        <w:t xml:space="preserve">ls </w:t>
      </w:r>
      <w:r w:rsidRPr="00E568C3">
        <w:t>et de supports de formation</w:t>
      </w:r>
      <w:r w:rsidR="00A41269" w:rsidRPr="00E568C3">
        <w:t>;</w:t>
      </w:r>
    </w:p>
    <w:p w:rsidR="00F55AA9" w:rsidRDefault="005647FF" w:rsidP="003145EF">
      <w:pPr>
        <w:pStyle w:val="ONUMFS"/>
        <w:numPr>
          <w:ilvl w:val="1"/>
          <w:numId w:val="2"/>
        </w:numPr>
      </w:pPr>
      <w:r w:rsidRPr="00E568C3">
        <w:t>Comités permanents de l</w:t>
      </w:r>
      <w:r w:rsidR="00871730" w:rsidRPr="00E568C3">
        <w:t>’</w:t>
      </w:r>
      <w:r w:rsidRPr="00E568C3">
        <w:t>OMPI qui traitent des questions de tra</w:t>
      </w:r>
      <w:r w:rsidR="00730497" w:rsidRPr="00E568C3">
        <w:t>n</w:t>
      </w:r>
      <w:r w:rsidRPr="00E568C3">
        <w:t>sfert de te</w:t>
      </w:r>
      <w:r w:rsidR="00730497" w:rsidRPr="00E568C3">
        <w:t>chnolog</w:t>
      </w:r>
      <w:r w:rsidRPr="00E568C3">
        <w:t>ie</w:t>
      </w:r>
      <w:r w:rsidR="00730497" w:rsidRPr="00E568C3">
        <w:t>;</w:t>
      </w:r>
    </w:p>
    <w:p w:rsidR="00F55AA9" w:rsidRDefault="0015609D" w:rsidP="003145EF">
      <w:pPr>
        <w:pStyle w:val="ONUMFS"/>
        <w:numPr>
          <w:ilvl w:val="1"/>
          <w:numId w:val="2"/>
        </w:numPr>
      </w:pPr>
      <w:r w:rsidRPr="00E568C3">
        <w:t xml:space="preserve">Collaborations </w:t>
      </w:r>
      <w:r w:rsidR="005647FF" w:rsidRPr="00E568C3">
        <w:t>facilitées par l</w:t>
      </w:r>
      <w:r w:rsidR="00871730" w:rsidRPr="00E568C3">
        <w:t>’</w:t>
      </w:r>
      <w:r w:rsidR="005647FF" w:rsidRPr="00E568C3">
        <w:t xml:space="preserve">OMPI dans certains domaines du transfert de savoir </w:t>
      </w:r>
      <w:r w:rsidR="004B7755" w:rsidRPr="00E568C3">
        <w:t>et</w:t>
      </w:r>
      <w:r w:rsidR="005647FF" w:rsidRPr="00E568C3">
        <w:t xml:space="preserve"> de te</w:t>
      </w:r>
      <w:r w:rsidRPr="00E568C3">
        <w:t>chnolog</w:t>
      </w:r>
      <w:r w:rsidR="005647FF" w:rsidRPr="00E568C3">
        <w:t>ie</w:t>
      </w:r>
      <w:r w:rsidR="00C12EC2" w:rsidRPr="00E568C3">
        <w:t>;</w:t>
      </w:r>
    </w:p>
    <w:p w:rsidR="00F55AA9" w:rsidRDefault="00A41269" w:rsidP="003145EF">
      <w:pPr>
        <w:pStyle w:val="ONUMFS"/>
        <w:numPr>
          <w:ilvl w:val="1"/>
          <w:numId w:val="2"/>
        </w:numPr>
      </w:pPr>
      <w:r w:rsidRPr="00E568C3">
        <w:t>P</w:t>
      </w:r>
      <w:r w:rsidR="000F36B9" w:rsidRPr="00E568C3">
        <w:t>articipation</w:t>
      </w:r>
      <w:r w:rsidRPr="00E568C3">
        <w:t xml:space="preserve"> </w:t>
      </w:r>
      <w:r w:rsidR="005647FF" w:rsidRPr="00E568C3">
        <w:t>de l</w:t>
      </w:r>
      <w:r w:rsidR="00871730" w:rsidRPr="00E568C3">
        <w:t>’</w:t>
      </w:r>
      <w:r w:rsidR="005647FF" w:rsidRPr="00E568C3">
        <w:t xml:space="preserve">OMPI aux instances compétentes </w:t>
      </w:r>
      <w:r w:rsidR="004B7755" w:rsidRPr="00E568C3">
        <w:t>en matière d</w:t>
      </w:r>
      <w:r w:rsidR="005647FF" w:rsidRPr="00E568C3">
        <w:t>e transfert de savoir</w:t>
      </w:r>
      <w:r w:rsidR="00E812E1" w:rsidRPr="00E568C3">
        <w:t>;</w:t>
      </w:r>
      <w:r w:rsidR="00607EF3" w:rsidRPr="00E568C3">
        <w:t xml:space="preserve">  </w:t>
      </w:r>
      <w:r w:rsidR="005647FF" w:rsidRPr="00E568C3">
        <w:t>et</w:t>
      </w:r>
    </w:p>
    <w:p w:rsidR="00F55AA9" w:rsidRDefault="003548F7" w:rsidP="003145EF">
      <w:pPr>
        <w:pStyle w:val="ONUMFS"/>
        <w:numPr>
          <w:ilvl w:val="1"/>
          <w:numId w:val="2"/>
        </w:numPr>
      </w:pPr>
      <w:r w:rsidRPr="00E568C3">
        <w:t>Recherche é</w:t>
      </w:r>
      <w:r w:rsidR="00E812E1" w:rsidRPr="00E568C3">
        <w:t>conomi</w:t>
      </w:r>
      <w:r w:rsidRPr="00E568C3">
        <w:t>que</w:t>
      </w:r>
      <w:r w:rsidR="004B7755" w:rsidRPr="00E568C3">
        <w:t xml:space="preserve"> et étude</w:t>
      </w:r>
      <w:r w:rsidRPr="00E568C3">
        <w:t>s sur les p</w:t>
      </w:r>
      <w:r w:rsidR="00E812E1" w:rsidRPr="00E568C3">
        <w:t>oli</w:t>
      </w:r>
      <w:r w:rsidRPr="00E568C3">
        <w:t>t</w:t>
      </w:r>
      <w:r w:rsidR="00E812E1" w:rsidRPr="00E568C3">
        <w:t>i</w:t>
      </w:r>
      <w:r w:rsidRPr="00E568C3">
        <w:t>qu</w:t>
      </w:r>
      <w:r w:rsidR="00E812E1" w:rsidRPr="00E568C3">
        <w:t xml:space="preserve">es </w:t>
      </w:r>
      <w:r w:rsidRPr="00E568C3">
        <w:t xml:space="preserve">et les résultats </w:t>
      </w:r>
      <w:r w:rsidR="004B7755" w:rsidRPr="00E568C3">
        <w:t>en matière de</w:t>
      </w:r>
      <w:r w:rsidRPr="00E568C3">
        <w:t xml:space="preserve"> transfert de t</w:t>
      </w:r>
      <w:r w:rsidR="00E812E1" w:rsidRPr="00E568C3">
        <w:t>echnolog</w:t>
      </w:r>
      <w:r w:rsidRPr="00E568C3">
        <w:t>ie</w:t>
      </w:r>
      <w:r w:rsidR="00E812E1" w:rsidRPr="00E568C3">
        <w:t>.</w:t>
      </w:r>
    </w:p>
    <w:p w:rsidR="00F55AA9" w:rsidRDefault="00607EF3" w:rsidP="003145EF">
      <w:pPr>
        <w:pStyle w:val="Heading2"/>
      </w:pPr>
      <w:r w:rsidRPr="00E568C3">
        <w:t>II.</w:t>
      </w:r>
      <w:r w:rsidRPr="00E568C3">
        <w:tab/>
      </w:r>
      <w:r w:rsidR="003548F7" w:rsidRPr="00E568C3">
        <w:t>Services de conseil et programmes relatifs à la création d</w:t>
      </w:r>
      <w:r w:rsidR="00871730" w:rsidRPr="00E568C3">
        <w:t>’</w:t>
      </w:r>
      <w:r w:rsidR="003548F7" w:rsidRPr="00E568C3">
        <w:t xml:space="preserve">un cadre juridique favorable au transfert de savoir </w:t>
      </w:r>
      <w:r w:rsidR="004B7755" w:rsidRPr="00E568C3">
        <w:t>ET</w:t>
      </w:r>
      <w:r w:rsidR="003548F7" w:rsidRPr="00E568C3">
        <w:t xml:space="preserve"> de technologiE</w:t>
      </w:r>
    </w:p>
    <w:p w:rsidR="00F55AA9" w:rsidRDefault="00F55AA9" w:rsidP="00EF7920">
      <w:pPr>
        <w:rPr>
          <w:szCs w:val="22"/>
          <w:u w:val="single"/>
        </w:rPr>
      </w:pPr>
    </w:p>
    <w:p w:rsidR="00F55AA9" w:rsidRDefault="003548F7" w:rsidP="003548F7">
      <w:pPr>
        <w:pStyle w:val="ONUMFS"/>
      </w:pPr>
      <w:r w:rsidRPr="00E568C3">
        <w:rPr>
          <w:bCs/>
          <w:i/>
          <w:iCs/>
        </w:rPr>
        <w:t>Politiques en matière d</w:t>
      </w:r>
      <w:r w:rsidR="00871730" w:rsidRPr="00E568C3">
        <w:rPr>
          <w:bCs/>
          <w:i/>
          <w:iCs/>
        </w:rPr>
        <w:t>’</w:t>
      </w:r>
      <w:r w:rsidRPr="00E568C3">
        <w:rPr>
          <w:bCs/>
          <w:i/>
          <w:iCs/>
        </w:rPr>
        <w:t>i</w:t>
      </w:r>
      <w:r w:rsidR="00A727B5" w:rsidRPr="00E568C3">
        <w:rPr>
          <w:bCs/>
          <w:i/>
          <w:iCs/>
        </w:rPr>
        <w:t>nnovation</w:t>
      </w:r>
      <w:r w:rsidR="000510AB" w:rsidRPr="00E568C3">
        <w:t xml:space="preserve"> – </w:t>
      </w:r>
      <w:r w:rsidRPr="00E568C3">
        <w:t>E</w:t>
      </w:r>
      <w:r w:rsidR="005F0955" w:rsidRPr="00E568C3">
        <w:t>n</w:t>
      </w:r>
      <w:r w:rsidR="00BA33D6" w:rsidRPr="00E568C3">
        <w:t> </w:t>
      </w:r>
      <w:r w:rsidR="005F0955" w:rsidRPr="00E568C3">
        <w:t xml:space="preserve">2014 </w:t>
      </w:r>
      <w:r w:rsidRPr="00E568C3">
        <w:t>et</w:t>
      </w:r>
      <w:r w:rsidR="00BA33D6" w:rsidRPr="00E568C3">
        <w:t> </w:t>
      </w:r>
      <w:r w:rsidRPr="00E568C3">
        <w:t xml:space="preserve">2015, </w:t>
      </w:r>
      <w:r w:rsidR="00BA33D6" w:rsidRPr="00E568C3">
        <w:t>la</w:t>
      </w:r>
      <w:r w:rsidRPr="00E568C3">
        <w:t xml:space="preserve"> </w:t>
      </w:r>
      <w:r w:rsidR="00E568C3" w:rsidRPr="00E568C3">
        <w:t xml:space="preserve">Section de la politique en matière d’innovation </w:t>
      </w:r>
      <w:r w:rsidR="00BA33D6" w:rsidRPr="00E568C3">
        <w:t xml:space="preserve">de la </w:t>
      </w:r>
      <w:r w:rsidR="00E568C3" w:rsidRPr="00E568C3">
        <w:t xml:space="preserve">Division de l’appui aux petites et moyennes entreprises (PME) et à la création d’entreprises </w:t>
      </w:r>
      <w:r w:rsidRPr="00E568C3">
        <w:t>a mis sur pied une série de projets pour aider les États</w:t>
      </w:r>
      <w:r w:rsidR="00B94303" w:rsidRPr="00E568C3">
        <w:t xml:space="preserve"> </w:t>
      </w:r>
      <w:r w:rsidRPr="00E568C3">
        <w:t>m</w:t>
      </w:r>
      <w:r w:rsidR="00B94303" w:rsidRPr="00E568C3">
        <w:t>embr</w:t>
      </w:r>
      <w:r w:rsidRPr="00E568C3">
        <w:t>e</w:t>
      </w:r>
      <w:r w:rsidR="005F0955" w:rsidRPr="00E568C3">
        <w:t xml:space="preserve">s </w:t>
      </w:r>
      <w:r w:rsidRPr="00E568C3">
        <w:t xml:space="preserve">à </w:t>
      </w:r>
      <w:r w:rsidR="005F0955" w:rsidRPr="00E568C3">
        <w:t>int</w:t>
      </w:r>
      <w:r w:rsidR="00572D98" w:rsidRPr="00E568C3">
        <w:t>é</w:t>
      </w:r>
      <w:r w:rsidR="005F0955" w:rsidRPr="00E568C3">
        <w:t>gre</w:t>
      </w:r>
      <w:r w:rsidR="00572D98" w:rsidRPr="00E568C3">
        <w:t>r</w:t>
      </w:r>
      <w:r w:rsidR="005F0955" w:rsidRPr="00E568C3">
        <w:t xml:space="preserve"> </w:t>
      </w:r>
      <w:r w:rsidR="00572D98" w:rsidRPr="00E568C3">
        <w:t>les</w:t>
      </w:r>
      <w:r w:rsidR="005F0955" w:rsidRPr="00E568C3">
        <w:t xml:space="preserve"> consid</w:t>
      </w:r>
      <w:r w:rsidR="00572D98" w:rsidRPr="00E568C3">
        <w:t>é</w:t>
      </w:r>
      <w:r w:rsidR="005F0955" w:rsidRPr="00E568C3">
        <w:t xml:space="preserve">rations </w:t>
      </w:r>
      <w:r w:rsidR="00572D98" w:rsidRPr="00E568C3">
        <w:t>de propriété intellectuelle dans leurs politiques en matière d</w:t>
      </w:r>
      <w:r w:rsidR="00871730" w:rsidRPr="00E568C3">
        <w:t>’</w:t>
      </w:r>
      <w:r w:rsidR="005F0955" w:rsidRPr="00E568C3">
        <w:t>innovati</w:t>
      </w:r>
      <w:r w:rsidR="006A3508" w:rsidRPr="00E568C3">
        <w:t>on.  Da</w:t>
      </w:r>
      <w:r w:rsidR="00572D98" w:rsidRPr="00E568C3">
        <w:t>ns ce</w:t>
      </w:r>
      <w:r w:rsidR="005F0955" w:rsidRPr="00E568C3">
        <w:t xml:space="preserve"> context</w:t>
      </w:r>
      <w:r w:rsidR="00572D98" w:rsidRPr="00E568C3">
        <w:t>e</w:t>
      </w:r>
      <w:r w:rsidR="005F0955" w:rsidRPr="00E568C3">
        <w:t xml:space="preserve">, </w:t>
      </w:r>
      <w:r w:rsidR="00572D98" w:rsidRPr="00E568C3">
        <w:t xml:space="preserve">les </w:t>
      </w:r>
      <w:r w:rsidR="005F0955" w:rsidRPr="00E568C3">
        <w:t>recomm</w:t>
      </w:r>
      <w:r w:rsidR="00572D98" w:rsidRPr="00E568C3">
        <w:t>a</w:t>
      </w:r>
      <w:r w:rsidR="005F0955" w:rsidRPr="00E568C3">
        <w:t xml:space="preserve">ndations </w:t>
      </w:r>
      <w:r w:rsidR="00572D98" w:rsidRPr="00E568C3">
        <w:t>faites au C</w:t>
      </w:r>
      <w:r w:rsidR="005F0955" w:rsidRPr="00E568C3">
        <w:t>amero</w:t>
      </w:r>
      <w:r w:rsidR="00572D98" w:rsidRPr="00E568C3">
        <w:t>u</w:t>
      </w:r>
      <w:r w:rsidR="005F0955" w:rsidRPr="00E568C3">
        <w:t xml:space="preserve">n, </w:t>
      </w:r>
      <w:r w:rsidR="008A2E3E" w:rsidRPr="00E568C3">
        <w:t>à</w:t>
      </w:r>
      <w:r w:rsidR="00572D98" w:rsidRPr="00E568C3">
        <w:t xml:space="preserve"> </w:t>
      </w:r>
      <w:r w:rsidR="005F0955" w:rsidRPr="00E568C3">
        <w:t>Sri</w:t>
      </w:r>
      <w:r w:rsidR="00572D98" w:rsidRPr="00E568C3">
        <w:t> </w:t>
      </w:r>
      <w:r w:rsidR="005F0955" w:rsidRPr="00E568C3">
        <w:t xml:space="preserve">Lanka, </w:t>
      </w:r>
      <w:r w:rsidR="00572D98" w:rsidRPr="00E568C3">
        <w:t xml:space="preserve">au </w:t>
      </w:r>
      <w:r w:rsidR="005F0955" w:rsidRPr="00E568C3">
        <w:t xml:space="preserve">Rwanda, </w:t>
      </w:r>
      <w:r w:rsidR="00572D98" w:rsidRPr="00E568C3">
        <w:t xml:space="preserve">à la </w:t>
      </w:r>
      <w:r w:rsidR="005F0955" w:rsidRPr="00E568C3">
        <w:t>Jama</w:t>
      </w:r>
      <w:r w:rsidR="00572D98" w:rsidRPr="00E568C3">
        <w:t>ïque et à</w:t>
      </w:r>
      <w:r w:rsidR="008A2E3E" w:rsidRPr="00E568C3">
        <w:t xml:space="preserve"> la</w:t>
      </w:r>
      <w:r w:rsidR="005F0955" w:rsidRPr="00E568C3">
        <w:t xml:space="preserve"> Trini</w:t>
      </w:r>
      <w:r w:rsidR="00572D98" w:rsidRPr="00E568C3">
        <w:t>té</w:t>
      </w:r>
      <w:r w:rsidR="006A3508" w:rsidRPr="00E568C3">
        <w:noBreakHyphen/>
      </w:r>
      <w:r w:rsidR="00572D98" w:rsidRPr="00E568C3">
        <w:t>et</w:t>
      </w:r>
      <w:r w:rsidR="006A3508" w:rsidRPr="00E568C3">
        <w:noBreakHyphen/>
      </w:r>
      <w:r w:rsidR="005F0955" w:rsidRPr="00E568C3">
        <w:t xml:space="preserve">Tobago, </w:t>
      </w:r>
      <w:r w:rsidR="00572D98" w:rsidRPr="00E568C3">
        <w:t xml:space="preserve">les pays en développement et les pays les moins avancés </w:t>
      </w:r>
      <w:r w:rsidR="00A74ED6" w:rsidRPr="00E568C3">
        <w:t>(</w:t>
      </w:r>
      <w:r w:rsidR="00572D98" w:rsidRPr="00E568C3">
        <w:t>PMA</w:t>
      </w:r>
      <w:r w:rsidR="00A74ED6" w:rsidRPr="00E568C3">
        <w:t xml:space="preserve">) </w:t>
      </w:r>
      <w:r w:rsidR="00572D98" w:rsidRPr="00E568C3">
        <w:t>qui ont bénéficié de cette</w:t>
      </w:r>
      <w:r w:rsidR="005F0955" w:rsidRPr="00E568C3">
        <w:t xml:space="preserve"> assistance, </w:t>
      </w:r>
      <w:r w:rsidR="00572D98" w:rsidRPr="00E568C3">
        <w:t xml:space="preserve">contenaient des </w:t>
      </w:r>
      <w:r w:rsidR="005F0955" w:rsidRPr="00E568C3">
        <w:t>recomm</w:t>
      </w:r>
      <w:r w:rsidR="00572D98" w:rsidRPr="00E568C3">
        <w:t>a</w:t>
      </w:r>
      <w:r w:rsidR="005F0955" w:rsidRPr="00E568C3">
        <w:t xml:space="preserve">ndations </w:t>
      </w:r>
      <w:r w:rsidR="00572D98" w:rsidRPr="00E568C3">
        <w:t>spécifiques sur la faç</w:t>
      </w:r>
      <w:r w:rsidR="005F0955" w:rsidRPr="00E568C3">
        <w:t>on</w:t>
      </w:r>
      <w:r w:rsidR="00572D98" w:rsidRPr="00E568C3">
        <w:t xml:space="preserve"> dont les politiques d</w:t>
      </w:r>
      <w:r w:rsidR="00871730" w:rsidRPr="00E568C3">
        <w:t>’</w:t>
      </w:r>
      <w:r w:rsidR="005F0955" w:rsidRPr="00E568C3">
        <w:t xml:space="preserve">innovation </w:t>
      </w:r>
      <w:r w:rsidR="00572D98" w:rsidRPr="00E568C3">
        <w:t xml:space="preserve">peuvent </w:t>
      </w:r>
      <w:r w:rsidR="004C0F9B" w:rsidRPr="00E568C3">
        <w:t>s</w:t>
      </w:r>
      <w:r w:rsidR="00871730" w:rsidRPr="00E568C3">
        <w:t>’</w:t>
      </w:r>
      <w:r w:rsidR="004C0F9B" w:rsidRPr="00E568C3">
        <w:t xml:space="preserve">appuyer </w:t>
      </w:r>
      <w:r w:rsidR="00572D98" w:rsidRPr="00E568C3">
        <w:t xml:space="preserve">sur le système de </w:t>
      </w:r>
      <w:r w:rsidR="004C0F9B" w:rsidRPr="00E568C3">
        <w:t xml:space="preserve">la </w:t>
      </w:r>
      <w:r w:rsidR="00572D98" w:rsidRPr="00E568C3">
        <w:t xml:space="preserve">propriété intellectuelle pour </w:t>
      </w:r>
      <w:r w:rsidR="00BA33D6" w:rsidRPr="00E568C3">
        <w:t>créer</w:t>
      </w:r>
      <w:r w:rsidR="00572D98" w:rsidRPr="00E568C3">
        <w:t xml:space="preserve"> le cadre nécessaire au tran</w:t>
      </w:r>
      <w:r w:rsidR="004C0F9B" w:rsidRPr="00E568C3">
        <w:t>s</w:t>
      </w:r>
      <w:r w:rsidR="00572D98" w:rsidRPr="00E568C3">
        <w:t xml:space="preserve">fert de </w:t>
      </w:r>
      <w:r w:rsidR="005F0955" w:rsidRPr="00E568C3">
        <w:t>technolog</w:t>
      </w:r>
      <w:r w:rsidR="004C0F9B" w:rsidRPr="00E568C3">
        <w:t>ie</w:t>
      </w:r>
      <w:r w:rsidR="005F0955" w:rsidRPr="00E568C3">
        <w:t>.</w:t>
      </w:r>
    </w:p>
    <w:p w:rsidR="00F55AA9" w:rsidRDefault="004C0F9B" w:rsidP="00C92EE6">
      <w:pPr>
        <w:pStyle w:val="ONUMFS"/>
        <w:keepNext/>
      </w:pPr>
      <w:r w:rsidRPr="00E568C3">
        <w:lastRenderedPageBreak/>
        <w:t>Par</w:t>
      </w:r>
      <w:r w:rsidR="009F6A03" w:rsidRPr="00E568C3">
        <w:t> </w:t>
      </w:r>
      <w:r w:rsidR="005F0955" w:rsidRPr="00E568C3">
        <w:t>ex</w:t>
      </w:r>
      <w:r w:rsidRPr="00E568C3">
        <w:t>e</w:t>
      </w:r>
      <w:r w:rsidR="005F0955" w:rsidRPr="00E568C3">
        <w:t>mple</w:t>
      </w:r>
      <w:r w:rsidRPr="00E568C3">
        <w:t>,</w:t>
      </w:r>
      <w:r w:rsidR="005F0955" w:rsidRPr="00E568C3">
        <w:t xml:space="preserve"> </w:t>
      </w:r>
      <w:r w:rsidRPr="00E568C3">
        <w:t>l</w:t>
      </w:r>
      <w:r w:rsidR="005F0955" w:rsidRPr="00E568C3">
        <w:t>e</w:t>
      </w:r>
      <w:r w:rsidRPr="00E568C3">
        <w:t>s</w:t>
      </w:r>
      <w:r w:rsidR="005F0955" w:rsidRPr="00E568C3">
        <w:t xml:space="preserve"> recomm</w:t>
      </w:r>
      <w:r w:rsidRPr="00E568C3">
        <w:t>a</w:t>
      </w:r>
      <w:r w:rsidR="005F0955" w:rsidRPr="00E568C3">
        <w:t xml:space="preserve">ndations </w:t>
      </w:r>
      <w:r w:rsidRPr="00E568C3">
        <w:t>pour</w:t>
      </w:r>
      <w:r w:rsidR="005F0955" w:rsidRPr="00E568C3">
        <w:t xml:space="preserve"> Sri</w:t>
      </w:r>
      <w:r w:rsidRPr="00E568C3">
        <w:t> </w:t>
      </w:r>
      <w:r w:rsidR="005F0955" w:rsidRPr="00E568C3">
        <w:t>Lan</w:t>
      </w:r>
      <w:r w:rsidR="009F6A03" w:rsidRPr="00E568C3">
        <w:t>ka</w:t>
      </w:r>
      <w:r w:rsidR="005F0955" w:rsidRPr="00E568C3">
        <w:t xml:space="preserve">, </w:t>
      </w:r>
      <w:r w:rsidRPr="00E568C3">
        <w:t xml:space="preserve">au </w:t>
      </w:r>
      <w:r w:rsidR="00BA33D6" w:rsidRPr="00E568C3">
        <w:t>ti</w:t>
      </w:r>
      <w:r w:rsidRPr="00E568C3">
        <w:t>tre des résultats escomptés d</w:t>
      </w:r>
      <w:r w:rsidR="00871730" w:rsidRPr="00E568C3">
        <w:t>’</w:t>
      </w:r>
      <w:r w:rsidRPr="00E568C3">
        <w:t>une gestion efficace de la recherch</w:t>
      </w:r>
      <w:r w:rsidR="005F0955" w:rsidRPr="00E568C3">
        <w:t>e</w:t>
      </w:r>
      <w:r w:rsidRPr="00E568C3">
        <w:t>,</w:t>
      </w:r>
      <w:r w:rsidR="005F0955" w:rsidRPr="00E568C3">
        <w:t xml:space="preserve"> </w:t>
      </w:r>
      <w:r w:rsidR="009F6A03" w:rsidRPr="00E568C3">
        <w:t xml:space="preserve">comprenaient </w:t>
      </w:r>
      <w:r w:rsidRPr="00E568C3">
        <w:t>les él</w:t>
      </w:r>
      <w:r w:rsidR="009F6A03" w:rsidRPr="00E568C3">
        <w:t>émen</w:t>
      </w:r>
      <w:r w:rsidRPr="00E568C3">
        <w:t>ts suivants </w:t>
      </w:r>
      <w:r w:rsidR="005F0955" w:rsidRPr="00E568C3">
        <w:t>:</w:t>
      </w:r>
    </w:p>
    <w:p w:rsidR="00F55AA9" w:rsidRDefault="00131E8F" w:rsidP="003145EF">
      <w:pPr>
        <w:pStyle w:val="ONUMFS"/>
        <w:numPr>
          <w:ilvl w:val="1"/>
          <w:numId w:val="2"/>
        </w:numPr>
      </w:pPr>
      <w:r w:rsidRPr="00E568C3">
        <w:t>Adoption d</w:t>
      </w:r>
      <w:r w:rsidR="00871730" w:rsidRPr="00E568C3">
        <w:t>’</w:t>
      </w:r>
      <w:r w:rsidRPr="00E568C3">
        <w:t>une p</w:t>
      </w:r>
      <w:r w:rsidR="005F0955" w:rsidRPr="00E568C3">
        <w:t>oli</w:t>
      </w:r>
      <w:r w:rsidR="004C0F9B" w:rsidRPr="00E568C3">
        <w:t xml:space="preserve">tique générale </w:t>
      </w:r>
      <w:r w:rsidRPr="00E568C3">
        <w:t>selon laquelle</w:t>
      </w:r>
      <w:r w:rsidR="004C0F9B" w:rsidRPr="00E568C3">
        <w:t xml:space="preserve"> l</w:t>
      </w:r>
      <w:r w:rsidR="009F6A03" w:rsidRPr="00E568C3">
        <w:t>es droits sur</w:t>
      </w:r>
      <w:r w:rsidR="004C0F9B" w:rsidRPr="00E568C3">
        <w:t xml:space="preserve"> la p</w:t>
      </w:r>
      <w:r w:rsidR="009F6A03" w:rsidRPr="00E568C3">
        <w:t>r</w:t>
      </w:r>
      <w:r w:rsidR="004C0F9B" w:rsidRPr="00E568C3">
        <w:t>o</w:t>
      </w:r>
      <w:r w:rsidR="009F6A03" w:rsidRPr="00E568C3">
        <w:t>priété</w:t>
      </w:r>
      <w:r w:rsidR="004C0F9B" w:rsidRPr="00E568C3">
        <w:t xml:space="preserve"> </w:t>
      </w:r>
      <w:r w:rsidR="005F0955" w:rsidRPr="00E568C3">
        <w:t>intellectu</w:t>
      </w:r>
      <w:r w:rsidR="004C0F9B" w:rsidRPr="00E568C3">
        <w:t>e</w:t>
      </w:r>
      <w:r w:rsidR="005F0955" w:rsidRPr="00E568C3">
        <w:t>l</w:t>
      </w:r>
      <w:r w:rsidR="004C0F9B" w:rsidRPr="00E568C3">
        <w:t xml:space="preserve">le dérivant de la recherche financée par les pouvoirs publics </w:t>
      </w:r>
      <w:r w:rsidRPr="00E568C3">
        <w:t>revien</w:t>
      </w:r>
      <w:r w:rsidR="009F6A03" w:rsidRPr="00E568C3">
        <w:t>nen</w:t>
      </w:r>
      <w:r w:rsidRPr="00E568C3">
        <w:t>t à</w:t>
      </w:r>
      <w:r w:rsidR="004C0F9B" w:rsidRPr="00E568C3">
        <w:t xml:space="preserve"> l</w:t>
      </w:r>
      <w:r w:rsidR="00871730" w:rsidRPr="00E568C3">
        <w:t>’</w:t>
      </w:r>
      <w:r w:rsidR="005F0955" w:rsidRPr="00E568C3">
        <w:t>universit</w:t>
      </w:r>
      <w:r w:rsidR="004C0F9B" w:rsidRPr="00E568C3">
        <w:t xml:space="preserve">é ou </w:t>
      </w:r>
      <w:r w:rsidRPr="00E568C3">
        <w:t xml:space="preserve">à </w:t>
      </w:r>
      <w:r w:rsidR="004C0F9B" w:rsidRPr="00E568C3">
        <w:t>l</w:t>
      </w:r>
      <w:r w:rsidR="00871730" w:rsidRPr="00E568C3">
        <w:t>’</w:t>
      </w:r>
      <w:r w:rsidR="00873F8D" w:rsidRPr="00E568C3">
        <w:t>institut</w:t>
      </w:r>
      <w:r w:rsidR="004C0F9B" w:rsidRPr="00E568C3">
        <w:t xml:space="preserve"> qui a généré cette </w:t>
      </w:r>
      <w:r w:rsidRPr="00E568C3">
        <w:t xml:space="preserve">propriété </w:t>
      </w:r>
      <w:r w:rsidR="005F0955" w:rsidRPr="00E568C3">
        <w:t>intellectu</w:t>
      </w:r>
      <w:r w:rsidRPr="00E568C3">
        <w:t>e</w:t>
      </w:r>
      <w:r w:rsidR="005F0955" w:rsidRPr="00E568C3">
        <w:t>l</w:t>
      </w:r>
      <w:r w:rsidRPr="00E568C3">
        <w:t>le</w:t>
      </w:r>
      <w:r w:rsidR="00443598" w:rsidRPr="00E568C3">
        <w:t>;</w:t>
      </w:r>
    </w:p>
    <w:p w:rsidR="00F55AA9" w:rsidRDefault="00131E8F" w:rsidP="003145EF">
      <w:pPr>
        <w:pStyle w:val="ONUMFS"/>
        <w:numPr>
          <w:ilvl w:val="1"/>
          <w:numId w:val="2"/>
        </w:numPr>
      </w:pPr>
      <w:r w:rsidRPr="00E568C3">
        <w:t>Modification de la loi sur les u</w:t>
      </w:r>
      <w:r w:rsidR="005F0955" w:rsidRPr="00E568C3">
        <w:t>niversit</w:t>
      </w:r>
      <w:r w:rsidRPr="00E568C3">
        <w:t>és de</w:t>
      </w:r>
      <w:r w:rsidR="009F6A03" w:rsidRPr="00E568C3">
        <w:t> </w:t>
      </w:r>
      <w:r w:rsidR="005F0955" w:rsidRPr="00E568C3">
        <w:t xml:space="preserve">1978 </w:t>
      </w:r>
      <w:r w:rsidRPr="00E568C3">
        <w:t xml:space="preserve">pour énoncer expressément que la </w:t>
      </w:r>
      <w:r w:rsidR="005F0955" w:rsidRPr="00E568C3">
        <w:t>rech</w:t>
      </w:r>
      <w:r w:rsidRPr="00E568C3">
        <w:t>erche et l</w:t>
      </w:r>
      <w:r w:rsidR="005F0955" w:rsidRPr="00E568C3">
        <w:t>a commerciali</w:t>
      </w:r>
      <w:r w:rsidRPr="00E568C3">
        <w:t>s</w:t>
      </w:r>
      <w:r w:rsidR="005F0955" w:rsidRPr="00E568C3">
        <w:t xml:space="preserve">ation </w:t>
      </w:r>
      <w:r w:rsidRPr="00E568C3">
        <w:t xml:space="preserve">font </w:t>
      </w:r>
      <w:r w:rsidR="005F0955" w:rsidRPr="00E568C3">
        <w:t>part</w:t>
      </w:r>
      <w:r w:rsidRPr="00E568C3">
        <w:t>ie intégrante de la</w:t>
      </w:r>
      <w:r w:rsidR="005F0955" w:rsidRPr="00E568C3">
        <w:t xml:space="preserve"> mission </w:t>
      </w:r>
      <w:r w:rsidRPr="00E568C3">
        <w:t>des</w:t>
      </w:r>
      <w:r w:rsidR="005F0955" w:rsidRPr="00E568C3">
        <w:t xml:space="preserve"> universit</w:t>
      </w:r>
      <w:r w:rsidRPr="00E568C3">
        <w:t>é</w:t>
      </w:r>
      <w:r w:rsidR="005F0955" w:rsidRPr="00E568C3">
        <w:t>s</w:t>
      </w:r>
      <w:r w:rsidR="00443598" w:rsidRPr="00E568C3">
        <w:t>;</w:t>
      </w:r>
    </w:p>
    <w:p w:rsidR="00F55AA9" w:rsidRDefault="00131E8F" w:rsidP="003145EF">
      <w:pPr>
        <w:pStyle w:val="ONUMFS"/>
        <w:numPr>
          <w:ilvl w:val="1"/>
          <w:numId w:val="2"/>
        </w:numPr>
      </w:pPr>
      <w:r w:rsidRPr="00E568C3">
        <w:t>Élaboration de lignes directrices traitant des</w:t>
      </w:r>
      <w:r w:rsidR="005F0955" w:rsidRPr="00E568C3">
        <w:t xml:space="preserve"> avantages </w:t>
      </w:r>
      <w:r w:rsidRPr="00E568C3">
        <w:t>et</w:t>
      </w:r>
      <w:r w:rsidR="005F0955" w:rsidRPr="00E568C3">
        <w:t xml:space="preserve"> </w:t>
      </w:r>
      <w:r w:rsidRPr="00E568C3">
        <w:t xml:space="preserve">inconvénients de certaines </w:t>
      </w:r>
      <w:r w:rsidR="002760D8" w:rsidRPr="00E568C3">
        <w:t>filières</w:t>
      </w:r>
      <w:r w:rsidR="005F0955" w:rsidRPr="00E568C3">
        <w:t xml:space="preserve"> commercial</w:t>
      </w:r>
      <w:r w:rsidR="002760D8" w:rsidRPr="00E568C3">
        <w:t>es</w:t>
      </w:r>
      <w:r w:rsidR="005F0955" w:rsidRPr="00E568C3">
        <w:t xml:space="preserve"> (</w:t>
      </w:r>
      <w:r w:rsidRPr="00E568C3">
        <w:t>exploit</w:t>
      </w:r>
      <w:r w:rsidR="005F0955" w:rsidRPr="00E568C3">
        <w:t xml:space="preserve">ation, </w:t>
      </w:r>
      <w:r w:rsidRPr="00E568C3">
        <w:t xml:space="preserve">concession de </w:t>
      </w:r>
      <w:r w:rsidR="005F0955" w:rsidRPr="00E568C3">
        <w:t>licen</w:t>
      </w:r>
      <w:r w:rsidRPr="00E568C3">
        <w:t>ce</w:t>
      </w:r>
      <w:r w:rsidR="005F0955" w:rsidRPr="00E568C3">
        <w:t xml:space="preserve">s </w:t>
      </w:r>
      <w:r w:rsidRPr="00E568C3">
        <w:t>et</w:t>
      </w:r>
      <w:r w:rsidR="005F0955" w:rsidRPr="00E568C3">
        <w:t xml:space="preserve"> </w:t>
      </w:r>
      <w:r w:rsidRPr="00E568C3">
        <w:t>ce</w:t>
      </w:r>
      <w:r w:rsidR="005F0955" w:rsidRPr="00E568C3">
        <w:t>ssi</w:t>
      </w:r>
      <w:r w:rsidRPr="00E568C3">
        <w:t>o</w:t>
      </w:r>
      <w:r w:rsidR="005F0955" w:rsidRPr="00E568C3">
        <w:t xml:space="preserve">n) </w:t>
      </w:r>
      <w:r w:rsidR="002760D8" w:rsidRPr="00E568C3">
        <w:t>pour l</w:t>
      </w:r>
      <w:r w:rsidR="00871730" w:rsidRPr="00E568C3">
        <w:t>’</w:t>
      </w:r>
      <w:r w:rsidR="002760D8" w:rsidRPr="00E568C3">
        <w:t>a</w:t>
      </w:r>
      <w:r w:rsidR="005F0955" w:rsidRPr="00E568C3">
        <w:t>i</w:t>
      </w:r>
      <w:r w:rsidR="009F6A03" w:rsidRPr="00E568C3">
        <w:t>d</w:t>
      </w:r>
      <w:r w:rsidR="005F0955" w:rsidRPr="00E568C3">
        <w:t xml:space="preserve">e </w:t>
      </w:r>
      <w:r w:rsidR="002760D8" w:rsidRPr="00E568C3">
        <w:t xml:space="preserve">aux </w:t>
      </w:r>
      <w:r w:rsidR="009F6A03" w:rsidRPr="00E568C3">
        <w:t>institut</w:t>
      </w:r>
      <w:r w:rsidR="002760D8" w:rsidRPr="00E568C3">
        <w:t xml:space="preserve">s de </w:t>
      </w:r>
      <w:r w:rsidR="00443598" w:rsidRPr="00E568C3">
        <w:t>rech</w:t>
      </w:r>
      <w:r w:rsidR="002760D8" w:rsidRPr="00E568C3">
        <w:t>erche</w:t>
      </w:r>
      <w:r w:rsidR="00443598" w:rsidRPr="00E568C3">
        <w:t>;</w:t>
      </w:r>
    </w:p>
    <w:p w:rsidR="00F55AA9" w:rsidRDefault="002760D8" w:rsidP="003145EF">
      <w:pPr>
        <w:pStyle w:val="ONUMFS"/>
        <w:numPr>
          <w:ilvl w:val="1"/>
          <w:numId w:val="2"/>
        </w:numPr>
      </w:pPr>
      <w:r w:rsidRPr="00E568C3">
        <w:t xml:space="preserve">Établissement de bureaux de gestion de la technologie dans les </w:t>
      </w:r>
      <w:r w:rsidR="005F0955" w:rsidRPr="00E568C3">
        <w:t>universit</w:t>
      </w:r>
      <w:r w:rsidRPr="00E568C3">
        <w:t>és et instituts de</w:t>
      </w:r>
      <w:r w:rsidR="005F0955" w:rsidRPr="00E568C3">
        <w:t xml:space="preserve"> </w:t>
      </w:r>
      <w:r w:rsidRPr="00E568C3">
        <w:t>recherche de plus grande taille, et d</w:t>
      </w:r>
      <w:r w:rsidR="00871730" w:rsidRPr="00E568C3">
        <w:t>’</w:t>
      </w:r>
      <w:r w:rsidRPr="00E568C3">
        <w:t xml:space="preserve">un seul bureau pour répondre aux besoins </w:t>
      </w:r>
      <w:r w:rsidR="005F0955" w:rsidRPr="00E568C3">
        <w:t>collecti</w:t>
      </w:r>
      <w:r w:rsidRPr="00E568C3">
        <w:t>fs</w:t>
      </w:r>
      <w:r w:rsidR="005F0955" w:rsidRPr="00E568C3">
        <w:t xml:space="preserve"> </w:t>
      </w:r>
      <w:r w:rsidRPr="00E568C3">
        <w:t xml:space="preserve">des </w:t>
      </w:r>
      <w:r w:rsidR="005F0955" w:rsidRPr="00E568C3">
        <w:t>universit</w:t>
      </w:r>
      <w:r w:rsidRPr="00E568C3">
        <w:t>és et instituts de recherche plus petit</w:t>
      </w:r>
      <w:r w:rsidR="009F6A03" w:rsidRPr="00E568C3">
        <w:t>s</w:t>
      </w:r>
      <w:r w:rsidR="00443598" w:rsidRPr="00E568C3">
        <w:t>;</w:t>
      </w:r>
    </w:p>
    <w:p w:rsidR="00F55AA9" w:rsidRDefault="00005133" w:rsidP="003145EF">
      <w:pPr>
        <w:pStyle w:val="ONUMFS"/>
        <w:numPr>
          <w:ilvl w:val="1"/>
          <w:numId w:val="2"/>
        </w:numPr>
      </w:pPr>
      <w:r w:rsidRPr="00E568C3">
        <w:t>C</w:t>
      </w:r>
      <w:r w:rsidR="002760D8" w:rsidRPr="00E568C3">
        <w:t>réation de nouvelles entreprises de technologie</w:t>
      </w:r>
      <w:r w:rsidRPr="00E568C3">
        <w:t xml:space="preserve"> facilitée par les universités</w:t>
      </w:r>
      <w:r w:rsidR="00443598" w:rsidRPr="00E568C3">
        <w:t xml:space="preserve">;  </w:t>
      </w:r>
      <w:r w:rsidR="002760D8" w:rsidRPr="00E568C3">
        <w:t>et</w:t>
      </w:r>
    </w:p>
    <w:p w:rsidR="00F55AA9" w:rsidRDefault="002760D8" w:rsidP="003145EF">
      <w:pPr>
        <w:pStyle w:val="ONUMFS"/>
        <w:numPr>
          <w:ilvl w:val="1"/>
          <w:numId w:val="2"/>
        </w:numPr>
      </w:pPr>
      <w:r w:rsidRPr="00E568C3">
        <w:t>Établissement de politiques de gestion de la propriété i</w:t>
      </w:r>
      <w:r w:rsidR="005F0955" w:rsidRPr="00E568C3">
        <w:t>ntellectu</w:t>
      </w:r>
      <w:r w:rsidRPr="00E568C3">
        <w:t>e</w:t>
      </w:r>
      <w:r w:rsidR="005F0955" w:rsidRPr="00E568C3">
        <w:t>l</w:t>
      </w:r>
      <w:r w:rsidRPr="00E568C3">
        <w:t>le dans les</w:t>
      </w:r>
      <w:r w:rsidR="005F0955" w:rsidRPr="00E568C3">
        <w:t xml:space="preserve"> universit</w:t>
      </w:r>
      <w:r w:rsidRPr="00E568C3">
        <w:t xml:space="preserve">és et les instituts de recherche </w:t>
      </w:r>
      <w:r w:rsidR="005F0955" w:rsidRPr="00E568C3">
        <w:t>public</w:t>
      </w:r>
      <w:r w:rsidRPr="00E568C3">
        <w:t>s</w:t>
      </w:r>
      <w:r w:rsidR="005F0955" w:rsidRPr="00E568C3">
        <w:t>.</w:t>
      </w:r>
    </w:p>
    <w:p w:rsidR="00F55AA9" w:rsidRDefault="00421572" w:rsidP="003145EF">
      <w:pPr>
        <w:pStyle w:val="ONUMFS"/>
      </w:pPr>
      <w:r w:rsidRPr="00E568C3">
        <w:t>De même</w:t>
      </w:r>
      <w:r w:rsidR="006E40E9" w:rsidRPr="00E568C3">
        <w:t>,</w:t>
      </w:r>
      <w:r w:rsidR="005F0955" w:rsidRPr="00E568C3">
        <w:t xml:space="preserve"> </w:t>
      </w:r>
      <w:r w:rsidRPr="00E568C3">
        <w:t xml:space="preserve">au </w:t>
      </w:r>
      <w:r w:rsidR="00005133" w:rsidRPr="00E568C3">
        <w:t>t</w:t>
      </w:r>
      <w:r w:rsidRPr="00E568C3">
        <w:t>itre des résultats escomptés de l</w:t>
      </w:r>
      <w:r w:rsidR="00871730" w:rsidRPr="00E568C3">
        <w:t>’</w:t>
      </w:r>
      <w:r w:rsidRPr="00E568C3">
        <w:t>intégration de la recherche dans les bases de données de brevets dans les pratiques de recherche de toutes les</w:t>
      </w:r>
      <w:r w:rsidR="005F0955" w:rsidRPr="00E568C3">
        <w:t xml:space="preserve"> universit</w:t>
      </w:r>
      <w:r w:rsidRPr="00E568C3">
        <w:t xml:space="preserve">és et de tous les instituts de </w:t>
      </w:r>
      <w:r w:rsidR="005F0955" w:rsidRPr="00E568C3">
        <w:t>rech</w:t>
      </w:r>
      <w:r w:rsidRPr="00E568C3">
        <w:t>erche,</w:t>
      </w:r>
      <w:r w:rsidR="005F0955" w:rsidRPr="00E568C3">
        <w:t xml:space="preserve"> </w:t>
      </w:r>
      <w:r w:rsidR="00005133" w:rsidRPr="00E568C3">
        <w:t>l</w:t>
      </w:r>
      <w:r w:rsidRPr="00E568C3">
        <w:t xml:space="preserve">es </w:t>
      </w:r>
      <w:r w:rsidR="00005133" w:rsidRPr="00E568C3">
        <w:t>r</w:t>
      </w:r>
      <w:r w:rsidRPr="00E568C3">
        <w:t>é</w:t>
      </w:r>
      <w:r w:rsidR="00005133" w:rsidRPr="00E568C3">
        <w:t>sultat</w:t>
      </w:r>
      <w:r w:rsidRPr="00E568C3">
        <w:t>s suivants</w:t>
      </w:r>
      <w:r w:rsidR="00005133" w:rsidRPr="00E568C3">
        <w:t xml:space="preserve"> étaient mentionnés</w:t>
      </w:r>
      <w:r w:rsidRPr="00E568C3">
        <w:t> </w:t>
      </w:r>
      <w:r w:rsidR="00653B4E" w:rsidRPr="00E568C3">
        <w:t>:</w:t>
      </w:r>
    </w:p>
    <w:p w:rsidR="00F55AA9" w:rsidRDefault="00421572" w:rsidP="003145EF">
      <w:pPr>
        <w:pStyle w:val="ONUMFS"/>
        <w:numPr>
          <w:ilvl w:val="1"/>
          <w:numId w:val="2"/>
        </w:numPr>
      </w:pPr>
      <w:r w:rsidRPr="00E568C3">
        <w:t xml:space="preserve">Les instituts de recherche </w:t>
      </w:r>
      <w:r w:rsidR="005F0955" w:rsidRPr="00E568C3">
        <w:t>adopt</w:t>
      </w:r>
      <w:r w:rsidRPr="00E568C3">
        <w:t>e</w:t>
      </w:r>
      <w:r w:rsidR="00005133" w:rsidRPr="00E568C3">
        <w:t>nt</w:t>
      </w:r>
      <w:r w:rsidR="005F0955" w:rsidRPr="00E568C3">
        <w:t xml:space="preserve"> </w:t>
      </w:r>
      <w:r w:rsidRPr="00E568C3">
        <w:t xml:space="preserve">un </w:t>
      </w:r>
      <w:r w:rsidR="005F0955" w:rsidRPr="00E568C3">
        <w:t>process</w:t>
      </w:r>
      <w:r w:rsidRPr="00E568C3">
        <w:t>us de recherche</w:t>
      </w:r>
      <w:r w:rsidR="005F0955" w:rsidRPr="00E568C3">
        <w:t xml:space="preserve"> </w:t>
      </w:r>
      <w:r w:rsidRPr="00E568C3">
        <w:t>de litté</w:t>
      </w:r>
      <w:r w:rsidR="005F0955" w:rsidRPr="00E568C3">
        <w:t xml:space="preserve">rature </w:t>
      </w:r>
      <w:r w:rsidRPr="00E568C3">
        <w:t xml:space="preserve">et de brevets dans la phase </w:t>
      </w:r>
      <w:r w:rsidR="005F0955" w:rsidRPr="00E568C3">
        <w:t>d</w:t>
      </w:r>
      <w:r w:rsidR="002E4176" w:rsidRPr="00E568C3">
        <w:t>e</w:t>
      </w:r>
      <w:r w:rsidR="005F0955" w:rsidRPr="00E568C3">
        <w:t xml:space="preserve"> p</w:t>
      </w:r>
      <w:r w:rsidR="002E4176" w:rsidRPr="00E568C3">
        <w:t>l</w:t>
      </w:r>
      <w:r w:rsidR="005F0955" w:rsidRPr="00E568C3">
        <w:t>an</w:t>
      </w:r>
      <w:r w:rsidR="002E4176" w:rsidRPr="00E568C3">
        <w:t xml:space="preserve">ification du </w:t>
      </w:r>
      <w:r w:rsidR="00CB7ADA" w:rsidRPr="00E568C3">
        <w:t xml:space="preserve">projet;  </w:t>
      </w:r>
      <w:r w:rsidR="002E4176" w:rsidRPr="00E568C3">
        <w:t>et</w:t>
      </w:r>
    </w:p>
    <w:p w:rsidR="00F55AA9" w:rsidRDefault="002E4176" w:rsidP="003145EF">
      <w:pPr>
        <w:pStyle w:val="ONUMFS"/>
        <w:numPr>
          <w:ilvl w:val="1"/>
          <w:numId w:val="2"/>
        </w:numPr>
      </w:pPr>
      <w:r w:rsidRPr="00E568C3">
        <w:t xml:space="preserve">Recensement des </w:t>
      </w:r>
      <w:r w:rsidR="005F0955" w:rsidRPr="00E568C3">
        <w:t>technolog</w:t>
      </w:r>
      <w:r w:rsidRPr="00E568C3">
        <w:t>ies brevetées dans d</w:t>
      </w:r>
      <w:r w:rsidR="00871730" w:rsidRPr="00E568C3">
        <w:t>’</w:t>
      </w:r>
      <w:r w:rsidRPr="00E568C3">
        <w:t>autres pa</w:t>
      </w:r>
      <w:r w:rsidR="005F0955" w:rsidRPr="00E568C3">
        <w:t xml:space="preserve">ys, </w:t>
      </w:r>
      <w:r w:rsidRPr="00E568C3">
        <w:t xml:space="preserve">mais pas </w:t>
      </w:r>
      <w:r w:rsidR="008A2E3E" w:rsidRPr="00E568C3">
        <w:t>à</w:t>
      </w:r>
      <w:r w:rsidR="005F0955" w:rsidRPr="00E568C3">
        <w:t xml:space="preserve"> Sri</w:t>
      </w:r>
      <w:r w:rsidRPr="00E568C3">
        <w:t> </w:t>
      </w:r>
      <w:r w:rsidR="005F0955" w:rsidRPr="00E568C3">
        <w:t xml:space="preserve">Lanka, </w:t>
      </w:r>
      <w:r w:rsidRPr="00E568C3">
        <w:t>qui peuvent être</w:t>
      </w:r>
      <w:r w:rsidR="005F0955" w:rsidRPr="00E568C3">
        <w:t xml:space="preserve"> adapt</w:t>
      </w:r>
      <w:r w:rsidRPr="00E568C3">
        <w:t>ées pour répondre aux besoins</w:t>
      </w:r>
      <w:r w:rsidR="00620983" w:rsidRPr="00E568C3">
        <w:t xml:space="preserve"> </w:t>
      </w:r>
      <w:r w:rsidRPr="00E568C3">
        <w:t>et aux</w:t>
      </w:r>
      <w:r w:rsidR="00620983" w:rsidRPr="00E568C3">
        <w:t xml:space="preserve"> conditions </w:t>
      </w:r>
      <w:r w:rsidRPr="00E568C3">
        <w:t xml:space="preserve">en vigueur </w:t>
      </w:r>
      <w:r w:rsidR="008A2E3E" w:rsidRPr="00E568C3">
        <w:t>à</w:t>
      </w:r>
      <w:r w:rsidR="00620983" w:rsidRPr="00E568C3">
        <w:t xml:space="preserve"> Sri</w:t>
      </w:r>
      <w:r w:rsidRPr="00E568C3">
        <w:t> </w:t>
      </w:r>
      <w:r w:rsidR="00620983" w:rsidRPr="00E568C3">
        <w:t>Lanka.</w:t>
      </w:r>
    </w:p>
    <w:p w:rsidR="00F55AA9" w:rsidRDefault="002E4176" w:rsidP="003145EF">
      <w:pPr>
        <w:pStyle w:val="ONUMFS"/>
      </w:pPr>
      <w:r w:rsidRPr="00E568C3">
        <w:t>Des</w:t>
      </w:r>
      <w:r w:rsidR="005F0955" w:rsidRPr="00E568C3">
        <w:t xml:space="preserve"> recomm</w:t>
      </w:r>
      <w:r w:rsidRPr="00E568C3">
        <w:t>a</w:t>
      </w:r>
      <w:r w:rsidR="005F0955" w:rsidRPr="00E568C3">
        <w:t xml:space="preserve">ndations </w:t>
      </w:r>
      <w:r w:rsidRPr="00E568C3">
        <w:t>similaires répondant p</w:t>
      </w:r>
      <w:r w:rsidR="00005133" w:rsidRPr="00E568C3">
        <w:t>r</w:t>
      </w:r>
      <w:r w:rsidRPr="00E568C3">
        <w:t>éci</w:t>
      </w:r>
      <w:r w:rsidR="00005133" w:rsidRPr="00E568C3">
        <w:t>sé</w:t>
      </w:r>
      <w:r w:rsidRPr="00E568C3">
        <w:t xml:space="preserve">ment aux besoins du pays ont été formulées </w:t>
      </w:r>
      <w:r w:rsidR="00871730" w:rsidRPr="00E568C3">
        <w:t>à l’égard</w:t>
      </w:r>
      <w:r w:rsidRPr="00E568C3">
        <w:t xml:space="preserve"> des autres pays</w:t>
      </w:r>
      <w:r w:rsidR="00005133" w:rsidRPr="00E568C3">
        <w:t xml:space="preserve"> </w:t>
      </w:r>
      <w:r w:rsidRPr="00E568C3">
        <w:t>bénéfici</w:t>
      </w:r>
      <w:r w:rsidR="00005133" w:rsidRPr="00E568C3">
        <w:t>ant</w:t>
      </w:r>
      <w:r w:rsidRPr="00E568C3">
        <w:t xml:space="preserve"> de ces</w:t>
      </w:r>
      <w:r w:rsidR="005F0955" w:rsidRPr="00E568C3">
        <w:t xml:space="preserve"> proje</w:t>
      </w:r>
      <w:r w:rsidR="006A3508" w:rsidRPr="00E568C3">
        <w:t>ts.  Ce</w:t>
      </w:r>
      <w:r w:rsidRPr="00E568C3">
        <w:t>rtains de ces</w:t>
      </w:r>
      <w:r w:rsidR="005F0955" w:rsidRPr="00E568C3">
        <w:t xml:space="preserve"> r</w:t>
      </w:r>
      <w:r w:rsidRPr="00E568C3">
        <w:t>ap</w:t>
      </w:r>
      <w:r w:rsidR="005F0955" w:rsidRPr="00E568C3">
        <w:t xml:space="preserve">ports </w:t>
      </w:r>
      <w:r w:rsidRPr="00E568C3">
        <w:t>peuvent être consultés à l</w:t>
      </w:r>
      <w:r w:rsidR="00871730" w:rsidRPr="00E568C3">
        <w:t>’</w:t>
      </w:r>
      <w:r w:rsidRPr="00E568C3">
        <w:t>adresse :</w:t>
      </w:r>
      <w:r w:rsidR="005F0955" w:rsidRPr="00E568C3">
        <w:t xml:space="preserve"> </w:t>
      </w:r>
      <w:hyperlink r:id="rId12" w:history="1">
        <w:r w:rsidR="00005133" w:rsidRPr="00E568C3">
          <w:rPr>
            <w:rStyle w:val="Hyperlink"/>
            <w:color w:val="auto"/>
            <w:szCs w:val="22"/>
          </w:rPr>
          <w:t>http://www.wipo.int/ipstrategies/fr/</w:t>
        </w:r>
      </w:hyperlink>
      <w:r w:rsidR="00076566" w:rsidRPr="00E568C3">
        <w:rPr>
          <w:rStyle w:val="Hyperlink"/>
          <w:color w:val="auto"/>
          <w:szCs w:val="22"/>
          <w:u w:val="none"/>
        </w:rPr>
        <w:t>.</w:t>
      </w:r>
    </w:p>
    <w:p w:rsidR="00F55AA9" w:rsidRDefault="00A727B5" w:rsidP="002E4176">
      <w:pPr>
        <w:pStyle w:val="ONUMFS"/>
      </w:pPr>
      <w:r w:rsidRPr="00E568C3">
        <w:rPr>
          <w:bCs/>
          <w:i/>
          <w:iCs/>
        </w:rPr>
        <w:t>P</w:t>
      </w:r>
      <w:r w:rsidR="002E4176" w:rsidRPr="00E568C3">
        <w:rPr>
          <w:bCs/>
          <w:i/>
          <w:iCs/>
        </w:rPr>
        <w:t>olitiques institutionnelles en matière de propriété intellectuelle</w:t>
      </w:r>
      <w:r w:rsidR="000510AB" w:rsidRPr="00E568C3">
        <w:t xml:space="preserve"> – </w:t>
      </w:r>
      <w:r w:rsidR="002E4176" w:rsidRPr="00E568C3">
        <w:t>L</w:t>
      </w:r>
      <w:r w:rsidR="00A518AF" w:rsidRPr="00E568C3">
        <w:t>e</w:t>
      </w:r>
      <w:r w:rsidR="002E4176" w:rsidRPr="00E568C3">
        <w:t>s</w:t>
      </w:r>
      <w:r w:rsidR="00A518AF" w:rsidRPr="00E568C3">
        <w:t xml:space="preserve"> activit</w:t>
      </w:r>
      <w:r w:rsidR="002E4176" w:rsidRPr="00E568C3">
        <w:t>és relatives à l</w:t>
      </w:r>
      <w:r w:rsidR="00871730" w:rsidRPr="00E568C3">
        <w:t>’</w:t>
      </w:r>
      <w:r w:rsidR="002E4176" w:rsidRPr="00E568C3">
        <w:t>élaboration de politiques i</w:t>
      </w:r>
      <w:r w:rsidR="00A518AF" w:rsidRPr="00E568C3">
        <w:t>nstitution</w:t>
      </w:r>
      <w:r w:rsidR="002E4176" w:rsidRPr="00E568C3">
        <w:t>nelles en matière de propriété intellectuelle pour les u</w:t>
      </w:r>
      <w:r w:rsidR="00A518AF" w:rsidRPr="00E568C3">
        <w:t>niversit</w:t>
      </w:r>
      <w:r w:rsidR="002E4176" w:rsidRPr="00E568C3">
        <w:t>és mettaient en avant le rôle i</w:t>
      </w:r>
      <w:r w:rsidR="00A518AF" w:rsidRPr="00E568C3">
        <w:t xml:space="preserve">mportant </w:t>
      </w:r>
      <w:r w:rsidR="005A3F22" w:rsidRPr="00E568C3">
        <w:t>du</w:t>
      </w:r>
      <w:r w:rsidR="002E4176" w:rsidRPr="00E568C3">
        <w:t xml:space="preserve"> transfert de</w:t>
      </w:r>
      <w:r w:rsidR="00A518AF" w:rsidRPr="00E568C3">
        <w:t xml:space="preserve"> technolog</w:t>
      </w:r>
      <w:r w:rsidR="002E4176" w:rsidRPr="00E568C3">
        <w:t xml:space="preserve">ie et </w:t>
      </w:r>
      <w:r w:rsidR="005A3F22" w:rsidRPr="00E568C3">
        <w:t xml:space="preserve">de </w:t>
      </w:r>
      <w:r w:rsidR="002E4176" w:rsidRPr="00E568C3">
        <w:t>la dif</w:t>
      </w:r>
      <w:r w:rsidR="005A3F22" w:rsidRPr="00E568C3">
        <w:t>f</w:t>
      </w:r>
      <w:r w:rsidR="002E4176" w:rsidRPr="00E568C3">
        <w:t>usion des résultats de la recherc</w:t>
      </w:r>
      <w:r w:rsidR="005A3F22" w:rsidRPr="00E568C3">
        <w:t>h</w:t>
      </w:r>
      <w:r w:rsidR="002E4176" w:rsidRPr="00E568C3">
        <w:t xml:space="preserve">e au </w:t>
      </w:r>
      <w:r w:rsidR="005A3F22" w:rsidRPr="00E568C3">
        <w:t>profit</w:t>
      </w:r>
      <w:r w:rsidR="002E4176" w:rsidRPr="00E568C3">
        <w:t xml:space="preserve"> de la socié</w:t>
      </w:r>
      <w:r w:rsidR="006A3508" w:rsidRPr="00E568C3">
        <w:t>té.  Le</w:t>
      </w:r>
      <w:r w:rsidR="005A3F22" w:rsidRPr="00E568C3">
        <w:t xml:space="preserve"> but est de créer une sécurité juridique qui </w:t>
      </w:r>
      <w:r w:rsidR="00125C85" w:rsidRPr="00E568C3">
        <w:t>favoris</w:t>
      </w:r>
      <w:r w:rsidR="005A3F22" w:rsidRPr="00E568C3">
        <w:t>e la recherche scientifique et une relation de travail harmonieuse entre l</w:t>
      </w:r>
      <w:r w:rsidR="00871730" w:rsidRPr="00E568C3">
        <w:t>’</w:t>
      </w:r>
      <w:r w:rsidR="005A3F22" w:rsidRPr="00E568C3">
        <w:t>industrie et le milieu universitai</w:t>
      </w:r>
      <w:r w:rsidR="006A3508" w:rsidRPr="00E568C3">
        <w:t>re.  La</w:t>
      </w:r>
      <w:r w:rsidR="005A3F22" w:rsidRPr="00E568C3">
        <w:t xml:space="preserve"> tâche de l</w:t>
      </w:r>
      <w:r w:rsidR="00871730" w:rsidRPr="00E568C3">
        <w:t>’</w:t>
      </w:r>
      <w:r w:rsidR="005A3F22" w:rsidRPr="00E568C3">
        <w:t xml:space="preserve">OMPI consiste à </w:t>
      </w:r>
      <w:r w:rsidR="00125C85" w:rsidRPr="00E568C3">
        <w:t>établir</w:t>
      </w:r>
      <w:r w:rsidR="005A3F22" w:rsidRPr="00E568C3">
        <w:t xml:space="preserve"> le cadre dans lequel un</w:t>
      </w:r>
      <w:r w:rsidR="00A518AF" w:rsidRPr="00E568C3">
        <w:t xml:space="preserve"> </w:t>
      </w:r>
      <w:r w:rsidR="00125C85" w:rsidRPr="00E568C3">
        <w:t>établissement</w:t>
      </w:r>
      <w:r w:rsidR="00A518AF" w:rsidRPr="00E568C3">
        <w:t xml:space="preserve"> </w:t>
      </w:r>
      <w:r w:rsidR="005A3F22" w:rsidRPr="00E568C3">
        <w:t xml:space="preserve">pourra </w:t>
      </w:r>
      <w:r w:rsidR="00125C85" w:rsidRPr="00E568C3">
        <w:t>traiter des questions de titularité e</w:t>
      </w:r>
      <w:r w:rsidR="005A3F22" w:rsidRPr="00E568C3">
        <w:t xml:space="preserve">t de gestion de sa propriété intellectuelle tout en assurant un partage équitable des avantages, </w:t>
      </w:r>
      <w:r w:rsidR="00125C85" w:rsidRPr="00E568C3">
        <w:t xml:space="preserve">notamment en </w:t>
      </w:r>
      <w:r w:rsidR="005A3F22" w:rsidRPr="00E568C3">
        <w:t>diffus</w:t>
      </w:r>
      <w:r w:rsidR="00125C85" w:rsidRPr="00E568C3">
        <w:t>ant</w:t>
      </w:r>
      <w:r w:rsidR="005A3F22" w:rsidRPr="00E568C3">
        <w:t xml:space="preserve"> l</w:t>
      </w:r>
      <w:r w:rsidR="00125C85" w:rsidRPr="00E568C3">
        <w:t>e</w:t>
      </w:r>
      <w:r w:rsidR="005A3F22" w:rsidRPr="00E568C3">
        <w:t xml:space="preserve"> plus large</w:t>
      </w:r>
      <w:r w:rsidR="00125C85" w:rsidRPr="00E568C3">
        <w:t>ment</w:t>
      </w:r>
      <w:r w:rsidR="005A3F22" w:rsidRPr="00E568C3">
        <w:t xml:space="preserve"> possible </w:t>
      </w:r>
      <w:r w:rsidR="00125C85" w:rsidRPr="00E568C3">
        <w:t>l</w:t>
      </w:r>
      <w:r w:rsidR="005A3F22" w:rsidRPr="00E568C3">
        <w:t>es résultats de la recherc</w:t>
      </w:r>
      <w:r w:rsidR="006A3508" w:rsidRPr="00E568C3">
        <w:t>he.  L’o</w:t>
      </w:r>
      <w:r w:rsidR="005A3F22" w:rsidRPr="00E568C3">
        <w:t xml:space="preserve">bjectif global était de renforcer la capacité des </w:t>
      </w:r>
      <w:r w:rsidR="00A518AF" w:rsidRPr="00E568C3">
        <w:t>universit</w:t>
      </w:r>
      <w:r w:rsidR="005A3F22" w:rsidRPr="00E568C3">
        <w:t>és et des i</w:t>
      </w:r>
      <w:r w:rsidR="00873F8D" w:rsidRPr="00E568C3">
        <w:t>n</w:t>
      </w:r>
      <w:r w:rsidR="005A3F22" w:rsidRPr="00E568C3">
        <w:t>s</w:t>
      </w:r>
      <w:r w:rsidR="00873F8D" w:rsidRPr="00E568C3">
        <w:t>titu</w:t>
      </w:r>
      <w:r w:rsidR="005A3F22" w:rsidRPr="00E568C3">
        <w:t>ts de recherch</w:t>
      </w:r>
      <w:r w:rsidR="00A518AF" w:rsidRPr="00E568C3">
        <w:t xml:space="preserve">e </w:t>
      </w:r>
      <w:r w:rsidR="005A3F22" w:rsidRPr="00E568C3">
        <w:t>à exploiter pleinement le système de la propriété intellectuelle</w:t>
      </w:r>
      <w:r w:rsidR="00A518AF" w:rsidRPr="00E568C3">
        <w:t>.</w:t>
      </w:r>
    </w:p>
    <w:p w:rsidR="00F55AA9" w:rsidRDefault="005A3F22" w:rsidP="003145EF">
      <w:pPr>
        <w:pStyle w:val="ONUMFS"/>
      </w:pPr>
      <w:r w:rsidRPr="00E568C3">
        <w:t xml:space="preserve">Dans </w:t>
      </w:r>
      <w:r w:rsidR="00125C85" w:rsidRPr="00E568C3">
        <w:t xml:space="preserve">le cadre de </w:t>
      </w:r>
      <w:r w:rsidRPr="00E568C3">
        <w:t xml:space="preserve">son appui aux </w:t>
      </w:r>
      <w:r w:rsidR="005547DB" w:rsidRPr="00E568C3">
        <w:t>universit</w:t>
      </w:r>
      <w:r w:rsidR="00873F8D" w:rsidRPr="00E568C3">
        <w:t xml:space="preserve">és et aux </w:t>
      </w:r>
      <w:r w:rsidRPr="00E568C3">
        <w:t>i</w:t>
      </w:r>
      <w:r w:rsidR="00873F8D" w:rsidRPr="00E568C3">
        <w:t>n</w:t>
      </w:r>
      <w:r w:rsidRPr="00E568C3">
        <w:t>s</w:t>
      </w:r>
      <w:r w:rsidR="00873F8D" w:rsidRPr="00E568C3">
        <w:t>titu</w:t>
      </w:r>
      <w:r w:rsidRPr="00E568C3">
        <w:t>ts de</w:t>
      </w:r>
      <w:r w:rsidR="005547DB" w:rsidRPr="00E568C3">
        <w:t xml:space="preserve"> </w:t>
      </w:r>
      <w:r w:rsidR="00125C85" w:rsidRPr="00E568C3">
        <w:t>recherche</w:t>
      </w:r>
      <w:r w:rsidR="006A3508" w:rsidRPr="00E568C3">
        <w:noBreakHyphen/>
      </w:r>
      <w:r w:rsidR="00125C85" w:rsidRPr="00E568C3">
        <w:t>développement</w:t>
      </w:r>
      <w:r w:rsidR="005547DB" w:rsidRPr="00E568C3">
        <w:t xml:space="preserve"> </w:t>
      </w:r>
      <w:r w:rsidRPr="00E568C3">
        <w:t>pour l</w:t>
      </w:r>
      <w:r w:rsidR="00871730" w:rsidRPr="00E568C3">
        <w:t>’</w:t>
      </w:r>
      <w:r w:rsidRPr="00E568C3">
        <w:t>élabor</w:t>
      </w:r>
      <w:r w:rsidR="00125C85" w:rsidRPr="00E568C3">
        <w:t>a</w:t>
      </w:r>
      <w:r w:rsidRPr="00E568C3">
        <w:t>t</w:t>
      </w:r>
      <w:r w:rsidR="00125C85" w:rsidRPr="00E568C3">
        <w:t>ion d</w:t>
      </w:r>
      <w:r w:rsidRPr="00E568C3">
        <w:t xml:space="preserve">e politiques institutionnelles </w:t>
      </w:r>
      <w:r w:rsidR="005547DB" w:rsidRPr="00E568C3">
        <w:t>appropri</w:t>
      </w:r>
      <w:r w:rsidRPr="00E568C3">
        <w:t>ées en matière de propriété intellectuelle</w:t>
      </w:r>
      <w:r w:rsidR="005547DB" w:rsidRPr="00E568C3">
        <w:t xml:space="preserve">, </w:t>
      </w:r>
      <w:r w:rsidRPr="00E568C3">
        <w:t>l</w:t>
      </w:r>
      <w:r w:rsidR="00871730" w:rsidRPr="00E568C3">
        <w:t>’</w:t>
      </w:r>
      <w:r w:rsidRPr="00E568C3">
        <w:t xml:space="preserve">OMPI a </w:t>
      </w:r>
      <w:r w:rsidR="00125C85" w:rsidRPr="00E568C3">
        <w:t xml:space="preserve">également </w:t>
      </w:r>
      <w:r w:rsidRPr="00E568C3">
        <w:t xml:space="preserve">mené plusieurs </w:t>
      </w:r>
      <w:r w:rsidR="005547DB" w:rsidRPr="00E568C3">
        <w:t>activit</w:t>
      </w:r>
      <w:r w:rsidRPr="00E568C3">
        <w:t xml:space="preserve">és </w:t>
      </w:r>
      <w:r w:rsidR="00125C85" w:rsidRPr="00E568C3">
        <w:t>s</w:t>
      </w:r>
      <w:r w:rsidR="00871730" w:rsidRPr="00E568C3">
        <w:t>’</w:t>
      </w:r>
      <w:r w:rsidR="00125C85" w:rsidRPr="00E568C3">
        <w:t>inscrivant</w:t>
      </w:r>
      <w:r w:rsidRPr="00E568C3">
        <w:t xml:space="preserve"> </w:t>
      </w:r>
      <w:r w:rsidR="00125C85" w:rsidRPr="00E568C3">
        <w:t xml:space="preserve">dans </w:t>
      </w:r>
      <w:r w:rsidRPr="00E568C3">
        <w:t>de</w:t>
      </w:r>
      <w:r w:rsidR="00125C85" w:rsidRPr="00E568C3">
        <w:t>s</w:t>
      </w:r>
      <w:r w:rsidRPr="00E568C3">
        <w:t xml:space="preserve"> projets plus vastes</w:t>
      </w:r>
      <w:r w:rsidR="005547DB" w:rsidRPr="00E568C3">
        <w:t xml:space="preserve">, </w:t>
      </w:r>
      <w:r w:rsidRPr="00E568C3">
        <w:t>comme la</w:t>
      </w:r>
      <w:r w:rsidR="005547DB" w:rsidRPr="00E568C3">
        <w:t xml:space="preserve"> </w:t>
      </w:r>
      <w:r w:rsidR="006E40E9" w:rsidRPr="00E568C3">
        <w:t>“</w:t>
      </w:r>
      <w:r w:rsidR="004D6179" w:rsidRPr="00E568C3">
        <w:t>création de</w:t>
      </w:r>
      <w:r w:rsidR="002C1392" w:rsidRPr="00E568C3">
        <w:t xml:space="preserve"> </w:t>
      </w:r>
      <w:r w:rsidR="004D6179" w:rsidRPr="00E568C3">
        <w:t xml:space="preserve">bureaux de transfert de technologie en </w:t>
      </w:r>
      <w:r w:rsidR="002C1392" w:rsidRPr="00E568C3">
        <w:t>Tunisi</w:t>
      </w:r>
      <w:r w:rsidR="004D6179" w:rsidRPr="00E568C3">
        <w:t>e</w:t>
      </w:r>
      <w:r w:rsidR="006E40E9" w:rsidRPr="00E568C3">
        <w:t>”</w:t>
      </w:r>
      <w:r w:rsidR="002C1392" w:rsidRPr="00E568C3">
        <w:t xml:space="preserve">. </w:t>
      </w:r>
      <w:r w:rsidR="00076566" w:rsidRPr="00E568C3">
        <w:t xml:space="preserve"> </w:t>
      </w:r>
      <w:r w:rsidR="004D6179" w:rsidRPr="00E568C3">
        <w:t>Dans le cadre de ce</w:t>
      </w:r>
      <w:r w:rsidR="002C1392" w:rsidRPr="00E568C3">
        <w:t xml:space="preserve"> projet, </w:t>
      </w:r>
      <w:r w:rsidR="004D6179" w:rsidRPr="00E568C3">
        <w:t>l</w:t>
      </w:r>
      <w:r w:rsidR="00871730" w:rsidRPr="00E568C3">
        <w:t>’</w:t>
      </w:r>
      <w:r w:rsidR="004D6179" w:rsidRPr="00E568C3">
        <w:t>OMPI a dispensé une formation sur les politiques i</w:t>
      </w:r>
      <w:r w:rsidR="005547DB" w:rsidRPr="00E568C3">
        <w:t>nstitution</w:t>
      </w:r>
      <w:r w:rsidR="004D6179" w:rsidRPr="00E568C3">
        <w:t>nelles en matière de propriété intellectuelle</w:t>
      </w:r>
      <w:r w:rsidR="005547DB" w:rsidRPr="00E568C3">
        <w:t xml:space="preserve"> </w:t>
      </w:r>
      <w:r w:rsidR="004D6179" w:rsidRPr="00E568C3">
        <w:t>(</w:t>
      </w:r>
      <w:r w:rsidR="002C1392" w:rsidRPr="00E568C3">
        <w:t>Tunisi</w:t>
      </w:r>
      <w:r w:rsidR="004D6179" w:rsidRPr="00E568C3">
        <w:t>e</w:t>
      </w:r>
      <w:r w:rsidR="002C1392" w:rsidRPr="00E568C3">
        <w:t xml:space="preserve">, </w:t>
      </w:r>
      <w:r w:rsidR="004D6179" w:rsidRPr="00E568C3">
        <w:t>av</w:t>
      </w:r>
      <w:r w:rsidR="002C1392" w:rsidRPr="00E568C3">
        <w:t>ril</w:t>
      </w:r>
      <w:r w:rsidR="004D6179" w:rsidRPr="00E568C3">
        <w:t> </w:t>
      </w:r>
      <w:r w:rsidR="002C1392" w:rsidRPr="00E568C3">
        <w:t>2015),</w:t>
      </w:r>
      <w:r w:rsidR="005547DB" w:rsidRPr="00E568C3">
        <w:t xml:space="preserve"> </w:t>
      </w:r>
      <w:r w:rsidR="004D6179" w:rsidRPr="00E568C3">
        <w:t xml:space="preserve">suivie de trois conférences </w:t>
      </w:r>
      <w:r w:rsidR="00317308" w:rsidRPr="00E568C3">
        <w:t>vid</w:t>
      </w:r>
      <w:r w:rsidR="004D6179" w:rsidRPr="00E568C3">
        <w:t>é</w:t>
      </w:r>
      <w:r w:rsidR="00317308" w:rsidRPr="00E568C3">
        <w:t>o</w:t>
      </w:r>
      <w:r w:rsidR="004D6179" w:rsidRPr="00E568C3">
        <w:t>s,</w:t>
      </w:r>
      <w:r w:rsidR="00317308" w:rsidRPr="00E568C3">
        <w:t xml:space="preserve"> </w:t>
      </w:r>
      <w:r w:rsidR="004D6179" w:rsidRPr="00E568C3">
        <w:t xml:space="preserve">et a </w:t>
      </w:r>
      <w:r w:rsidR="00801F62" w:rsidRPr="00E568C3">
        <w:t>obtenu</w:t>
      </w:r>
      <w:r w:rsidR="004D6179" w:rsidRPr="00E568C3">
        <w:t xml:space="preserve"> l</w:t>
      </w:r>
      <w:r w:rsidR="00871730" w:rsidRPr="00E568C3">
        <w:t>’</w:t>
      </w:r>
      <w:r w:rsidR="005547DB" w:rsidRPr="00E568C3">
        <w:t>appro</w:t>
      </w:r>
      <w:r w:rsidR="004D6179" w:rsidRPr="00E568C3">
        <w:t>b</w:t>
      </w:r>
      <w:r w:rsidR="005547DB" w:rsidRPr="00E568C3">
        <w:t>a</w:t>
      </w:r>
      <w:r w:rsidR="004D6179" w:rsidRPr="00E568C3">
        <w:t>tion de politiques i</w:t>
      </w:r>
      <w:r w:rsidR="005547DB" w:rsidRPr="00E568C3">
        <w:t>nstitution</w:t>
      </w:r>
      <w:r w:rsidR="004D6179" w:rsidRPr="00E568C3">
        <w:t xml:space="preserve">nelles en matière de propriété intellectuelle dans </w:t>
      </w:r>
      <w:r w:rsidR="004D6179" w:rsidRPr="00E568C3">
        <w:lastRenderedPageBreak/>
        <w:t>quatre établissement</w:t>
      </w:r>
      <w:r w:rsidR="002C1392" w:rsidRPr="00E568C3">
        <w:t>s</w:t>
      </w:r>
      <w:r w:rsidR="004D6179" w:rsidRPr="00E568C3">
        <w:t> </w:t>
      </w:r>
      <w:r w:rsidR="002C1392" w:rsidRPr="00E568C3">
        <w:t xml:space="preserve">: </w:t>
      </w:r>
      <w:r w:rsidR="004D6179" w:rsidRPr="00E568C3">
        <w:t>l</w:t>
      </w:r>
      <w:r w:rsidR="002C1392" w:rsidRPr="00E568C3">
        <w:t>e</w:t>
      </w:r>
      <w:r w:rsidR="005547DB" w:rsidRPr="00E568C3">
        <w:t xml:space="preserve"> </w:t>
      </w:r>
      <w:r w:rsidR="006E40E9" w:rsidRPr="00E568C3">
        <w:t>“</w:t>
      </w:r>
      <w:r w:rsidR="004D6179" w:rsidRPr="00E568C3">
        <w:t>C</w:t>
      </w:r>
      <w:r w:rsidR="005547DB" w:rsidRPr="00E568C3">
        <w:rPr>
          <w:i/>
          <w:iCs/>
        </w:rPr>
        <w:t>entre technique de la chimie</w:t>
      </w:r>
      <w:r w:rsidR="006E40E9" w:rsidRPr="00E568C3">
        <w:t>”</w:t>
      </w:r>
      <w:r w:rsidR="005547DB" w:rsidRPr="00E568C3">
        <w:t>;</w:t>
      </w:r>
      <w:r w:rsidR="002C1392" w:rsidRPr="00E568C3">
        <w:t xml:space="preserve"> </w:t>
      </w:r>
      <w:r w:rsidR="00317308" w:rsidRPr="00E568C3">
        <w:t xml:space="preserve"> </w:t>
      </w:r>
      <w:r w:rsidR="004D6179" w:rsidRPr="00E568C3">
        <w:t>l</w:t>
      </w:r>
      <w:r w:rsidR="002C1392" w:rsidRPr="00E568C3">
        <w:t xml:space="preserve">e </w:t>
      </w:r>
      <w:r w:rsidR="006E40E9" w:rsidRPr="00E568C3">
        <w:t>Techno</w:t>
      </w:r>
      <w:r w:rsidR="006A3508" w:rsidRPr="00E568C3">
        <w:noBreakHyphen/>
      </w:r>
      <w:r w:rsidR="006E40E9" w:rsidRPr="00E568C3">
        <w:t xml:space="preserve">Park “El </w:t>
      </w:r>
      <w:proofErr w:type="spellStart"/>
      <w:r w:rsidR="006E40E9" w:rsidRPr="00E568C3">
        <w:t>Gazala</w:t>
      </w:r>
      <w:proofErr w:type="spellEnd"/>
      <w:r w:rsidR="006E40E9" w:rsidRPr="00E568C3">
        <w:t>”</w:t>
      </w:r>
      <w:r w:rsidR="005547DB" w:rsidRPr="00E568C3">
        <w:t xml:space="preserve"> (</w:t>
      </w:r>
      <w:r w:rsidR="004D6179" w:rsidRPr="00E568C3">
        <w:t xml:space="preserve">consacré aux </w:t>
      </w:r>
      <w:r w:rsidR="005547DB" w:rsidRPr="00E568C3">
        <w:t>technologies</w:t>
      </w:r>
      <w:r w:rsidR="004D6179" w:rsidRPr="00E568C3">
        <w:t xml:space="preserve"> informatiques</w:t>
      </w:r>
      <w:r w:rsidR="005547DB" w:rsidRPr="00E568C3">
        <w:t>);</w:t>
      </w:r>
      <w:r w:rsidR="00317308" w:rsidRPr="00E568C3">
        <w:t xml:space="preserve">  </w:t>
      </w:r>
      <w:r w:rsidR="004D6179" w:rsidRPr="00E568C3">
        <w:t>l</w:t>
      </w:r>
      <w:r w:rsidR="002C1392" w:rsidRPr="00E568C3">
        <w:t xml:space="preserve">e </w:t>
      </w:r>
      <w:r w:rsidR="006E40E9" w:rsidRPr="00E568C3">
        <w:t>Techno</w:t>
      </w:r>
      <w:r w:rsidR="006A3508" w:rsidRPr="00E568C3">
        <w:noBreakHyphen/>
      </w:r>
      <w:r w:rsidR="006E40E9" w:rsidRPr="00E568C3">
        <w:t>Park “</w:t>
      </w:r>
      <w:r w:rsidR="005547DB" w:rsidRPr="00E568C3">
        <w:t xml:space="preserve">Sidi </w:t>
      </w:r>
      <w:proofErr w:type="spellStart"/>
      <w:r w:rsidR="005547DB" w:rsidRPr="00E568C3">
        <w:t>T</w:t>
      </w:r>
      <w:r w:rsidR="006E40E9" w:rsidRPr="00E568C3">
        <w:t>habet</w:t>
      </w:r>
      <w:proofErr w:type="spellEnd"/>
      <w:r w:rsidR="006E40E9" w:rsidRPr="00E568C3">
        <w:t>”</w:t>
      </w:r>
      <w:r w:rsidR="002C1392" w:rsidRPr="00E568C3">
        <w:t xml:space="preserve"> (</w:t>
      </w:r>
      <w:r w:rsidR="004D6179" w:rsidRPr="00E568C3">
        <w:t xml:space="preserve">centre de </w:t>
      </w:r>
      <w:r w:rsidR="002C1392" w:rsidRPr="00E568C3">
        <w:t>biotechnolog</w:t>
      </w:r>
      <w:r w:rsidR="004D6179" w:rsidRPr="00E568C3">
        <w:t>i</w:t>
      </w:r>
      <w:r w:rsidR="002C1392" w:rsidRPr="00E568C3">
        <w:t>e)</w:t>
      </w:r>
      <w:r w:rsidR="00317308" w:rsidRPr="00E568C3">
        <w:t xml:space="preserve">; </w:t>
      </w:r>
      <w:r w:rsidR="002C1392" w:rsidRPr="00E568C3">
        <w:t xml:space="preserve"> </w:t>
      </w:r>
      <w:r w:rsidR="004D6179" w:rsidRPr="00E568C3">
        <w:t>et</w:t>
      </w:r>
      <w:r w:rsidR="002C1392" w:rsidRPr="00E568C3">
        <w:t xml:space="preserve"> </w:t>
      </w:r>
      <w:r w:rsidR="004D6179" w:rsidRPr="00E568C3">
        <w:t>le centre tec</w:t>
      </w:r>
      <w:r w:rsidR="005547DB" w:rsidRPr="00E568C3">
        <w:t>hni</w:t>
      </w:r>
      <w:r w:rsidR="004D6179" w:rsidRPr="00E568C3">
        <w:t>que</w:t>
      </w:r>
      <w:r w:rsidR="005547DB" w:rsidRPr="00E568C3">
        <w:t xml:space="preserve"> </w:t>
      </w:r>
      <w:r w:rsidR="006E40E9" w:rsidRPr="00E568C3">
        <w:t>“</w:t>
      </w:r>
      <w:r w:rsidR="005547DB" w:rsidRPr="00E568C3">
        <w:t>PACKTEC</w:t>
      </w:r>
      <w:r w:rsidR="006E40E9" w:rsidRPr="00E568C3">
        <w:t>”</w:t>
      </w:r>
      <w:r w:rsidR="004D6179" w:rsidRPr="00E568C3">
        <w:t xml:space="preserve"> (emballages</w:t>
      </w:r>
      <w:r w:rsidR="005547DB" w:rsidRPr="00E568C3">
        <w:t>)</w:t>
      </w:r>
      <w:r w:rsidR="004D6179" w:rsidRPr="00E568C3">
        <w:t>.</w:t>
      </w:r>
    </w:p>
    <w:p w:rsidR="00F55AA9" w:rsidRDefault="004D6179" w:rsidP="003145EF">
      <w:pPr>
        <w:pStyle w:val="ONUMFS"/>
      </w:pPr>
      <w:r w:rsidRPr="00E568C3">
        <w:t>L</w:t>
      </w:r>
      <w:r w:rsidR="00871730" w:rsidRPr="00E568C3">
        <w:t>’</w:t>
      </w:r>
      <w:r w:rsidRPr="00E568C3">
        <w:t xml:space="preserve">OMPI a par ailleurs </w:t>
      </w:r>
      <w:r w:rsidR="002C1392" w:rsidRPr="00E568C3">
        <w:t>or</w:t>
      </w:r>
      <w:r w:rsidR="00C12EC2" w:rsidRPr="00E568C3">
        <w:t>gani</w:t>
      </w:r>
      <w:r w:rsidRPr="00E568C3">
        <w:t xml:space="preserve">sé les programmes suivants en matière de renforcement des capacités </w:t>
      </w:r>
      <w:r w:rsidR="00801F62" w:rsidRPr="00E568C3">
        <w:t>pour</w:t>
      </w:r>
      <w:r w:rsidRPr="00E568C3">
        <w:t xml:space="preserve"> sensibiliser à l</w:t>
      </w:r>
      <w:r w:rsidR="00871730" w:rsidRPr="00E568C3">
        <w:t>’</w:t>
      </w:r>
      <w:r w:rsidR="00C12EC2" w:rsidRPr="00E568C3">
        <w:t xml:space="preserve">importance </w:t>
      </w:r>
      <w:r w:rsidRPr="00E568C3">
        <w:t xml:space="preserve">de </w:t>
      </w:r>
      <w:r w:rsidR="00801F62" w:rsidRPr="00E568C3">
        <w:t>créer</w:t>
      </w:r>
      <w:r w:rsidRPr="00E568C3">
        <w:t xml:space="preserve"> </w:t>
      </w:r>
      <w:r w:rsidR="00873F8D" w:rsidRPr="00E568C3">
        <w:t>un</w:t>
      </w:r>
      <w:r w:rsidRPr="00E568C3">
        <w:t xml:space="preserve"> cadre adapté dans le domaine de la propriété intellectue</w:t>
      </w:r>
      <w:r w:rsidR="00873F8D" w:rsidRPr="00E568C3">
        <w:t>l</w:t>
      </w:r>
      <w:r w:rsidRPr="00E568C3">
        <w:t>le au ni</w:t>
      </w:r>
      <w:r w:rsidR="00873F8D" w:rsidRPr="00E568C3">
        <w:t>v</w:t>
      </w:r>
      <w:r w:rsidRPr="00E568C3">
        <w:t xml:space="preserve">eau </w:t>
      </w:r>
      <w:r w:rsidR="00873F8D" w:rsidRPr="00E568C3">
        <w:t>institutionnel</w:t>
      </w:r>
      <w:r w:rsidRPr="00E568C3">
        <w:t xml:space="preserve"> </w:t>
      </w:r>
      <w:r w:rsidR="00873F8D" w:rsidRPr="00E568C3">
        <w:t xml:space="preserve">et de faciliter le processus menant à sa </w:t>
      </w:r>
      <w:r w:rsidR="00C12EC2" w:rsidRPr="00E568C3">
        <w:t>d</w:t>
      </w:r>
      <w:r w:rsidR="00873F8D" w:rsidRPr="00E568C3">
        <w:t>é</w:t>
      </w:r>
      <w:r w:rsidR="00C12EC2" w:rsidRPr="00E568C3">
        <w:t>finition</w:t>
      </w:r>
      <w:r w:rsidR="00873F8D" w:rsidRPr="00E568C3">
        <w:t> </w:t>
      </w:r>
      <w:r w:rsidR="002C1392" w:rsidRPr="00E568C3">
        <w:t>:</w:t>
      </w:r>
    </w:p>
    <w:p w:rsidR="00F55AA9" w:rsidRDefault="00873F8D" w:rsidP="003145EF">
      <w:pPr>
        <w:pStyle w:val="ONUMFS"/>
        <w:numPr>
          <w:ilvl w:val="1"/>
          <w:numId w:val="2"/>
        </w:numPr>
      </w:pPr>
      <w:r w:rsidRPr="00E568C3">
        <w:t>Séminaire n</w:t>
      </w:r>
      <w:r w:rsidR="00A518AF" w:rsidRPr="00E568C3">
        <w:t xml:space="preserve">ational </w:t>
      </w:r>
      <w:r w:rsidRPr="00E568C3">
        <w:t>sur les politiques en matière de propriété intellectuelle dans les u</w:t>
      </w:r>
      <w:r w:rsidR="005A4DD1" w:rsidRPr="00E568C3">
        <w:t>niversit</w:t>
      </w:r>
      <w:r w:rsidRPr="00E568C3">
        <w:t>é</w:t>
      </w:r>
      <w:r w:rsidR="005A4DD1" w:rsidRPr="00E568C3">
        <w:t>s (B</w:t>
      </w:r>
      <w:r w:rsidR="00801F62" w:rsidRPr="00E568C3">
        <w:t>é</w:t>
      </w:r>
      <w:r w:rsidR="005A4DD1" w:rsidRPr="00E568C3">
        <w:t xml:space="preserve">larus, </w:t>
      </w:r>
      <w:r w:rsidRPr="00E568C3">
        <w:t>av</w:t>
      </w:r>
      <w:r w:rsidR="005A4DD1" w:rsidRPr="00E568C3">
        <w:t>ril</w:t>
      </w:r>
      <w:r w:rsidRPr="00E568C3">
        <w:t> </w:t>
      </w:r>
      <w:r w:rsidR="00A518AF" w:rsidRPr="00E568C3">
        <w:t>2015)</w:t>
      </w:r>
      <w:r w:rsidR="00CB7ADA" w:rsidRPr="00E568C3">
        <w:t>;</w:t>
      </w:r>
    </w:p>
    <w:p w:rsidR="00F55AA9" w:rsidRDefault="00873F8D" w:rsidP="003145EF">
      <w:pPr>
        <w:pStyle w:val="ONUMFS"/>
        <w:numPr>
          <w:ilvl w:val="1"/>
          <w:numId w:val="2"/>
        </w:numPr>
      </w:pPr>
      <w:r w:rsidRPr="00E568C3">
        <w:t>Séminaire n</w:t>
      </w:r>
      <w:r w:rsidR="00A518AF" w:rsidRPr="00E568C3">
        <w:t xml:space="preserve">ational </w:t>
      </w:r>
      <w:r w:rsidRPr="00E568C3">
        <w:t>sur les politiques en matière de propriété</w:t>
      </w:r>
      <w:r w:rsidR="00A518AF" w:rsidRPr="00E568C3">
        <w:t xml:space="preserve"> </w:t>
      </w:r>
      <w:r w:rsidRPr="00E568C3">
        <w:t>i</w:t>
      </w:r>
      <w:r w:rsidR="00A518AF" w:rsidRPr="00E568C3">
        <w:t>ntellectu</w:t>
      </w:r>
      <w:r w:rsidRPr="00E568C3">
        <w:t>elle dans les u</w:t>
      </w:r>
      <w:r w:rsidR="00A518AF" w:rsidRPr="00E568C3">
        <w:t>niversit</w:t>
      </w:r>
      <w:r w:rsidRPr="00E568C3">
        <w:t>és et les institut</w:t>
      </w:r>
      <w:r w:rsidR="00A518AF" w:rsidRPr="00E568C3">
        <w:t>s d</w:t>
      </w:r>
      <w:r w:rsidRPr="00E568C3">
        <w:t>e</w:t>
      </w:r>
      <w:r w:rsidR="00A518AF" w:rsidRPr="00E568C3">
        <w:t xml:space="preserve"> </w:t>
      </w:r>
      <w:r w:rsidRPr="00E568C3">
        <w:t>r</w:t>
      </w:r>
      <w:r w:rsidR="00A518AF" w:rsidRPr="00E568C3">
        <w:t>ech</w:t>
      </w:r>
      <w:r w:rsidRPr="00E568C3">
        <w:t>erche</w:t>
      </w:r>
      <w:r w:rsidR="005A4DD1" w:rsidRPr="00E568C3">
        <w:t xml:space="preserve"> (</w:t>
      </w:r>
      <w:r w:rsidRPr="00E568C3">
        <w:t>Kirghizistan</w:t>
      </w:r>
      <w:r w:rsidR="005A4DD1" w:rsidRPr="00E568C3">
        <w:t xml:space="preserve">, </w:t>
      </w:r>
      <w:r w:rsidRPr="00E568C3">
        <w:t>juin </w:t>
      </w:r>
      <w:r w:rsidR="00A518AF" w:rsidRPr="00E568C3">
        <w:t>2015)</w:t>
      </w:r>
      <w:r w:rsidR="00CB7ADA" w:rsidRPr="00E568C3">
        <w:t>;</w:t>
      </w:r>
    </w:p>
    <w:p w:rsidR="00F55AA9" w:rsidRDefault="00A518AF" w:rsidP="003145EF">
      <w:pPr>
        <w:pStyle w:val="ONUMFS"/>
        <w:numPr>
          <w:ilvl w:val="1"/>
          <w:numId w:val="2"/>
        </w:numPr>
      </w:pPr>
      <w:r w:rsidRPr="00E568C3">
        <w:t>Conf</w:t>
      </w:r>
      <w:r w:rsidR="00873F8D" w:rsidRPr="00E568C3">
        <w:t>é</w:t>
      </w:r>
      <w:r w:rsidRPr="00E568C3">
        <w:t xml:space="preserve">rence </w:t>
      </w:r>
      <w:r w:rsidR="00873F8D" w:rsidRPr="00E568C3">
        <w:t>nationale sur les politiques en matière de propriété i</w:t>
      </w:r>
      <w:r w:rsidRPr="00E568C3">
        <w:t>ntellectu</w:t>
      </w:r>
      <w:r w:rsidR="00873F8D" w:rsidRPr="00E568C3">
        <w:t>e</w:t>
      </w:r>
      <w:r w:rsidRPr="00E568C3">
        <w:t>l</w:t>
      </w:r>
      <w:r w:rsidR="00873F8D" w:rsidRPr="00E568C3">
        <w:t>le pour les u</w:t>
      </w:r>
      <w:r w:rsidRPr="00E568C3">
        <w:t>niversit</w:t>
      </w:r>
      <w:r w:rsidR="00873F8D" w:rsidRPr="00E568C3">
        <w:t>és et l</w:t>
      </w:r>
      <w:r w:rsidR="00871730" w:rsidRPr="00E568C3">
        <w:t>’</w:t>
      </w:r>
      <w:r w:rsidR="00873F8D" w:rsidRPr="00E568C3">
        <w:t>i</w:t>
      </w:r>
      <w:r w:rsidRPr="00E568C3">
        <w:t>nnovation (Bul</w:t>
      </w:r>
      <w:r w:rsidR="00E23EA6" w:rsidRPr="00E568C3">
        <w:t>gari</w:t>
      </w:r>
      <w:r w:rsidR="00873F8D" w:rsidRPr="00E568C3">
        <w:t>e</w:t>
      </w:r>
      <w:r w:rsidR="00E23EA6" w:rsidRPr="00E568C3">
        <w:t xml:space="preserve">, </w:t>
      </w:r>
      <w:r w:rsidR="00873F8D" w:rsidRPr="00E568C3">
        <w:t>n</w:t>
      </w:r>
      <w:r w:rsidR="00E23EA6" w:rsidRPr="00E568C3">
        <w:t>ovembr</w:t>
      </w:r>
      <w:r w:rsidR="00873F8D" w:rsidRPr="00E568C3">
        <w:t>e </w:t>
      </w:r>
      <w:r w:rsidRPr="00E568C3">
        <w:t>2015)</w:t>
      </w:r>
      <w:r w:rsidR="00E23EA6" w:rsidRPr="00E568C3">
        <w:t xml:space="preserve">;  </w:t>
      </w:r>
      <w:r w:rsidR="00873F8D" w:rsidRPr="00E568C3">
        <w:t>et</w:t>
      </w:r>
    </w:p>
    <w:p w:rsidR="00F55AA9" w:rsidRDefault="00873F8D" w:rsidP="003145EF">
      <w:pPr>
        <w:pStyle w:val="ONUMFS"/>
        <w:numPr>
          <w:ilvl w:val="1"/>
          <w:numId w:val="2"/>
        </w:numPr>
      </w:pPr>
      <w:r w:rsidRPr="00E568C3">
        <w:t>Projet</w:t>
      </w:r>
      <w:r w:rsidR="00A813EE" w:rsidRPr="00E568C3">
        <w:t xml:space="preserve"> au niveau national</w:t>
      </w:r>
      <w:r w:rsidRPr="00E568C3">
        <w:t xml:space="preserve"> visant à fournir une </w:t>
      </w:r>
      <w:r w:rsidR="00A518AF" w:rsidRPr="00E568C3">
        <w:t xml:space="preserve">assistance </w:t>
      </w:r>
      <w:r w:rsidRPr="00E568C3">
        <w:t>technique aux instituts de recherche financés par les pouvoirs publics et aux universités du Botswana à l</w:t>
      </w:r>
      <w:r w:rsidR="00871730" w:rsidRPr="00E568C3">
        <w:t>’</w:t>
      </w:r>
      <w:r w:rsidRPr="00E568C3">
        <w:t>appui de l</w:t>
      </w:r>
      <w:r w:rsidR="00871730" w:rsidRPr="00E568C3">
        <w:t>’</w:t>
      </w:r>
      <w:r w:rsidR="00A518AF" w:rsidRPr="00E568C3">
        <w:t xml:space="preserve">innovation </w:t>
      </w:r>
      <w:r w:rsidRPr="00E568C3">
        <w:t>et de l</w:t>
      </w:r>
      <w:r w:rsidR="00871730" w:rsidRPr="00E568C3">
        <w:t>’</w:t>
      </w:r>
      <w:r w:rsidRPr="00E568C3">
        <w:t xml:space="preserve">intégration de la propriété intellectuelle dans les stratégies institutionnelles </w:t>
      </w:r>
      <w:r w:rsidR="00E23EA6" w:rsidRPr="00E568C3">
        <w:t>(</w:t>
      </w:r>
      <w:r w:rsidR="006E40E9" w:rsidRPr="00E568C3">
        <w:t xml:space="preserve">Botswana, </w:t>
      </w:r>
      <w:r w:rsidRPr="00E568C3">
        <w:t>n</w:t>
      </w:r>
      <w:r w:rsidR="00E23EA6" w:rsidRPr="00E568C3">
        <w:t>ovembr</w:t>
      </w:r>
      <w:r w:rsidRPr="00E568C3">
        <w:t>e </w:t>
      </w:r>
      <w:r w:rsidR="00A518AF" w:rsidRPr="00E568C3">
        <w:t>2015)</w:t>
      </w:r>
    </w:p>
    <w:p w:rsidR="00F55AA9" w:rsidRDefault="0001026A" w:rsidP="003145EF">
      <w:pPr>
        <w:pStyle w:val="Heading2"/>
      </w:pPr>
      <w:r w:rsidRPr="00E568C3">
        <w:t>III.</w:t>
      </w:r>
      <w:r w:rsidRPr="00E568C3">
        <w:tab/>
      </w:r>
      <w:r w:rsidR="00A813EE" w:rsidRPr="00E568C3">
        <w:t xml:space="preserve">Mise en place de structures organisationnelles pour le transfert de savoir </w:t>
      </w:r>
      <w:r w:rsidR="00801F62" w:rsidRPr="00E568C3">
        <w:t>et</w:t>
      </w:r>
      <w:r w:rsidR="00A813EE" w:rsidRPr="00E568C3">
        <w:t xml:space="preserve"> de technologie</w:t>
      </w:r>
    </w:p>
    <w:p w:rsidR="00F55AA9" w:rsidRDefault="00F55AA9" w:rsidP="00EF7920">
      <w:pPr>
        <w:rPr>
          <w:szCs w:val="22"/>
          <w:u w:val="single"/>
        </w:rPr>
      </w:pPr>
    </w:p>
    <w:p w:rsidR="00F55AA9" w:rsidRDefault="00A813EE" w:rsidP="003145EF">
      <w:pPr>
        <w:pStyle w:val="ONUMFS"/>
      </w:pPr>
      <w:r w:rsidRPr="00E568C3">
        <w:t xml:space="preserve">Les travaux </w:t>
      </w:r>
      <w:r w:rsidR="00B07C05" w:rsidRPr="00E568C3">
        <w:t xml:space="preserve">visant à mieux faire connaître et </w:t>
      </w:r>
      <w:r w:rsidRPr="00E568C3">
        <w:t>à p</w:t>
      </w:r>
      <w:r w:rsidR="00C12EC2" w:rsidRPr="00E568C3">
        <w:t>romo</w:t>
      </w:r>
      <w:r w:rsidR="00B07C05" w:rsidRPr="00E568C3">
        <w:t>uvoir l</w:t>
      </w:r>
      <w:r w:rsidRPr="00E568C3">
        <w:t>es processus et proc</w:t>
      </w:r>
      <w:r w:rsidR="00B07C05" w:rsidRPr="00E568C3">
        <w:t>é</w:t>
      </w:r>
      <w:r w:rsidRPr="00E568C3">
        <w:t xml:space="preserve">dures de gestion des droits de propriété intellectuelle et </w:t>
      </w:r>
      <w:r w:rsidR="00FA3222" w:rsidRPr="00E568C3">
        <w:t>d</w:t>
      </w:r>
      <w:r w:rsidRPr="00E568C3">
        <w:t>e tr</w:t>
      </w:r>
      <w:r w:rsidR="00FA3222" w:rsidRPr="00E568C3">
        <w:t>ansfer</w:t>
      </w:r>
      <w:r w:rsidRPr="00E568C3">
        <w:t>t de savoir</w:t>
      </w:r>
      <w:r w:rsidR="00FA3222" w:rsidRPr="00E568C3">
        <w:t xml:space="preserve"> </w:t>
      </w:r>
      <w:r w:rsidRPr="00E568C3">
        <w:t>dans</w:t>
      </w:r>
      <w:r w:rsidR="00871730" w:rsidRPr="00E568C3">
        <w:t xml:space="preserve"> les PMA</w:t>
      </w:r>
      <w:r w:rsidR="00FA3222" w:rsidRPr="00E568C3">
        <w:t xml:space="preserve">, </w:t>
      </w:r>
      <w:r w:rsidRPr="00E568C3">
        <w:t xml:space="preserve">les pays en développement et les pays en </w:t>
      </w:r>
      <w:r w:rsidR="00C12EC2" w:rsidRPr="00E568C3">
        <w:t xml:space="preserve">transition </w:t>
      </w:r>
      <w:r w:rsidRPr="00E568C3">
        <w:t xml:space="preserve">se sont </w:t>
      </w:r>
      <w:r w:rsidR="00C12EC2" w:rsidRPr="00E568C3">
        <w:t>intensifi</w:t>
      </w:r>
      <w:r w:rsidRPr="00E568C3">
        <w:t>és à l</w:t>
      </w:r>
      <w:r w:rsidR="00871730" w:rsidRPr="00E568C3">
        <w:t>’</w:t>
      </w:r>
      <w:r w:rsidRPr="00E568C3">
        <w:t>OMPI dès le début des années</w:t>
      </w:r>
      <w:r w:rsidR="0051717C" w:rsidRPr="00E568C3">
        <w:t> </w:t>
      </w:r>
      <w:r w:rsidR="00FA3222" w:rsidRPr="00E568C3">
        <w:t>2000</w:t>
      </w:r>
      <w:r w:rsidR="0051717C" w:rsidRPr="00E568C3">
        <w:t>.  Ils</w:t>
      </w:r>
      <w:r w:rsidRPr="00E568C3">
        <w:t xml:space="preserve"> ont donné lieu à un certain nombre d</w:t>
      </w:r>
      <w:r w:rsidR="00871730" w:rsidRPr="00E568C3">
        <w:t>’</w:t>
      </w:r>
      <w:r w:rsidRPr="00E568C3">
        <w:t xml:space="preserve">études et de </w:t>
      </w:r>
      <w:r w:rsidR="00A41C34" w:rsidRPr="00E568C3">
        <w:t>program</w:t>
      </w:r>
      <w:r w:rsidRPr="00E568C3">
        <w:t>me</w:t>
      </w:r>
      <w:r w:rsidR="00A41C34" w:rsidRPr="00E568C3">
        <w:t xml:space="preserve">s </w:t>
      </w:r>
      <w:r w:rsidR="00B07C05" w:rsidRPr="00E568C3">
        <w:t>mettant en avant l</w:t>
      </w:r>
      <w:r w:rsidR="00871730" w:rsidRPr="00E568C3">
        <w:t>’</w:t>
      </w:r>
      <w:r w:rsidR="00B07C05" w:rsidRPr="00E568C3">
        <w:t>i</w:t>
      </w:r>
      <w:r w:rsidR="00A41C34" w:rsidRPr="00E568C3">
        <w:t xml:space="preserve">mportance </w:t>
      </w:r>
      <w:r w:rsidR="00B07C05" w:rsidRPr="00E568C3">
        <w:t>des</w:t>
      </w:r>
      <w:r w:rsidR="00A41C34" w:rsidRPr="00E568C3">
        <w:t xml:space="preserve"> poli</w:t>
      </w:r>
      <w:r w:rsidR="00B07C05" w:rsidRPr="00E568C3">
        <w:t>t</w:t>
      </w:r>
      <w:r w:rsidR="00A41C34" w:rsidRPr="00E568C3">
        <w:t>i</w:t>
      </w:r>
      <w:r w:rsidR="00B07C05" w:rsidRPr="00E568C3">
        <w:t>qu</w:t>
      </w:r>
      <w:r w:rsidR="00A41C34" w:rsidRPr="00E568C3">
        <w:t xml:space="preserve">es </w:t>
      </w:r>
      <w:r w:rsidR="00B07C05" w:rsidRPr="00E568C3">
        <w:t>et des</w:t>
      </w:r>
      <w:r w:rsidR="00A41C34" w:rsidRPr="00E568C3">
        <w:t xml:space="preserve"> strat</w:t>
      </w:r>
      <w:r w:rsidR="00B07C05" w:rsidRPr="00E568C3">
        <w:t>é</w:t>
      </w:r>
      <w:r w:rsidR="00A41C34" w:rsidRPr="00E568C3">
        <w:t xml:space="preserve">gies </w:t>
      </w:r>
      <w:r w:rsidR="00B07C05" w:rsidRPr="00E568C3">
        <w:t>de propriété intellectuelle au niveau</w:t>
      </w:r>
      <w:r w:rsidR="00A41C34" w:rsidRPr="00E568C3">
        <w:t xml:space="preserve"> national, </w:t>
      </w:r>
      <w:r w:rsidR="00B07C05" w:rsidRPr="00E568C3">
        <w:t xml:space="preserve">des programmes de renforcement des </w:t>
      </w:r>
      <w:r w:rsidR="00A41C34" w:rsidRPr="00E568C3">
        <w:t>capacit</w:t>
      </w:r>
      <w:r w:rsidR="00B07C05" w:rsidRPr="00E568C3">
        <w:t>és et des projets thématiques et nationaux particuliers qui renforcent la capacité des créateurs et des utilisateurs de savoirs et de propriété intellectuelle à développer ces capacités et à les gérer sur des marchés concurrentie</w:t>
      </w:r>
      <w:r w:rsidR="006A3508" w:rsidRPr="00E568C3">
        <w:t>ls.  Da</w:t>
      </w:r>
      <w:r w:rsidR="00B07C05" w:rsidRPr="00E568C3">
        <w:t>ns ce</w:t>
      </w:r>
      <w:r w:rsidR="00A41C34" w:rsidRPr="00E568C3">
        <w:t xml:space="preserve"> </w:t>
      </w:r>
      <w:r w:rsidR="00B07C05" w:rsidRPr="00E568C3">
        <w:t>contexte,</w:t>
      </w:r>
      <w:r w:rsidR="00A41C34" w:rsidRPr="00E568C3">
        <w:t xml:space="preserve"> </w:t>
      </w:r>
      <w:r w:rsidR="00B07C05" w:rsidRPr="00E568C3">
        <w:t>une</w:t>
      </w:r>
      <w:r w:rsidR="00A41C34" w:rsidRPr="00E568C3">
        <w:t xml:space="preserve"> </w:t>
      </w:r>
      <w:r w:rsidR="0051717C" w:rsidRPr="00E568C3">
        <w:t>attent</w:t>
      </w:r>
      <w:r w:rsidR="00A41C34" w:rsidRPr="00E568C3">
        <w:t>i</w:t>
      </w:r>
      <w:r w:rsidR="0051717C" w:rsidRPr="00E568C3">
        <w:t>o</w:t>
      </w:r>
      <w:r w:rsidR="00A41C34" w:rsidRPr="00E568C3">
        <w:t xml:space="preserve">n </w:t>
      </w:r>
      <w:r w:rsidR="00B07C05" w:rsidRPr="00E568C3">
        <w:t xml:space="preserve">particulière a été </w:t>
      </w:r>
      <w:r w:rsidR="0051717C" w:rsidRPr="00E568C3">
        <w:t>p</w:t>
      </w:r>
      <w:r w:rsidR="00B07C05" w:rsidRPr="00E568C3">
        <w:t>o</w:t>
      </w:r>
      <w:r w:rsidR="0051717C" w:rsidRPr="00E568C3">
        <w:t>rt</w:t>
      </w:r>
      <w:r w:rsidR="00B07C05" w:rsidRPr="00E568C3">
        <w:t xml:space="preserve">ée aux </w:t>
      </w:r>
      <w:r w:rsidR="00A41C34" w:rsidRPr="00E568C3">
        <w:t>universit</w:t>
      </w:r>
      <w:r w:rsidR="00B07C05" w:rsidRPr="00E568C3">
        <w:t>és et aux instituts de</w:t>
      </w:r>
      <w:r w:rsidR="00A41C34" w:rsidRPr="00E568C3">
        <w:t xml:space="preserve"> </w:t>
      </w:r>
      <w:r w:rsidR="0051717C" w:rsidRPr="00E568C3">
        <w:t>recherche</w:t>
      </w:r>
      <w:r w:rsidR="006A3508" w:rsidRPr="00E568C3">
        <w:noBreakHyphen/>
      </w:r>
      <w:r w:rsidR="0051717C" w:rsidRPr="00E568C3">
        <w:t>développement</w:t>
      </w:r>
      <w:r w:rsidR="00134D3E" w:rsidRPr="00E568C3">
        <w:t xml:space="preserve">, qui </w:t>
      </w:r>
      <w:r w:rsidR="0051717C" w:rsidRPr="00E568C3">
        <w:t>so</w:t>
      </w:r>
      <w:r w:rsidR="00134D3E" w:rsidRPr="00E568C3">
        <w:t xml:space="preserve">nt </w:t>
      </w:r>
      <w:r w:rsidR="0051717C" w:rsidRPr="00E568C3">
        <w:t xml:space="preserve">une source </w:t>
      </w:r>
      <w:r w:rsidR="00134D3E" w:rsidRPr="00E568C3">
        <w:t>importante de propriété intellectuelle dans les pays en développement</w:t>
      </w:r>
      <w:r w:rsidR="00A65F47" w:rsidRPr="00E568C3">
        <w:t>.</w:t>
      </w:r>
    </w:p>
    <w:p w:rsidR="00F55AA9" w:rsidRDefault="00134D3E" w:rsidP="00B823CB">
      <w:pPr>
        <w:pStyle w:val="ONUMFS"/>
      </w:pPr>
      <w:r w:rsidRPr="00E568C3">
        <w:t xml:space="preserve">Grâce aux nombreux programmes de renforcement des capacités en matière de propriété intellectuelle </w:t>
      </w:r>
      <w:r w:rsidR="0051717C" w:rsidRPr="00E568C3">
        <w:t>conçus</w:t>
      </w:r>
      <w:r w:rsidRPr="00E568C3">
        <w:t xml:space="preserve"> par l</w:t>
      </w:r>
      <w:r w:rsidR="00871730" w:rsidRPr="00E568C3">
        <w:t>’</w:t>
      </w:r>
      <w:r w:rsidRPr="00E568C3">
        <w:t xml:space="preserve">OMPI </w:t>
      </w:r>
      <w:r w:rsidR="0051717C" w:rsidRPr="00E568C3">
        <w:t xml:space="preserve">pour les milieux </w:t>
      </w:r>
      <w:r w:rsidRPr="00E568C3">
        <w:t>universitaires, ce</w:t>
      </w:r>
      <w:r w:rsidR="000E75CA" w:rsidRPr="00E568C3">
        <w:t>ux</w:t>
      </w:r>
      <w:r w:rsidR="006A3508" w:rsidRPr="00E568C3">
        <w:noBreakHyphen/>
      </w:r>
      <w:r w:rsidR="000E75CA" w:rsidRPr="00E568C3">
        <w:t>ci</w:t>
      </w:r>
      <w:r w:rsidRPr="00E568C3">
        <w:t xml:space="preserve"> </w:t>
      </w:r>
      <w:r w:rsidR="0051717C" w:rsidRPr="00E568C3">
        <w:t xml:space="preserve">ont généralement pris conscience </w:t>
      </w:r>
      <w:r w:rsidRPr="00E568C3">
        <w:t>du fait que les résultats de la</w:t>
      </w:r>
      <w:r w:rsidR="00A44CE0" w:rsidRPr="00E568C3">
        <w:t xml:space="preserve"> rech</w:t>
      </w:r>
      <w:r w:rsidRPr="00E568C3">
        <w:t>erche</w:t>
      </w:r>
      <w:r w:rsidR="00A44CE0" w:rsidRPr="00E568C3">
        <w:t xml:space="preserve"> </w:t>
      </w:r>
      <w:r w:rsidRPr="00E568C3">
        <w:t xml:space="preserve">sont </w:t>
      </w:r>
      <w:r w:rsidR="00A44CE0" w:rsidRPr="00E568C3">
        <w:t>potenti</w:t>
      </w:r>
      <w:r w:rsidRPr="00E568C3">
        <w:t>e</w:t>
      </w:r>
      <w:r w:rsidR="00A44CE0" w:rsidRPr="00E568C3">
        <w:t>l</w:t>
      </w:r>
      <w:r w:rsidRPr="00E568C3">
        <w:t>lement des actifs</w:t>
      </w:r>
      <w:r w:rsidR="00A44CE0" w:rsidRPr="00E568C3">
        <w:t xml:space="preserve"> intellectu</w:t>
      </w:r>
      <w:r w:rsidRPr="00E568C3">
        <w:t>e</w:t>
      </w:r>
      <w:r w:rsidR="00A44CE0" w:rsidRPr="00E568C3">
        <w:t xml:space="preserve">ls </w:t>
      </w:r>
      <w:r w:rsidRPr="00E568C3">
        <w:t>et que les sociétés nationales peuvent légiti</w:t>
      </w:r>
      <w:r w:rsidR="00AD6091" w:rsidRPr="00E568C3">
        <w:t>m</w:t>
      </w:r>
      <w:r w:rsidRPr="00E568C3">
        <w:t>ement attendre des universités qu</w:t>
      </w:r>
      <w:r w:rsidR="00871730" w:rsidRPr="00E568C3">
        <w:t>’</w:t>
      </w:r>
      <w:r w:rsidRPr="00E568C3">
        <w:t xml:space="preserve">elles gèrent les savoirs et la propriété intellectuelle qui sont créés </w:t>
      </w:r>
      <w:r w:rsidR="000E75CA" w:rsidRPr="00E568C3">
        <w:t xml:space="preserve">afin </w:t>
      </w:r>
      <w:r w:rsidRPr="00E568C3">
        <w:t xml:space="preserve">de les </w:t>
      </w:r>
      <w:r w:rsidR="00A44CE0" w:rsidRPr="00E568C3">
        <w:t>transform</w:t>
      </w:r>
      <w:r w:rsidRPr="00E568C3">
        <w:t>er</w:t>
      </w:r>
      <w:r w:rsidR="00A44CE0" w:rsidRPr="00E568C3">
        <w:t xml:space="preserve"> en a</w:t>
      </w:r>
      <w:r w:rsidRPr="00E568C3">
        <w:t>c</w:t>
      </w:r>
      <w:r w:rsidR="00A44CE0" w:rsidRPr="00E568C3">
        <w:t>t</w:t>
      </w:r>
      <w:r w:rsidRPr="00E568C3">
        <w:t>if</w:t>
      </w:r>
      <w:r w:rsidR="00A44CE0" w:rsidRPr="00E568C3">
        <w:t xml:space="preserve">s </w:t>
      </w:r>
      <w:r w:rsidRPr="00E568C3">
        <w:t>p</w:t>
      </w:r>
      <w:r w:rsidR="000E75CA" w:rsidRPr="00E568C3">
        <w:t>o</w:t>
      </w:r>
      <w:r w:rsidRPr="00E568C3">
        <w:t>u</w:t>
      </w:r>
      <w:r w:rsidR="000E75CA" w:rsidRPr="00E568C3">
        <w:t>van</w:t>
      </w:r>
      <w:r w:rsidRPr="00E568C3">
        <w:t xml:space="preserve">t être </w:t>
      </w:r>
      <w:r w:rsidR="00A44CE0" w:rsidRPr="00E568C3">
        <w:t>transf</w:t>
      </w:r>
      <w:r w:rsidRPr="00E568C3">
        <w:t>érés</w:t>
      </w:r>
      <w:r w:rsidR="00A44CE0" w:rsidRPr="00E568C3">
        <w:t xml:space="preserve"> </w:t>
      </w:r>
      <w:r w:rsidRPr="00E568C3">
        <w:t xml:space="preserve">et, le cas échéant, </w:t>
      </w:r>
      <w:r w:rsidR="00A44CE0" w:rsidRPr="00E568C3">
        <w:t>commerciali</w:t>
      </w:r>
      <w:r w:rsidRPr="00E568C3">
        <w:t>s</w:t>
      </w:r>
      <w:r w:rsidR="006A3508" w:rsidRPr="00E568C3">
        <w:t>és.  Ce</w:t>
      </w:r>
      <w:r w:rsidRPr="00E568C3">
        <w:t>pendant</w:t>
      </w:r>
      <w:r w:rsidR="00A44CE0" w:rsidRPr="00E568C3">
        <w:t xml:space="preserve">, </w:t>
      </w:r>
      <w:r w:rsidR="000E75CA" w:rsidRPr="00E568C3">
        <w:t>le</w:t>
      </w:r>
      <w:r w:rsidRPr="00E568C3">
        <w:t>s connaissances pratiqu</w:t>
      </w:r>
      <w:r w:rsidR="00AD6091" w:rsidRPr="00E568C3">
        <w:t>e</w:t>
      </w:r>
      <w:r w:rsidRPr="00E568C3">
        <w:t xml:space="preserve">s </w:t>
      </w:r>
      <w:r w:rsidR="00AD6091" w:rsidRPr="00E568C3">
        <w:t xml:space="preserve">nécessaires </w:t>
      </w:r>
      <w:r w:rsidRPr="00E568C3">
        <w:t xml:space="preserve">pour </w:t>
      </w:r>
      <w:r w:rsidR="00AD6091" w:rsidRPr="00E568C3">
        <w:t xml:space="preserve">établir des structures </w:t>
      </w:r>
      <w:r w:rsidR="00A44CE0" w:rsidRPr="00E568C3">
        <w:t>organi</w:t>
      </w:r>
      <w:r w:rsidR="00AD6091" w:rsidRPr="00E568C3">
        <w:t>s</w:t>
      </w:r>
      <w:r w:rsidR="00A44CE0" w:rsidRPr="00E568C3">
        <w:t>ation</w:t>
      </w:r>
      <w:r w:rsidR="00AD6091" w:rsidRPr="00E568C3">
        <w:t xml:space="preserve">nelles </w:t>
      </w:r>
      <w:r w:rsidR="00A44CE0" w:rsidRPr="00E568C3">
        <w:t xml:space="preserve">– </w:t>
      </w:r>
      <w:r w:rsidR="00AD6091" w:rsidRPr="00E568C3">
        <w:t xml:space="preserve">telles que des unités </w:t>
      </w:r>
      <w:r w:rsidR="00A44CE0" w:rsidRPr="00E568C3">
        <w:t>profession</w:t>
      </w:r>
      <w:r w:rsidR="00AD6091" w:rsidRPr="00E568C3">
        <w:t>nelles de</w:t>
      </w:r>
      <w:r w:rsidR="00A44CE0" w:rsidRPr="00E568C3">
        <w:t xml:space="preserve"> </w:t>
      </w:r>
      <w:r w:rsidR="00AD6091" w:rsidRPr="00E568C3">
        <w:t xml:space="preserve">gestion de la </w:t>
      </w:r>
      <w:r w:rsidR="00A44CE0" w:rsidRPr="00E568C3">
        <w:t>technolog</w:t>
      </w:r>
      <w:r w:rsidR="00AD6091" w:rsidRPr="00E568C3">
        <w:t>ie</w:t>
      </w:r>
      <w:r w:rsidR="00A44CE0" w:rsidRPr="00E568C3">
        <w:t xml:space="preserve"> </w:t>
      </w:r>
      <w:r w:rsidR="00AD6091" w:rsidRPr="00E568C3">
        <w:t>qui prendront en charge l</w:t>
      </w:r>
      <w:r w:rsidR="00A44CE0" w:rsidRPr="00E568C3">
        <w:t>e process</w:t>
      </w:r>
      <w:r w:rsidR="00AD6091" w:rsidRPr="00E568C3">
        <w:t>us de gestion des droits de propriété i</w:t>
      </w:r>
      <w:r w:rsidR="00B94303" w:rsidRPr="00E568C3">
        <w:t>ntellectu</w:t>
      </w:r>
      <w:r w:rsidR="00AD6091" w:rsidRPr="00E568C3">
        <w:t>e</w:t>
      </w:r>
      <w:r w:rsidR="00B94303" w:rsidRPr="00E568C3">
        <w:t>l</w:t>
      </w:r>
      <w:r w:rsidR="00AD6091" w:rsidRPr="00E568C3">
        <w:t>le</w:t>
      </w:r>
      <w:r w:rsidR="00A44CE0" w:rsidRPr="00E568C3">
        <w:t xml:space="preserve">, </w:t>
      </w:r>
      <w:r w:rsidR="00AD6091" w:rsidRPr="00E568C3">
        <w:t xml:space="preserve">conformément à la législation et aux politiques </w:t>
      </w:r>
      <w:r w:rsidR="00A44CE0" w:rsidRPr="00E568C3">
        <w:t>institution</w:t>
      </w:r>
      <w:r w:rsidR="00AD6091" w:rsidRPr="00E568C3">
        <w:t>nelles nationales en matière de propriété intellectuelle</w:t>
      </w:r>
      <w:r w:rsidR="000E75CA" w:rsidRPr="00E568C3">
        <w:t>, font toujours défaut dans la plupart des universités des pays bénéficiaires</w:t>
      </w:r>
      <w:r w:rsidR="00A44CE0" w:rsidRPr="00E568C3">
        <w:t>.</w:t>
      </w:r>
    </w:p>
    <w:p w:rsidR="00F55AA9" w:rsidRDefault="00A336E5" w:rsidP="00883AE7">
      <w:pPr>
        <w:pStyle w:val="ONUMFS"/>
      </w:pPr>
      <w:r w:rsidRPr="00E568C3">
        <w:t>L</w:t>
      </w:r>
      <w:r w:rsidR="00871730" w:rsidRPr="00E568C3">
        <w:t>’</w:t>
      </w:r>
      <w:r w:rsidRPr="00E568C3">
        <w:t>OMPI a ainsi fourni un conseil d</w:t>
      </w:r>
      <w:r w:rsidR="00871730" w:rsidRPr="00E568C3">
        <w:t>’</w:t>
      </w:r>
      <w:r w:rsidR="00883AE7" w:rsidRPr="00E568C3">
        <w:t xml:space="preserve">expert, </w:t>
      </w:r>
      <w:r w:rsidRPr="00E568C3">
        <w:t>dans le cadre de programmes personnalisés de renforcement des</w:t>
      </w:r>
      <w:r w:rsidR="00883AE7" w:rsidRPr="00E568C3">
        <w:t xml:space="preserve"> capacit</w:t>
      </w:r>
      <w:r w:rsidRPr="00E568C3">
        <w:t>é</w:t>
      </w:r>
      <w:r w:rsidR="00883AE7" w:rsidRPr="00E568C3">
        <w:t>s o</w:t>
      </w:r>
      <w:r w:rsidRPr="00E568C3">
        <w:t>u de projets spécifiques fondés sur des enquêtes d</w:t>
      </w:r>
      <w:r w:rsidR="00871730" w:rsidRPr="00E568C3">
        <w:t>’</w:t>
      </w:r>
      <w:r w:rsidRPr="00E568C3">
        <w:t xml:space="preserve">évaluation des besoins qui ont </w:t>
      </w:r>
      <w:r w:rsidR="002E7F4C" w:rsidRPr="00E568C3">
        <w:t>doté</w:t>
      </w:r>
      <w:r w:rsidRPr="00E568C3">
        <w:t xml:space="preserve"> </w:t>
      </w:r>
      <w:r w:rsidR="002E7F4C" w:rsidRPr="00E568C3">
        <w:t>les</w:t>
      </w:r>
      <w:r w:rsidRPr="00E568C3">
        <w:t xml:space="preserve"> établissements bénéficiaires de plans d</w:t>
      </w:r>
      <w:r w:rsidR="00871730" w:rsidRPr="00E568C3">
        <w:t>’</w:t>
      </w:r>
      <w:r w:rsidR="00883AE7" w:rsidRPr="00E568C3">
        <w:t xml:space="preserve">action </w:t>
      </w:r>
      <w:r w:rsidRPr="00E568C3">
        <w:t xml:space="preserve">afin de les aider à créer des bureaux professionnels de gestion de la propriété intellectuelle, </w:t>
      </w:r>
      <w:r w:rsidR="002E7F4C" w:rsidRPr="00E568C3">
        <w:t xml:space="preserve">à </w:t>
      </w:r>
      <w:r w:rsidRPr="00E568C3">
        <w:t>trouver et recruter du personnel pour ce</w:t>
      </w:r>
      <w:r w:rsidR="00883AE7" w:rsidRPr="00E568C3">
        <w:t>s</w:t>
      </w:r>
      <w:r w:rsidRPr="00E568C3">
        <w:t xml:space="preserve"> fournisseurs de services en lien avec la pr</w:t>
      </w:r>
      <w:r w:rsidR="00883AE7" w:rsidRPr="00E568C3">
        <w:t>o</w:t>
      </w:r>
      <w:r w:rsidRPr="00E568C3">
        <w:t>priété intellectuelle</w:t>
      </w:r>
      <w:r w:rsidR="00883AE7" w:rsidRPr="00E568C3">
        <w:t xml:space="preserve">, </w:t>
      </w:r>
      <w:r w:rsidR="002E7F4C" w:rsidRPr="00E568C3">
        <w:t xml:space="preserve">à </w:t>
      </w:r>
      <w:r w:rsidRPr="00E568C3">
        <w:t xml:space="preserve">former des </w:t>
      </w:r>
      <w:r w:rsidR="00883AE7" w:rsidRPr="00E568C3">
        <w:lastRenderedPageBreak/>
        <w:t>profession</w:t>
      </w:r>
      <w:r w:rsidRPr="00E568C3">
        <w:t>ne</w:t>
      </w:r>
      <w:r w:rsidR="00883AE7" w:rsidRPr="00E568C3">
        <w:t xml:space="preserve">ls </w:t>
      </w:r>
      <w:r w:rsidRPr="00E568C3">
        <w:t xml:space="preserve">et </w:t>
      </w:r>
      <w:r w:rsidR="002E7F4C" w:rsidRPr="00E568C3">
        <w:t xml:space="preserve">à </w:t>
      </w:r>
      <w:r w:rsidRPr="00E568C3">
        <w:t>mettre en place des incitations pour les chercheurs afin qu</w:t>
      </w:r>
      <w:r w:rsidR="00871730" w:rsidRPr="00E568C3">
        <w:t>’</w:t>
      </w:r>
      <w:r w:rsidRPr="00E568C3">
        <w:t>ils participent pleinement aux processus de gestion des connaissanc</w:t>
      </w:r>
      <w:r w:rsidR="006A3508" w:rsidRPr="00E568C3">
        <w:t>es.  Pa</w:t>
      </w:r>
      <w:r w:rsidR="00883AE7" w:rsidRPr="00E568C3">
        <w:t>r</w:t>
      </w:r>
      <w:r w:rsidR="002E7F4C" w:rsidRPr="00E568C3">
        <w:t> </w:t>
      </w:r>
      <w:r w:rsidR="00883AE7" w:rsidRPr="00E568C3">
        <w:t>ex</w:t>
      </w:r>
      <w:r w:rsidRPr="00E568C3">
        <w:t>e</w:t>
      </w:r>
      <w:r w:rsidR="00883AE7" w:rsidRPr="00E568C3">
        <w:t xml:space="preserve">mple, </w:t>
      </w:r>
      <w:r w:rsidRPr="00E568C3">
        <w:t>e</w:t>
      </w:r>
      <w:r w:rsidR="00883AE7" w:rsidRPr="00E568C3">
        <w:t>n</w:t>
      </w:r>
      <w:r w:rsidR="002E7F4C" w:rsidRPr="00E568C3">
        <w:t> </w:t>
      </w:r>
      <w:r w:rsidR="00883AE7" w:rsidRPr="00E568C3">
        <w:t xml:space="preserve">2013–2014, </w:t>
      </w:r>
      <w:r w:rsidRPr="00E568C3">
        <w:t>u</w:t>
      </w:r>
      <w:r w:rsidR="00883AE7" w:rsidRPr="00E568C3">
        <w:t>n “</w:t>
      </w:r>
      <w:r w:rsidRPr="00E568C3">
        <w:t>plan d</w:t>
      </w:r>
      <w:r w:rsidR="00871730" w:rsidRPr="00E568C3">
        <w:t>’</w:t>
      </w:r>
      <w:r w:rsidRPr="00E568C3">
        <w:t>ac</w:t>
      </w:r>
      <w:r w:rsidR="00883AE7" w:rsidRPr="00E568C3">
        <w:t xml:space="preserve">tion” </w:t>
      </w:r>
      <w:r w:rsidRPr="00E568C3">
        <w:t>a été élaboré pour le centre de transfert de t</w:t>
      </w:r>
      <w:r w:rsidR="00883AE7" w:rsidRPr="00E568C3">
        <w:t>echnolog</w:t>
      </w:r>
      <w:r w:rsidRPr="00E568C3">
        <w:t>ie de la</w:t>
      </w:r>
      <w:r w:rsidR="00883AE7" w:rsidRPr="00E568C3">
        <w:t xml:space="preserve"> G</w:t>
      </w:r>
      <w:r w:rsidRPr="00E568C3">
        <w:t>é</w:t>
      </w:r>
      <w:r w:rsidR="00883AE7" w:rsidRPr="00E568C3">
        <w:t>orgi</w:t>
      </w:r>
      <w:r w:rsidRPr="00E568C3">
        <w:t>e</w:t>
      </w:r>
      <w:r w:rsidR="00883AE7" w:rsidRPr="00E568C3">
        <w:t xml:space="preserve">, </w:t>
      </w:r>
      <w:r w:rsidRPr="00E568C3">
        <w:t>une approche</w:t>
      </w:r>
      <w:r w:rsidR="00883AE7" w:rsidRPr="00E568C3">
        <w:t xml:space="preserve"> </w:t>
      </w:r>
      <w:r w:rsidRPr="00E568C3">
        <w:t>progressive</w:t>
      </w:r>
      <w:r w:rsidR="00883AE7" w:rsidRPr="00E568C3">
        <w:t xml:space="preserve"> </w:t>
      </w:r>
      <w:r w:rsidR="00AE3109" w:rsidRPr="00E568C3">
        <w:t xml:space="preserve">étant adoptée pour </w:t>
      </w:r>
      <w:r w:rsidR="002E7F4C" w:rsidRPr="00E568C3">
        <w:t>le dot</w:t>
      </w:r>
      <w:r w:rsidRPr="00E568C3">
        <w:t xml:space="preserve">er </w:t>
      </w:r>
      <w:r w:rsidR="002E7F4C" w:rsidRPr="00E568C3">
        <w:t>d</w:t>
      </w:r>
      <w:r w:rsidRPr="00E568C3">
        <w:t xml:space="preserve">es structures juridiques et </w:t>
      </w:r>
      <w:r w:rsidR="00883AE7" w:rsidRPr="00E568C3">
        <w:t>organi</w:t>
      </w:r>
      <w:r w:rsidRPr="00E568C3">
        <w:t>s</w:t>
      </w:r>
      <w:r w:rsidR="00883AE7" w:rsidRPr="00E568C3">
        <w:t>ation</w:t>
      </w:r>
      <w:r w:rsidRPr="00E568C3">
        <w:t>nell</w:t>
      </w:r>
      <w:r w:rsidR="006A3508" w:rsidRPr="00E568C3">
        <w:t>es.  Pa</w:t>
      </w:r>
      <w:r w:rsidR="00AE3109" w:rsidRPr="00E568C3">
        <w:t>r</w:t>
      </w:r>
      <w:r w:rsidR="002E7F4C" w:rsidRPr="00E568C3">
        <w:t> </w:t>
      </w:r>
      <w:r w:rsidR="00AE3109" w:rsidRPr="00E568C3">
        <w:t>ailleurs,</w:t>
      </w:r>
      <w:r w:rsidR="00883AE7" w:rsidRPr="00E568C3">
        <w:t xml:space="preserve"> </w:t>
      </w:r>
      <w:r w:rsidR="00AE3109" w:rsidRPr="00E568C3">
        <w:t>e</w:t>
      </w:r>
      <w:r w:rsidR="00883AE7" w:rsidRPr="00E568C3">
        <w:t>n</w:t>
      </w:r>
      <w:r w:rsidR="002E7F4C" w:rsidRPr="00E568C3">
        <w:t> </w:t>
      </w:r>
      <w:r w:rsidR="00883AE7" w:rsidRPr="00E568C3">
        <w:t>2014–</w:t>
      </w:r>
      <w:r w:rsidR="00AE3109" w:rsidRPr="00E568C3">
        <w:t>20</w:t>
      </w:r>
      <w:r w:rsidR="00883AE7" w:rsidRPr="00E568C3">
        <w:t>15</w:t>
      </w:r>
      <w:r w:rsidR="00AE3109" w:rsidRPr="00E568C3">
        <w:t>,</w:t>
      </w:r>
      <w:r w:rsidR="00883AE7" w:rsidRPr="00E568C3">
        <w:t xml:space="preserve"> </w:t>
      </w:r>
      <w:r w:rsidR="00AE3109" w:rsidRPr="00E568C3">
        <w:t>des ateliers de suivi du transfert de</w:t>
      </w:r>
      <w:r w:rsidR="00883AE7" w:rsidRPr="00E568C3">
        <w:t xml:space="preserve"> technolog</w:t>
      </w:r>
      <w:r w:rsidR="00AE3109" w:rsidRPr="00E568C3">
        <w:t xml:space="preserve">ie, traitant des </w:t>
      </w:r>
      <w:r w:rsidR="00883AE7" w:rsidRPr="00E568C3">
        <w:t>probl</w:t>
      </w:r>
      <w:r w:rsidR="00AE3109" w:rsidRPr="00E568C3">
        <w:t>è</w:t>
      </w:r>
      <w:r w:rsidR="00883AE7" w:rsidRPr="00E568C3">
        <w:t>m</w:t>
      </w:r>
      <w:r w:rsidR="00AE3109" w:rsidRPr="00E568C3">
        <w:t>e</w:t>
      </w:r>
      <w:r w:rsidR="00883AE7" w:rsidRPr="00E568C3">
        <w:t xml:space="preserve">s </w:t>
      </w:r>
      <w:r w:rsidR="00AE3109" w:rsidRPr="00E568C3">
        <w:t xml:space="preserve">de mise sur pied des structures organisationnelles requises, ont </w:t>
      </w:r>
      <w:r w:rsidR="002E7F4C" w:rsidRPr="00E568C3">
        <w:t>eu lieu</w:t>
      </w:r>
      <w:r w:rsidR="00AE3109" w:rsidRPr="00E568C3">
        <w:t> </w:t>
      </w:r>
      <w:r w:rsidR="00883AE7" w:rsidRPr="00E568C3">
        <w:t>: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23529C" w:rsidRPr="00E568C3">
        <w:t>Travailler ensemble pour promouvoir le transfert de savoir et la commercialisation de la propriété intellectuelle en Géorgie</w:t>
      </w:r>
      <w:r w:rsidRPr="00E568C3">
        <w:t xml:space="preserve">”, </w:t>
      </w:r>
      <w:r w:rsidR="00AE3109" w:rsidRPr="00E568C3">
        <w:t>10</w:t>
      </w:r>
      <w:r w:rsidR="006A3508" w:rsidRPr="00E568C3">
        <w:noBreakHyphen/>
      </w:r>
      <w:r w:rsidR="00AE3109" w:rsidRPr="00E568C3">
        <w:t>11 mars </w:t>
      </w:r>
      <w:r w:rsidRPr="00E568C3">
        <w:t>2014, Tbili</w:t>
      </w:r>
      <w:r w:rsidR="0023529C" w:rsidRPr="00E568C3">
        <w:t>s</w:t>
      </w:r>
      <w:r w:rsidRPr="00E568C3">
        <w:t>si</w:t>
      </w:r>
      <w:r w:rsidR="002E7F4C" w:rsidRPr="00E568C3">
        <w:t xml:space="preserve"> (</w:t>
      </w:r>
      <w:r w:rsidRPr="00E568C3">
        <w:t>G</w:t>
      </w:r>
      <w:r w:rsidR="00AE3109" w:rsidRPr="00E568C3">
        <w:t>é</w:t>
      </w:r>
      <w:r w:rsidRPr="00E568C3">
        <w:t>orgi</w:t>
      </w:r>
      <w:r w:rsidR="00AE3109" w:rsidRPr="00E568C3">
        <w:t>e</w:t>
      </w:r>
      <w:r w:rsidR="002E7F4C" w:rsidRPr="00E568C3">
        <w:t>)</w:t>
      </w:r>
      <w:r w:rsidRPr="00E568C3">
        <w:t>;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23529C" w:rsidRPr="00E568C3">
        <w:t>Atelier n</w:t>
      </w:r>
      <w:r w:rsidRPr="00E568C3">
        <w:t xml:space="preserve">ational </w:t>
      </w:r>
      <w:r w:rsidR="0023529C" w:rsidRPr="00E568C3">
        <w:t>sur la gestion de la t</w:t>
      </w:r>
      <w:r w:rsidRPr="00E568C3">
        <w:t>echnolog</w:t>
      </w:r>
      <w:r w:rsidR="0023529C" w:rsidRPr="00E568C3">
        <w:t>ie à l</w:t>
      </w:r>
      <w:r w:rsidR="00871730" w:rsidRPr="00E568C3">
        <w:t>’</w:t>
      </w:r>
      <w:r w:rsidR="0023529C" w:rsidRPr="00E568C3">
        <w:t>intention des u</w:t>
      </w:r>
      <w:r w:rsidRPr="00E568C3">
        <w:t>niversit</w:t>
      </w:r>
      <w:r w:rsidR="0023529C" w:rsidRPr="00E568C3">
        <w:t>é</w:t>
      </w:r>
      <w:r w:rsidRPr="00E568C3">
        <w:t xml:space="preserve">s”, </w:t>
      </w:r>
      <w:r w:rsidR="00AE3109" w:rsidRPr="00E568C3">
        <w:t>12</w:t>
      </w:r>
      <w:r w:rsidR="006A3508" w:rsidRPr="00E568C3">
        <w:noBreakHyphen/>
      </w:r>
      <w:r w:rsidR="00AE3109" w:rsidRPr="00E568C3">
        <w:t>13</w:t>
      </w:r>
      <w:r w:rsidR="002E7F4C" w:rsidRPr="00E568C3">
        <w:t> </w:t>
      </w:r>
      <w:r w:rsidR="00AE3109" w:rsidRPr="00E568C3">
        <w:t>mai</w:t>
      </w:r>
      <w:r w:rsidR="0023529C" w:rsidRPr="00E568C3">
        <w:t> </w:t>
      </w:r>
      <w:r w:rsidRPr="00E568C3">
        <w:t>2014</w:t>
      </w:r>
      <w:r w:rsidR="002E7F4C" w:rsidRPr="00E568C3">
        <w:t xml:space="preserve"> (</w:t>
      </w:r>
      <w:proofErr w:type="spellStart"/>
      <w:r w:rsidRPr="00E568C3">
        <w:t>Brun</w:t>
      </w:r>
      <w:r w:rsidR="0023529C" w:rsidRPr="00E568C3">
        <w:t>é</w:t>
      </w:r>
      <w:r w:rsidRPr="00E568C3">
        <w:t>i</w:t>
      </w:r>
      <w:proofErr w:type="spellEnd"/>
      <w:r w:rsidRPr="00E568C3">
        <w:t xml:space="preserve"> Darussalam</w:t>
      </w:r>
      <w:r w:rsidR="002E7F4C" w:rsidRPr="00E568C3">
        <w:t>)</w:t>
      </w:r>
      <w:r w:rsidRPr="00E568C3">
        <w:t>;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23529C" w:rsidRPr="00E568C3">
        <w:t>Atelier sous</w:t>
      </w:r>
      <w:r w:rsidR="006A3508" w:rsidRPr="00E568C3">
        <w:noBreakHyphen/>
      </w:r>
      <w:r w:rsidR="0023529C" w:rsidRPr="00E568C3">
        <w:t>régional de l</w:t>
      </w:r>
      <w:r w:rsidR="00871730" w:rsidRPr="00E568C3">
        <w:t>’</w:t>
      </w:r>
      <w:r w:rsidR="0023529C" w:rsidRPr="00E568C3">
        <w:t>OMPI pour les bureaux de transfert de t</w:t>
      </w:r>
      <w:r w:rsidRPr="00E568C3">
        <w:t>echnolog</w:t>
      </w:r>
      <w:r w:rsidR="0023529C" w:rsidRPr="00E568C3">
        <w:t>ie</w:t>
      </w:r>
      <w:r w:rsidRPr="00E568C3">
        <w:t>”, 20–21</w:t>
      </w:r>
      <w:r w:rsidR="00AE3109" w:rsidRPr="00E568C3">
        <w:t> mai </w:t>
      </w:r>
      <w:r w:rsidRPr="00E568C3">
        <w:t>2014</w:t>
      </w:r>
      <w:r w:rsidR="00AE3109" w:rsidRPr="00E568C3">
        <w:t>,</w:t>
      </w:r>
      <w:r w:rsidRPr="00E568C3">
        <w:t xml:space="preserve"> Skopje</w:t>
      </w:r>
      <w:r w:rsidR="002E7F4C" w:rsidRPr="00E568C3">
        <w:t xml:space="preserve"> (</w:t>
      </w:r>
      <w:r w:rsidR="0023529C" w:rsidRPr="00E568C3">
        <w:t>Ex</w:t>
      </w:r>
      <w:r w:rsidR="006A3508" w:rsidRPr="00E568C3">
        <w:noBreakHyphen/>
      </w:r>
      <w:r w:rsidR="0023529C" w:rsidRPr="00E568C3">
        <w:t>République yougoslave de Macé</w:t>
      </w:r>
      <w:r w:rsidRPr="00E568C3">
        <w:t>doi</w:t>
      </w:r>
      <w:r w:rsidR="0023529C" w:rsidRPr="00E568C3">
        <w:t>ne</w:t>
      </w:r>
      <w:r w:rsidR="002E7F4C" w:rsidRPr="00E568C3">
        <w:t>)</w:t>
      </w:r>
      <w:r w:rsidRPr="00E568C3">
        <w:t>;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B423F4" w:rsidRPr="00E568C3">
        <w:t>Atelier sous</w:t>
      </w:r>
      <w:r w:rsidR="006A3508" w:rsidRPr="00E568C3">
        <w:noBreakHyphen/>
      </w:r>
      <w:r w:rsidR="00B423F4" w:rsidRPr="00E568C3">
        <w:t>régional de l</w:t>
      </w:r>
      <w:r w:rsidR="00871730" w:rsidRPr="00E568C3">
        <w:t>’</w:t>
      </w:r>
      <w:r w:rsidR="00B423F4" w:rsidRPr="00E568C3">
        <w:t>OMPI sur la commercialisation de la propriété intellectuelle</w:t>
      </w:r>
      <w:r w:rsidRPr="00E568C3">
        <w:t xml:space="preserve"> “</w:t>
      </w:r>
      <w:r w:rsidR="00B423F4" w:rsidRPr="00E568C3">
        <w:t>Travaillons ensemble</w:t>
      </w:r>
      <w:r w:rsidRPr="00E568C3">
        <w:t xml:space="preserve">” </w:t>
      </w:r>
      <w:r w:rsidR="00B423F4" w:rsidRPr="00E568C3">
        <w:t>à l</w:t>
      </w:r>
      <w:r w:rsidR="00871730" w:rsidRPr="00E568C3">
        <w:t>’</w:t>
      </w:r>
      <w:r w:rsidR="00B423F4" w:rsidRPr="00E568C3">
        <w:t>intention des bureaux de transfert de</w:t>
      </w:r>
      <w:r w:rsidRPr="00E568C3">
        <w:t xml:space="preserve"> </w:t>
      </w:r>
      <w:r w:rsidR="00B423F4" w:rsidRPr="00E568C3">
        <w:t>technologie dans la région</w:t>
      </w:r>
      <w:r w:rsidRPr="00E568C3">
        <w:t xml:space="preserve">, </w:t>
      </w:r>
      <w:r w:rsidR="00AE3109" w:rsidRPr="00E568C3">
        <w:t>15</w:t>
      </w:r>
      <w:r w:rsidR="006A3508" w:rsidRPr="00E568C3">
        <w:noBreakHyphen/>
      </w:r>
      <w:r w:rsidR="00AE3109" w:rsidRPr="00E568C3">
        <w:t>16 s</w:t>
      </w:r>
      <w:r w:rsidRPr="00E568C3">
        <w:t>eptembr</w:t>
      </w:r>
      <w:r w:rsidR="00AE3109" w:rsidRPr="00E568C3">
        <w:t>e </w:t>
      </w:r>
      <w:r w:rsidRPr="00E568C3">
        <w:t>2014, Belgrade</w:t>
      </w:r>
      <w:r w:rsidR="000472E6" w:rsidRPr="00E568C3">
        <w:t xml:space="preserve"> (</w:t>
      </w:r>
      <w:r w:rsidRPr="00E568C3">
        <w:t>Serbi</w:t>
      </w:r>
      <w:r w:rsidR="00AE3109" w:rsidRPr="00E568C3">
        <w:t>e</w:t>
      </w:r>
      <w:r w:rsidR="000472E6" w:rsidRPr="00E568C3">
        <w:t>)</w:t>
      </w:r>
      <w:r w:rsidRPr="00E568C3">
        <w:t>;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B423F4" w:rsidRPr="00E568C3">
        <w:t>Atelier de l</w:t>
      </w:r>
      <w:r w:rsidR="00871730" w:rsidRPr="00E568C3">
        <w:t>’</w:t>
      </w:r>
      <w:r w:rsidR="00B423F4" w:rsidRPr="00E568C3">
        <w:t>OMPI sur la gestion des droits de propriété intellectuelle pour les un</w:t>
      </w:r>
      <w:r w:rsidRPr="00E568C3">
        <w:t>iversit</w:t>
      </w:r>
      <w:r w:rsidR="00B423F4" w:rsidRPr="00E568C3">
        <w:t>és et les instituts de recherche</w:t>
      </w:r>
      <w:r w:rsidR="006A3508" w:rsidRPr="00E568C3">
        <w:noBreakHyphen/>
      </w:r>
      <w:r w:rsidR="00B423F4" w:rsidRPr="00E568C3">
        <w:t>développement des pays en développement</w:t>
      </w:r>
      <w:r w:rsidRPr="00E568C3">
        <w:t>”, membr</w:t>
      </w:r>
      <w:r w:rsidR="00B423F4" w:rsidRPr="00E568C3">
        <w:t>e</w:t>
      </w:r>
      <w:r w:rsidRPr="00E568C3">
        <w:t xml:space="preserve">s </w:t>
      </w:r>
      <w:r w:rsidR="00B423F4" w:rsidRPr="00E568C3">
        <w:t xml:space="preserve">du programme </w:t>
      </w:r>
      <w:r w:rsidRPr="00E568C3">
        <w:t>WIPO</w:t>
      </w:r>
      <w:r w:rsidR="00B423F4" w:rsidRPr="00E568C3">
        <w:t> </w:t>
      </w:r>
      <w:proofErr w:type="spellStart"/>
      <w:r w:rsidRPr="00E568C3">
        <w:t>Re:Search</w:t>
      </w:r>
      <w:proofErr w:type="spellEnd"/>
      <w:r w:rsidRPr="00E568C3">
        <w:t xml:space="preserve">, </w:t>
      </w:r>
      <w:r w:rsidR="00AE3109" w:rsidRPr="00E568C3">
        <w:t>4</w:t>
      </w:r>
      <w:r w:rsidR="006A3508" w:rsidRPr="00E568C3">
        <w:noBreakHyphen/>
      </w:r>
      <w:r w:rsidR="00AE3109" w:rsidRPr="00E568C3">
        <w:t>5 no</w:t>
      </w:r>
      <w:r w:rsidRPr="00E568C3">
        <w:t>vembr</w:t>
      </w:r>
      <w:r w:rsidR="00AE3109" w:rsidRPr="00E568C3">
        <w:t>e </w:t>
      </w:r>
      <w:r w:rsidRPr="00E568C3">
        <w:t>2014, New</w:t>
      </w:r>
      <w:r w:rsidR="00AE3109" w:rsidRPr="00E568C3">
        <w:t> </w:t>
      </w:r>
      <w:r w:rsidRPr="00E568C3">
        <w:t>York</w:t>
      </w:r>
      <w:r w:rsidR="000472E6" w:rsidRPr="00E568C3">
        <w:t xml:space="preserve"> (</w:t>
      </w:r>
      <w:r w:rsidR="00AE3109" w:rsidRPr="00E568C3">
        <w:t>États</w:t>
      </w:r>
      <w:r w:rsidR="006A3508" w:rsidRPr="00E568C3">
        <w:noBreakHyphen/>
      </w:r>
      <w:r w:rsidRPr="00E568C3">
        <w:t>Uni</w:t>
      </w:r>
      <w:r w:rsidR="00AE3109" w:rsidRPr="00E568C3">
        <w:t>s d</w:t>
      </w:r>
      <w:r w:rsidR="00871730" w:rsidRPr="00E568C3">
        <w:t>’</w:t>
      </w:r>
      <w:r w:rsidR="00AE3109" w:rsidRPr="00E568C3">
        <w:t>Amériqu</w:t>
      </w:r>
      <w:r w:rsidRPr="00E568C3">
        <w:t>e</w:t>
      </w:r>
      <w:r w:rsidR="000472E6" w:rsidRPr="00E568C3">
        <w:t>)</w:t>
      </w:r>
      <w:r w:rsidRPr="00E568C3">
        <w:t>;</w:t>
      </w:r>
    </w:p>
    <w:p w:rsidR="00F55AA9" w:rsidRDefault="00883AE7" w:rsidP="00883AE7">
      <w:pPr>
        <w:pStyle w:val="ONUMFS"/>
        <w:numPr>
          <w:ilvl w:val="1"/>
          <w:numId w:val="2"/>
        </w:numPr>
      </w:pPr>
      <w:r w:rsidRPr="00E568C3">
        <w:t>“</w:t>
      </w:r>
      <w:r w:rsidR="00B423F4" w:rsidRPr="00E568C3">
        <w:t>Séminaire sous</w:t>
      </w:r>
      <w:r w:rsidR="006A3508" w:rsidRPr="00E568C3">
        <w:noBreakHyphen/>
      </w:r>
      <w:r w:rsidR="00B423F4" w:rsidRPr="00E568C3">
        <w:t>régional de l</w:t>
      </w:r>
      <w:r w:rsidR="00871730" w:rsidRPr="00E568C3">
        <w:t>’</w:t>
      </w:r>
      <w:r w:rsidR="00B423F4" w:rsidRPr="00E568C3">
        <w:t>OMPI sur le transfert i</w:t>
      </w:r>
      <w:r w:rsidRPr="00E568C3">
        <w:t xml:space="preserve">nternational </w:t>
      </w:r>
      <w:r w:rsidR="00B423F4" w:rsidRPr="00E568C3">
        <w:t>de t</w:t>
      </w:r>
      <w:r w:rsidRPr="00E568C3">
        <w:t>echnolog</w:t>
      </w:r>
      <w:r w:rsidR="00B423F4" w:rsidRPr="00E568C3">
        <w:t>ie et l</w:t>
      </w:r>
      <w:r w:rsidR="00871730" w:rsidRPr="00E568C3">
        <w:t>’</w:t>
      </w:r>
      <w:r w:rsidR="00B423F4" w:rsidRPr="00E568C3">
        <w:t>i</w:t>
      </w:r>
      <w:r w:rsidRPr="00E568C3">
        <w:t>nnovation</w:t>
      </w:r>
      <w:r w:rsidR="00B423F4" w:rsidRPr="00E568C3">
        <w:t xml:space="preserve"> ouverte</w:t>
      </w:r>
      <w:r w:rsidRPr="00E568C3">
        <w:t xml:space="preserve">”, </w:t>
      </w:r>
      <w:r w:rsidR="00AE3109" w:rsidRPr="00E568C3">
        <w:t>17</w:t>
      </w:r>
      <w:r w:rsidR="006A3508" w:rsidRPr="00E568C3">
        <w:noBreakHyphen/>
      </w:r>
      <w:r w:rsidR="00AE3109" w:rsidRPr="00E568C3">
        <w:t>19 n</w:t>
      </w:r>
      <w:r w:rsidRPr="00E568C3">
        <w:t>ovembr</w:t>
      </w:r>
      <w:r w:rsidR="00AE3109" w:rsidRPr="00E568C3">
        <w:t>e </w:t>
      </w:r>
      <w:r w:rsidRPr="00E568C3">
        <w:t>2014, Katmand</w:t>
      </w:r>
      <w:r w:rsidR="00B423F4" w:rsidRPr="00E568C3">
        <w:t>o</w:t>
      </w:r>
      <w:r w:rsidRPr="00E568C3">
        <w:t>u</w:t>
      </w:r>
      <w:r w:rsidR="000472E6" w:rsidRPr="00E568C3">
        <w:t xml:space="preserve"> (</w:t>
      </w:r>
      <w:r w:rsidRPr="00E568C3">
        <w:t>N</w:t>
      </w:r>
      <w:r w:rsidR="00AE3109" w:rsidRPr="00E568C3">
        <w:t>é</w:t>
      </w:r>
      <w:r w:rsidRPr="00E568C3">
        <w:t>pal</w:t>
      </w:r>
      <w:r w:rsidR="000472E6" w:rsidRPr="00E568C3">
        <w:t>)</w:t>
      </w:r>
      <w:r w:rsidRPr="00E568C3">
        <w:t xml:space="preserve">;  </w:t>
      </w:r>
      <w:r w:rsidR="00AE3109" w:rsidRPr="00E568C3">
        <w:t>et</w:t>
      </w:r>
    </w:p>
    <w:p w:rsidR="00F55AA9" w:rsidRDefault="00B423F4" w:rsidP="00883AE7">
      <w:pPr>
        <w:pStyle w:val="ONUMFS"/>
        <w:numPr>
          <w:ilvl w:val="1"/>
          <w:numId w:val="2"/>
        </w:numPr>
      </w:pPr>
      <w:r w:rsidRPr="00E568C3">
        <w:t>Atelier sous</w:t>
      </w:r>
      <w:r w:rsidR="006A3508" w:rsidRPr="00E568C3">
        <w:noBreakHyphen/>
      </w:r>
      <w:r w:rsidRPr="00E568C3">
        <w:t>régional de l</w:t>
      </w:r>
      <w:r w:rsidR="00871730" w:rsidRPr="00E568C3">
        <w:t>’</w:t>
      </w:r>
      <w:r w:rsidRPr="00E568C3">
        <w:t>OMPI sur le projet pilote de l</w:t>
      </w:r>
      <w:r w:rsidR="00871730" w:rsidRPr="00E568C3">
        <w:t>’</w:t>
      </w:r>
      <w:r w:rsidRPr="00E568C3">
        <w:t>OMPI pour les u</w:t>
      </w:r>
      <w:r w:rsidR="00883AE7" w:rsidRPr="00E568C3">
        <w:t>niversit</w:t>
      </w:r>
      <w:r w:rsidRPr="00E568C3">
        <w:t>é</w:t>
      </w:r>
      <w:r w:rsidR="00883AE7" w:rsidRPr="00E568C3">
        <w:t xml:space="preserve">s </w:t>
      </w:r>
      <w:r w:rsidRPr="00E568C3">
        <w:t>et les centres de recherche</w:t>
      </w:r>
      <w:r w:rsidR="00883AE7" w:rsidRPr="00E568C3">
        <w:t xml:space="preserve"> </w:t>
      </w:r>
      <w:r w:rsidRPr="00E568C3">
        <w:t>dans les pays d</w:t>
      </w:r>
      <w:r w:rsidR="00871730" w:rsidRPr="00E568C3">
        <w:t>’</w:t>
      </w:r>
      <w:r w:rsidRPr="00E568C3">
        <w:t>Amérique c</w:t>
      </w:r>
      <w:r w:rsidR="00883AE7" w:rsidRPr="00E568C3">
        <w:t>entral</w:t>
      </w:r>
      <w:r w:rsidRPr="00E568C3">
        <w:t>e</w:t>
      </w:r>
      <w:r w:rsidR="00883AE7" w:rsidRPr="00E568C3">
        <w:t xml:space="preserve">, </w:t>
      </w:r>
      <w:r w:rsidR="00AE3109" w:rsidRPr="00E568C3">
        <w:t>24</w:t>
      </w:r>
      <w:r w:rsidR="006A3508" w:rsidRPr="00E568C3">
        <w:noBreakHyphen/>
      </w:r>
      <w:r w:rsidR="00AE3109" w:rsidRPr="00E568C3">
        <w:t>26 n</w:t>
      </w:r>
      <w:r w:rsidR="00883AE7" w:rsidRPr="00E568C3">
        <w:t>ovembr</w:t>
      </w:r>
      <w:r w:rsidR="00AE3109" w:rsidRPr="00E568C3">
        <w:t>e </w:t>
      </w:r>
      <w:r w:rsidR="00883AE7" w:rsidRPr="00E568C3">
        <w:t xml:space="preserve">2015, </w:t>
      </w:r>
      <w:r w:rsidR="000472E6" w:rsidRPr="00E568C3">
        <w:t xml:space="preserve">Ciudad </w:t>
      </w:r>
      <w:proofErr w:type="spellStart"/>
      <w:r w:rsidR="000472E6" w:rsidRPr="00E568C3">
        <w:t>del</w:t>
      </w:r>
      <w:proofErr w:type="spellEnd"/>
      <w:r w:rsidR="000472E6" w:rsidRPr="00E568C3">
        <w:t xml:space="preserve"> </w:t>
      </w:r>
      <w:proofErr w:type="spellStart"/>
      <w:r w:rsidR="000472E6" w:rsidRPr="00E568C3">
        <w:t>Saber</w:t>
      </w:r>
      <w:proofErr w:type="spellEnd"/>
      <w:r w:rsidR="000472E6" w:rsidRPr="00E568C3">
        <w:t>,</w:t>
      </w:r>
      <w:r w:rsidR="00883AE7" w:rsidRPr="00E568C3">
        <w:t xml:space="preserve"> Panama.</w:t>
      </w:r>
    </w:p>
    <w:p w:rsidR="00F55AA9" w:rsidRDefault="00B423F4" w:rsidP="00883AE7">
      <w:pPr>
        <w:pStyle w:val="ONUMFS"/>
      </w:pPr>
      <w:r w:rsidRPr="00E568C3">
        <w:t>L</w:t>
      </w:r>
      <w:r w:rsidR="00871730" w:rsidRPr="00E568C3">
        <w:t>’</w:t>
      </w:r>
      <w:r w:rsidRPr="00E568C3">
        <w:t xml:space="preserve">OMPI a également élaboré des projets pilotes </w:t>
      </w:r>
      <w:r w:rsidR="00065258" w:rsidRPr="00E568C3">
        <w:t>de</w:t>
      </w:r>
      <w:r w:rsidRPr="00E568C3">
        <w:t xml:space="preserve"> création de bureaux de transfert de t</w:t>
      </w:r>
      <w:r w:rsidR="00883AE7" w:rsidRPr="00E568C3">
        <w:t>echnolog</w:t>
      </w:r>
      <w:r w:rsidRPr="00E568C3">
        <w:t>ie dans les pays en développement</w:t>
      </w:r>
      <w:r w:rsidR="00883AE7" w:rsidRPr="00E568C3">
        <w:t xml:space="preserve">, </w:t>
      </w:r>
      <w:r w:rsidRPr="00E568C3">
        <w:t>comme un moyen de créer un modèle d</w:t>
      </w:r>
      <w:r w:rsidR="00871730" w:rsidRPr="00E568C3">
        <w:t>’</w:t>
      </w:r>
      <w:r w:rsidR="00883AE7" w:rsidRPr="00E568C3">
        <w:t xml:space="preserve">infrastructure </w:t>
      </w:r>
      <w:r w:rsidRPr="00E568C3">
        <w:t>à des fins de dé</w:t>
      </w:r>
      <w:r w:rsidR="00883AE7" w:rsidRPr="00E568C3">
        <w:t xml:space="preserve">monstration, </w:t>
      </w:r>
      <w:r w:rsidR="00065258" w:rsidRPr="00E568C3">
        <w:t>pour</w:t>
      </w:r>
      <w:r w:rsidRPr="00E568C3">
        <w:t xml:space="preserve"> que le savoir acquis pendant la mise en œuvre de ces projets pilotes puisse </w:t>
      </w:r>
      <w:r w:rsidR="00A43604" w:rsidRPr="00E568C3">
        <w:t xml:space="preserve">ensuite </w:t>
      </w:r>
      <w:r w:rsidRPr="00E568C3">
        <w:t>être diffusé dans le pays et la régi</w:t>
      </w:r>
      <w:r w:rsidR="006A3508" w:rsidRPr="00E568C3">
        <w:t>on.  Le</w:t>
      </w:r>
      <w:r w:rsidR="00883AE7" w:rsidRPr="00E568C3">
        <w:t xml:space="preserve"> </w:t>
      </w:r>
      <w:r w:rsidR="00A43604" w:rsidRPr="00E568C3">
        <w:t>p</w:t>
      </w:r>
      <w:r w:rsidR="00883AE7" w:rsidRPr="00E568C3">
        <w:t xml:space="preserve">rojet a </w:t>
      </w:r>
      <w:r w:rsidR="00A43604" w:rsidRPr="00E568C3">
        <w:t>été lancé e</w:t>
      </w:r>
      <w:r w:rsidR="00883AE7" w:rsidRPr="00E568C3">
        <w:t>n</w:t>
      </w:r>
      <w:r w:rsidR="00A43604" w:rsidRPr="00E568C3">
        <w:t> </w:t>
      </w:r>
      <w:r w:rsidR="00883AE7" w:rsidRPr="00E568C3">
        <w:t xml:space="preserve">2014 </w:t>
      </w:r>
      <w:r w:rsidR="00A43604" w:rsidRPr="00E568C3">
        <w:t>e</w:t>
      </w:r>
      <w:r w:rsidR="00883AE7" w:rsidRPr="00E568C3">
        <w:t>n Tunisi</w:t>
      </w:r>
      <w:r w:rsidR="00A43604" w:rsidRPr="00E568C3">
        <w:t>e</w:t>
      </w:r>
      <w:r w:rsidR="00883AE7" w:rsidRPr="00E568C3">
        <w:t xml:space="preserve"> </w:t>
      </w:r>
      <w:r w:rsidR="00A43604" w:rsidRPr="00E568C3">
        <w:t>et, e</w:t>
      </w:r>
      <w:r w:rsidR="00883AE7" w:rsidRPr="00E568C3">
        <w:t>n</w:t>
      </w:r>
      <w:r w:rsidR="00A43604" w:rsidRPr="00E568C3">
        <w:t> </w:t>
      </w:r>
      <w:r w:rsidR="00883AE7" w:rsidRPr="00E568C3">
        <w:t>2015</w:t>
      </w:r>
      <w:r w:rsidR="00A43604" w:rsidRPr="00E568C3">
        <w:t>,</w:t>
      </w:r>
      <w:r w:rsidR="00883AE7" w:rsidRPr="00E568C3">
        <w:t xml:space="preserve"> </w:t>
      </w:r>
      <w:r w:rsidR="00A43604" w:rsidRPr="00E568C3">
        <w:t xml:space="preserve">les </w:t>
      </w:r>
      <w:r w:rsidR="00883AE7" w:rsidRPr="00E568C3">
        <w:t>activit</w:t>
      </w:r>
      <w:r w:rsidR="00A43604" w:rsidRPr="00E568C3">
        <w:t xml:space="preserve">és </w:t>
      </w:r>
      <w:r w:rsidR="00065258" w:rsidRPr="00E568C3">
        <w:t>privilégiaient</w:t>
      </w:r>
      <w:r w:rsidR="00A43604" w:rsidRPr="00E568C3">
        <w:t xml:space="preserve"> le développement ascendant d</w:t>
      </w:r>
      <w:r w:rsidR="00871730" w:rsidRPr="00E568C3">
        <w:t>’</w:t>
      </w:r>
      <w:r w:rsidR="00A43604" w:rsidRPr="00E568C3">
        <w:t>un cadre juridique pour les bureaux de transfert de technologie</w:t>
      </w:r>
      <w:r w:rsidR="00883AE7" w:rsidRPr="00E568C3">
        <w:t xml:space="preserve">, </w:t>
      </w:r>
      <w:r w:rsidR="00A43604" w:rsidRPr="00E568C3">
        <w:t>l</w:t>
      </w:r>
      <w:r w:rsidR="00871730" w:rsidRPr="00E568C3">
        <w:t>’</w:t>
      </w:r>
      <w:r w:rsidR="00A43604" w:rsidRPr="00E568C3">
        <w:t>objectif étant de mener à bien le plan d</w:t>
      </w:r>
      <w:r w:rsidR="00871730" w:rsidRPr="00E568C3">
        <w:t>’</w:t>
      </w:r>
      <w:r w:rsidR="00883AE7" w:rsidRPr="00E568C3">
        <w:t xml:space="preserve">action </w:t>
      </w:r>
      <w:r w:rsidR="00A43604" w:rsidRPr="00E568C3">
        <w:t>et</w:t>
      </w:r>
      <w:r w:rsidR="00883AE7" w:rsidRPr="00E568C3">
        <w:t xml:space="preserve"> </w:t>
      </w:r>
      <w:r w:rsidR="00A43604" w:rsidRPr="00E568C3">
        <w:t>de</w:t>
      </w:r>
      <w:r w:rsidR="00883AE7" w:rsidRPr="00E568C3">
        <w:t xml:space="preserve"> </w:t>
      </w:r>
      <w:r w:rsidR="00065258" w:rsidRPr="00E568C3">
        <w:t>créer</w:t>
      </w:r>
      <w:r w:rsidR="00A43604" w:rsidRPr="00E568C3">
        <w:t xml:space="preserve"> des bureaux pleinement opérationnels pour les établissements choisis en </w:t>
      </w:r>
      <w:r w:rsidR="00883AE7" w:rsidRPr="00E568C3">
        <w:t>Tunisi</w:t>
      </w:r>
      <w:r w:rsidR="00A43604" w:rsidRPr="00E568C3">
        <w:t>e</w:t>
      </w:r>
      <w:r w:rsidR="00883AE7" w:rsidRPr="00E568C3">
        <w:t xml:space="preserve"> </w:t>
      </w:r>
      <w:r w:rsidR="00A43604" w:rsidRPr="00E568C3">
        <w:t>e</w:t>
      </w:r>
      <w:r w:rsidR="00883AE7" w:rsidRPr="00E568C3">
        <w:t>n</w:t>
      </w:r>
      <w:r w:rsidR="00A43604" w:rsidRPr="00E568C3">
        <w:t> </w:t>
      </w:r>
      <w:r w:rsidR="00883AE7" w:rsidRPr="00E568C3">
        <w:t xml:space="preserve">2016.  </w:t>
      </w:r>
      <w:r w:rsidR="00A43604" w:rsidRPr="00E568C3">
        <w:t>L</w:t>
      </w:r>
      <w:r w:rsidR="00871730" w:rsidRPr="00E568C3">
        <w:t>’</w:t>
      </w:r>
      <w:r w:rsidR="00A43604" w:rsidRPr="00E568C3">
        <w:t xml:space="preserve">OMPI a </w:t>
      </w:r>
      <w:r w:rsidR="00065258" w:rsidRPr="00E568C3">
        <w:t>aussi</w:t>
      </w:r>
      <w:r w:rsidR="00A43604" w:rsidRPr="00E568C3">
        <w:t xml:space="preserve"> organisé e</w:t>
      </w:r>
      <w:r w:rsidR="00883AE7" w:rsidRPr="00E568C3">
        <w:t>n</w:t>
      </w:r>
      <w:r w:rsidR="00A43604" w:rsidRPr="00E568C3">
        <w:t> </w:t>
      </w:r>
      <w:r w:rsidR="00883AE7" w:rsidRPr="00E568C3">
        <w:t xml:space="preserve">2014 </w:t>
      </w:r>
      <w:r w:rsidR="00A43604" w:rsidRPr="00E568C3">
        <w:t>une mission d</w:t>
      </w:r>
      <w:r w:rsidR="00871730" w:rsidRPr="00E568C3">
        <w:t>’</w:t>
      </w:r>
      <w:r w:rsidR="00A43604" w:rsidRPr="00E568C3">
        <w:t>enquête e</w:t>
      </w:r>
      <w:r w:rsidR="00883AE7" w:rsidRPr="00E568C3">
        <w:t>n Alg</w:t>
      </w:r>
      <w:r w:rsidR="00A43604" w:rsidRPr="00E568C3">
        <w:t>é</w:t>
      </w:r>
      <w:r w:rsidR="00883AE7" w:rsidRPr="00E568C3">
        <w:t>ri</w:t>
      </w:r>
      <w:r w:rsidR="00A43604" w:rsidRPr="00E568C3">
        <w:t>e</w:t>
      </w:r>
      <w:r w:rsidR="00883AE7" w:rsidRPr="00E568C3">
        <w:t xml:space="preserve">, </w:t>
      </w:r>
      <w:r w:rsidR="00A43604" w:rsidRPr="00E568C3">
        <w:t>af</w:t>
      </w:r>
      <w:r w:rsidR="00883AE7" w:rsidRPr="00E568C3">
        <w:t>in d</w:t>
      </w:r>
      <w:r w:rsidR="00871730" w:rsidRPr="00E568C3">
        <w:t>’</w:t>
      </w:r>
      <w:r w:rsidR="00A43604" w:rsidRPr="00E568C3">
        <w:t xml:space="preserve">évaluer la </w:t>
      </w:r>
      <w:r w:rsidR="00883AE7" w:rsidRPr="00E568C3">
        <w:t xml:space="preserve">situation </w:t>
      </w:r>
      <w:r w:rsidR="00A43604" w:rsidRPr="00E568C3">
        <w:t xml:space="preserve">actuelle en ce qui concerne le </w:t>
      </w:r>
      <w:r w:rsidR="00883AE7" w:rsidRPr="00E568C3">
        <w:t>transfer</w:t>
      </w:r>
      <w:r w:rsidR="00A43604" w:rsidRPr="00E568C3">
        <w:t>t de savoir et de définir un plan d</w:t>
      </w:r>
      <w:r w:rsidR="00871730" w:rsidRPr="00E568C3">
        <w:t>’</w:t>
      </w:r>
      <w:r w:rsidR="00883AE7" w:rsidRPr="00E568C3">
        <w:t xml:space="preserve">action </w:t>
      </w:r>
      <w:r w:rsidR="00A43604" w:rsidRPr="00E568C3">
        <w:t>pour l</w:t>
      </w:r>
      <w:r w:rsidR="00871730" w:rsidRPr="00E568C3">
        <w:t>’</w:t>
      </w:r>
      <w:r w:rsidR="00A43604" w:rsidRPr="00E568C3">
        <w:t>é</w:t>
      </w:r>
      <w:r w:rsidR="00883AE7" w:rsidRPr="00E568C3">
        <w:t>tablis</w:t>
      </w:r>
      <w:r w:rsidR="00A43604" w:rsidRPr="00E568C3">
        <w:t>sem</w:t>
      </w:r>
      <w:r w:rsidR="00883AE7" w:rsidRPr="00E568C3">
        <w:t xml:space="preserve">ent </w:t>
      </w:r>
      <w:r w:rsidR="00A43604" w:rsidRPr="00E568C3">
        <w:t>d</w:t>
      </w:r>
      <w:r w:rsidR="00871730" w:rsidRPr="00E568C3">
        <w:t>’</w:t>
      </w:r>
      <w:r w:rsidR="00A43604" w:rsidRPr="00E568C3">
        <w:t>un modèle de bureau de transfert de technologie</w:t>
      </w:r>
      <w:r w:rsidR="00883AE7" w:rsidRPr="00E568C3">
        <w:t>.</w:t>
      </w:r>
    </w:p>
    <w:p w:rsidR="00F55AA9" w:rsidRDefault="00CE46D6" w:rsidP="002C40D5">
      <w:pPr>
        <w:pStyle w:val="Heading2"/>
      </w:pPr>
      <w:r w:rsidRPr="00E568C3">
        <w:t>IV.</w:t>
      </w:r>
      <w:r w:rsidRPr="00E568C3">
        <w:tab/>
      </w:r>
      <w:r w:rsidR="002C40D5" w:rsidRPr="00E568C3">
        <w:t>centres d’appui à la technologie et à l’innovation (CATI)</w:t>
      </w:r>
    </w:p>
    <w:p w:rsidR="00F55AA9" w:rsidRDefault="00F55AA9" w:rsidP="00CE46D6"/>
    <w:p w:rsidR="00F55AA9" w:rsidRDefault="00A43604" w:rsidP="00891EE3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</w:rPr>
        <w:t>L</w:t>
      </w:r>
      <w:r w:rsidR="00871730" w:rsidRPr="00E568C3">
        <w:rPr>
          <w:rFonts w:eastAsia="SimSun"/>
        </w:rPr>
        <w:t>’</w:t>
      </w:r>
      <w:r w:rsidRPr="00E568C3">
        <w:rPr>
          <w:rFonts w:eastAsia="SimSun"/>
        </w:rPr>
        <w:t>OMPI, e</w:t>
      </w:r>
      <w:r w:rsidR="00883AE7" w:rsidRPr="00E568C3">
        <w:rPr>
          <w:rFonts w:eastAsia="SimSun"/>
        </w:rPr>
        <w:t>n coop</w:t>
      </w:r>
      <w:r w:rsidRPr="00E568C3">
        <w:rPr>
          <w:rFonts w:eastAsia="SimSun"/>
        </w:rPr>
        <w:t>é</w:t>
      </w:r>
      <w:r w:rsidR="00883AE7" w:rsidRPr="00E568C3">
        <w:rPr>
          <w:rFonts w:eastAsia="SimSun"/>
        </w:rPr>
        <w:t xml:space="preserve">ration </w:t>
      </w:r>
      <w:r w:rsidRPr="00E568C3">
        <w:rPr>
          <w:rFonts w:eastAsia="SimSun"/>
        </w:rPr>
        <w:t xml:space="preserve">avec les offices </w:t>
      </w:r>
      <w:r w:rsidR="00883AE7" w:rsidRPr="00E568C3">
        <w:rPr>
          <w:rFonts w:eastAsia="SimSun"/>
        </w:rPr>
        <w:t>nationa</w:t>
      </w:r>
      <w:r w:rsidRPr="00E568C3">
        <w:rPr>
          <w:rFonts w:eastAsia="SimSun"/>
        </w:rPr>
        <w:t>ux et ré</w:t>
      </w:r>
      <w:r w:rsidR="00883AE7" w:rsidRPr="00E568C3">
        <w:rPr>
          <w:rFonts w:eastAsia="SimSun"/>
        </w:rPr>
        <w:t>giona</w:t>
      </w:r>
      <w:r w:rsidRPr="00E568C3">
        <w:rPr>
          <w:rFonts w:eastAsia="SimSun"/>
        </w:rPr>
        <w:t>ux de la propriété</w:t>
      </w:r>
      <w:r w:rsidR="00883AE7" w:rsidRPr="00E568C3">
        <w:rPr>
          <w:rFonts w:eastAsia="SimSun"/>
        </w:rPr>
        <w:t xml:space="preserve"> industri</w:t>
      </w:r>
      <w:r w:rsidRPr="00E568C3">
        <w:rPr>
          <w:rFonts w:eastAsia="SimSun"/>
        </w:rPr>
        <w:t>e</w:t>
      </w:r>
      <w:r w:rsidR="00883AE7" w:rsidRPr="00E568C3">
        <w:rPr>
          <w:rFonts w:eastAsia="SimSun"/>
        </w:rPr>
        <w:t>l</w:t>
      </w:r>
      <w:r w:rsidRPr="00E568C3">
        <w:rPr>
          <w:rFonts w:eastAsia="SimSun"/>
        </w:rPr>
        <w:t>le, appuie la création</w:t>
      </w:r>
      <w:r w:rsidR="00883AE7" w:rsidRPr="00E568C3">
        <w:rPr>
          <w:rFonts w:eastAsia="SimSun"/>
        </w:rPr>
        <w:t xml:space="preserve"> </w:t>
      </w:r>
      <w:r w:rsidRPr="00E568C3">
        <w:rPr>
          <w:rFonts w:eastAsia="SimSun"/>
        </w:rPr>
        <w:t>et le développement de centres d</w:t>
      </w:r>
      <w:r w:rsidR="00871730" w:rsidRPr="00E568C3">
        <w:rPr>
          <w:rFonts w:eastAsia="SimSun"/>
        </w:rPr>
        <w:t>’</w:t>
      </w:r>
      <w:r w:rsidRPr="00E568C3">
        <w:rPr>
          <w:rFonts w:eastAsia="SimSun"/>
        </w:rPr>
        <w:t>appui à la technologie et à l</w:t>
      </w:r>
      <w:r w:rsidR="00871730" w:rsidRPr="00E568C3">
        <w:rPr>
          <w:rFonts w:eastAsia="SimSun"/>
        </w:rPr>
        <w:t>’</w:t>
      </w:r>
      <w:r w:rsidRPr="00E568C3">
        <w:rPr>
          <w:rFonts w:eastAsia="SimSun"/>
        </w:rPr>
        <w:t>innovation</w:t>
      </w:r>
      <w:r w:rsidR="00883AE7" w:rsidRPr="00E568C3">
        <w:rPr>
          <w:rFonts w:eastAsia="SimSun"/>
        </w:rPr>
        <w:t xml:space="preserve">, </w:t>
      </w:r>
      <w:r w:rsidR="00891EE3" w:rsidRPr="00E568C3">
        <w:rPr>
          <w:rFonts w:eastAsia="SimSun"/>
        </w:rPr>
        <w:t xml:space="preserve">qui sont conçus pour fournir aux </w:t>
      </w:r>
      <w:r w:rsidR="00883AE7" w:rsidRPr="00E568C3">
        <w:rPr>
          <w:rFonts w:eastAsia="SimSun"/>
        </w:rPr>
        <w:t>innovat</w:t>
      </w:r>
      <w:r w:rsidR="00891EE3" w:rsidRPr="00E568C3">
        <w:rPr>
          <w:rFonts w:eastAsia="SimSun"/>
        </w:rPr>
        <w:t>eu</w:t>
      </w:r>
      <w:r w:rsidR="00883AE7" w:rsidRPr="00E568C3">
        <w:rPr>
          <w:rFonts w:eastAsia="SimSun"/>
        </w:rPr>
        <w:t xml:space="preserve">rs </w:t>
      </w:r>
      <w:r w:rsidR="00891EE3" w:rsidRPr="00E568C3">
        <w:rPr>
          <w:rFonts w:eastAsia="SimSun"/>
        </w:rPr>
        <w:t>des pays en développement un accès à des prestations locales de services d</w:t>
      </w:r>
      <w:r w:rsidR="00871730" w:rsidRPr="00E568C3">
        <w:rPr>
          <w:rFonts w:eastAsia="SimSun"/>
        </w:rPr>
        <w:t>’</w:t>
      </w:r>
      <w:r w:rsidR="00891EE3" w:rsidRPr="00E568C3">
        <w:rPr>
          <w:rFonts w:eastAsia="SimSun"/>
        </w:rPr>
        <w:t>information technologique de qualité et d</w:t>
      </w:r>
      <w:r w:rsidR="00871730" w:rsidRPr="00E568C3">
        <w:rPr>
          <w:rFonts w:eastAsia="SimSun"/>
        </w:rPr>
        <w:t>’</w:t>
      </w:r>
      <w:r w:rsidR="00891EE3" w:rsidRPr="00E568C3">
        <w:rPr>
          <w:rFonts w:eastAsia="SimSun"/>
        </w:rPr>
        <w:t>autres services connex</w:t>
      </w:r>
      <w:r w:rsidR="006A3508" w:rsidRPr="00E568C3">
        <w:rPr>
          <w:rFonts w:eastAsia="SimSun"/>
        </w:rPr>
        <w:t xml:space="preserve">es.  À </w:t>
      </w:r>
      <w:r w:rsidR="00891EE3" w:rsidRPr="00E568C3">
        <w:rPr>
          <w:rFonts w:eastAsia="SimSun"/>
        </w:rPr>
        <w:t xml:space="preserve">ce jour, </w:t>
      </w:r>
      <w:r w:rsidR="00883AE7" w:rsidRPr="00E568C3">
        <w:rPr>
          <w:rFonts w:eastAsia="SimSun"/>
        </w:rPr>
        <w:t>50</w:t>
      </w:r>
      <w:r w:rsidR="00891EE3" w:rsidRPr="00E568C3">
        <w:rPr>
          <w:rFonts w:eastAsia="SimSun"/>
        </w:rPr>
        <w:t> États membres de l</w:t>
      </w:r>
      <w:r w:rsidR="00871730" w:rsidRPr="00E568C3">
        <w:rPr>
          <w:rFonts w:eastAsia="SimSun"/>
        </w:rPr>
        <w:t>’</w:t>
      </w:r>
      <w:r w:rsidR="00891EE3" w:rsidRPr="00E568C3">
        <w:rPr>
          <w:rFonts w:eastAsia="SimSun"/>
        </w:rPr>
        <w:t>OMPI mettent en œuvre un projet n</w:t>
      </w:r>
      <w:r w:rsidR="00883AE7" w:rsidRPr="00E568C3">
        <w:rPr>
          <w:rFonts w:eastAsia="SimSun"/>
        </w:rPr>
        <w:t xml:space="preserve">ational </w:t>
      </w:r>
      <w:r w:rsidR="00891EE3" w:rsidRPr="00E568C3">
        <w:rPr>
          <w:rFonts w:eastAsia="SimSun"/>
        </w:rPr>
        <w:t xml:space="preserve">visant à développer les réseaux de CATI, lesquels regroupent plus </w:t>
      </w:r>
      <w:r w:rsidR="00883AE7" w:rsidRPr="00E568C3">
        <w:rPr>
          <w:rFonts w:eastAsia="SimSun"/>
        </w:rPr>
        <w:t>de 350</w:t>
      </w:r>
      <w:r w:rsidR="00891EE3" w:rsidRPr="00E568C3">
        <w:rPr>
          <w:rFonts w:eastAsia="SimSun"/>
        </w:rPr>
        <w:t xml:space="preserve"> CATI </w:t>
      </w:r>
      <w:r w:rsidR="00883AE7" w:rsidRPr="00E568C3">
        <w:rPr>
          <w:rFonts w:eastAsia="SimSun"/>
        </w:rPr>
        <w:t>individu</w:t>
      </w:r>
      <w:r w:rsidR="00891EE3" w:rsidRPr="00E568C3">
        <w:rPr>
          <w:rFonts w:eastAsia="SimSun"/>
        </w:rPr>
        <w:t>e</w:t>
      </w:r>
      <w:r w:rsidR="006A3508" w:rsidRPr="00E568C3">
        <w:rPr>
          <w:rFonts w:eastAsia="SimSun"/>
        </w:rPr>
        <w:t>ls.  Po</w:t>
      </w:r>
      <w:r w:rsidR="00891EE3" w:rsidRPr="00E568C3">
        <w:rPr>
          <w:rFonts w:eastAsia="SimSun"/>
        </w:rPr>
        <w:t>ur en savoir plus, v</w:t>
      </w:r>
      <w:r w:rsidR="008437AC" w:rsidRPr="00E568C3">
        <w:rPr>
          <w:rFonts w:eastAsia="SimSun"/>
        </w:rPr>
        <w:t>euille</w:t>
      </w:r>
      <w:r w:rsidR="00891EE3" w:rsidRPr="00E568C3">
        <w:rPr>
          <w:rFonts w:eastAsia="SimSun"/>
        </w:rPr>
        <w:t xml:space="preserve">z </w:t>
      </w:r>
      <w:r w:rsidR="00883AE7" w:rsidRPr="00E568C3">
        <w:rPr>
          <w:rFonts w:eastAsia="SimSun"/>
          <w:bCs/>
        </w:rPr>
        <w:t>consult</w:t>
      </w:r>
      <w:r w:rsidR="00891EE3" w:rsidRPr="00E568C3">
        <w:rPr>
          <w:rFonts w:eastAsia="SimSun"/>
          <w:bCs/>
        </w:rPr>
        <w:t>er l</w:t>
      </w:r>
      <w:r w:rsidR="008437AC" w:rsidRPr="00E568C3">
        <w:rPr>
          <w:rFonts w:eastAsia="SimSun"/>
          <w:bCs/>
        </w:rPr>
        <w:t>a page</w:t>
      </w:r>
      <w:r w:rsidR="00891EE3" w:rsidRPr="00E568C3">
        <w:rPr>
          <w:rFonts w:eastAsia="SimSun"/>
          <w:bCs/>
        </w:rPr>
        <w:t xml:space="preserve"> Web </w:t>
      </w:r>
      <w:r w:rsidR="008437AC" w:rsidRPr="00E568C3">
        <w:rPr>
          <w:rFonts w:eastAsia="SimSun"/>
          <w:bCs/>
        </w:rPr>
        <w:t>consacrée</w:t>
      </w:r>
      <w:r w:rsidR="00871730" w:rsidRPr="00E568C3">
        <w:rPr>
          <w:rFonts w:eastAsia="SimSun"/>
          <w:bCs/>
        </w:rPr>
        <w:t xml:space="preserve"> aux CAT</w:t>
      </w:r>
      <w:r w:rsidR="00883AE7" w:rsidRPr="00E568C3">
        <w:rPr>
          <w:rFonts w:eastAsia="SimSun"/>
          <w:bCs/>
        </w:rPr>
        <w:t>I (</w:t>
      </w:r>
      <w:hyperlink r:id="rId13" w:tooltip="http://www.wipo.int/tisc" w:history="1">
        <w:r w:rsidR="00883AE7" w:rsidRPr="00E568C3">
          <w:rPr>
            <w:rStyle w:val="Hyperlink"/>
            <w:rFonts w:eastAsia="SimSun"/>
            <w:color w:val="auto"/>
          </w:rPr>
          <w:t>www.wipo.int/tisc</w:t>
        </w:r>
      </w:hyperlink>
      <w:r w:rsidR="008437AC" w:rsidRPr="00E568C3">
        <w:rPr>
          <w:rStyle w:val="Hyperlink"/>
          <w:rFonts w:eastAsia="SimSun"/>
          <w:color w:val="auto"/>
        </w:rPr>
        <w:t>/fr</w:t>
      </w:r>
      <w:r w:rsidR="00883AE7" w:rsidRPr="00E568C3">
        <w:rPr>
          <w:rFonts w:eastAsia="SimSun"/>
          <w:lang w:eastAsia="zh-CN"/>
        </w:rPr>
        <w:t>).</w:t>
      </w:r>
    </w:p>
    <w:p w:rsidR="00F55AA9" w:rsidRDefault="002779E6" w:rsidP="00002D2F">
      <w:pPr>
        <w:pStyle w:val="ONUMFS"/>
        <w:rPr>
          <w:rFonts w:eastAsia="SimSun"/>
        </w:rPr>
      </w:pPr>
      <w:r w:rsidRPr="00E568C3">
        <w:rPr>
          <w:rFonts w:eastAsia="SimSun"/>
        </w:rPr>
        <w:lastRenderedPageBreak/>
        <w:t>Afin d</w:t>
      </w:r>
      <w:r w:rsidR="00871730" w:rsidRPr="00E568C3">
        <w:rPr>
          <w:rFonts w:eastAsia="SimSun"/>
        </w:rPr>
        <w:t>’</w:t>
      </w:r>
      <w:r w:rsidRPr="00E568C3">
        <w:rPr>
          <w:rFonts w:eastAsia="SimSun"/>
        </w:rPr>
        <w:t>appuyer l</w:t>
      </w:r>
      <w:r w:rsidR="008437AC" w:rsidRPr="00E568C3">
        <w:rPr>
          <w:rFonts w:eastAsia="SimSun"/>
        </w:rPr>
        <w:t xml:space="preserve">a mise en place </w:t>
      </w:r>
      <w:r w:rsidRPr="00E568C3">
        <w:rPr>
          <w:rFonts w:eastAsia="SimSun"/>
        </w:rPr>
        <w:t>d</w:t>
      </w:r>
      <w:r w:rsidR="00891EE3" w:rsidRPr="00E568C3">
        <w:rPr>
          <w:rFonts w:eastAsia="SimSun"/>
        </w:rPr>
        <w:t xml:space="preserve">e CATI et </w:t>
      </w:r>
      <w:r w:rsidRPr="00E568C3">
        <w:rPr>
          <w:rFonts w:eastAsia="SimSun"/>
        </w:rPr>
        <w:t xml:space="preserve">de </w:t>
      </w:r>
      <w:r w:rsidR="00891EE3" w:rsidRPr="00E568C3">
        <w:rPr>
          <w:rFonts w:eastAsia="SimSun"/>
        </w:rPr>
        <w:t>sensibiliser les part</w:t>
      </w:r>
      <w:r w:rsidRPr="00E568C3">
        <w:rPr>
          <w:rFonts w:eastAsia="SimSun"/>
        </w:rPr>
        <w:t>ies prenantes</w:t>
      </w:r>
      <w:r w:rsidR="00891EE3" w:rsidRPr="00E568C3">
        <w:rPr>
          <w:rFonts w:eastAsia="SimSun"/>
        </w:rPr>
        <w:t xml:space="preserve"> loca</w:t>
      </w:r>
      <w:r w:rsidRPr="00E568C3">
        <w:rPr>
          <w:rFonts w:eastAsia="SimSun"/>
        </w:rPr>
        <w:t>les</w:t>
      </w:r>
      <w:r w:rsidR="00891EE3" w:rsidRPr="00E568C3">
        <w:rPr>
          <w:rFonts w:eastAsia="SimSun"/>
        </w:rPr>
        <w:t xml:space="preserve"> à la propriété </w:t>
      </w:r>
      <w:r w:rsidR="00883AE7" w:rsidRPr="00E568C3">
        <w:rPr>
          <w:rFonts w:eastAsia="SimSun"/>
        </w:rPr>
        <w:t>intellectu</w:t>
      </w:r>
      <w:r w:rsidR="00891EE3" w:rsidRPr="00E568C3">
        <w:rPr>
          <w:rFonts w:eastAsia="SimSun"/>
        </w:rPr>
        <w:t>e</w:t>
      </w:r>
      <w:r w:rsidR="00883AE7" w:rsidRPr="00E568C3">
        <w:rPr>
          <w:rFonts w:eastAsia="SimSun"/>
        </w:rPr>
        <w:t>l</w:t>
      </w:r>
      <w:r w:rsidR="00891EE3" w:rsidRPr="00E568C3">
        <w:rPr>
          <w:rFonts w:eastAsia="SimSun"/>
        </w:rPr>
        <w:t>le et</w:t>
      </w:r>
      <w:r w:rsidRPr="00E568C3">
        <w:rPr>
          <w:rFonts w:eastAsia="SimSun"/>
        </w:rPr>
        <w:t xml:space="preserve"> aux technologies de l</w:t>
      </w:r>
      <w:r w:rsidR="00871730" w:rsidRPr="00E568C3">
        <w:rPr>
          <w:rFonts w:eastAsia="SimSun"/>
        </w:rPr>
        <w:t>’</w:t>
      </w:r>
      <w:r w:rsidR="00891EE3" w:rsidRPr="00E568C3">
        <w:rPr>
          <w:rFonts w:eastAsia="SimSun"/>
        </w:rPr>
        <w:t xml:space="preserve">information </w:t>
      </w:r>
      <w:r w:rsidR="00002D2F" w:rsidRPr="00E568C3">
        <w:rPr>
          <w:rFonts w:eastAsia="SimSun"/>
        </w:rPr>
        <w:t>au cours de l</w:t>
      </w:r>
      <w:r w:rsidR="00871730" w:rsidRPr="00E568C3">
        <w:rPr>
          <w:rFonts w:eastAsia="SimSun"/>
        </w:rPr>
        <w:t>’</w:t>
      </w:r>
      <w:r w:rsidR="00002D2F" w:rsidRPr="00E568C3">
        <w:rPr>
          <w:rFonts w:eastAsia="SimSun"/>
        </w:rPr>
        <w:t>exercice biennal</w:t>
      </w:r>
      <w:r w:rsidR="008437AC" w:rsidRPr="00E568C3">
        <w:rPr>
          <w:rFonts w:eastAsia="SimSun"/>
        </w:rPr>
        <w:t> </w:t>
      </w:r>
      <w:r w:rsidR="00883AE7" w:rsidRPr="00E568C3">
        <w:rPr>
          <w:rFonts w:eastAsia="SimSun"/>
        </w:rPr>
        <w:t>2014</w:t>
      </w:r>
      <w:r w:rsidR="006A3508" w:rsidRPr="00E568C3">
        <w:rPr>
          <w:rFonts w:eastAsia="SimSun"/>
        </w:rPr>
        <w:noBreakHyphen/>
      </w:r>
      <w:r w:rsidR="00883AE7" w:rsidRPr="00E568C3">
        <w:rPr>
          <w:rFonts w:eastAsia="SimSun"/>
        </w:rPr>
        <w:t>2015, 50</w:t>
      </w:r>
      <w:r w:rsidR="00002D2F" w:rsidRPr="00E568C3">
        <w:rPr>
          <w:rFonts w:eastAsia="SimSun"/>
        </w:rPr>
        <w:t xml:space="preserve"> événements </w:t>
      </w:r>
      <w:r w:rsidR="00883AE7" w:rsidRPr="00E568C3">
        <w:rPr>
          <w:rFonts w:eastAsia="SimSun"/>
        </w:rPr>
        <w:t>nationa</w:t>
      </w:r>
      <w:r w:rsidR="00002D2F" w:rsidRPr="00E568C3">
        <w:rPr>
          <w:rFonts w:eastAsia="SimSun"/>
        </w:rPr>
        <w:t>ux de</w:t>
      </w:r>
      <w:r w:rsidR="00883AE7" w:rsidRPr="00E568C3">
        <w:rPr>
          <w:rFonts w:eastAsia="SimSun"/>
        </w:rPr>
        <w:t xml:space="preserve"> plani</w:t>
      </w:r>
      <w:r w:rsidR="00002D2F" w:rsidRPr="00E568C3">
        <w:rPr>
          <w:rFonts w:eastAsia="SimSun"/>
        </w:rPr>
        <w:t>ficatio</w:t>
      </w:r>
      <w:r w:rsidR="00883AE7" w:rsidRPr="00E568C3">
        <w:rPr>
          <w:rFonts w:eastAsia="SimSun"/>
        </w:rPr>
        <w:t>n</w:t>
      </w:r>
      <w:r w:rsidR="00002D2F" w:rsidRPr="00E568C3">
        <w:rPr>
          <w:rFonts w:eastAsia="SimSun"/>
        </w:rPr>
        <w:t xml:space="preserve"> et de formation ont été </w:t>
      </w:r>
      <w:r w:rsidR="00883AE7" w:rsidRPr="00E568C3">
        <w:rPr>
          <w:rFonts w:eastAsia="SimSun"/>
        </w:rPr>
        <w:t>organi</w:t>
      </w:r>
      <w:r w:rsidR="00002D2F" w:rsidRPr="00E568C3">
        <w:rPr>
          <w:rFonts w:eastAsia="SimSun"/>
        </w:rPr>
        <w:t>sés sur place</w:t>
      </w:r>
      <w:r w:rsidR="00883AE7" w:rsidRPr="00E568C3">
        <w:rPr>
          <w:rFonts w:eastAsia="SimSun"/>
        </w:rPr>
        <w:t xml:space="preserve">, </w:t>
      </w:r>
      <w:r w:rsidR="00002D2F" w:rsidRPr="00E568C3">
        <w:rPr>
          <w:rFonts w:eastAsia="SimSun"/>
        </w:rPr>
        <w:t>mettant l</w:t>
      </w:r>
      <w:r w:rsidR="00871730" w:rsidRPr="00E568C3">
        <w:rPr>
          <w:rFonts w:eastAsia="SimSun"/>
        </w:rPr>
        <w:t>’</w:t>
      </w:r>
      <w:r w:rsidR="00002D2F" w:rsidRPr="00E568C3">
        <w:rPr>
          <w:rFonts w:eastAsia="SimSun"/>
        </w:rPr>
        <w:t>accent sur l</w:t>
      </w:r>
      <w:r w:rsidR="00871730" w:rsidRPr="00E568C3">
        <w:rPr>
          <w:rFonts w:eastAsia="SimSun"/>
        </w:rPr>
        <w:t>’</w:t>
      </w:r>
      <w:r w:rsidR="00002D2F" w:rsidRPr="00E568C3">
        <w:rPr>
          <w:rFonts w:eastAsia="SimSun"/>
        </w:rPr>
        <w:t xml:space="preserve">accès aux bases de données </w:t>
      </w:r>
      <w:r w:rsidR="00142902" w:rsidRPr="00E568C3">
        <w:rPr>
          <w:rFonts w:eastAsia="SimSun"/>
        </w:rPr>
        <w:t>de</w:t>
      </w:r>
      <w:r w:rsidR="00002D2F" w:rsidRPr="00E568C3">
        <w:rPr>
          <w:rFonts w:eastAsia="SimSun"/>
        </w:rPr>
        <w:t xml:space="preserve"> brevets et </w:t>
      </w:r>
      <w:r w:rsidR="00142902" w:rsidRPr="00E568C3">
        <w:rPr>
          <w:rFonts w:eastAsia="SimSun"/>
        </w:rPr>
        <w:t>de</w:t>
      </w:r>
      <w:r w:rsidR="00002D2F" w:rsidRPr="00E568C3">
        <w:rPr>
          <w:rFonts w:eastAsia="SimSun"/>
        </w:rPr>
        <w:t xml:space="preserve"> revues scientifiques et techniques ainsi que sur leur utilisation</w:t>
      </w:r>
      <w:r w:rsidRPr="00E568C3">
        <w:rPr>
          <w:rFonts w:eastAsia="SimSun"/>
        </w:rPr>
        <w:t xml:space="preserve"> effica</w:t>
      </w:r>
      <w:r w:rsidR="006A3508" w:rsidRPr="00E568C3">
        <w:rPr>
          <w:rFonts w:eastAsia="SimSun"/>
        </w:rPr>
        <w:t>ce.  En</w:t>
      </w:r>
      <w:r w:rsidRPr="00E568C3">
        <w:rPr>
          <w:rFonts w:eastAsia="SimSun"/>
        </w:rPr>
        <w:t xml:space="preserve"> outre, </w:t>
      </w:r>
      <w:r w:rsidR="00883AE7" w:rsidRPr="00E568C3">
        <w:rPr>
          <w:rFonts w:eastAsia="SimSun"/>
        </w:rPr>
        <w:t>10</w:t>
      </w:r>
      <w:r w:rsidRPr="00E568C3">
        <w:rPr>
          <w:rFonts w:eastAsia="SimSun"/>
        </w:rPr>
        <w:t> réunions sous</w:t>
      </w:r>
      <w:r w:rsidR="006A3508" w:rsidRPr="00E568C3">
        <w:rPr>
          <w:rFonts w:eastAsia="SimSun"/>
        </w:rPr>
        <w:noBreakHyphen/>
      </w:r>
      <w:r w:rsidRPr="00E568C3">
        <w:rPr>
          <w:rFonts w:eastAsia="SimSun"/>
        </w:rPr>
        <w:t xml:space="preserve">régionales ont été organisées pour </w:t>
      </w:r>
      <w:r w:rsidR="00883AE7" w:rsidRPr="00E568C3">
        <w:rPr>
          <w:rFonts w:eastAsia="SimSun"/>
        </w:rPr>
        <w:t>promo</w:t>
      </w:r>
      <w:r w:rsidRPr="00E568C3">
        <w:rPr>
          <w:rFonts w:eastAsia="SimSun"/>
        </w:rPr>
        <w:t>uvoir le partage des meilleures pratiques et des</w:t>
      </w:r>
      <w:r w:rsidR="006B2440" w:rsidRPr="00E568C3">
        <w:rPr>
          <w:rFonts w:eastAsia="SimSun"/>
        </w:rPr>
        <w:t xml:space="preserve"> données d</w:t>
      </w:r>
      <w:r w:rsidR="00871730" w:rsidRPr="00E568C3">
        <w:rPr>
          <w:rFonts w:eastAsia="SimSun"/>
        </w:rPr>
        <w:t>’</w:t>
      </w:r>
      <w:r w:rsidR="00883AE7" w:rsidRPr="00E568C3">
        <w:rPr>
          <w:rFonts w:eastAsia="SimSun"/>
        </w:rPr>
        <w:t>exp</w:t>
      </w:r>
      <w:r w:rsidRPr="00E568C3">
        <w:rPr>
          <w:rFonts w:eastAsia="SimSun"/>
        </w:rPr>
        <w:t>é</w:t>
      </w:r>
      <w:r w:rsidR="00883AE7" w:rsidRPr="00E568C3">
        <w:rPr>
          <w:rFonts w:eastAsia="SimSun"/>
        </w:rPr>
        <w:t xml:space="preserve">rience </w:t>
      </w:r>
      <w:r w:rsidRPr="00E568C3">
        <w:rPr>
          <w:rFonts w:eastAsia="SimSun"/>
        </w:rPr>
        <w:t>au niveau ré</w:t>
      </w:r>
      <w:r w:rsidR="00883AE7" w:rsidRPr="00E568C3">
        <w:rPr>
          <w:rFonts w:eastAsia="SimSun"/>
        </w:rPr>
        <w:t>gional.</w:t>
      </w:r>
    </w:p>
    <w:p w:rsidR="00F55AA9" w:rsidRDefault="002779E6" w:rsidP="002779E6">
      <w:pPr>
        <w:pStyle w:val="ONUMFS"/>
        <w:rPr>
          <w:rFonts w:eastAsia="SimSun"/>
          <w:u w:val="single"/>
          <w:lang w:eastAsia="zh-CN"/>
        </w:rPr>
      </w:pPr>
      <w:r w:rsidRPr="00E568C3">
        <w:rPr>
          <w:rFonts w:eastAsia="SimSun"/>
          <w:lang w:eastAsia="zh-CN"/>
        </w:rPr>
        <w:t>Afin de renforcer davantage la formation en ligne et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encourager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échange d</w:t>
      </w:r>
      <w:r w:rsidR="006B2440" w:rsidRPr="00E568C3">
        <w:rPr>
          <w:rFonts w:eastAsia="SimSun"/>
          <w:lang w:eastAsia="zh-CN"/>
        </w:rPr>
        <w:t>e données d</w:t>
      </w:r>
      <w:r w:rsidR="00871730" w:rsidRPr="00E568C3">
        <w:rPr>
          <w:rFonts w:eastAsia="SimSun"/>
          <w:lang w:eastAsia="zh-CN"/>
        </w:rPr>
        <w:t>’</w:t>
      </w:r>
      <w:r w:rsidR="006B2440" w:rsidRPr="00E568C3">
        <w:rPr>
          <w:rFonts w:eastAsia="SimSun"/>
          <w:lang w:eastAsia="zh-CN"/>
        </w:rPr>
        <w:t>expérience</w:t>
      </w:r>
      <w:r w:rsidRPr="00E568C3">
        <w:rPr>
          <w:rFonts w:eastAsia="SimSun"/>
          <w:lang w:eastAsia="zh-CN"/>
        </w:rPr>
        <w:t xml:space="preserve">, </w:t>
      </w:r>
      <w:r w:rsidR="006B2440" w:rsidRPr="00E568C3">
        <w:rPr>
          <w:rFonts w:eastAsia="SimSun"/>
          <w:lang w:eastAsia="zh-CN"/>
        </w:rPr>
        <w:t>la</w:t>
      </w:r>
      <w:r w:rsidRPr="00E568C3">
        <w:rPr>
          <w:rFonts w:eastAsia="SimSun"/>
          <w:lang w:eastAsia="zh-CN"/>
        </w:rPr>
        <w:t xml:space="preserve"> plate</w:t>
      </w:r>
      <w:r w:rsidR="006A3508" w:rsidRPr="00E568C3">
        <w:rPr>
          <w:rFonts w:eastAsia="SimSun"/>
          <w:lang w:eastAsia="zh-CN"/>
        </w:rPr>
        <w:noBreakHyphen/>
      </w:r>
      <w:r w:rsidRPr="00E568C3">
        <w:rPr>
          <w:rFonts w:eastAsia="SimSun"/>
          <w:lang w:eastAsia="zh-CN"/>
        </w:rPr>
        <w:t>forme de gestion des connaissances “</w:t>
      </w:r>
      <w:proofErr w:type="spellStart"/>
      <w:r w:rsidRPr="00E568C3">
        <w:rPr>
          <w:rFonts w:eastAsia="SimSun"/>
          <w:lang w:eastAsia="zh-CN"/>
        </w:rPr>
        <w:t>eTISC</w:t>
      </w:r>
      <w:proofErr w:type="spellEnd"/>
      <w:r w:rsidRPr="00E568C3">
        <w:rPr>
          <w:rFonts w:eastAsia="SimSun"/>
          <w:lang w:eastAsia="zh-CN"/>
        </w:rPr>
        <w:t>”</w:t>
      </w:r>
      <w:r w:rsidR="006B2440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offre des outils de médias sociaux et intègre de nouveaux services visant à renforcer les activités menées par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OMPI pour soutenir la création de CATI dans le monde entier, notamment des modules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apprentissage en ligne</w:t>
      </w:r>
      <w:r w:rsidR="006B2440" w:rsidRPr="00E568C3">
        <w:rPr>
          <w:rFonts w:eastAsia="SimSun"/>
          <w:lang w:eastAsia="zh-CN"/>
        </w:rPr>
        <w:t>, des didacticiels</w:t>
      </w:r>
      <w:r w:rsidRPr="00E568C3">
        <w:rPr>
          <w:rFonts w:eastAsia="SimSun"/>
          <w:lang w:eastAsia="zh-CN"/>
        </w:rPr>
        <w:t xml:space="preserve"> et des séminaires</w:t>
      </w:r>
      <w:r w:rsidR="00142902" w:rsidRPr="00E568C3">
        <w:rPr>
          <w:rFonts w:eastAsia="SimSun"/>
          <w:lang w:eastAsia="zh-CN"/>
        </w:rPr>
        <w:t> </w:t>
      </w:r>
      <w:r w:rsidRPr="00E568C3">
        <w:rPr>
          <w:rFonts w:eastAsia="SimSun"/>
          <w:lang w:eastAsia="zh-CN"/>
        </w:rPr>
        <w:t>Web cibl</w:t>
      </w:r>
      <w:r w:rsidR="006A3508" w:rsidRPr="00E568C3">
        <w:rPr>
          <w:rFonts w:eastAsia="SimSun"/>
          <w:lang w:eastAsia="zh-CN"/>
        </w:rPr>
        <w:t>és.  Il</w:t>
      </w:r>
      <w:r w:rsidR="006B2440" w:rsidRPr="00E568C3">
        <w:rPr>
          <w:rFonts w:eastAsia="SimSun"/>
          <w:lang w:eastAsia="zh-CN"/>
        </w:rPr>
        <w:t xml:space="preserve"> est possible de rejoindre en ligne la communauté</w:t>
      </w:r>
      <w:r w:rsidR="00871730" w:rsidRPr="00E568C3">
        <w:rPr>
          <w:rFonts w:eastAsia="SimSun"/>
          <w:lang w:eastAsia="zh-CN"/>
        </w:rPr>
        <w:t xml:space="preserve"> des CAT</w:t>
      </w:r>
      <w:r w:rsidR="006B2440" w:rsidRPr="00E568C3">
        <w:rPr>
          <w:rFonts w:eastAsia="SimSun"/>
          <w:lang w:eastAsia="zh-CN"/>
        </w:rPr>
        <w:t>I qui compte près de</w:t>
      </w:r>
      <w:r w:rsidR="008A2E3E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1500</w:t>
      </w:r>
      <w:r w:rsidR="006B2440" w:rsidRPr="00E568C3">
        <w:rPr>
          <w:rFonts w:eastAsia="SimSun"/>
          <w:lang w:eastAsia="zh-CN"/>
        </w:rPr>
        <w:t> membres à l</w:t>
      </w:r>
      <w:r w:rsidR="00871730" w:rsidRPr="00E568C3">
        <w:rPr>
          <w:rFonts w:eastAsia="SimSun"/>
          <w:lang w:eastAsia="zh-CN"/>
        </w:rPr>
        <w:t>’</w:t>
      </w:r>
      <w:r w:rsidR="006B2440" w:rsidRPr="00E568C3">
        <w:rPr>
          <w:rFonts w:eastAsia="SimSun"/>
          <w:lang w:eastAsia="zh-CN"/>
        </w:rPr>
        <w:t>adress</w:t>
      </w:r>
      <w:r w:rsidR="00883AE7" w:rsidRPr="00E568C3">
        <w:rPr>
          <w:rFonts w:eastAsia="SimSun"/>
          <w:lang w:eastAsia="zh-CN"/>
        </w:rPr>
        <w:t xml:space="preserve">e </w:t>
      </w:r>
      <w:hyperlink r:id="rId14" w:history="1">
        <w:r w:rsidR="00883AE7" w:rsidRPr="00E568C3">
          <w:rPr>
            <w:rFonts w:eastAsia="SimSun"/>
            <w:u w:val="single"/>
            <w:lang w:eastAsia="zh-CN"/>
          </w:rPr>
          <w:t>http://etisc.wipo.org</w:t>
        </w:r>
      </w:hyperlink>
      <w:r w:rsidR="00883AE7" w:rsidRPr="00E568C3">
        <w:rPr>
          <w:rFonts w:eastAsia="SimSun"/>
          <w:u w:val="single"/>
          <w:lang w:eastAsia="zh-CN"/>
        </w:rPr>
        <w:t>.</w:t>
      </w:r>
    </w:p>
    <w:p w:rsidR="00F55AA9" w:rsidRDefault="00A72DFD" w:rsidP="00883AE7">
      <w:pPr>
        <w:pStyle w:val="ONUMFS"/>
        <w:rPr>
          <w:rFonts w:eastAsia="SimSun"/>
          <w:bCs/>
          <w:lang w:eastAsia="zh-CN"/>
        </w:rPr>
      </w:pPr>
      <w:r w:rsidRPr="00E568C3">
        <w:rPr>
          <w:rFonts w:eastAsia="SimSun"/>
          <w:bCs/>
          <w:lang w:eastAsia="zh-CN"/>
        </w:rPr>
        <w:t>Qui plus est, de nouveaux services de “premier</w:t>
      </w:r>
      <w:r w:rsidR="00142902" w:rsidRPr="00E568C3">
        <w:rPr>
          <w:rFonts w:eastAsia="SimSun"/>
          <w:bCs/>
          <w:lang w:eastAsia="zh-CN"/>
        </w:rPr>
        <w:t> </w:t>
      </w:r>
      <w:r w:rsidRPr="00E568C3">
        <w:rPr>
          <w:rFonts w:eastAsia="SimSun"/>
          <w:bCs/>
          <w:lang w:eastAsia="zh-CN"/>
        </w:rPr>
        <w:t>guichet” dans le cadre du programme d</w:t>
      </w:r>
      <w:r w:rsidR="00871730" w:rsidRPr="00E568C3">
        <w:rPr>
          <w:rFonts w:eastAsia="SimSun"/>
          <w:bCs/>
          <w:lang w:eastAsia="zh-CN"/>
        </w:rPr>
        <w:t>’</w:t>
      </w:r>
      <w:r w:rsidRPr="00E568C3">
        <w:rPr>
          <w:rFonts w:eastAsia="SimSun"/>
          <w:bCs/>
          <w:lang w:eastAsia="zh-CN"/>
        </w:rPr>
        <w:t xml:space="preserve">aide aux inventeurs ont été lancés en 2015 en tant que projets pilotes en </w:t>
      </w:r>
      <w:r w:rsidR="00883AE7" w:rsidRPr="00E568C3">
        <w:rPr>
          <w:rFonts w:eastAsia="SimSun"/>
          <w:bCs/>
          <w:lang w:eastAsia="zh-CN"/>
        </w:rPr>
        <w:t>Colombi</w:t>
      </w:r>
      <w:r w:rsidRPr="00E568C3">
        <w:rPr>
          <w:rFonts w:eastAsia="SimSun"/>
          <w:bCs/>
          <w:lang w:eastAsia="zh-CN"/>
        </w:rPr>
        <w:t xml:space="preserve">e et </w:t>
      </w:r>
      <w:r w:rsidR="00883AE7" w:rsidRPr="00E568C3">
        <w:rPr>
          <w:rFonts w:eastAsia="SimSun"/>
          <w:bCs/>
          <w:lang w:eastAsia="zh-CN"/>
        </w:rPr>
        <w:t>a</w:t>
      </w:r>
      <w:r w:rsidRPr="00E568C3">
        <w:rPr>
          <w:rFonts w:eastAsia="SimSun"/>
          <w:bCs/>
          <w:lang w:eastAsia="zh-CN"/>
        </w:rPr>
        <w:t>u</w:t>
      </w:r>
      <w:r w:rsidR="00883AE7" w:rsidRPr="00E568C3">
        <w:rPr>
          <w:rFonts w:eastAsia="SimSun"/>
          <w:bCs/>
          <w:lang w:eastAsia="zh-CN"/>
        </w:rPr>
        <w:t xml:space="preserve"> M</w:t>
      </w:r>
      <w:r w:rsidRPr="00E568C3">
        <w:rPr>
          <w:rFonts w:eastAsia="SimSun"/>
          <w:bCs/>
          <w:lang w:eastAsia="zh-CN"/>
        </w:rPr>
        <w:t>a</w:t>
      </w:r>
      <w:r w:rsidR="00883AE7" w:rsidRPr="00E568C3">
        <w:rPr>
          <w:rFonts w:eastAsia="SimSun"/>
          <w:bCs/>
          <w:lang w:eastAsia="zh-CN"/>
        </w:rPr>
        <w:t>roc,</w:t>
      </w:r>
      <w:r w:rsidR="00871730" w:rsidRPr="00E568C3">
        <w:rPr>
          <w:rFonts w:eastAsia="SimSun"/>
          <w:bCs/>
          <w:lang w:eastAsia="zh-CN"/>
        </w:rPr>
        <w:t xml:space="preserve"> les CAT</w:t>
      </w:r>
      <w:r w:rsidRPr="00E568C3">
        <w:rPr>
          <w:rFonts w:eastAsia="SimSun"/>
          <w:bCs/>
          <w:lang w:eastAsia="zh-CN"/>
        </w:rPr>
        <w:t>I fournissant une assistance juridique</w:t>
      </w:r>
      <w:r w:rsidR="009535CF" w:rsidRPr="00E568C3">
        <w:rPr>
          <w:rFonts w:eastAsia="SimSun"/>
          <w:bCs/>
          <w:lang w:eastAsia="zh-CN"/>
        </w:rPr>
        <w:t xml:space="preserve"> à titre bénévole </w:t>
      </w:r>
      <w:r w:rsidRPr="00E568C3">
        <w:rPr>
          <w:rFonts w:eastAsia="SimSun"/>
          <w:bCs/>
          <w:lang w:eastAsia="zh-CN"/>
        </w:rPr>
        <w:t xml:space="preserve">aux </w:t>
      </w:r>
      <w:r w:rsidR="009535CF" w:rsidRPr="00E568C3">
        <w:rPr>
          <w:rFonts w:eastAsia="SimSun"/>
          <w:bCs/>
          <w:lang w:eastAsia="zh-CN"/>
        </w:rPr>
        <w:t xml:space="preserve">inventeurs et </w:t>
      </w:r>
      <w:r w:rsidR="00142902" w:rsidRPr="00E568C3">
        <w:rPr>
          <w:rFonts w:eastAsia="SimSun"/>
          <w:bCs/>
          <w:lang w:eastAsia="zh-CN"/>
        </w:rPr>
        <w:t xml:space="preserve">aux </w:t>
      </w:r>
      <w:r w:rsidR="009535CF" w:rsidRPr="00E568C3">
        <w:rPr>
          <w:rFonts w:eastAsia="SimSun"/>
          <w:bCs/>
          <w:lang w:eastAsia="zh-CN"/>
        </w:rPr>
        <w:t>petites entreprises manquant de ressources qui remplissent les conditions requises</w:t>
      </w:r>
      <w:r w:rsidR="00142902" w:rsidRPr="00E568C3">
        <w:rPr>
          <w:rFonts w:eastAsia="SimSun"/>
          <w:bCs/>
          <w:lang w:eastAsia="zh-CN"/>
        </w:rPr>
        <w:t>.</w:t>
      </w:r>
    </w:p>
    <w:p w:rsidR="00F55AA9" w:rsidRDefault="002C40D5" w:rsidP="002C40D5">
      <w:pPr>
        <w:pStyle w:val="Heading3"/>
        <w:rPr>
          <w:lang w:eastAsia="zh-CN"/>
        </w:rPr>
      </w:pPr>
      <w:r w:rsidRPr="00E568C3">
        <w:rPr>
          <w:lang w:eastAsia="zh-CN"/>
        </w:rPr>
        <w:t>Programme d’accès à la recherche pour le développement et l’innovation (</w:t>
      </w:r>
      <w:proofErr w:type="spellStart"/>
      <w:r w:rsidR="00E152B3" w:rsidRPr="00E568C3">
        <w:rPr>
          <w:lang w:eastAsia="zh-CN"/>
        </w:rPr>
        <w:t>a</w:t>
      </w:r>
      <w:r w:rsidRPr="00E568C3">
        <w:rPr>
          <w:lang w:eastAsia="zh-CN"/>
        </w:rPr>
        <w:t>RD</w:t>
      </w:r>
      <w:r w:rsidR="00E152B3" w:rsidRPr="00E568C3">
        <w:rPr>
          <w:lang w:eastAsia="zh-CN"/>
        </w:rPr>
        <w:t>i</w:t>
      </w:r>
      <w:proofErr w:type="spellEnd"/>
      <w:r w:rsidRPr="00E568C3">
        <w:rPr>
          <w:lang w:eastAsia="zh-CN"/>
        </w:rPr>
        <w:t>)</w:t>
      </w:r>
    </w:p>
    <w:p w:rsidR="00F55AA9" w:rsidRDefault="00F55AA9" w:rsidP="002C40D5">
      <w:pPr>
        <w:rPr>
          <w:rFonts w:eastAsia="SimSun"/>
          <w:lang w:eastAsia="zh-CN"/>
        </w:rPr>
      </w:pPr>
    </w:p>
    <w:p w:rsidR="00F55AA9" w:rsidRDefault="009535CF" w:rsidP="008C2D25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 xml:space="preserve">Deux programmes de partenariat </w:t>
      </w:r>
      <w:r w:rsidR="00883AE7" w:rsidRPr="00E568C3">
        <w:rPr>
          <w:rFonts w:eastAsia="SimSun"/>
          <w:lang w:eastAsia="zh-CN"/>
        </w:rPr>
        <w:t>public</w:t>
      </w:r>
      <w:r w:rsidR="006A3508" w:rsidRPr="00E568C3">
        <w:rPr>
          <w:rFonts w:eastAsia="SimSun"/>
          <w:lang w:eastAsia="zh-CN"/>
        </w:rPr>
        <w:noBreakHyphen/>
      </w:r>
      <w:r w:rsidR="00883AE7" w:rsidRPr="00E568C3">
        <w:rPr>
          <w:rFonts w:eastAsia="SimSun"/>
          <w:lang w:eastAsia="zh-CN"/>
        </w:rPr>
        <w:t>priv</w:t>
      </w:r>
      <w:r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 facilite</w:t>
      </w:r>
      <w:r w:rsidRPr="00E568C3">
        <w:rPr>
          <w:rFonts w:eastAsia="SimSun"/>
          <w:lang w:eastAsia="zh-CN"/>
        </w:rPr>
        <w:t>nt 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acc</w:t>
      </w:r>
      <w:r w:rsidRPr="00E568C3">
        <w:rPr>
          <w:rFonts w:eastAsia="SimSun"/>
          <w:lang w:eastAsia="zh-CN"/>
        </w:rPr>
        <w:t>ès aux bases de donné</w:t>
      </w:r>
      <w:r w:rsidR="00883AE7" w:rsidRPr="00E568C3">
        <w:rPr>
          <w:rFonts w:eastAsia="SimSun"/>
          <w:lang w:eastAsia="zh-CN"/>
        </w:rPr>
        <w:t xml:space="preserve">es </w:t>
      </w:r>
      <w:r w:rsidRPr="00E568C3">
        <w:rPr>
          <w:rFonts w:eastAsia="SimSun"/>
          <w:lang w:eastAsia="zh-CN"/>
        </w:rPr>
        <w:t>fonctionnant par abonneme</w:t>
      </w:r>
      <w:r w:rsidR="006A3508" w:rsidRPr="00E568C3">
        <w:rPr>
          <w:rFonts w:eastAsia="SimSun"/>
          <w:lang w:eastAsia="zh-CN"/>
        </w:rPr>
        <w:t>nt.  Le</w:t>
      </w:r>
      <w:r w:rsidRPr="00E568C3">
        <w:rPr>
          <w:rFonts w:eastAsia="SimSun"/>
          <w:lang w:eastAsia="zh-CN"/>
        </w:rPr>
        <w:t xml:space="preserve"> programme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accès à la recherche pour le développement et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innovation</w:t>
      </w:r>
      <w:r w:rsidRPr="00E568C3">
        <w:t xml:space="preserve"> donne </w:t>
      </w:r>
      <w:r w:rsidRPr="00E568C3">
        <w:rPr>
          <w:rFonts w:eastAsia="SimSun"/>
          <w:lang w:eastAsia="zh-CN"/>
        </w:rPr>
        <w:t>accès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information scientifique et technique dans les pays en développeme</w:t>
      </w:r>
      <w:r w:rsidR="006A3508" w:rsidRPr="00E568C3">
        <w:rPr>
          <w:rFonts w:eastAsia="SimSun"/>
          <w:lang w:eastAsia="zh-CN"/>
        </w:rPr>
        <w:t>nt.  En</w:t>
      </w:r>
      <w:r w:rsidRPr="00E568C3">
        <w:rPr>
          <w:rFonts w:eastAsia="SimSun"/>
          <w:lang w:eastAsia="zh-CN"/>
        </w:rPr>
        <w:t xml:space="preserve"> améliorant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accès à la documentation relative à divers domaines scientifiques et techniques, le programme ARDI vise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à renforcer la capacité des pays en développement à participer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économie mondiale du savoir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et à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aider les chercheurs des pays en développement à trouver et à développer de nouvelles solutions aux défis techniques auxquels ils sont confrontés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échelle nationale et internationa</w:t>
      </w:r>
      <w:r w:rsidR="006A3508" w:rsidRPr="00E568C3">
        <w:rPr>
          <w:rFonts w:eastAsia="SimSun"/>
          <w:lang w:eastAsia="zh-CN"/>
        </w:rPr>
        <w:t>le.  Il</w:t>
      </w:r>
      <w:r w:rsidR="00883AE7" w:rsidRPr="00E568C3">
        <w:rPr>
          <w:rFonts w:eastAsia="SimSun"/>
          <w:lang w:eastAsia="zh-CN"/>
        </w:rPr>
        <w:t xml:space="preserve"> </w:t>
      </w:r>
      <w:r w:rsidR="008C2D25" w:rsidRPr="00E568C3">
        <w:rPr>
          <w:rFonts w:eastAsia="SimSun"/>
          <w:lang w:eastAsia="zh-CN"/>
        </w:rPr>
        <w:t>donne accès à plus de</w:t>
      </w:r>
      <w:r w:rsidR="00883AE7" w:rsidRPr="00E568C3">
        <w:rPr>
          <w:rFonts w:eastAsia="SimSun"/>
          <w:lang w:eastAsia="zh-CN"/>
        </w:rPr>
        <w:t xml:space="preserve"> 25</w:t>
      </w:r>
      <w:r w:rsidR="008C2D25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000 </w:t>
      </w:r>
      <w:r w:rsidR="008C2D25" w:rsidRPr="00E568C3">
        <w:rPr>
          <w:rFonts w:eastAsia="SimSun"/>
          <w:lang w:eastAsia="zh-CN"/>
        </w:rPr>
        <w:t>livres électroniques et périodiques scientifiques et techniques à comité de lecture</w:t>
      </w:r>
      <w:r w:rsidR="00142902" w:rsidRPr="00E568C3">
        <w:rPr>
          <w:rFonts w:eastAsia="SimSun"/>
          <w:lang w:eastAsia="zh-CN"/>
        </w:rPr>
        <w:t xml:space="preserve"> et comptait</w:t>
      </w:r>
      <w:r w:rsidR="008C2D25" w:rsidRPr="00E568C3">
        <w:rPr>
          <w:rFonts w:eastAsia="SimSun"/>
          <w:lang w:eastAsia="zh-CN"/>
        </w:rPr>
        <w:t xml:space="preserve"> plus d</w:t>
      </w:r>
      <w:r w:rsidR="00883AE7" w:rsidRPr="00E568C3">
        <w:rPr>
          <w:rFonts w:eastAsia="SimSun"/>
          <w:lang w:eastAsia="zh-CN"/>
        </w:rPr>
        <w:t>e 550</w:t>
      </w:r>
      <w:r w:rsidR="008C2D25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u</w:t>
      </w:r>
      <w:r w:rsidR="008C2D25" w:rsidRPr="00E568C3">
        <w:rPr>
          <w:rFonts w:eastAsia="SimSun"/>
          <w:lang w:eastAsia="zh-CN"/>
        </w:rPr>
        <w:t xml:space="preserve">tilisateurs </w:t>
      </w:r>
      <w:r w:rsidR="00883AE7" w:rsidRPr="00E568C3">
        <w:rPr>
          <w:rFonts w:eastAsia="SimSun"/>
          <w:lang w:eastAsia="zh-CN"/>
        </w:rPr>
        <w:t>institution</w:t>
      </w:r>
      <w:r w:rsidR="008C2D25" w:rsidRPr="00E568C3">
        <w:rPr>
          <w:rFonts w:eastAsia="SimSun"/>
          <w:lang w:eastAsia="zh-CN"/>
        </w:rPr>
        <w:t>nel</w:t>
      </w:r>
      <w:r w:rsidR="00883AE7" w:rsidRPr="00E568C3">
        <w:rPr>
          <w:rFonts w:eastAsia="SimSun"/>
          <w:lang w:eastAsia="zh-CN"/>
        </w:rPr>
        <w:t xml:space="preserve">s </w:t>
      </w:r>
      <w:r w:rsidR="008C2D25" w:rsidRPr="00E568C3">
        <w:rPr>
          <w:rFonts w:eastAsia="SimSun"/>
          <w:lang w:eastAsia="zh-CN"/>
        </w:rPr>
        <w:t>inscrits à la fin de </w:t>
      </w:r>
      <w:r w:rsidR="00883AE7" w:rsidRPr="00E568C3">
        <w:rPr>
          <w:rFonts w:eastAsia="SimSun"/>
          <w:lang w:eastAsia="zh-CN"/>
        </w:rPr>
        <w:t xml:space="preserve">2015.  </w:t>
      </w:r>
      <w:r w:rsidR="008C2D25" w:rsidRPr="00E568C3">
        <w:rPr>
          <w:rFonts w:eastAsia="SimSun"/>
          <w:lang w:eastAsia="zh-CN"/>
        </w:rPr>
        <w:t>Pour plus d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information</w:t>
      </w:r>
      <w:r w:rsidR="008C2D25" w:rsidRPr="00E568C3">
        <w:rPr>
          <w:rFonts w:eastAsia="SimSun"/>
          <w:lang w:eastAsia="zh-CN"/>
        </w:rPr>
        <w:t>s, v</w:t>
      </w:r>
      <w:r w:rsidR="00142902" w:rsidRPr="00E568C3">
        <w:rPr>
          <w:rFonts w:eastAsia="SimSun"/>
          <w:lang w:eastAsia="zh-CN"/>
        </w:rPr>
        <w:t>euille</w:t>
      </w:r>
      <w:r w:rsidR="008C2D25" w:rsidRPr="00E568C3">
        <w:rPr>
          <w:rFonts w:eastAsia="SimSun"/>
          <w:lang w:eastAsia="zh-CN"/>
        </w:rPr>
        <w:t>z</w:t>
      </w:r>
      <w:r w:rsidR="00883AE7" w:rsidRPr="00E568C3">
        <w:rPr>
          <w:rFonts w:eastAsia="SimSun"/>
          <w:lang w:eastAsia="zh-CN"/>
        </w:rPr>
        <w:t xml:space="preserve"> consult</w:t>
      </w:r>
      <w:r w:rsidR="008C2D25" w:rsidRPr="00E568C3">
        <w:rPr>
          <w:rFonts w:eastAsia="SimSun"/>
          <w:lang w:eastAsia="zh-CN"/>
        </w:rPr>
        <w:t>er l</w:t>
      </w:r>
      <w:r w:rsidR="00142902" w:rsidRPr="00E568C3">
        <w:rPr>
          <w:rFonts w:eastAsia="SimSun"/>
          <w:lang w:eastAsia="zh-CN"/>
        </w:rPr>
        <w:t>a pag</w:t>
      </w:r>
      <w:r w:rsidR="008C2D25" w:rsidRPr="00E568C3">
        <w:rPr>
          <w:rFonts w:eastAsia="SimSun"/>
          <w:lang w:eastAsia="zh-CN"/>
        </w:rPr>
        <w:t xml:space="preserve">e Web </w:t>
      </w:r>
      <w:r w:rsidR="00142902" w:rsidRPr="00E568C3">
        <w:rPr>
          <w:rFonts w:eastAsia="SimSun"/>
          <w:lang w:eastAsia="zh-CN"/>
        </w:rPr>
        <w:t>consacrée a</w:t>
      </w:r>
      <w:r w:rsidR="008C2D25" w:rsidRPr="00E568C3">
        <w:rPr>
          <w:rFonts w:eastAsia="SimSun"/>
          <w:lang w:eastAsia="zh-CN"/>
        </w:rPr>
        <w:t>u programme</w:t>
      </w:r>
      <w:r w:rsidR="00142902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ARDI (</w:t>
      </w:r>
      <w:hyperlink r:id="rId15" w:tooltip="http://www.wipo.int/ardi" w:history="1">
        <w:r w:rsidR="00883AE7" w:rsidRPr="00E568C3">
          <w:rPr>
            <w:rStyle w:val="Hyperlink"/>
            <w:rFonts w:eastAsia="SimSun"/>
            <w:color w:val="auto"/>
          </w:rPr>
          <w:t>www.wipo.int/ardi</w:t>
        </w:r>
      </w:hyperlink>
      <w:r w:rsidR="00142902" w:rsidRPr="00E568C3">
        <w:rPr>
          <w:rStyle w:val="Hyperlink"/>
          <w:rFonts w:eastAsia="SimSun"/>
          <w:color w:val="auto"/>
        </w:rPr>
        <w:t>/</w:t>
      </w:r>
      <w:r w:rsidR="006A3508" w:rsidRPr="00E568C3">
        <w:rPr>
          <w:rStyle w:val="Hyperlink"/>
          <w:rFonts w:eastAsia="SimSun"/>
          <w:color w:val="auto"/>
        </w:rPr>
        <w:t>fr</w:t>
      </w:r>
      <w:r w:rsidR="006A3508" w:rsidRPr="00E568C3">
        <w:rPr>
          <w:rFonts w:eastAsia="SimSun"/>
          <w:lang w:eastAsia="zh-CN"/>
        </w:rPr>
        <w:t>).  De</w:t>
      </w:r>
      <w:r w:rsidR="008C2D25" w:rsidRPr="00E568C3">
        <w:rPr>
          <w:rFonts w:eastAsia="SimSun"/>
          <w:lang w:eastAsia="zh-CN"/>
        </w:rPr>
        <w:t>puis 2011, le programme</w:t>
      </w:r>
      <w:r w:rsidR="00142902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ARDI </w:t>
      </w:r>
      <w:r w:rsidR="008C2D25" w:rsidRPr="00E568C3">
        <w:rPr>
          <w:rFonts w:eastAsia="SimSun"/>
          <w:lang w:eastAsia="zh-CN"/>
        </w:rPr>
        <w:t>fait partie du partenariat Research4Life (R4L),</w:t>
      </w:r>
      <w:r w:rsidR="00883AE7" w:rsidRPr="00E568C3">
        <w:rPr>
          <w:rFonts w:eastAsia="SimSun"/>
          <w:lang w:eastAsia="zh-CN"/>
        </w:rPr>
        <w:t xml:space="preserve"> </w:t>
      </w:r>
      <w:r w:rsidR="008C2D25" w:rsidRPr="00E568C3">
        <w:rPr>
          <w:rFonts w:eastAsia="SimSun"/>
          <w:lang w:eastAsia="zh-CN"/>
        </w:rPr>
        <w:t>qui regroupe le programme</w:t>
      </w:r>
      <w:r w:rsidR="00142902" w:rsidRPr="00E568C3">
        <w:rPr>
          <w:rFonts w:eastAsia="SimSun"/>
          <w:lang w:eastAsia="zh-CN"/>
        </w:rPr>
        <w:t> </w:t>
      </w:r>
      <w:r w:rsidR="008C2D25" w:rsidRPr="00E568C3">
        <w:rPr>
          <w:rFonts w:eastAsia="SimSun"/>
          <w:lang w:eastAsia="zh-CN"/>
        </w:rPr>
        <w:t xml:space="preserve">HINARI de </w:t>
      </w:r>
      <w:r w:rsidR="00E568C3" w:rsidRPr="00E568C3">
        <w:rPr>
          <w:rFonts w:eastAsia="SimSun"/>
          <w:lang w:eastAsia="zh-CN"/>
        </w:rPr>
        <w:t>l’Organisation mondiale de la Santé (OMS)</w:t>
      </w:r>
      <w:r w:rsidR="008C2D25" w:rsidRPr="00E568C3">
        <w:rPr>
          <w:rFonts w:eastAsia="SimSun"/>
          <w:lang w:eastAsia="zh-CN"/>
        </w:rPr>
        <w:t xml:space="preserve"> (périodiques dans les domaines biomédical et médical), le programme AGORA de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 xml:space="preserve">Organisation des </w:t>
      </w:r>
      <w:r w:rsidR="00871730" w:rsidRPr="00E568C3">
        <w:rPr>
          <w:rFonts w:eastAsia="SimSun"/>
          <w:lang w:eastAsia="zh-CN"/>
        </w:rPr>
        <w:t>Nations Unies</w:t>
      </w:r>
      <w:r w:rsidR="008C2D25" w:rsidRPr="00E568C3">
        <w:rPr>
          <w:rFonts w:eastAsia="SimSun"/>
          <w:lang w:eastAsia="zh-CN"/>
        </w:rPr>
        <w:t xml:space="preserve"> pour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>alimentation et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>agriculture (FAO) (périodiques dans le domaine de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 xml:space="preserve">agriculture) et le programme OARE du Programme des </w:t>
      </w:r>
      <w:r w:rsidR="00871730" w:rsidRPr="00E568C3">
        <w:rPr>
          <w:rFonts w:eastAsia="SimSun"/>
          <w:lang w:eastAsia="zh-CN"/>
        </w:rPr>
        <w:t>Nations Unies</w:t>
      </w:r>
      <w:r w:rsidR="008C2D25" w:rsidRPr="00E568C3">
        <w:rPr>
          <w:rFonts w:eastAsia="SimSun"/>
          <w:lang w:eastAsia="zh-CN"/>
        </w:rPr>
        <w:t xml:space="preserve"> pour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>environnement (PNUE) (questions relatives à l</w:t>
      </w:r>
      <w:r w:rsidR="00871730" w:rsidRPr="00E568C3">
        <w:rPr>
          <w:rFonts w:eastAsia="SimSun"/>
          <w:lang w:eastAsia="zh-CN"/>
        </w:rPr>
        <w:t>’</w:t>
      </w:r>
      <w:r w:rsidR="008C2D25" w:rsidRPr="00E568C3">
        <w:rPr>
          <w:rFonts w:eastAsia="SimSun"/>
          <w:lang w:eastAsia="zh-CN"/>
        </w:rPr>
        <w:t>environnement).</w:t>
      </w:r>
    </w:p>
    <w:p w:rsidR="00F55AA9" w:rsidRDefault="00E568C3" w:rsidP="00E568C3">
      <w:pPr>
        <w:pStyle w:val="Heading3"/>
        <w:rPr>
          <w:lang w:eastAsia="zh-CN"/>
        </w:rPr>
      </w:pPr>
      <w:r w:rsidRPr="00E568C3">
        <w:rPr>
          <w:lang w:eastAsia="zh-CN"/>
        </w:rPr>
        <w:t>Programme relatif à l’accès à l’information spécialisée en matière de brevets (ASPI)</w:t>
      </w:r>
    </w:p>
    <w:p w:rsidR="00F55AA9" w:rsidRDefault="00F55AA9" w:rsidP="00E568C3">
      <w:pPr>
        <w:rPr>
          <w:rFonts w:eastAsia="SimSun"/>
          <w:lang w:eastAsia="zh-CN"/>
        </w:rPr>
      </w:pPr>
    </w:p>
    <w:p w:rsidR="00F55AA9" w:rsidRDefault="00977EAF" w:rsidP="00977EAF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De même, le programme relatif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accès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information spécialisée en matière de brevets est un partenariat entre les secteurs public</w:t>
      </w:r>
      <w:r w:rsidR="006A3508" w:rsidRPr="00E568C3">
        <w:rPr>
          <w:rFonts w:eastAsia="SimSun"/>
          <w:lang w:eastAsia="zh-CN"/>
        </w:rPr>
        <w:noBreakHyphen/>
      </w:r>
      <w:r w:rsidRPr="00E568C3">
        <w:rPr>
          <w:rFonts w:eastAsia="SimSun"/>
          <w:lang w:eastAsia="zh-CN"/>
        </w:rPr>
        <w:t>privé avec les principaux vendeurs de bases de données commerciales de brevets dans le monde et permet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accéder à des outils de recherche et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analyse plus avancés et sophistiqués destinés à être utilisés par les institutions des</w:t>
      </w:r>
      <w:r w:rsidR="00E568C3">
        <w:rPr>
          <w:rFonts w:eastAsia="SimSun"/>
          <w:lang w:eastAsia="zh-CN"/>
        </w:rPr>
        <w:t> PMA</w:t>
      </w:r>
      <w:r w:rsidR="006A3508" w:rsidRPr="00E568C3">
        <w:rPr>
          <w:rFonts w:eastAsia="SimSun"/>
          <w:lang w:eastAsia="zh-CN"/>
        </w:rPr>
        <w:t xml:space="preserve">.  </w:t>
      </w:r>
      <w:r w:rsidR="006A3508" w:rsidRPr="00E568C3">
        <w:rPr>
          <w:rFonts w:eastAsia="SimSun"/>
          <w:bCs/>
          <w:lang w:eastAsia="zh-CN"/>
        </w:rPr>
        <w:t>Le</w:t>
      </w:r>
      <w:r w:rsidRPr="00E568C3">
        <w:rPr>
          <w:rFonts w:eastAsia="SimSun"/>
          <w:bCs/>
          <w:lang w:eastAsia="zh-CN"/>
        </w:rPr>
        <w:t xml:space="preserve"> nombre d</w:t>
      </w:r>
      <w:r w:rsidR="00871730" w:rsidRPr="00E568C3">
        <w:rPr>
          <w:rFonts w:eastAsia="SimSun"/>
          <w:bCs/>
          <w:lang w:eastAsia="zh-CN"/>
        </w:rPr>
        <w:t>’</w:t>
      </w:r>
      <w:r w:rsidRPr="00E568C3">
        <w:rPr>
          <w:rFonts w:eastAsia="SimSun"/>
          <w:bCs/>
          <w:lang w:eastAsia="zh-CN"/>
        </w:rPr>
        <w:t>utilisateurs institutionnels (plus de 50 actuellement) est également en augmentation constan</w:t>
      </w:r>
      <w:r w:rsidR="006A3508" w:rsidRPr="00E568C3">
        <w:rPr>
          <w:rFonts w:eastAsia="SimSun"/>
          <w:bCs/>
          <w:lang w:eastAsia="zh-CN"/>
        </w:rPr>
        <w:t xml:space="preserve">te.  </w:t>
      </w:r>
      <w:r w:rsidR="006A3508" w:rsidRPr="00E568C3">
        <w:rPr>
          <w:rFonts w:eastAsia="SimSun"/>
          <w:lang w:eastAsia="zh-CN"/>
        </w:rPr>
        <w:t>Po</w:t>
      </w:r>
      <w:r w:rsidRPr="00E568C3">
        <w:rPr>
          <w:rFonts w:eastAsia="SimSun"/>
          <w:lang w:eastAsia="zh-CN"/>
        </w:rPr>
        <w:t xml:space="preserve">ur </w:t>
      </w:r>
      <w:r w:rsidR="00AA4C6E" w:rsidRPr="00E568C3">
        <w:rPr>
          <w:rFonts w:eastAsia="SimSun"/>
          <w:lang w:eastAsia="zh-CN"/>
        </w:rPr>
        <w:t>de plus amples informations</w:t>
      </w:r>
      <w:r w:rsidRPr="00E568C3">
        <w:rPr>
          <w:rFonts w:eastAsia="SimSun"/>
          <w:lang w:eastAsia="zh-CN"/>
        </w:rPr>
        <w:t>, v</w:t>
      </w:r>
      <w:r w:rsidR="00AA4C6E" w:rsidRPr="00E568C3">
        <w:rPr>
          <w:rFonts w:eastAsia="SimSun"/>
          <w:lang w:eastAsia="zh-CN"/>
        </w:rPr>
        <w:t>euille</w:t>
      </w:r>
      <w:r w:rsidRPr="00E568C3">
        <w:rPr>
          <w:rFonts w:eastAsia="SimSun"/>
          <w:lang w:eastAsia="zh-CN"/>
        </w:rPr>
        <w:t>z consulter l</w:t>
      </w:r>
      <w:r w:rsidR="00AA4C6E" w:rsidRPr="00E568C3">
        <w:rPr>
          <w:rFonts w:eastAsia="SimSun"/>
          <w:lang w:eastAsia="zh-CN"/>
        </w:rPr>
        <w:t>a</w:t>
      </w:r>
      <w:r w:rsidRPr="00E568C3">
        <w:rPr>
          <w:rFonts w:eastAsia="SimSun"/>
          <w:lang w:eastAsia="zh-CN"/>
        </w:rPr>
        <w:t xml:space="preserve"> </w:t>
      </w:r>
      <w:r w:rsidR="00AA4C6E" w:rsidRPr="00E568C3">
        <w:rPr>
          <w:rFonts w:eastAsia="SimSun"/>
          <w:lang w:eastAsia="zh-CN"/>
        </w:rPr>
        <w:t>pag</w:t>
      </w:r>
      <w:r w:rsidRPr="00E568C3">
        <w:rPr>
          <w:rFonts w:eastAsia="SimSun"/>
          <w:lang w:eastAsia="zh-CN"/>
        </w:rPr>
        <w:t xml:space="preserve">e Web </w:t>
      </w:r>
      <w:r w:rsidR="00AA4C6E" w:rsidRPr="00E568C3">
        <w:rPr>
          <w:rFonts w:eastAsia="SimSun"/>
          <w:lang w:eastAsia="zh-CN"/>
        </w:rPr>
        <w:t>consacrée au programme </w:t>
      </w:r>
      <w:r w:rsidR="00883AE7" w:rsidRPr="00E568C3">
        <w:rPr>
          <w:rFonts w:eastAsia="SimSun"/>
          <w:lang w:eastAsia="zh-CN"/>
        </w:rPr>
        <w:t>ASPI (</w:t>
      </w:r>
      <w:hyperlink r:id="rId16" w:history="1">
        <w:r w:rsidR="00883AE7" w:rsidRPr="00E568C3">
          <w:rPr>
            <w:rFonts w:eastAsia="SimSun"/>
            <w:u w:val="single"/>
            <w:lang w:eastAsia="zh-CN"/>
          </w:rPr>
          <w:t>www.wipo.int/aspi</w:t>
        </w:r>
      </w:hyperlink>
      <w:r w:rsidR="00AA4C6E" w:rsidRPr="00E568C3">
        <w:rPr>
          <w:rFonts w:eastAsia="SimSun"/>
          <w:u w:val="single"/>
          <w:lang w:eastAsia="zh-CN"/>
        </w:rPr>
        <w:t>/fr</w:t>
      </w:r>
      <w:r w:rsidR="00883AE7" w:rsidRPr="00E568C3">
        <w:rPr>
          <w:rFonts w:eastAsia="SimSun"/>
          <w:lang w:eastAsia="zh-CN"/>
        </w:rPr>
        <w:t>).</w:t>
      </w:r>
    </w:p>
    <w:p w:rsidR="00F55AA9" w:rsidRDefault="00977EAF" w:rsidP="00A8340A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Les rapports panoramiques sur les brevets offrent une vue et une analyse globales de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activité en matière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innovation et de brevets dans un domaine technologique précis, au niveau mondial ou dans une aire géographique détermin</w:t>
      </w:r>
      <w:r w:rsidR="006A3508" w:rsidRPr="00E568C3">
        <w:rPr>
          <w:rFonts w:eastAsia="SimSun"/>
          <w:lang w:eastAsia="zh-CN"/>
        </w:rPr>
        <w:t xml:space="preserve">ée.  </w:t>
      </w:r>
      <w:r w:rsidR="006A3508" w:rsidRPr="00E568C3">
        <w:rPr>
          <w:rFonts w:eastAsia="SimSun"/>
          <w:bCs/>
          <w:lang w:eastAsia="zh-CN"/>
        </w:rPr>
        <w:t>Le</w:t>
      </w:r>
      <w:r w:rsidRPr="00E568C3">
        <w:rPr>
          <w:rFonts w:eastAsia="SimSun"/>
          <w:bCs/>
          <w:lang w:eastAsia="zh-CN"/>
        </w:rPr>
        <w:t xml:space="preserve">s résultats sont présentés et analysés de façon globale et visualisés au moyen de graphiques et de statistiques combinés à différents </w:t>
      </w:r>
      <w:r w:rsidRPr="00E568C3">
        <w:rPr>
          <w:rFonts w:eastAsia="SimSun"/>
          <w:bCs/>
          <w:lang w:eastAsia="zh-CN"/>
        </w:rPr>
        <w:lastRenderedPageBreak/>
        <w:t>instruments analytiqu</w:t>
      </w:r>
      <w:r w:rsidR="006A3508" w:rsidRPr="00E568C3">
        <w:rPr>
          <w:rFonts w:eastAsia="SimSun"/>
          <w:bCs/>
          <w:lang w:eastAsia="zh-CN"/>
        </w:rPr>
        <w:t xml:space="preserve">es.  </w:t>
      </w:r>
      <w:r w:rsidR="006A3508" w:rsidRPr="00E568C3">
        <w:rPr>
          <w:rFonts w:eastAsia="SimSun"/>
          <w:lang w:eastAsia="zh-CN"/>
        </w:rPr>
        <w:t>De</w:t>
      </w:r>
      <w:r w:rsidRPr="00E568C3">
        <w:rPr>
          <w:rFonts w:eastAsia="SimSun"/>
          <w:lang w:eastAsia="zh-CN"/>
        </w:rPr>
        <w:t xml:space="preserve"> nouveaux rapports panoramiques sur les brevets ont été </w:t>
      </w:r>
      <w:r w:rsidR="00883AE7" w:rsidRPr="00E568C3">
        <w:rPr>
          <w:rFonts w:eastAsia="SimSun"/>
          <w:lang w:eastAsia="zh-CN"/>
        </w:rPr>
        <w:t>publi</w:t>
      </w:r>
      <w:r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s 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n</w:t>
      </w:r>
      <w:r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2014 </w:t>
      </w:r>
      <w:r w:rsidRPr="00E568C3">
        <w:rPr>
          <w:rFonts w:eastAsia="SimSun"/>
          <w:lang w:eastAsia="zh-CN"/>
        </w:rPr>
        <w:t xml:space="preserve">sur les ressources </w:t>
      </w:r>
      <w:proofErr w:type="spellStart"/>
      <w:r w:rsidR="00554246" w:rsidRPr="00E568C3">
        <w:rPr>
          <w:rFonts w:eastAsia="SimSun"/>
          <w:lang w:eastAsia="zh-CN"/>
        </w:rPr>
        <w:t>zoo</w:t>
      </w:r>
      <w:r w:rsidRPr="00E568C3">
        <w:rPr>
          <w:rFonts w:eastAsia="SimSun"/>
          <w:lang w:eastAsia="zh-CN"/>
        </w:rPr>
        <w:t>génétiques</w:t>
      </w:r>
      <w:proofErr w:type="spellEnd"/>
      <w:r w:rsidR="00883AE7" w:rsidRPr="00E568C3">
        <w:rPr>
          <w:rFonts w:eastAsia="SimSun"/>
          <w:lang w:eastAsia="zh-CN"/>
        </w:rPr>
        <w:t xml:space="preserve">, </w:t>
      </w:r>
      <w:r w:rsidRPr="00E568C3">
        <w:rPr>
          <w:rFonts w:eastAsia="SimSun"/>
          <w:lang w:eastAsia="zh-CN"/>
        </w:rPr>
        <w:t xml:space="preserve">certaines maladies négligées ainsi que sur les dispositifs </w:t>
      </w:r>
      <w:r w:rsidR="00A8340A"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="00A8340A" w:rsidRPr="00E568C3">
        <w:rPr>
          <w:rFonts w:eastAsia="SimSun"/>
          <w:lang w:eastAsia="zh-CN"/>
        </w:rPr>
        <w:t>a</w:t>
      </w:r>
      <w:r w:rsidR="00883AE7" w:rsidRPr="00E568C3">
        <w:rPr>
          <w:rFonts w:eastAsia="SimSun"/>
          <w:lang w:eastAsia="zh-CN"/>
        </w:rPr>
        <w:t>ssist</w:t>
      </w:r>
      <w:r w:rsidR="00A8340A" w:rsidRPr="00E568C3">
        <w:rPr>
          <w:rFonts w:eastAsia="SimSun"/>
          <w:lang w:eastAsia="zh-CN"/>
        </w:rPr>
        <w:t>anc</w:t>
      </w:r>
      <w:r w:rsidR="00883AE7" w:rsidRPr="00E568C3">
        <w:rPr>
          <w:rFonts w:eastAsia="SimSun"/>
          <w:lang w:eastAsia="zh-CN"/>
        </w:rPr>
        <w:t xml:space="preserve">e </w:t>
      </w:r>
      <w:r w:rsidR="00A8340A" w:rsidRPr="00E568C3">
        <w:rPr>
          <w:rFonts w:eastAsia="SimSun"/>
          <w:lang w:eastAsia="zh-CN"/>
        </w:rPr>
        <w:t>destinés aux déficients visuels</w:t>
      </w:r>
      <w:r w:rsidR="00883AE7" w:rsidRPr="00E568C3">
        <w:rPr>
          <w:rFonts w:eastAsia="SimSun"/>
          <w:lang w:eastAsia="zh-CN"/>
        </w:rPr>
        <w:t xml:space="preserve">, </w:t>
      </w:r>
      <w:r w:rsidR="00A8340A" w:rsidRPr="00E568C3">
        <w:rPr>
          <w:rFonts w:eastAsia="SimSun"/>
          <w:lang w:eastAsia="zh-CN"/>
        </w:rPr>
        <w:t xml:space="preserve">ce dernier étant également mis à disposition dans un format </w:t>
      </w:r>
      <w:r w:rsidR="00883AE7" w:rsidRPr="00E568C3">
        <w:rPr>
          <w:rFonts w:eastAsia="SimSun"/>
          <w:lang w:eastAsia="zh-CN"/>
        </w:rPr>
        <w:t xml:space="preserve">accessible </w:t>
      </w:r>
      <w:r w:rsidR="00A8340A" w:rsidRPr="00E568C3">
        <w:rPr>
          <w:rFonts w:eastAsia="SimSun"/>
          <w:lang w:eastAsia="zh-CN"/>
        </w:rPr>
        <w:t>aux personnes ayant des difficultés de lecture des imprim</w:t>
      </w:r>
      <w:r w:rsidR="006A3508" w:rsidRPr="00E568C3">
        <w:rPr>
          <w:rFonts w:eastAsia="SimSun"/>
          <w:lang w:eastAsia="zh-CN"/>
        </w:rPr>
        <w:t>és.  Le</w:t>
      </w:r>
      <w:r w:rsidR="00A8340A" w:rsidRPr="00E568C3">
        <w:rPr>
          <w:rFonts w:eastAsia="SimSun"/>
          <w:lang w:eastAsia="zh-CN"/>
        </w:rPr>
        <w:t>s rapports ont été présentés aux États m</w:t>
      </w:r>
      <w:r w:rsidR="00883AE7" w:rsidRPr="00E568C3">
        <w:rPr>
          <w:rFonts w:eastAsia="SimSun"/>
          <w:lang w:eastAsia="zh-CN"/>
        </w:rPr>
        <w:t xml:space="preserve">embres </w:t>
      </w:r>
      <w:r w:rsidR="00A8340A" w:rsidRPr="00E568C3">
        <w:rPr>
          <w:rFonts w:eastAsia="SimSun"/>
          <w:lang w:eastAsia="zh-CN"/>
        </w:rPr>
        <w:t>lors de manifestations</w:t>
      </w:r>
      <w:r w:rsidR="00883AE7" w:rsidRPr="00E568C3">
        <w:rPr>
          <w:rFonts w:eastAsia="SimSun"/>
          <w:lang w:eastAsia="zh-CN"/>
        </w:rPr>
        <w:t xml:space="preserve"> promotion</w:t>
      </w:r>
      <w:r w:rsidR="00A8340A" w:rsidRPr="00E568C3">
        <w:rPr>
          <w:rFonts w:eastAsia="SimSun"/>
          <w:lang w:eastAsia="zh-CN"/>
        </w:rPr>
        <w:t>nelles, enrichis d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infographi</w:t>
      </w:r>
      <w:r w:rsidR="00A8340A" w:rsidRPr="00E568C3">
        <w:rPr>
          <w:rFonts w:eastAsia="SimSun"/>
          <w:lang w:eastAsia="zh-CN"/>
        </w:rPr>
        <w:t>es résumant le</w:t>
      </w:r>
      <w:r w:rsidR="00290CFB" w:rsidRPr="00E568C3">
        <w:rPr>
          <w:rFonts w:eastAsia="SimSun"/>
          <w:lang w:eastAsia="zh-CN"/>
        </w:rPr>
        <w:t>ur</w:t>
      </w:r>
      <w:r w:rsidR="00A8340A" w:rsidRPr="00E568C3">
        <w:rPr>
          <w:rFonts w:eastAsia="SimSun"/>
          <w:lang w:eastAsia="zh-CN"/>
        </w:rPr>
        <w:t>s principales</w:t>
      </w:r>
      <w:r w:rsidR="00883AE7" w:rsidRPr="00E568C3">
        <w:rPr>
          <w:rFonts w:eastAsia="SimSun"/>
          <w:lang w:eastAsia="zh-CN"/>
        </w:rPr>
        <w:t xml:space="preserve"> </w:t>
      </w:r>
      <w:r w:rsidR="00A8340A" w:rsidRPr="00E568C3">
        <w:rPr>
          <w:rFonts w:eastAsia="SimSun"/>
          <w:lang w:eastAsia="zh-CN"/>
        </w:rPr>
        <w:t>conclusio</w:t>
      </w:r>
      <w:r w:rsidR="006A3508" w:rsidRPr="00E568C3">
        <w:rPr>
          <w:rFonts w:eastAsia="SimSun"/>
          <w:lang w:eastAsia="zh-CN"/>
        </w:rPr>
        <w:t>ns.  De</w:t>
      </w:r>
      <w:r w:rsidR="00A8340A" w:rsidRPr="00E568C3">
        <w:rPr>
          <w:rFonts w:eastAsia="SimSun"/>
          <w:lang w:eastAsia="zh-CN"/>
        </w:rPr>
        <w:t>ux nouveaux rapports panoramiques sur les brevets ont été établis e</w:t>
      </w:r>
      <w:r w:rsidR="00883AE7" w:rsidRPr="00E568C3">
        <w:rPr>
          <w:rFonts w:eastAsia="SimSun"/>
          <w:lang w:eastAsia="zh-CN"/>
        </w:rPr>
        <w:t>n</w:t>
      </w:r>
      <w:r w:rsidR="00A8340A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2015 </w:t>
      </w:r>
      <w:r w:rsidR="00A8340A" w:rsidRPr="00E568C3">
        <w:rPr>
          <w:rFonts w:eastAsia="SimSun"/>
          <w:lang w:eastAsia="zh-CN"/>
        </w:rPr>
        <w:t>sur les t</w:t>
      </w:r>
      <w:r w:rsidR="00883AE7" w:rsidRPr="00E568C3">
        <w:rPr>
          <w:rFonts w:eastAsia="SimSun"/>
          <w:lang w:eastAsia="zh-CN"/>
        </w:rPr>
        <w:t xml:space="preserve">echnologies </w:t>
      </w:r>
      <w:r w:rsidR="00A8340A" w:rsidRPr="00E568C3">
        <w:rPr>
          <w:rFonts w:eastAsia="SimSun"/>
          <w:lang w:eastAsia="zh-CN"/>
        </w:rPr>
        <w:t>de production, d</w:t>
      </w:r>
      <w:r w:rsidR="00871730" w:rsidRPr="00E568C3">
        <w:rPr>
          <w:rFonts w:eastAsia="SimSun"/>
          <w:lang w:eastAsia="zh-CN"/>
        </w:rPr>
        <w:t>’</w:t>
      </w:r>
      <w:r w:rsidR="00A8340A" w:rsidRPr="00E568C3">
        <w:rPr>
          <w:rFonts w:eastAsia="SimSun"/>
          <w:lang w:eastAsia="zh-CN"/>
        </w:rPr>
        <w:t>exploitation et de traitement des déchets d</w:t>
      </w:r>
      <w:r w:rsidR="00871730" w:rsidRPr="00E568C3">
        <w:rPr>
          <w:rFonts w:eastAsia="SimSun"/>
          <w:lang w:eastAsia="zh-CN"/>
        </w:rPr>
        <w:t>’</w:t>
      </w:r>
      <w:r w:rsidR="00A8340A" w:rsidRPr="00E568C3">
        <w:rPr>
          <w:rFonts w:eastAsia="SimSun"/>
          <w:lang w:eastAsia="zh-CN"/>
        </w:rPr>
        <w:t>huile de palme</w:t>
      </w:r>
      <w:r w:rsidR="00883AE7" w:rsidRPr="00E568C3">
        <w:rPr>
          <w:rFonts w:eastAsia="SimSun"/>
          <w:lang w:eastAsia="zh-CN"/>
        </w:rPr>
        <w:t xml:space="preserve">, </w:t>
      </w:r>
      <w:r w:rsidR="00A8340A" w:rsidRPr="00E568C3">
        <w:rPr>
          <w:rFonts w:eastAsia="SimSun"/>
          <w:lang w:eastAsia="zh-CN"/>
        </w:rPr>
        <w:t>et sur les t</w:t>
      </w:r>
      <w:r w:rsidR="00883AE7" w:rsidRPr="00E568C3">
        <w:rPr>
          <w:rFonts w:eastAsia="SimSun"/>
          <w:lang w:eastAsia="zh-CN"/>
        </w:rPr>
        <w:t xml:space="preserve">echnologies </w:t>
      </w:r>
      <w:r w:rsidR="00C5120B" w:rsidRPr="00E568C3">
        <w:rPr>
          <w:rFonts w:eastAsia="SimSun"/>
          <w:lang w:eastAsia="zh-CN"/>
        </w:rPr>
        <w:t>r</w:t>
      </w:r>
      <w:r w:rsidR="00883AE7" w:rsidRPr="00E568C3">
        <w:rPr>
          <w:rFonts w:eastAsia="SimSun"/>
          <w:lang w:eastAsia="zh-CN"/>
        </w:rPr>
        <w:t>elat</w:t>
      </w:r>
      <w:r w:rsidR="00C5120B" w:rsidRPr="00E568C3">
        <w:rPr>
          <w:rFonts w:eastAsia="SimSun"/>
          <w:lang w:eastAsia="zh-CN"/>
        </w:rPr>
        <w:t>iv</w:t>
      </w:r>
      <w:r w:rsidR="00883AE7" w:rsidRPr="00E568C3">
        <w:rPr>
          <w:rFonts w:eastAsia="SimSun"/>
          <w:lang w:eastAsia="zh-CN"/>
        </w:rPr>
        <w:t>e</w:t>
      </w:r>
      <w:r w:rsidR="00C5120B" w:rsidRPr="00E568C3">
        <w:rPr>
          <w:rFonts w:eastAsia="SimSun"/>
          <w:lang w:eastAsia="zh-CN"/>
        </w:rPr>
        <w:t>s aux algues</w:t>
      </w:r>
      <w:r w:rsidR="00883AE7" w:rsidRPr="00E568C3">
        <w:rPr>
          <w:rFonts w:eastAsia="SimSun"/>
          <w:lang w:eastAsia="zh-CN"/>
        </w:rPr>
        <w:t xml:space="preserve">, </w:t>
      </w:r>
      <w:r w:rsidR="00290CFB" w:rsidRPr="00E568C3">
        <w:rPr>
          <w:rFonts w:eastAsia="SimSun"/>
          <w:lang w:eastAsia="zh-CN"/>
        </w:rPr>
        <w:t>pour répondre</w:t>
      </w:r>
      <w:r w:rsidR="00C5120B" w:rsidRPr="00E568C3">
        <w:rPr>
          <w:rFonts w:eastAsia="SimSun"/>
          <w:lang w:eastAsia="zh-CN"/>
        </w:rPr>
        <w:t xml:space="preserve"> à des demandes </w:t>
      </w:r>
      <w:r w:rsidR="00290CFB" w:rsidRPr="00E568C3">
        <w:rPr>
          <w:rFonts w:eastAsia="SimSun"/>
          <w:lang w:eastAsia="zh-CN"/>
        </w:rPr>
        <w:t xml:space="preserve">et à des besoins </w:t>
      </w:r>
      <w:r w:rsidR="00883AE7" w:rsidRPr="00E568C3">
        <w:rPr>
          <w:rFonts w:eastAsia="SimSun"/>
          <w:lang w:eastAsia="zh-CN"/>
        </w:rPr>
        <w:t>sp</w:t>
      </w:r>
      <w:r w:rsidR="00C5120B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cifi</w:t>
      </w:r>
      <w:r w:rsidR="00C5120B" w:rsidRPr="00E568C3">
        <w:rPr>
          <w:rFonts w:eastAsia="SimSun"/>
          <w:lang w:eastAsia="zh-CN"/>
        </w:rPr>
        <w:t>q</w:t>
      </w:r>
      <w:r w:rsidR="00883AE7" w:rsidRPr="00E568C3">
        <w:rPr>
          <w:rFonts w:eastAsia="SimSun"/>
          <w:lang w:eastAsia="zh-CN"/>
        </w:rPr>
        <w:t xml:space="preserve">ues </w:t>
      </w:r>
      <w:r w:rsidR="00C5120B"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="00C5120B" w:rsidRPr="00E568C3">
        <w:rPr>
          <w:rFonts w:eastAsia="SimSun"/>
          <w:lang w:eastAsia="zh-CN"/>
        </w:rPr>
        <w:t>États m</w:t>
      </w:r>
      <w:r w:rsidR="00883AE7" w:rsidRPr="00E568C3">
        <w:rPr>
          <w:rFonts w:eastAsia="SimSun"/>
          <w:lang w:eastAsia="zh-CN"/>
        </w:rPr>
        <w:t xml:space="preserve">embres </w:t>
      </w:r>
      <w:r w:rsidR="00290CFB" w:rsidRPr="00E568C3">
        <w:rPr>
          <w:rFonts w:eastAsia="SimSun"/>
          <w:lang w:eastAsia="zh-CN"/>
        </w:rPr>
        <w:t>qui travaillent avec</w:t>
      </w:r>
      <w:r w:rsidR="00C5120B" w:rsidRPr="00E568C3">
        <w:rPr>
          <w:rFonts w:eastAsia="SimSun"/>
          <w:lang w:eastAsia="zh-CN"/>
        </w:rPr>
        <w:t xml:space="preserve"> c</w:t>
      </w:r>
      <w:r w:rsidR="00883AE7" w:rsidRPr="00E568C3">
        <w:rPr>
          <w:rFonts w:eastAsia="SimSun"/>
          <w:lang w:eastAsia="zh-CN"/>
        </w:rPr>
        <w:t>es technologi</w:t>
      </w:r>
      <w:r w:rsidR="006A3508" w:rsidRPr="00E568C3">
        <w:rPr>
          <w:rFonts w:eastAsia="SimSun"/>
          <w:lang w:eastAsia="zh-CN"/>
        </w:rPr>
        <w:t>es.  En</w:t>
      </w:r>
      <w:r w:rsidR="00C5120B" w:rsidRPr="00E568C3">
        <w:rPr>
          <w:rFonts w:eastAsia="SimSun"/>
          <w:lang w:eastAsia="zh-CN"/>
        </w:rPr>
        <w:t xml:space="preserve"> outre</w:t>
      </w:r>
      <w:r w:rsidR="00883AE7" w:rsidRPr="00E568C3">
        <w:rPr>
          <w:rFonts w:eastAsia="SimSun"/>
          <w:lang w:eastAsia="zh-CN"/>
        </w:rPr>
        <w:t xml:space="preserve">, </w:t>
      </w:r>
      <w:r w:rsidR="00C5120B" w:rsidRPr="00E568C3">
        <w:rPr>
          <w:rFonts w:eastAsia="SimSun"/>
          <w:lang w:eastAsia="zh-CN"/>
        </w:rPr>
        <w:t>des lignes directrices pour l</w:t>
      </w:r>
      <w:r w:rsidR="00871730" w:rsidRPr="00E568C3">
        <w:rPr>
          <w:rFonts w:eastAsia="SimSun"/>
          <w:lang w:eastAsia="zh-CN"/>
        </w:rPr>
        <w:t>’</w:t>
      </w:r>
      <w:r w:rsidR="00C5120B" w:rsidRPr="00E568C3">
        <w:rPr>
          <w:rFonts w:eastAsia="SimSun"/>
          <w:lang w:eastAsia="zh-CN"/>
        </w:rPr>
        <w:t xml:space="preserve">établissement des rapports panoramiques sur les brevets ont été </w:t>
      </w:r>
      <w:r w:rsidR="00883AE7" w:rsidRPr="00E568C3">
        <w:rPr>
          <w:rFonts w:eastAsia="SimSun"/>
          <w:lang w:eastAsia="zh-CN"/>
        </w:rPr>
        <w:t>publi</w:t>
      </w:r>
      <w:r w:rsidR="00C5120B" w:rsidRPr="00E568C3">
        <w:rPr>
          <w:rFonts w:eastAsia="SimSun"/>
          <w:lang w:eastAsia="zh-CN"/>
        </w:rPr>
        <w:t>ée</w:t>
      </w:r>
      <w:r w:rsidR="00883AE7" w:rsidRPr="00E568C3">
        <w:rPr>
          <w:rFonts w:eastAsia="SimSun"/>
          <w:lang w:eastAsia="zh-CN"/>
        </w:rPr>
        <w:t xml:space="preserve">s </w:t>
      </w:r>
      <w:r w:rsidR="00C5120B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n </w:t>
      </w:r>
      <w:r w:rsidR="00C5120B" w:rsidRPr="00E568C3">
        <w:rPr>
          <w:rFonts w:eastAsia="SimSun"/>
          <w:lang w:eastAsia="zh-CN"/>
        </w:rPr>
        <w:t>aoû</w:t>
      </w:r>
      <w:r w:rsidR="00883AE7" w:rsidRPr="00E568C3">
        <w:rPr>
          <w:rFonts w:eastAsia="SimSun"/>
          <w:lang w:eastAsia="zh-CN"/>
        </w:rPr>
        <w:t>t</w:t>
      </w:r>
      <w:r w:rsidR="00C5120B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2015, </w:t>
      </w:r>
      <w:r w:rsidR="00C5120B" w:rsidRPr="00E568C3">
        <w:rPr>
          <w:rFonts w:eastAsia="SimSun"/>
          <w:lang w:eastAsia="zh-CN"/>
        </w:rPr>
        <w:t>tandis qu</w:t>
      </w:r>
      <w:r w:rsidR="00871730" w:rsidRPr="00E568C3">
        <w:rPr>
          <w:rFonts w:eastAsia="SimSun"/>
          <w:lang w:eastAsia="zh-CN"/>
        </w:rPr>
        <w:t>’</w:t>
      </w:r>
      <w:r w:rsidR="00C5120B" w:rsidRPr="00E568C3">
        <w:rPr>
          <w:rFonts w:eastAsia="SimSun"/>
          <w:lang w:eastAsia="zh-CN"/>
        </w:rPr>
        <w:t>un m</w:t>
      </w:r>
      <w:r w:rsidR="00883AE7" w:rsidRPr="00E568C3">
        <w:rPr>
          <w:rFonts w:eastAsia="SimSun"/>
          <w:lang w:eastAsia="zh-CN"/>
        </w:rPr>
        <w:t>anu</w:t>
      </w:r>
      <w:r w:rsidR="00C5120B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l </w:t>
      </w:r>
      <w:r w:rsidR="00C5120B" w:rsidRPr="00E568C3">
        <w:rPr>
          <w:rFonts w:eastAsia="SimSun"/>
          <w:lang w:eastAsia="zh-CN"/>
        </w:rPr>
        <w:t>sur les logiciels libres et les outils en libre accès pour l</w:t>
      </w:r>
      <w:r w:rsidR="00871730" w:rsidRPr="00E568C3">
        <w:rPr>
          <w:rFonts w:eastAsia="SimSun"/>
          <w:lang w:eastAsia="zh-CN"/>
        </w:rPr>
        <w:t>’</w:t>
      </w:r>
      <w:r w:rsidR="00C5120B" w:rsidRPr="00E568C3">
        <w:rPr>
          <w:rFonts w:eastAsia="SimSun"/>
          <w:lang w:eastAsia="zh-CN"/>
        </w:rPr>
        <w:t>analyse des brevets a été finalisé et sera publié début </w:t>
      </w:r>
      <w:r w:rsidR="00883AE7" w:rsidRPr="00E568C3">
        <w:rPr>
          <w:rFonts w:eastAsia="SimSun"/>
          <w:lang w:eastAsia="zh-CN"/>
        </w:rPr>
        <w:t xml:space="preserve">2016.  </w:t>
      </w:r>
      <w:r w:rsidR="00C5120B" w:rsidRPr="00E568C3">
        <w:rPr>
          <w:rFonts w:eastAsia="SimSun"/>
          <w:lang w:eastAsia="zh-CN"/>
        </w:rPr>
        <w:t>On trouvera de plus amples dé</w:t>
      </w:r>
      <w:r w:rsidR="00883AE7" w:rsidRPr="00E568C3">
        <w:rPr>
          <w:rFonts w:eastAsia="SimSun"/>
          <w:lang w:eastAsia="zh-CN"/>
        </w:rPr>
        <w:t xml:space="preserve">tails </w:t>
      </w:r>
      <w:r w:rsidR="00C5120B" w:rsidRPr="00E568C3">
        <w:rPr>
          <w:rFonts w:eastAsia="SimSun"/>
          <w:lang w:eastAsia="zh-CN"/>
        </w:rPr>
        <w:t>sur tous les</w:t>
      </w:r>
      <w:r w:rsidR="00883AE7" w:rsidRPr="00E568C3">
        <w:rPr>
          <w:rFonts w:eastAsia="SimSun"/>
          <w:lang w:eastAsia="zh-CN"/>
        </w:rPr>
        <w:t xml:space="preserve"> aspects </w:t>
      </w:r>
      <w:r w:rsidR="00C5120B" w:rsidRPr="00E568C3">
        <w:rPr>
          <w:rFonts w:eastAsia="SimSun"/>
          <w:lang w:eastAsia="zh-CN"/>
        </w:rPr>
        <w:t>des rapports panoramiques sur les brevets à l</w:t>
      </w:r>
      <w:r w:rsidR="00871730" w:rsidRPr="00E568C3">
        <w:rPr>
          <w:rFonts w:eastAsia="SimSun"/>
          <w:lang w:eastAsia="zh-CN"/>
        </w:rPr>
        <w:t>’</w:t>
      </w:r>
      <w:r w:rsidR="00C5120B" w:rsidRPr="00E568C3">
        <w:rPr>
          <w:rFonts w:eastAsia="SimSun"/>
          <w:lang w:eastAsia="zh-CN"/>
        </w:rPr>
        <w:t>adresse</w:t>
      </w:r>
      <w:r w:rsidR="00883AE7" w:rsidRPr="00E568C3">
        <w:rPr>
          <w:rFonts w:eastAsia="SimSun"/>
          <w:lang w:eastAsia="zh-CN"/>
        </w:rPr>
        <w:t xml:space="preserve"> </w:t>
      </w:r>
      <w:hyperlink r:id="rId17" w:history="1">
        <w:r w:rsidR="00C5120B" w:rsidRPr="00E568C3">
          <w:rPr>
            <w:rStyle w:val="Hyperlink"/>
            <w:rFonts w:eastAsia="SimSun"/>
            <w:color w:val="auto"/>
            <w:lang w:eastAsia="zh-CN"/>
          </w:rPr>
          <w:t>http://www.wipo.int/patentscope/fr/programs/patent_landscapes/index.html</w:t>
        </w:r>
      </w:hyperlink>
    </w:p>
    <w:p w:rsidR="00F55AA9" w:rsidRDefault="009C62E8" w:rsidP="00CB3CFF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 xml:space="preserve">Parallèlement à la mise en place de structures </w:t>
      </w:r>
      <w:r w:rsidR="00883AE7" w:rsidRPr="00E568C3">
        <w:rPr>
          <w:rFonts w:eastAsia="SimSun"/>
          <w:lang w:eastAsia="zh-CN"/>
        </w:rPr>
        <w:t>organi</w:t>
      </w:r>
      <w:r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>ation</w:t>
      </w:r>
      <w:r w:rsidRPr="00E568C3">
        <w:rPr>
          <w:rFonts w:eastAsia="SimSun"/>
          <w:lang w:eastAsia="zh-CN"/>
        </w:rPr>
        <w:t>nelles</w:t>
      </w:r>
      <w:r w:rsidR="00883AE7" w:rsidRPr="00E568C3">
        <w:rPr>
          <w:rFonts w:eastAsia="SimSun"/>
          <w:lang w:eastAsia="zh-CN"/>
        </w:rPr>
        <w:t xml:space="preserve"> offr</w:t>
      </w:r>
      <w:r w:rsidRPr="00E568C3">
        <w:rPr>
          <w:rFonts w:eastAsia="SimSun"/>
          <w:lang w:eastAsia="zh-CN"/>
        </w:rPr>
        <w:t xml:space="preserve">ant des services de renforcement des </w:t>
      </w:r>
      <w:r w:rsidR="00883AE7" w:rsidRPr="00E568C3">
        <w:rPr>
          <w:rFonts w:eastAsia="SimSun"/>
          <w:lang w:eastAsia="zh-CN"/>
        </w:rPr>
        <w:t>capacit</w:t>
      </w:r>
      <w:r w:rsidRPr="00E568C3">
        <w:rPr>
          <w:rFonts w:eastAsia="SimSun"/>
          <w:lang w:eastAsia="zh-CN"/>
        </w:rPr>
        <w:t>és et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appui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 xml:space="preserve">en faveur du transfert de </w:t>
      </w:r>
      <w:r w:rsidR="00883AE7" w:rsidRPr="00E568C3">
        <w:rPr>
          <w:rFonts w:eastAsia="SimSun"/>
          <w:lang w:eastAsia="zh-CN"/>
        </w:rPr>
        <w:t>technolog</w:t>
      </w:r>
      <w:r w:rsidRPr="00E568C3">
        <w:rPr>
          <w:rFonts w:eastAsia="SimSun"/>
          <w:lang w:eastAsia="zh-CN"/>
        </w:rPr>
        <w:t>ie</w:t>
      </w:r>
      <w:r w:rsidR="00883AE7" w:rsidRPr="00E568C3">
        <w:rPr>
          <w:rFonts w:eastAsia="SimSun"/>
          <w:lang w:eastAsia="zh-CN"/>
        </w:rPr>
        <w:t xml:space="preserve">, </w:t>
      </w:r>
      <w:r w:rsidRPr="00E568C3">
        <w:rPr>
          <w:rFonts w:eastAsia="SimSun"/>
          <w:lang w:eastAsia="zh-CN"/>
        </w:rPr>
        <w:t>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 xml:space="preserve">OMPI fournit également sur </w:t>
      </w:r>
      <w:r w:rsidR="00883AE7" w:rsidRPr="00E568C3">
        <w:rPr>
          <w:rFonts w:eastAsia="SimSun"/>
          <w:lang w:eastAsia="zh-CN"/>
        </w:rPr>
        <w:t>demand</w:t>
      </w:r>
      <w:r w:rsidRPr="00E568C3">
        <w:rPr>
          <w:rFonts w:eastAsia="SimSun"/>
          <w:lang w:eastAsia="zh-CN"/>
        </w:rPr>
        <w:t>e à ses États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m</w:t>
      </w:r>
      <w:r w:rsidR="00883AE7" w:rsidRPr="00E568C3">
        <w:rPr>
          <w:rFonts w:eastAsia="SimSun"/>
          <w:lang w:eastAsia="zh-CN"/>
        </w:rPr>
        <w:t>embr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s </w:t>
      </w:r>
      <w:r w:rsidRPr="00E568C3">
        <w:rPr>
          <w:rFonts w:eastAsia="SimSun"/>
          <w:lang w:eastAsia="zh-CN"/>
        </w:rPr>
        <w:t xml:space="preserve">des données </w:t>
      </w:r>
      <w:r w:rsidR="00883AE7" w:rsidRPr="00E568C3">
        <w:rPr>
          <w:rFonts w:eastAsia="SimSun"/>
          <w:lang w:eastAsia="zh-CN"/>
        </w:rPr>
        <w:t>sp</w:t>
      </w:r>
      <w:r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cifi</w:t>
      </w:r>
      <w:r w:rsidRPr="00E568C3">
        <w:rPr>
          <w:rFonts w:eastAsia="SimSun"/>
          <w:lang w:eastAsia="zh-CN"/>
        </w:rPr>
        <w:t>ques à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 xml:space="preserve">appui des décisions portant sur le transfert </w:t>
      </w:r>
      <w:r w:rsidR="00883AE7" w:rsidRPr="00E568C3">
        <w:rPr>
          <w:rFonts w:eastAsia="SimSun"/>
          <w:lang w:eastAsia="zh-CN"/>
        </w:rPr>
        <w:t>d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 technolog</w:t>
      </w:r>
      <w:r w:rsidR="006A3508" w:rsidRPr="00E568C3">
        <w:rPr>
          <w:rFonts w:eastAsia="SimSun"/>
          <w:lang w:eastAsia="zh-CN"/>
        </w:rPr>
        <w:t>ie.  Le</w:t>
      </w:r>
      <w:r w:rsidRPr="00E568C3">
        <w:rPr>
          <w:rFonts w:eastAsia="SimSun"/>
          <w:lang w:eastAsia="zh-CN"/>
        </w:rPr>
        <w:t>s rapports panoramiques sur les brevets offrent une vue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ensemble des tendances dans le domaine de 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 xml:space="preserve">innovation, </w:t>
      </w:r>
      <w:r w:rsidRPr="00E568C3">
        <w:rPr>
          <w:rFonts w:eastAsia="SimSun"/>
          <w:lang w:eastAsia="zh-CN"/>
        </w:rPr>
        <w:t>de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activité en matière de brevets, des principaux acteurs et de la répartition gé</w:t>
      </w:r>
      <w:r w:rsidR="00883AE7" w:rsidRPr="00E568C3">
        <w:rPr>
          <w:rFonts w:eastAsia="SimSun"/>
          <w:lang w:eastAsia="zh-CN"/>
        </w:rPr>
        <w:t>ographi</w:t>
      </w:r>
      <w:r w:rsidRPr="00E568C3">
        <w:rPr>
          <w:rFonts w:eastAsia="SimSun"/>
          <w:lang w:eastAsia="zh-CN"/>
        </w:rPr>
        <w:t>q</w:t>
      </w:r>
      <w:r w:rsidR="00883AE7" w:rsidRPr="00E568C3">
        <w:rPr>
          <w:rFonts w:eastAsia="SimSun"/>
          <w:lang w:eastAsia="zh-CN"/>
        </w:rPr>
        <w:t>u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de l</w:t>
      </w:r>
      <w:r w:rsidR="00883AE7" w:rsidRPr="00E568C3">
        <w:rPr>
          <w:rFonts w:eastAsia="SimSun"/>
          <w:lang w:eastAsia="zh-CN"/>
        </w:rPr>
        <w:t xml:space="preserve">a protection </w:t>
      </w:r>
      <w:r w:rsidRPr="00E568C3">
        <w:rPr>
          <w:rFonts w:eastAsia="SimSun"/>
          <w:lang w:eastAsia="zh-CN"/>
        </w:rPr>
        <w:t>par brevet dans un domaine technologique précis, au niveau mondial ou dans une aire géographique détermin</w:t>
      </w:r>
      <w:r w:rsidR="006A3508" w:rsidRPr="00E568C3">
        <w:rPr>
          <w:rFonts w:eastAsia="SimSun"/>
          <w:lang w:eastAsia="zh-CN"/>
        </w:rPr>
        <w:t>ée.  L’a</w:t>
      </w:r>
      <w:r w:rsidR="00883AE7" w:rsidRPr="00E568C3">
        <w:rPr>
          <w:rFonts w:eastAsia="SimSun"/>
          <w:lang w:eastAsia="zh-CN"/>
        </w:rPr>
        <w:t>nalys</w:t>
      </w:r>
      <w:r w:rsidRPr="00E568C3">
        <w:rPr>
          <w:rFonts w:eastAsia="SimSun"/>
          <w:lang w:eastAsia="zh-CN"/>
        </w:rPr>
        <w:t>e figurant dans le</w:t>
      </w:r>
      <w:r w:rsidR="00883AE7" w:rsidRPr="00E568C3">
        <w:rPr>
          <w:rFonts w:eastAsia="SimSun"/>
          <w:lang w:eastAsia="zh-CN"/>
        </w:rPr>
        <w:t xml:space="preserve"> r</w:t>
      </w:r>
      <w:r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 xml:space="preserve">port </w:t>
      </w:r>
      <w:r w:rsidRPr="00E568C3">
        <w:rPr>
          <w:rFonts w:eastAsia="SimSun"/>
          <w:lang w:eastAsia="zh-CN"/>
        </w:rPr>
        <w:t xml:space="preserve">comprend aussi des </w:t>
      </w:r>
      <w:r w:rsidR="00883AE7" w:rsidRPr="00E568C3">
        <w:rPr>
          <w:rFonts w:eastAsia="SimSun"/>
          <w:lang w:eastAsia="zh-CN"/>
        </w:rPr>
        <w:t>information</w:t>
      </w:r>
      <w:r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sur les tendances é</w:t>
      </w:r>
      <w:r w:rsidR="00883AE7" w:rsidRPr="00E568C3">
        <w:rPr>
          <w:rFonts w:eastAsia="SimSun"/>
          <w:lang w:eastAsia="zh-CN"/>
        </w:rPr>
        <w:t>merg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n</w:t>
      </w:r>
      <w:r w:rsidRPr="00E568C3">
        <w:rPr>
          <w:rFonts w:eastAsia="SimSun"/>
          <w:lang w:eastAsia="zh-CN"/>
        </w:rPr>
        <w:t xml:space="preserve">tes </w:t>
      </w:r>
      <w:r w:rsidR="00CB3CFF" w:rsidRPr="00E568C3">
        <w:rPr>
          <w:rFonts w:eastAsia="SimSun"/>
          <w:lang w:eastAsia="zh-CN"/>
        </w:rPr>
        <w:t xml:space="preserve">en matière de </w:t>
      </w:r>
      <w:r w:rsidR="00883AE7" w:rsidRPr="00E568C3">
        <w:rPr>
          <w:rFonts w:eastAsia="SimSun"/>
          <w:lang w:eastAsia="zh-CN"/>
        </w:rPr>
        <w:t xml:space="preserve">technologies, </w:t>
      </w:r>
      <w:r w:rsidR="00CB3CFF" w:rsidRPr="00E568C3">
        <w:rPr>
          <w:rFonts w:eastAsia="SimSun"/>
          <w:lang w:eastAsia="zh-CN"/>
        </w:rPr>
        <w:t>les acteurs majeurs en place et ceux qui montent</w:t>
      </w:r>
      <w:r w:rsidR="00883AE7" w:rsidRPr="00E568C3">
        <w:rPr>
          <w:rFonts w:eastAsia="SimSun"/>
          <w:lang w:eastAsia="zh-CN"/>
        </w:rPr>
        <w:t xml:space="preserve">, </w:t>
      </w:r>
      <w:r w:rsidR="00CB3CFF" w:rsidRPr="00E568C3">
        <w:rPr>
          <w:rFonts w:eastAsia="SimSun"/>
          <w:lang w:eastAsia="zh-CN"/>
        </w:rPr>
        <w:t>la réparti</w:t>
      </w:r>
      <w:r w:rsidR="00883AE7" w:rsidRPr="00E568C3">
        <w:rPr>
          <w:rFonts w:eastAsia="SimSun"/>
          <w:lang w:eastAsia="zh-CN"/>
        </w:rPr>
        <w:t xml:space="preserve">tion </w:t>
      </w:r>
      <w:r w:rsidR="00CB3CFF" w:rsidRPr="00E568C3">
        <w:rPr>
          <w:rFonts w:eastAsia="SimSun"/>
          <w:lang w:eastAsia="zh-CN"/>
        </w:rPr>
        <w:t>des dépôts de brevets entre les universités, les instituts de recherche et le secteur privé</w:t>
      </w:r>
      <w:r w:rsidR="00883AE7" w:rsidRPr="00E568C3">
        <w:rPr>
          <w:rFonts w:eastAsia="SimSun"/>
          <w:lang w:eastAsia="zh-CN"/>
        </w:rPr>
        <w:t>, a</w:t>
      </w:r>
      <w:r w:rsidR="00CB3CFF" w:rsidRPr="00E568C3">
        <w:rPr>
          <w:rFonts w:eastAsia="SimSun"/>
          <w:lang w:eastAsia="zh-CN"/>
        </w:rPr>
        <w:t>insi que les réseaux d</w:t>
      </w:r>
      <w:r w:rsidR="00883AE7" w:rsidRPr="00E568C3">
        <w:rPr>
          <w:rFonts w:eastAsia="SimSun"/>
          <w:lang w:eastAsia="zh-CN"/>
        </w:rPr>
        <w:t>e coop</w:t>
      </w:r>
      <w:r w:rsidR="00CB3CFF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ration en</w:t>
      </w:r>
      <w:r w:rsidR="00CB3CFF" w:rsidRPr="00E568C3">
        <w:rPr>
          <w:rFonts w:eastAsia="SimSun"/>
          <w:lang w:eastAsia="zh-CN"/>
        </w:rPr>
        <w:t>tre</w:t>
      </w:r>
      <w:r w:rsidR="00883AE7" w:rsidRPr="00E568C3">
        <w:rPr>
          <w:rFonts w:eastAsia="SimSun"/>
          <w:lang w:eastAsia="zh-CN"/>
        </w:rPr>
        <w:t xml:space="preserve"> </w:t>
      </w:r>
      <w:r w:rsidR="00CB3CFF" w:rsidRPr="00E568C3">
        <w:rPr>
          <w:rFonts w:eastAsia="SimSun"/>
          <w:lang w:eastAsia="zh-CN"/>
        </w:rPr>
        <w:t xml:space="preserve">les déposants et les </w:t>
      </w:r>
      <w:r w:rsidR="00883AE7" w:rsidRPr="00E568C3">
        <w:rPr>
          <w:rFonts w:eastAsia="SimSun"/>
          <w:lang w:eastAsia="zh-CN"/>
        </w:rPr>
        <w:t>invent</w:t>
      </w:r>
      <w:r w:rsidR="00CB3CFF" w:rsidRPr="00E568C3">
        <w:rPr>
          <w:rFonts w:eastAsia="SimSun"/>
          <w:lang w:eastAsia="zh-CN"/>
        </w:rPr>
        <w:t>eu</w:t>
      </w:r>
      <w:r w:rsidR="00883AE7" w:rsidRPr="00E568C3">
        <w:rPr>
          <w:rFonts w:eastAsia="SimSun"/>
          <w:lang w:eastAsia="zh-CN"/>
        </w:rPr>
        <w:t xml:space="preserve">rs, </w:t>
      </w:r>
      <w:r w:rsidR="00CB3CFF" w:rsidRPr="00E568C3">
        <w:rPr>
          <w:rFonts w:eastAsia="SimSun"/>
          <w:lang w:eastAsia="zh-CN"/>
        </w:rPr>
        <w:t xml:space="preserve">le secteur </w:t>
      </w:r>
      <w:r w:rsidR="00883AE7" w:rsidRPr="00E568C3">
        <w:rPr>
          <w:rFonts w:eastAsia="SimSun"/>
          <w:lang w:eastAsia="zh-CN"/>
        </w:rPr>
        <w:t>public</w:t>
      </w:r>
      <w:r w:rsidR="00CB3CFF" w:rsidRPr="00E568C3">
        <w:rPr>
          <w:rFonts w:eastAsia="SimSun"/>
          <w:lang w:eastAsia="zh-CN"/>
        </w:rPr>
        <w:t xml:space="preserve"> et le secteur</w:t>
      </w:r>
      <w:r w:rsidR="00883AE7" w:rsidRPr="00E568C3">
        <w:rPr>
          <w:rFonts w:eastAsia="SimSun"/>
          <w:lang w:eastAsia="zh-CN"/>
        </w:rPr>
        <w:t xml:space="preserve"> pri</w:t>
      </w:r>
      <w:r w:rsidR="006A3508" w:rsidRPr="00E568C3">
        <w:rPr>
          <w:rFonts w:eastAsia="SimSun"/>
          <w:lang w:eastAsia="zh-CN"/>
        </w:rPr>
        <w:t>vé.  Le</w:t>
      </w:r>
      <w:r w:rsidR="00CB3CFF" w:rsidRPr="00E568C3">
        <w:rPr>
          <w:rFonts w:eastAsia="SimSun"/>
          <w:lang w:eastAsia="zh-CN"/>
        </w:rPr>
        <w:t>s ré</w:t>
      </w:r>
      <w:r w:rsidR="00883AE7" w:rsidRPr="00E568C3">
        <w:rPr>
          <w:rFonts w:eastAsia="SimSun"/>
          <w:lang w:eastAsia="zh-CN"/>
        </w:rPr>
        <w:t>sult</w:t>
      </w:r>
      <w:r w:rsidR="00CB3CFF" w:rsidRPr="00E568C3">
        <w:rPr>
          <w:rFonts w:eastAsia="SimSun"/>
          <w:lang w:eastAsia="zh-CN"/>
        </w:rPr>
        <w:t>at</w:t>
      </w:r>
      <w:r w:rsidR="00883AE7" w:rsidRPr="00E568C3">
        <w:rPr>
          <w:rFonts w:eastAsia="SimSun"/>
          <w:lang w:eastAsia="zh-CN"/>
        </w:rPr>
        <w:t xml:space="preserve">s </w:t>
      </w:r>
      <w:r w:rsidR="00CB3CFF" w:rsidRPr="00E568C3">
        <w:rPr>
          <w:rFonts w:eastAsia="SimSun"/>
          <w:lang w:eastAsia="zh-CN"/>
        </w:rPr>
        <w:t>des</w:t>
      </w:r>
      <w:r w:rsidR="00883AE7" w:rsidRPr="00E568C3">
        <w:rPr>
          <w:rFonts w:eastAsia="SimSun"/>
          <w:lang w:eastAsia="zh-CN"/>
        </w:rPr>
        <w:t xml:space="preserve"> r</w:t>
      </w:r>
      <w:r w:rsidR="00CB3CFF"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 xml:space="preserve">ports </w:t>
      </w:r>
      <w:r w:rsidR="00CB3CFF" w:rsidRPr="00E568C3">
        <w:rPr>
          <w:rFonts w:eastAsia="SimSun"/>
          <w:lang w:eastAsia="zh-CN"/>
        </w:rPr>
        <w:t>sont</w:t>
      </w:r>
      <w:r w:rsidR="00883AE7" w:rsidRPr="00E568C3">
        <w:rPr>
          <w:rFonts w:eastAsia="SimSun"/>
          <w:lang w:eastAsia="zh-CN"/>
        </w:rPr>
        <w:t xml:space="preserve"> pr</w:t>
      </w:r>
      <w:r w:rsidR="00CB3CFF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sent</w:t>
      </w:r>
      <w:r w:rsidR="00CB3CFF" w:rsidRPr="00E568C3">
        <w:rPr>
          <w:rFonts w:eastAsia="SimSun"/>
          <w:lang w:eastAsia="zh-CN"/>
        </w:rPr>
        <w:t>és et a</w:t>
      </w:r>
      <w:r w:rsidR="00883AE7" w:rsidRPr="00E568C3">
        <w:rPr>
          <w:rFonts w:eastAsia="SimSun"/>
          <w:lang w:eastAsia="zh-CN"/>
        </w:rPr>
        <w:t>naly</w:t>
      </w:r>
      <w:r w:rsidR="00CB3CFF" w:rsidRPr="00E568C3">
        <w:rPr>
          <w:rFonts w:eastAsia="SimSun"/>
          <w:lang w:eastAsia="zh-CN"/>
        </w:rPr>
        <w:t>sés</w:t>
      </w:r>
      <w:r w:rsidR="00883AE7" w:rsidRPr="00E568C3">
        <w:rPr>
          <w:rFonts w:eastAsia="SimSun"/>
          <w:lang w:eastAsia="zh-CN"/>
        </w:rPr>
        <w:t xml:space="preserve"> </w:t>
      </w:r>
      <w:r w:rsidR="00CB3CFF" w:rsidRPr="00E568C3">
        <w:rPr>
          <w:rFonts w:eastAsia="SimSun"/>
          <w:lang w:eastAsia="zh-CN"/>
        </w:rPr>
        <w:t>de manière compréhensible pour des non</w:t>
      </w:r>
      <w:r w:rsidR="006A3508" w:rsidRPr="00E568C3">
        <w:rPr>
          <w:rFonts w:eastAsia="SimSun"/>
          <w:lang w:eastAsia="zh-CN"/>
        </w:rPr>
        <w:noBreakHyphen/>
      </w:r>
      <w:r w:rsidR="00CB3CFF" w:rsidRPr="00E568C3">
        <w:rPr>
          <w:rFonts w:eastAsia="SimSun"/>
          <w:lang w:eastAsia="zh-CN"/>
        </w:rPr>
        <w:t>experts et sont</w:t>
      </w:r>
      <w:r w:rsidR="00883AE7" w:rsidRPr="00E568C3">
        <w:rPr>
          <w:rFonts w:eastAsia="SimSun"/>
          <w:lang w:eastAsia="zh-CN"/>
        </w:rPr>
        <w:t xml:space="preserve"> </w:t>
      </w:r>
      <w:r w:rsidR="00CB3CFF" w:rsidRPr="00E568C3">
        <w:rPr>
          <w:rFonts w:eastAsia="SimSun"/>
          <w:lang w:eastAsia="zh-CN"/>
        </w:rPr>
        <w:t>visualisés au moyen de graphiques et de statistiques combinés à différents instruments analytiqu</w:t>
      </w:r>
      <w:r w:rsidR="006A3508" w:rsidRPr="00E568C3">
        <w:rPr>
          <w:rFonts w:eastAsia="SimSun"/>
          <w:lang w:eastAsia="zh-CN"/>
        </w:rPr>
        <w:t>es.  Le</w:t>
      </w:r>
      <w:r w:rsidR="00CB3CFF"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 xml:space="preserve"> information</w:t>
      </w:r>
      <w:r w:rsidR="00CB3CFF"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 xml:space="preserve"> </w:t>
      </w:r>
      <w:r w:rsidR="00CB3CFF" w:rsidRPr="00E568C3">
        <w:rPr>
          <w:rFonts w:eastAsia="SimSun"/>
          <w:lang w:eastAsia="zh-CN"/>
        </w:rPr>
        <w:t xml:space="preserve">contenues dans les </w:t>
      </w:r>
      <w:r w:rsidR="00883AE7" w:rsidRPr="00E568C3">
        <w:rPr>
          <w:rFonts w:eastAsia="SimSun"/>
          <w:lang w:eastAsia="zh-CN"/>
        </w:rPr>
        <w:t>r</w:t>
      </w:r>
      <w:r w:rsidR="00CB3CFF"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 xml:space="preserve">ports, </w:t>
      </w:r>
      <w:r w:rsidR="00CB3CFF" w:rsidRPr="00E568C3">
        <w:rPr>
          <w:rFonts w:eastAsia="SimSun"/>
          <w:lang w:eastAsia="zh-CN"/>
        </w:rPr>
        <w:t xml:space="preserve">essentiellement sur les </w:t>
      </w:r>
      <w:r w:rsidR="00883AE7" w:rsidRPr="00E568C3">
        <w:rPr>
          <w:rFonts w:eastAsia="SimSun"/>
          <w:lang w:eastAsia="zh-CN"/>
        </w:rPr>
        <w:t>technologies</w:t>
      </w:r>
      <w:r w:rsidR="00CB3CFF" w:rsidRPr="00E568C3">
        <w:rPr>
          <w:rFonts w:eastAsia="SimSun"/>
          <w:lang w:eastAsia="zh-CN"/>
        </w:rPr>
        <w:t xml:space="preserve"> émergentes</w:t>
      </w:r>
      <w:r w:rsidR="00883AE7" w:rsidRPr="00E568C3">
        <w:rPr>
          <w:rFonts w:eastAsia="SimSun"/>
          <w:lang w:eastAsia="zh-CN"/>
        </w:rPr>
        <w:t xml:space="preserve">, </w:t>
      </w:r>
      <w:r w:rsidR="00CB3CFF" w:rsidRPr="00E568C3">
        <w:rPr>
          <w:rFonts w:eastAsia="SimSun"/>
          <w:lang w:eastAsia="zh-CN"/>
        </w:rPr>
        <w:t xml:space="preserve">les marchés et partenaires </w:t>
      </w:r>
      <w:r w:rsidR="00883AE7" w:rsidRPr="00E568C3">
        <w:rPr>
          <w:rFonts w:eastAsia="SimSun"/>
          <w:lang w:eastAsia="zh-CN"/>
        </w:rPr>
        <w:t>potenti</w:t>
      </w:r>
      <w:r w:rsidR="00CB3CFF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l</w:t>
      </w:r>
      <w:r w:rsidR="00CB3CFF" w:rsidRPr="00E568C3">
        <w:rPr>
          <w:rFonts w:eastAsia="SimSun"/>
          <w:lang w:eastAsia="zh-CN"/>
        </w:rPr>
        <w:t>s</w:t>
      </w:r>
      <w:r w:rsidR="00F72343" w:rsidRPr="00E568C3">
        <w:rPr>
          <w:rFonts w:eastAsia="SimSun"/>
          <w:lang w:eastAsia="zh-CN"/>
        </w:rPr>
        <w:t>,</w:t>
      </w:r>
      <w:r w:rsidR="00CB3CFF" w:rsidRPr="00E568C3">
        <w:rPr>
          <w:rFonts w:eastAsia="SimSun"/>
          <w:lang w:eastAsia="zh-CN"/>
        </w:rPr>
        <w:t xml:space="preserve"> fourni</w:t>
      </w:r>
      <w:r w:rsidR="0062431B" w:rsidRPr="00E568C3">
        <w:rPr>
          <w:rFonts w:eastAsia="SimSun"/>
          <w:lang w:eastAsia="zh-CN"/>
        </w:rPr>
        <w:t>ssen</w:t>
      </w:r>
      <w:r w:rsidR="00CB3CFF" w:rsidRPr="00E568C3">
        <w:rPr>
          <w:rFonts w:eastAsia="SimSun"/>
          <w:lang w:eastAsia="zh-CN"/>
        </w:rPr>
        <w:t xml:space="preserve">t les </w:t>
      </w:r>
      <w:r w:rsidR="0062431B" w:rsidRPr="00E568C3">
        <w:rPr>
          <w:rFonts w:eastAsia="SimSun"/>
          <w:lang w:eastAsia="zh-CN"/>
        </w:rPr>
        <w:t>éléments</w:t>
      </w:r>
      <w:r w:rsidR="00CB3CFF" w:rsidRPr="00E568C3">
        <w:rPr>
          <w:rFonts w:eastAsia="SimSun"/>
          <w:lang w:eastAsia="zh-CN"/>
        </w:rPr>
        <w:t xml:space="preserve"> nécessaires pour prendre </w:t>
      </w:r>
      <w:r w:rsidR="0062431B" w:rsidRPr="00E568C3">
        <w:rPr>
          <w:rFonts w:eastAsia="SimSun"/>
          <w:lang w:eastAsia="zh-CN"/>
        </w:rPr>
        <w:t>l</w:t>
      </w:r>
      <w:r w:rsidR="00CB3CFF" w:rsidRPr="00E568C3">
        <w:rPr>
          <w:rFonts w:eastAsia="SimSun"/>
          <w:lang w:eastAsia="zh-CN"/>
        </w:rPr>
        <w:t xml:space="preserve">es décisions </w:t>
      </w:r>
      <w:r w:rsidR="0062431B" w:rsidRPr="00E568C3">
        <w:rPr>
          <w:rFonts w:eastAsia="SimSun"/>
          <w:lang w:eastAsia="zh-CN"/>
        </w:rPr>
        <w:t xml:space="preserve">relatives à </w:t>
      </w:r>
      <w:r w:rsidR="00CB3CFF" w:rsidRPr="00E568C3">
        <w:rPr>
          <w:rFonts w:eastAsia="SimSun"/>
          <w:lang w:eastAsia="zh-CN"/>
        </w:rPr>
        <w:t>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 xml:space="preserve">acquisition </w:t>
      </w:r>
      <w:r w:rsidR="0062431B" w:rsidRPr="00E568C3">
        <w:rPr>
          <w:rFonts w:eastAsia="SimSun"/>
          <w:lang w:eastAsia="zh-CN"/>
        </w:rPr>
        <w:t xml:space="preserve">et au transfert </w:t>
      </w:r>
      <w:r w:rsidR="00883AE7" w:rsidRPr="00E568C3">
        <w:rPr>
          <w:rFonts w:eastAsia="SimSun"/>
          <w:lang w:eastAsia="zh-CN"/>
        </w:rPr>
        <w:t>d</w:t>
      </w:r>
      <w:r w:rsidR="0062431B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 technolog</w:t>
      </w:r>
      <w:r w:rsidR="0062431B" w:rsidRPr="00E568C3">
        <w:rPr>
          <w:rFonts w:eastAsia="SimSun"/>
          <w:lang w:eastAsia="zh-CN"/>
        </w:rPr>
        <w:t>ie</w:t>
      </w:r>
      <w:r w:rsidR="00883AE7" w:rsidRPr="00E568C3">
        <w:rPr>
          <w:rFonts w:eastAsia="SimSun"/>
          <w:lang w:eastAsia="zh-CN"/>
        </w:rPr>
        <w:t>.</w:t>
      </w:r>
    </w:p>
    <w:p w:rsidR="00F55AA9" w:rsidRDefault="00F72343" w:rsidP="00C71996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Au nombre</w:t>
      </w:r>
      <w:r w:rsidR="00883AE7" w:rsidRPr="00E568C3">
        <w:rPr>
          <w:rFonts w:eastAsia="SimSun"/>
          <w:lang w:eastAsia="zh-CN"/>
        </w:rPr>
        <w:t xml:space="preserve"> </w:t>
      </w:r>
      <w:r w:rsidR="004801F3" w:rsidRPr="00E568C3">
        <w:rPr>
          <w:rFonts w:eastAsia="SimSun"/>
          <w:lang w:eastAsia="zh-CN"/>
        </w:rPr>
        <w:t>de</w:t>
      </w:r>
      <w:r w:rsidRPr="00E568C3">
        <w:rPr>
          <w:rFonts w:eastAsia="SimSun"/>
          <w:lang w:eastAsia="zh-CN"/>
        </w:rPr>
        <w:t>s</w:t>
      </w:r>
      <w:r w:rsidR="004801F3" w:rsidRPr="00E568C3">
        <w:rPr>
          <w:rFonts w:eastAsia="SimSun"/>
          <w:lang w:eastAsia="zh-CN"/>
        </w:rPr>
        <w:t xml:space="preserve"> rapports panoramiques sur les brevets de l</w:t>
      </w:r>
      <w:r w:rsidR="00871730" w:rsidRPr="00E568C3">
        <w:rPr>
          <w:rFonts w:eastAsia="SimSun"/>
          <w:lang w:eastAsia="zh-CN"/>
        </w:rPr>
        <w:t>’</w:t>
      </w:r>
      <w:r w:rsidR="004801F3" w:rsidRPr="00E568C3">
        <w:rPr>
          <w:rFonts w:eastAsia="SimSun"/>
          <w:lang w:eastAsia="zh-CN"/>
        </w:rPr>
        <w:t xml:space="preserve">OMPI qui ont </w:t>
      </w:r>
      <w:r w:rsidR="00883AE7" w:rsidRPr="00E568C3">
        <w:rPr>
          <w:rFonts w:eastAsia="SimSun"/>
          <w:lang w:eastAsia="zh-CN"/>
        </w:rPr>
        <w:t>contribu</w:t>
      </w:r>
      <w:r w:rsidR="004801F3" w:rsidRPr="00E568C3">
        <w:rPr>
          <w:rFonts w:eastAsia="SimSun"/>
          <w:lang w:eastAsia="zh-CN"/>
        </w:rPr>
        <w:t xml:space="preserve">é aux </w:t>
      </w:r>
      <w:r w:rsidR="00883AE7" w:rsidRPr="00E568C3">
        <w:rPr>
          <w:rFonts w:eastAsia="SimSun"/>
          <w:lang w:eastAsia="zh-CN"/>
        </w:rPr>
        <w:t>d</w:t>
      </w:r>
      <w:r w:rsidR="004801F3" w:rsidRPr="00E568C3">
        <w:rPr>
          <w:rFonts w:eastAsia="SimSun"/>
          <w:lang w:eastAsia="zh-CN"/>
        </w:rPr>
        <w:t xml:space="preserve">ébats sur le transfert de </w:t>
      </w:r>
      <w:r w:rsidR="00883AE7" w:rsidRPr="00E568C3">
        <w:rPr>
          <w:rFonts w:eastAsia="SimSun"/>
          <w:lang w:eastAsia="zh-CN"/>
        </w:rPr>
        <w:t>technolog</w:t>
      </w:r>
      <w:r w:rsidR="004801F3" w:rsidRPr="00E568C3">
        <w:rPr>
          <w:rFonts w:eastAsia="SimSun"/>
          <w:lang w:eastAsia="zh-CN"/>
        </w:rPr>
        <w:t>ie au cours de l</w:t>
      </w:r>
      <w:r w:rsidR="00871730" w:rsidRPr="00E568C3">
        <w:rPr>
          <w:rFonts w:eastAsia="SimSun"/>
          <w:lang w:eastAsia="zh-CN"/>
        </w:rPr>
        <w:t>’</w:t>
      </w:r>
      <w:r w:rsidR="004801F3" w:rsidRPr="00E568C3">
        <w:rPr>
          <w:rFonts w:eastAsia="SimSun"/>
          <w:lang w:eastAsia="zh-CN"/>
        </w:rPr>
        <w:t>exercice biennal</w:t>
      </w:r>
      <w:r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2014</w:t>
      </w:r>
      <w:r w:rsidR="006A3508" w:rsidRPr="00E568C3">
        <w:rPr>
          <w:rFonts w:eastAsia="SimSun"/>
          <w:lang w:eastAsia="zh-CN"/>
        </w:rPr>
        <w:noBreakHyphen/>
      </w:r>
      <w:r w:rsidR="00883AE7" w:rsidRPr="00E568C3">
        <w:rPr>
          <w:rFonts w:eastAsia="SimSun"/>
          <w:lang w:eastAsia="zh-CN"/>
        </w:rPr>
        <w:t>2015</w:t>
      </w:r>
      <w:r w:rsidRPr="00E568C3">
        <w:rPr>
          <w:rFonts w:eastAsia="SimSun"/>
          <w:lang w:eastAsia="zh-CN"/>
        </w:rPr>
        <w:t xml:space="preserve"> figurent</w:t>
      </w:r>
      <w:r w:rsidR="004801F3" w:rsidRPr="00E568C3">
        <w:rPr>
          <w:rFonts w:eastAsia="SimSun"/>
          <w:lang w:eastAsia="zh-CN"/>
        </w:rPr>
        <w:t xml:space="preserve"> les rapports panoramiques sur les brevets portant sur le recyclage des déchets électroniques et la récupération des matériaux</w:t>
      </w:r>
      <w:r w:rsidR="00883AE7" w:rsidRPr="00E568C3">
        <w:rPr>
          <w:rFonts w:eastAsia="SimSun"/>
          <w:lang w:eastAsia="zh-CN"/>
        </w:rPr>
        <w:t xml:space="preserve">, </w:t>
      </w:r>
      <w:r w:rsidR="004801F3" w:rsidRPr="00E568C3">
        <w:rPr>
          <w:rFonts w:eastAsia="SimSun"/>
          <w:lang w:eastAsia="zh-CN"/>
        </w:rPr>
        <w:t>établi</w:t>
      </w:r>
      <w:r w:rsidRPr="00E568C3">
        <w:rPr>
          <w:rFonts w:eastAsia="SimSun"/>
          <w:lang w:eastAsia="zh-CN"/>
        </w:rPr>
        <w:t>s</w:t>
      </w:r>
      <w:r w:rsidR="004801F3" w:rsidRPr="00E568C3">
        <w:rPr>
          <w:rFonts w:eastAsia="SimSun"/>
          <w:lang w:eastAsia="zh-CN"/>
        </w:rPr>
        <w:t xml:space="preserve"> e</w:t>
      </w:r>
      <w:r w:rsidR="00883AE7" w:rsidRPr="00E568C3">
        <w:rPr>
          <w:rFonts w:eastAsia="SimSun"/>
          <w:lang w:eastAsia="zh-CN"/>
        </w:rPr>
        <w:t>n coop</w:t>
      </w:r>
      <w:r w:rsidR="004801F3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ration </w:t>
      </w:r>
      <w:r w:rsidR="004801F3" w:rsidRPr="00E568C3">
        <w:rPr>
          <w:rFonts w:eastAsia="SimSun"/>
          <w:lang w:eastAsia="zh-CN"/>
        </w:rPr>
        <w:t>avec le Secrétariat de la Convention d</w:t>
      </w:r>
      <w:r w:rsidR="00883AE7" w:rsidRPr="00E568C3">
        <w:rPr>
          <w:rFonts w:eastAsia="SimSun"/>
          <w:lang w:eastAsia="zh-CN"/>
        </w:rPr>
        <w:t>e B</w:t>
      </w:r>
      <w:r w:rsidR="004801F3" w:rsidRPr="00E568C3">
        <w:rPr>
          <w:rFonts w:eastAsia="SimSun"/>
          <w:lang w:eastAsia="zh-CN"/>
        </w:rPr>
        <w:t>â</w:t>
      </w:r>
      <w:r w:rsidR="006A3508" w:rsidRPr="00E568C3">
        <w:rPr>
          <w:rFonts w:eastAsia="SimSun"/>
          <w:lang w:eastAsia="zh-CN"/>
        </w:rPr>
        <w:t>le.  Le</w:t>
      </w:r>
      <w:r w:rsidR="004801F3" w:rsidRPr="00E568C3">
        <w:rPr>
          <w:rFonts w:eastAsia="SimSun"/>
          <w:lang w:eastAsia="zh-CN"/>
        </w:rPr>
        <w:t>s conclusions d</w:t>
      </w:r>
      <w:r w:rsidRPr="00E568C3">
        <w:rPr>
          <w:rFonts w:eastAsia="SimSun"/>
          <w:lang w:eastAsia="zh-CN"/>
        </w:rPr>
        <w:t>es</w:t>
      </w:r>
      <w:r w:rsidR="004801F3" w:rsidRPr="00E568C3">
        <w:rPr>
          <w:rFonts w:eastAsia="SimSun"/>
          <w:lang w:eastAsia="zh-CN"/>
        </w:rPr>
        <w:t xml:space="preserve"> </w:t>
      </w:r>
      <w:r w:rsidR="00883AE7" w:rsidRPr="00E568C3">
        <w:rPr>
          <w:rFonts w:eastAsia="SimSun"/>
          <w:lang w:eastAsia="zh-CN"/>
        </w:rPr>
        <w:t>r</w:t>
      </w:r>
      <w:r w:rsidR="004801F3"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>port</w:t>
      </w:r>
      <w:r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 xml:space="preserve"> </w:t>
      </w:r>
      <w:r w:rsidR="004801F3" w:rsidRPr="00E568C3">
        <w:rPr>
          <w:rFonts w:eastAsia="SimSun"/>
          <w:lang w:eastAsia="zh-CN"/>
        </w:rPr>
        <w:t xml:space="preserve">ont été utilisées dans le cadre des discussions conjointes des </w:t>
      </w:r>
      <w:r w:rsidR="00A20873" w:rsidRPr="00E568C3">
        <w:rPr>
          <w:rFonts w:eastAsia="SimSun"/>
          <w:lang w:eastAsia="zh-CN"/>
        </w:rPr>
        <w:t>institution</w:t>
      </w:r>
      <w:r w:rsidR="004801F3" w:rsidRPr="00E568C3">
        <w:rPr>
          <w:rFonts w:eastAsia="SimSun"/>
          <w:lang w:eastAsia="zh-CN"/>
        </w:rPr>
        <w:t xml:space="preserve">s des </w:t>
      </w:r>
      <w:r w:rsidR="00871730" w:rsidRPr="00E568C3">
        <w:rPr>
          <w:rFonts w:eastAsia="SimSun"/>
          <w:lang w:eastAsia="zh-CN"/>
        </w:rPr>
        <w:t>Nations Unies</w:t>
      </w:r>
      <w:r w:rsidR="004801F3" w:rsidRPr="00E568C3">
        <w:rPr>
          <w:rFonts w:eastAsia="SimSun"/>
          <w:lang w:eastAsia="zh-CN"/>
        </w:rPr>
        <w:t xml:space="preserve"> sur la gestion des déchets électroniques en Amérique l</w:t>
      </w:r>
      <w:r w:rsidR="00883AE7" w:rsidRPr="00E568C3">
        <w:rPr>
          <w:rFonts w:eastAsia="SimSun"/>
          <w:lang w:eastAsia="zh-CN"/>
        </w:rPr>
        <w:t>atin</w:t>
      </w:r>
      <w:r w:rsidR="004801F3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, </w:t>
      </w:r>
      <w:r w:rsidR="004801F3" w:rsidRPr="00E568C3">
        <w:rPr>
          <w:rFonts w:eastAsia="SimSun"/>
          <w:lang w:eastAsia="zh-CN"/>
        </w:rPr>
        <w:t xml:space="preserve">qui ont donné lieu à une publication conjointe des </w:t>
      </w:r>
      <w:r w:rsidR="00871730" w:rsidRPr="00E568C3">
        <w:rPr>
          <w:rFonts w:eastAsia="SimSun"/>
          <w:lang w:eastAsia="zh-CN"/>
        </w:rPr>
        <w:t>Nations Unies</w:t>
      </w:r>
      <w:r w:rsidR="004801F3" w:rsidRPr="00E568C3">
        <w:rPr>
          <w:rFonts w:eastAsia="SimSun"/>
          <w:lang w:eastAsia="zh-CN"/>
        </w:rPr>
        <w:t xml:space="preserve"> e</w:t>
      </w:r>
      <w:r w:rsidR="00883AE7" w:rsidRPr="00E568C3">
        <w:rPr>
          <w:rFonts w:eastAsia="SimSun"/>
          <w:lang w:eastAsia="zh-CN"/>
        </w:rPr>
        <w:t xml:space="preserve">n </w:t>
      </w:r>
      <w:r w:rsidR="004801F3" w:rsidRPr="00E568C3">
        <w:rPr>
          <w:rFonts w:eastAsia="SimSun"/>
          <w:lang w:eastAsia="zh-CN"/>
        </w:rPr>
        <w:t>mai </w:t>
      </w:r>
      <w:r w:rsidR="00883AE7" w:rsidRPr="00E568C3">
        <w:rPr>
          <w:rFonts w:eastAsia="SimSun"/>
          <w:lang w:eastAsia="zh-CN"/>
        </w:rPr>
        <w:t>2015 (</w:t>
      </w:r>
      <w:r w:rsidR="004801F3" w:rsidRPr="00E568C3">
        <w:rPr>
          <w:rFonts w:eastAsia="SimSun"/>
          <w:lang w:eastAsia="zh-CN"/>
        </w:rPr>
        <w:t>Union internationale des télécommunications (UIT)</w:t>
      </w:r>
      <w:r w:rsidR="00883AE7" w:rsidRPr="00E568C3">
        <w:rPr>
          <w:rFonts w:eastAsia="SimSun"/>
          <w:lang w:eastAsia="zh-CN"/>
        </w:rPr>
        <w:t>, Convention</w:t>
      </w:r>
      <w:r w:rsidR="004801F3" w:rsidRPr="00E568C3">
        <w:rPr>
          <w:rFonts w:eastAsia="SimSun"/>
          <w:lang w:eastAsia="zh-CN"/>
        </w:rPr>
        <w:t xml:space="preserve"> de Bâle</w:t>
      </w:r>
      <w:r w:rsidR="00883AE7" w:rsidRPr="00E568C3">
        <w:rPr>
          <w:rFonts w:eastAsia="SimSun"/>
          <w:lang w:eastAsia="zh-CN"/>
        </w:rPr>
        <w:t xml:space="preserve">, </w:t>
      </w:r>
      <w:r w:rsidR="004801F3" w:rsidRPr="00E568C3">
        <w:rPr>
          <w:rFonts w:eastAsia="SimSun"/>
          <w:lang w:eastAsia="zh-CN"/>
        </w:rPr>
        <w:t>PN</w:t>
      </w:r>
      <w:r w:rsidR="00883AE7" w:rsidRPr="00E568C3">
        <w:rPr>
          <w:rFonts w:eastAsia="SimSun"/>
          <w:lang w:eastAsia="zh-CN"/>
        </w:rPr>
        <w:t xml:space="preserve">UE, </w:t>
      </w:r>
      <w:r w:rsidR="004801F3" w:rsidRPr="00E568C3">
        <w:rPr>
          <w:rFonts w:eastAsia="SimSun"/>
          <w:lang w:eastAsia="zh-CN"/>
        </w:rPr>
        <w:t xml:space="preserve">Organisation des </w:t>
      </w:r>
      <w:r w:rsidR="00871730" w:rsidRPr="00E568C3">
        <w:rPr>
          <w:rFonts w:eastAsia="SimSun"/>
          <w:lang w:eastAsia="zh-CN"/>
        </w:rPr>
        <w:t>Nations Unies</w:t>
      </w:r>
      <w:r w:rsidR="004801F3" w:rsidRPr="00E568C3">
        <w:rPr>
          <w:rFonts w:eastAsia="SimSun"/>
          <w:lang w:eastAsia="zh-CN"/>
        </w:rPr>
        <w:t xml:space="preserve"> pour l</w:t>
      </w:r>
      <w:r w:rsidR="00871730" w:rsidRPr="00E568C3">
        <w:rPr>
          <w:rFonts w:eastAsia="SimSun"/>
          <w:lang w:eastAsia="zh-CN"/>
        </w:rPr>
        <w:t>’</w:t>
      </w:r>
      <w:r w:rsidR="004801F3" w:rsidRPr="00E568C3">
        <w:rPr>
          <w:rFonts w:eastAsia="SimSun"/>
          <w:lang w:eastAsia="zh-CN"/>
        </w:rPr>
        <w:t>éducation, la science et la culture (UNESCO)</w:t>
      </w:r>
      <w:r w:rsidR="00883AE7" w:rsidRPr="00E568C3">
        <w:rPr>
          <w:rFonts w:eastAsia="SimSun"/>
          <w:lang w:eastAsia="zh-CN"/>
        </w:rPr>
        <w:t xml:space="preserve">, </w:t>
      </w:r>
      <w:r w:rsidR="00A20873" w:rsidRPr="00E568C3">
        <w:rPr>
          <w:rFonts w:eastAsia="SimSun"/>
          <w:lang w:eastAsia="zh-CN"/>
        </w:rPr>
        <w:t xml:space="preserve">Organisation des </w:t>
      </w:r>
      <w:r w:rsidR="00871730" w:rsidRPr="00E568C3">
        <w:rPr>
          <w:rFonts w:eastAsia="SimSun"/>
          <w:lang w:eastAsia="zh-CN"/>
        </w:rPr>
        <w:t>Nations Unies</w:t>
      </w:r>
      <w:r w:rsidR="00A20873" w:rsidRPr="00E568C3">
        <w:rPr>
          <w:rFonts w:eastAsia="SimSun"/>
          <w:lang w:eastAsia="zh-CN"/>
        </w:rPr>
        <w:t xml:space="preserve"> pour le développement industriel (ONUDI)</w:t>
      </w:r>
      <w:r w:rsidR="00883AE7" w:rsidRPr="00E568C3">
        <w:rPr>
          <w:rFonts w:eastAsia="SimSun"/>
          <w:lang w:eastAsia="zh-CN"/>
        </w:rPr>
        <w:t>, O</w:t>
      </w:r>
      <w:r w:rsidR="00A20873" w:rsidRPr="00E568C3">
        <w:rPr>
          <w:rFonts w:eastAsia="SimSun"/>
          <w:lang w:eastAsia="zh-CN"/>
        </w:rPr>
        <w:t>MPI</w:t>
      </w:r>
      <w:r w:rsidR="00883AE7" w:rsidRPr="00E568C3">
        <w:rPr>
          <w:rFonts w:eastAsia="SimSun"/>
          <w:lang w:eastAsia="zh-CN"/>
        </w:rPr>
        <w:t xml:space="preserve">, UNU, </w:t>
      </w:r>
      <w:r w:rsidR="00A20873" w:rsidRPr="00E568C3">
        <w:rPr>
          <w:rFonts w:eastAsia="SimSun"/>
          <w:lang w:eastAsia="zh-CN"/>
        </w:rPr>
        <w:t>Centre régional de la Convention de Bâle en Amérique du S</w:t>
      </w:r>
      <w:r w:rsidR="00883AE7" w:rsidRPr="00E568C3">
        <w:rPr>
          <w:rFonts w:eastAsia="SimSun"/>
          <w:lang w:eastAsia="zh-CN"/>
        </w:rPr>
        <w:t>u</w:t>
      </w:r>
      <w:r w:rsidR="00A20873" w:rsidRPr="00E568C3">
        <w:rPr>
          <w:rFonts w:eastAsia="SimSun"/>
          <w:lang w:eastAsia="zh-CN"/>
        </w:rPr>
        <w:t>d</w:t>
      </w:r>
      <w:r w:rsidR="00883AE7" w:rsidRPr="00E568C3">
        <w:rPr>
          <w:rFonts w:eastAsia="SimSun"/>
          <w:lang w:eastAsia="zh-CN"/>
        </w:rPr>
        <w:t xml:space="preserve">, </w:t>
      </w:r>
      <w:r w:rsidR="00A20873" w:rsidRPr="00E568C3">
        <w:rPr>
          <w:rFonts w:eastAsia="SimSun"/>
          <w:lang w:eastAsia="zh-CN"/>
        </w:rPr>
        <w:t>ONU C</w:t>
      </w:r>
      <w:r w:rsidR="00883AE7" w:rsidRPr="00E568C3">
        <w:rPr>
          <w:rFonts w:eastAsia="SimSun"/>
          <w:lang w:eastAsia="zh-CN"/>
        </w:rPr>
        <w:t>E</w:t>
      </w:r>
      <w:r w:rsidR="00A20873" w:rsidRPr="00E568C3">
        <w:rPr>
          <w:rFonts w:eastAsia="SimSun"/>
          <w:lang w:eastAsia="zh-CN"/>
        </w:rPr>
        <w:t>PA</w:t>
      </w:r>
      <w:r w:rsidR="00883AE7" w:rsidRPr="00E568C3">
        <w:rPr>
          <w:rFonts w:eastAsia="SimSun"/>
          <w:lang w:eastAsia="zh-CN"/>
        </w:rPr>
        <w:t>LC, O</w:t>
      </w:r>
      <w:r w:rsidR="00A20873" w:rsidRPr="00E568C3">
        <w:rPr>
          <w:rFonts w:eastAsia="SimSun"/>
          <w:lang w:eastAsia="zh-CN"/>
        </w:rPr>
        <w:t>MS</w:t>
      </w:r>
      <w:r w:rsidR="00C71996">
        <w:rPr>
          <w:rFonts w:eastAsia="SimSun"/>
          <w:lang w:eastAsia="zh-CN"/>
        </w:rPr>
        <w:t>)</w:t>
      </w:r>
      <w:r w:rsidR="00883AE7" w:rsidRPr="00E568C3">
        <w:rPr>
          <w:rFonts w:eastAsia="SimSun"/>
          <w:lang w:eastAsia="zh-CN"/>
        </w:rPr>
        <w:t xml:space="preserve">.  </w:t>
      </w:r>
      <w:r w:rsidR="00A20873" w:rsidRPr="00E568C3">
        <w:rPr>
          <w:rFonts w:eastAsia="SimSun"/>
          <w:lang w:eastAsia="zh-CN"/>
        </w:rPr>
        <w:t>La</w:t>
      </w:r>
      <w:r w:rsidR="00883AE7" w:rsidRPr="00E568C3">
        <w:rPr>
          <w:rFonts w:eastAsia="SimSun"/>
          <w:lang w:eastAsia="zh-CN"/>
        </w:rPr>
        <w:t xml:space="preserve"> publication </w:t>
      </w:r>
      <w:r w:rsidR="00A20873" w:rsidRPr="00E568C3">
        <w:rPr>
          <w:rFonts w:eastAsia="SimSun"/>
          <w:lang w:eastAsia="zh-CN"/>
        </w:rPr>
        <w:t>aborde différents</w:t>
      </w:r>
      <w:r w:rsidR="00883AE7" w:rsidRPr="00E568C3">
        <w:rPr>
          <w:rFonts w:eastAsia="SimSun"/>
          <w:lang w:eastAsia="zh-CN"/>
        </w:rPr>
        <w:t xml:space="preserve"> aspects </w:t>
      </w:r>
      <w:r w:rsidR="00A20873" w:rsidRPr="00E568C3">
        <w:rPr>
          <w:rFonts w:eastAsia="SimSun"/>
          <w:lang w:eastAsia="zh-CN"/>
        </w:rPr>
        <w:t>du sujet</w:t>
      </w:r>
      <w:r w:rsidR="00883AE7" w:rsidRPr="00E568C3">
        <w:rPr>
          <w:rFonts w:eastAsia="SimSun"/>
          <w:lang w:eastAsia="zh-CN"/>
        </w:rPr>
        <w:t xml:space="preserve">, </w:t>
      </w:r>
      <w:r w:rsidR="00A20873" w:rsidRPr="00E568C3">
        <w:rPr>
          <w:rFonts w:eastAsia="SimSun"/>
          <w:lang w:eastAsia="zh-CN"/>
        </w:rPr>
        <w:t>notamment la mise à disposition de</w:t>
      </w:r>
      <w:r w:rsidR="00883AE7" w:rsidRPr="00E568C3">
        <w:rPr>
          <w:rFonts w:eastAsia="SimSun"/>
          <w:lang w:eastAsia="zh-CN"/>
        </w:rPr>
        <w:t xml:space="preserve"> technologies </w:t>
      </w:r>
      <w:r w:rsidR="00A20873" w:rsidRPr="00E568C3">
        <w:rPr>
          <w:rFonts w:eastAsia="SimSun"/>
          <w:lang w:eastAsia="zh-CN"/>
        </w:rPr>
        <w:t>connexes et les</w:t>
      </w:r>
      <w:r w:rsidR="00883AE7" w:rsidRPr="00E568C3">
        <w:rPr>
          <w:rFonts w:eastAsia="SimSun"/>
          <w:lang w:eastAsia="zh-CN"/>
        </w:rPr>
        <w:t xml:space="preserve"> opportunit</w:t>
      </w:r>
      <w:r w:rsidR="00A20873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s </w:t>
      </w:r>
      <w:r w:rsidR="00A20873" w:rsidRPr="00E568C3">
        <w:rPr>
          <w:rFonts w:eastAsia="SimSun"/>
          <w:lang w:eastAsia="zh-CN"/>
        </w:rPr>
        <w:t>en matière de transfert de</w:t>
      </w:r>
      <w:r w:rsidR="00883AE7" w:rsidRPr="00E568C3">
        <w:rPr>
          <w:rFonts w:eastAsia="SimSun"/>
          <w:lang w:eastAsia="zh-CN"/>
        </w:rPr>
        <w:t xml:space="preserve"> technolog</w:t>
      </w:r>
      <w:r w:rsidR="00A20873" w:rsidRPr="00E568C3">
        <w:rPr>
          <w:rFonts w:eastAsia="SimSun"/>
          <w:lang w:eastAsia="zh-CN"/>
        </w:rPr>
        <w:t>ie</w:t>
      </w:r>
      <w:r w:rsidRPr="00E568C3">
        <w:rPr>
          <w:rFonts w:eastAsia="SimSun"/>
          <w:lang w:eastAsia="zh-CN"/>
        </w:rPr>
        <w:t>,</w:t>
      </w:r>
      <w:r w:rsidR="00A20873" w:rsidRPr="00E568C3">
        <w:rPr>
          <w:rFonts w:eastAsia="SimSun"/>
          <w:lang w:eastAsia="zh-CN"/>
        </w:rPr>
        <w:t xml:space="preserve"> et elle est dispon</w:t>
      </w:r>
      <w:r w:rsidR="00883AE7" w:rsidRPr="00E568C3">
        <w:rPr>
          <w:rFonts w:eastAsia="SimSun"/>
          <w:lang w:eastAsia="zh-CN"/>
        </w:rPr>
        <w:t xml:space="preserve">ible </w:t>
      </w:r>
      <w:r w:rsidR="00A20873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n </w:t>
      </w:r>
      <w:r w:rsidR="00A20873" w:rsidRPr="00E568C3">
        <w:rPr>
          <w:rFonts w:eastAsia="SimSun"/>
          <w:lang w:eastAsia="zh-CN"/>
        </w:rPr>
        <w:t>anglais et en espagnol</w:t>
      </w:r>
      <w:r w:rsidR="00883AE7" w:rsidRPr="00E568C3">
        <w:rPr>
          <w:rFonts w:eastAsia="SimSun"/>
          <w:lang w:eastAsia="zh-CN"/>
        </w:rPr>
        <w:t xml:space="preserve"> (</w:t>
      </w:r>
      <w:r w:rsidR="00A20873" w:rsidRPr="00E568C3">
        <w:rPr>
          <w:rFonts w:eastAsia="SimSun"/>
          <w:lang w:eastAsia="zh-CN"/>
        </w:rPr>
        <w:t>l</w:t>
      </w:r>
      <w:r w:rsidR="00883AE7" w:rsidRPr="00E568C3">
        <w:rPr>
          <w:rFonts w:eastAsia="SimSun"/>
          <w:lang w:eastAsia="zh-CN"/>
        </w:rPr>
        <w:t>e r</w:t>
      </w:r>
      <w:r w:rsidR="00A20873"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 xml:space="preserve">port </w:t>
      </w:r>
      <w:r w:rsidR="00A20873" w:rsidRPr="00E568C3">
        <w:rPr>
          <w:rFonts w:eastAsia="SimSun"/>
          <w:lang w:eastAsia="zh-CN"/>
        </w:rPr>
        <w:t>peut être consulté à l</w:t>
      </w:r>
      <w:r w:rsidR="00871730" w:rsidRPr="00E568C3">
        <w:rPr>
          <w:rFonts w:eastAsia="SimSun"/>
          <w:lang w:eastAsia="zh-CN"/>
        </w:rPr>
        <w:t>’</w:t>
      </w:r>
      <w:r w:rsidR="00A20873" w:rsidRPr="00E568C3">
        <w:rPr>
          <w:rFonts w:eastAsia="SimSun"/>
          <w:lang w:eastAsia="zh-CN"/>
        </w:rPr>
        <w:t>adresse </w:t>
      </w:r>
      <w:r w:rsidR="00883AE7" w:rsidRPr="00E568C3">
        <w:rPr>
          <w:rFonts w:eastAsia="SimSun"/>
          <w:lang w:eastAsia="zh-CN"/>
        </w:rPr>
        <w:t>:</w:t>
      </w:r>
      <w:r w:rsidR="00C71996">
        <w:rPr>
          <w:rFonts w:eastAsia="SimSun"/>
          <w:lang w:eastAsia="zh-CN"/>
        </w:rPr>
        <w:t xml:space="preserve"> </w:t>
      </w:r>
      <w:hyperlink r:id="rId18" w:history="1">
        <w:r w:rsidR="00C71996" w:rsidRPr="00C71996">
          <w:rPr>
            <w:rStyle w:val="Hyperlink"/>
          </w:rPr>
          <w:t>http://www.itu.int/dms_pub/itu-t/oth/0b/11/T0B110000273301PDFS.pdf</w:t>
        </w:r>
      </w:hyperlink>
      <w:r w:rsidR="00883AE7" w:rsidRPr="00E568C3">
        <w:rPr>
          <w:rFonts w:eastAsia="SimSun"/>
          <w:lang w:eastAsia="zh-CN"/>
        </w:rPr>
        <w:t>).</w:t>
      </w:r>
    </w:p>
    <w:p w:rsidR="00F55AA9" w:rsidRDefault="00A20873" w:rsidP="00883AE7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 xml:space="preserve">Un autre </w:t>
      </w:r>
      <w:r w:rsidR="00883AE7" w:rsidRPr="00E568C3">
        <w:rPr>
          <w:rFonts w:eastAsia="SimSun"/>
          <w:lang w:eastAsia="zh-CN"/>
        </w:rPr>
        <w:t>ex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mple </w:t>
      </w:r>
      <w:r w:rsidRPr="00E568C3">
        <w:rPr>
          <w:rFonts w:eastAsia="SimSun"/>
          <w:lang w:eastAsia="zh-CN"/>
        </w:rPr>
        <w:t>est le rapport panoramique sur les brevets con</w:t>
      </w:r>
      <w:r w:rsidR="00554246" w:rsidRPr="00E568C3">
        <w:rPr>
          <w:rFonts w:eastAsia="SimSun"/>
          <w:lang w:eastAsia="zh-CN"/>
        </w:rPr>
        <w:t>cernant l</w:t>
      </w:r>
      <w:r w:rsidR="00871730" w:rsidRPr="00E568C3">
        <w:rPr>
          <w:rFonts w:eastAsia="SimSun"/>
          <w:lang w:eastAsia="zh-CN"/>
        </w:rPr>
        <w:t>’</w:t>
      </w:r>
      <w:r w:rsidR="00554246" w:rsidRPr="00E568C3">
        <w:rPr>
          <w:rFonts w:eastAsia="SimSun"/>
          <w:lang w:eastAsia="zh-CN"/>
        </w:rPr>
        <w:t>utilisation de</w:t>
      </w:r>
      <w:r w:rsidRPr="00E568C3">
        <w:rPr>
          <w:rFonts w:eastAsia="SimSun"/>
          <w:lang w:eastAsia="zh-CN"/>
        </w:rPr>
        <w:t xml:space="preserve">s ressources </w:t>
      </w:r>
      <w:proofErr w:type="spellStart"/>
      <w:r w:rsidR="00554246" w:rsidRPr="00E568C3">
        <w:rPr>
          <w:rFonts w:eastAsia="SimSun"/>
          <w:lang w:eastAsia="zh-CN"/>
        </w:rPr>
        <w:t>zoo</w:t>
      </w:r>
      <w:r w:rsidRPr="00E568C3">
        <w:rPr>
          <w:rFonts w:eastAsia="SimSun"/>
          <w:lang w:eastAsia="zh-CN"/>
        </w:rPr>
        <w:t>génétiques</w:t>
      </w:r>
      <w:proofErr w:type="spellEnd"/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pour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alimentation et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</w:t>
      </w:r>
      <w:r w:rsidR="00883AE7" w:rsidRPr="00E568C3">
        <w:rPr>
          <w:rFonts w:eastAsia="SimSun"/>
          <w:lang w:eastAsia="zh-CN"/>
        </w:rPr>
        <w:t xml:space="preserve">griculture, </w:t>
      </w:r>
      <w:r w:rsidR="00554246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n coop</w:t>
      </w:r>
      <w:r w:rsidR="00554246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ration </w:t>
      </w:r>
      <w:r w:rsidR="00554246" w:rsidRPr="00E568C3">
        <w:rPr>
          <w:rFonts w:eastAsia="SimSun"/>
          <w:lang w:eastAsia="zh-CN"/>
        </w:rPr>
        <w:t>avec</w:t>
      </w:r>
      <w:r w:rsidR="00871730" w:rsidRPr="00E568C3">
        <w:rPr>
          <w:rFonts w:eastAsia="SimSun"/>
          <w:lang w:eastAsia="zh-CN"/>
        </w:rPr>
        <w:t xml:space="preserve"> la </w:t>
      </w:r>
      <w:r w:rsidR="006A3508" w:rsidRPr="00E568C3">
        <w:rPr>
          <w:rFonts w:eastAsia="SimSun"/>
          <w:lang w:eastAsia="zh-CN"/>
        </w:rPr>
        <w:t>FAO.  Le</w:t>
      </w:r>
      <w:r w:rsidR="00554246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r</w:t>
      </w:r>
      <w:r w:rsidR="00554246"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 xml:space="preserve">port </w:t>
      </w:r>
      <w:r w:rsidR="00554246" w:rsidRPr="00E568C3">
        <w:rPr>
          <w:rFonts w:eastAsia="SimSun"/>
          <w:lang w:eastAsia="zh-CN"/>
        </w:rPr>
        <w:t xml:space="preserve">étudiait les principaux axes de recherche dans le domaine des ressources </w:t>
      </w:r>
      <w:proofErr w:type="spellStart"/>
      <w:r w:rsidR="00554246" w:rsidRPr="00E568C3">
        <w:rPr>
          <w:rFonts w:eastAsia="SimSun"/>
          <w:lang w:eastAsia="zh-CN"/>
        </w:rPr>
        <w:t>zoogénétiques</w:t>
      </w:r>
      <w:proofErr w:type="spellEnd"/>
      <w:r w:rsidR="00554246" w:rsidRPr="00E568C3">
        <w:rPr>
          <w:rFonts w:eastAsia="SimSun"/>
          <w:lang w:eastAsia="zh-CN"/>
        </w:rPr>
        <w:t xml:space="preserve"> utilisées pour l</w:t>
      </w:r>
      <w:r w:rsidR="00871730" w:rsidRPr="00E568C3">
        <w:rPr>
          <w:rFonts w:eastAsia="SimSun"/>
          <w:lang w:eastAsia="zh-CN"/>
        </w:rPr>
        <w:t>’</w:t>
      </w:r>
      <w:r w:rsidR="00554246" w:rsidRPr="00E568C3">
        <w:rPr>
          <w:rFonts w:eastAsia="SimSun"/>
          <w:lang w:eastAsia="zh-CN"/>
        </w:rPr>
        <w:t>alimentation et 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agricultu</w:t>
      </w:r>
      <w:r w:rsidR="006A3508" w:rsidRPr="00E568C3">
        <w:rPr>
          <w:rFonts w:eastAsia="SimSun"/>
          <w:lang w:eastAsia="zh-CN"/>
        </w:rPr>
        <w:t>re.  Le</w:t>
      </w:r>
      <w:r w:rsidR="00554246" w:rsidRPr="00E568C3">
        <w:rPr>
          <w:rFonts w:eastAsia="SimSun"/>
          <w:lang w:eastAsia="zh-CN"/>
        </w:rPr>
        <w:t xml:space="preserve">s conclusions du rapport panoramique sur les brevets ont montré que les principales </w:t>
      </w:r>
      <w:r w:rsidR="00883AE7" w:rsidRPr="00E568C3">
        <w:rPr>
          <w:rFonts w:eastAsia="SimSun"/>
          <w:lang w:eastAsia="zh-CN"/>
        </w:rPr>
        <w:t xml:space="preserve">technologies </w:t>
      </w:r>
      <w:r w:rsidR="00554246" w:rsidRPr="00E568C3">
        <w:rPr>
          <w:rFonts w:eastAsia="SimSun"/>
          <w:lang w:eastAsia="zh-CN"/>
        </w:rPr>
        <w:t xml:space="preserve">recensées étaient axées sur le marché </w:t>
      </w:r>
      <w:r w:rsidR="00883AE7" w:rsidRPr="00E568C3">
        <w:rPr>
          <w:rFonts w:eastAsia="SimSun"/>
          <w:lang w:eastAsia="zh-CN"/>
        </w:rPr>
        <w:t>m</w:t>
      </w:r>
      <w:r w:rsidR="00554246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dical </w:t>
      </w:r>
      <w:r w:rsidR="00554246" w:rsidRPr="00E568C3">
        <w:rPr>
          <w:rFonts w:eastAsia="SimSun"/>
          <w:lang w:eastAsia="zh-CN"/>
        </w:rPr>
        <w:t>et</w:t>
      </w:r>
      <w:r w:rsidR="00883AE7" w:rsidRPr="00E568C3">
        <w:rPr>
          <w:rFonts w:eastAsia="SimSun"/>
          <w:lang w:eastAsia="zh-CN"/>
        </w:rPr>
        <w:t xml:space="preserve"> pharmaceuti</w:t>
      </w:r>
      <w:r w:rsidR="00554246" w:rsidRPr="00E568C3">
        <w:rPr>
          <w:rFonts w:eastAsia="SimSun"/>
          <w:lang w:eastAsia="zh-CN"/>
        </w:rPr>
        <w:t>q</w:t>
      </w:r>
      <w:r w:rsidR="006A3508" w:rsidRPr="00E568C3">
        <w:rPr>
          <w:rFonts w:eastAsia="SimSun"/>
          <w:lang w:eastAsia="zh-CN"/>
        </w:rPr>
        <w:t>ue.  El</w:t>
      </w:r>
      <w:r w:rsidR="00554246" w:rsidRPr="00E568C3">
        <w:rPr>
          <w:rFonts w:eastAsia="SimSun"/>
          <w:lang w:eastAsia="zh-CN"/>
        </w:rPr>
        <w:t>les</w:t>
      </w:r>
      <w:r w:rsidR="00883AE7" w:rsidRPr="00E568C3">
        <w:rPr>
          <w:rFonts w:eastAsia="SimSun"/>
          <w:lang w:eastAsia="zh-CN"/>
        </w:rPr>
        <w:t xml:space="preserve"> </w:t>
      </w:r>
      <w:r w:rsidR="00554246" w:rsidRPr="00E568C3">
        <w:rPr>
          <w:rFonts w:eastAsia="SimSun"/>
          <w:lang w:eastAsia="zh-CN"/>
        </w:rPr>
        <w:t xml:space="preserve">ont été intégrées dans la deuxième </w:t>
      </w:r>
      <w:r w:rsidR="00554246" w:rsidRPr="00E568C3">
        <w:rPr>
          <w:rFonts w:eastAsia="SimSun"/>
          <w:lang w:eastAsia="zh-CN"/>
        </w:rPr>
        <w:lastRenderedPageBreak/>
        <w:t>évaluation globale de</w:t>
      </w:r>
      <w:r w:rsidR="00871730" w:rsidRPr="00E568C3">
        <w:rPr>
          <w:rFonts w:eastAsia="SimSun"/>
          <w:lang w:eastAsia="zh-CN"/>
        </w:rPr>
        <w:t xml:space="preserve"> la FAO</w:t>
      </w:r>
      <w:r w:rsidR="00554246" w:rsidRPr="00E568C3">
        <w:rPr>
          <w:rFonts w:eastAsia="SimSun"/>
          <w:lang w:eastAsia="zh-CN"/>
        </w:rPr>
        <w:t xml:space="preserve"> sur les ressources </w:t>
      </w:r>
      <w:proofErr w:type="spellStart"/>
      <w:r w:rsidR="00554246" w:rsidRPr="00E568C3">
        <w:rPr>
          <w:rFonts w:eastAsia="SimSun"/>
          <w:lang w:eastAsia="zh-CN"/>
        </w:rPr>
        <w:t>zoogénétique</w:t>
      </w:r>
      <w:r w:rsidR="00883AE7" w:rsidRPr="00E568C3">
        <w:rPr>
          <w:rFonts w:eastAsia="SimSun"/>
          <w:lang w:eastAsia="zh-CN"/>
        </w:rPr>
        <w:t>s</w:t>
      </w:r>
      <w:proofErr w:type="spellEnd"/>
      <w:r w:rsidR="00883AE7" w:rsidRPr="00E568C3">
        <w:rPr>
          <w:rFonts w:eastAsia="SimSun"/>
          <w:lang w:eastAsia="zh-CN"/>
        </w:rPr>
        <w:t xml:space="preserve"> (accessible </w:t>
      </w:r>
      <w:r w:rsidR="00554246" w:rsidRPr="00E568C3">
        <w:rPr>
          <w:rFonts w:eastAsia="SimSun"/>
          <w:lang w:eastAsia="zh-CN"/>
        </w:rPr>
        <w:t>à l</w:t>
      </w:r>
      <w:r w:rsidR="00871730" w:rsidRPr="00E568C3">
        <w:rPr>
          <w:rFonts w:eastAsia="SimSun"/>
          <w:lang w:eastAsia="zh-CN"/>
        </w:rPr>
        <w:t>’</w:t>
      </w:r>
      <w:r w:rsidR="00554246" w:rsidRPr="00E568C3">
        <w:rPr>
          <w:rFonts w:eastAsia="SimSun"/>
          <w:lang w:eastAsia="zh-CN"/>
        </w:rPr>
        <w:t>adresse</w:t>
      </w:r>
      <w:r w:rsidR="00883AE7" w:rsidRPr="00E568C3">
        <w:rPr>
          <w:rFonts w:eastAsia="SimSun"/>
          <w:lang w:eastAsia="zh-CN"/>
        </w:rPr>
        <w:t xml:space="preserve"> http://www.fao.org/3/a</w:t>
      </w:r>
      <w:r w:rsidR="006A3508" w:rsidRPr="00E568C3">
        <w:rPr>
          <w:rFonts w:eastAsia="SimSun"/>
          <w:lang w:eastAsia="zh-CN"/>
        </w:rPr>
        <w:noBreakHyphen/>
      </w:r>
      <w:r w:rsidR="00883AE7" w:rsidRPr="00E568C3">
        <w:rPr>
          <w:rFonts w:eastAsia="SimSun"/>
          <w:lang w:eastAsia="zh-CN"/>
        </w:rPr>
        <w:t>i4787e.p</w:t>
      </w:r>
      <w:r w:rsidR="006A3508" w:rsidRPr="00E568C3">
        <w:rPr>
          <w:rFonts w:eastAsia="SimSun"/>
          <w:lang w:eastAsia="zh-CN"/>
        </w:rPr>
        <w:t>df).  Un</w:t>
      </w:r>
      <w:r w:rsidR="00554246" w:rsidRPr="00E568C3">
        <w:rPr>
          <w:rFonts w:eastAsia="SimSun"/>
          <w:lang w:eastAsia="zh-CN"/>
        </w:rPr>
        <w:t>e des conclusions majeures de ce rapport ét</w:t>
      </w:r>
      <w:r w:rsidR="00190917" w:rsidRPr="00E568C3">
        <w:rPr>
          <w:rFonts w:eastAsia="SimSun"/>
          <w:lang w:eastAsia="zh-CN"/>
        </w:rPr>
        <w:t>ait</w:t>
      </w:r>
      <w:r w:rsidR="00554246" w:rsidRPr="00E568C3">
        <w:rPr>
          <w:rFonts w:eastAsia="SimSun"/>
          <w:lang w:eastAsia="zh-CN"/>
        </w:rPr>
        <w:t xml:space="preserve"> que </w:t>
      </w:r>
      <w:r w:rsidR="00883AE7" w:rsidRPr="00E568C3">
        <w:rPr>
          <w:rFonts w:eastAsia="SimSun"/>
          <w:lang w:eastAsia="zh-CN"/>
        </w:rPr>
        <w:t>“</w:t>
      </w:r>
      <w:r w:rsidR="00554246" w:rsidRPr="00E568C3">
        <w:rPr>
          <w:rFonts w:eastAsia="SimSun"/>
          <w:lang w:eastAsia="zh-CN"/>
        </w:rPr>
        <w:t xml:space="preserve">les </w:t>
      </w:r>
      <w:r w:rsidR="00883AE7" w:rsidRPr="00E568C3">
        <w:rPr>
          <w:rFonts w:eastAsia="SimSun"/>
          <w:lang w:eastAsia="zh-CN"/>
        </w:rPr>
        <w:t xml:space="preserve">technologies </w:t>
      </w:r>
      <w:r w:rsidR="00554246" w:rsidRPr="00E568C3">
        <w:rPr>
          <w:rFonts w:eastAsia="SimSun"/>
          <w:lang w:eastAsia="zh-CN"/>
        </w:rPr>
        <w:t>émergentes créent de nouvelles</w:t>
      </w:r>
      <w:r w:rsidR="00883AE7" w:rsidRPr="00E568C3">
        <w:rPr>
          <w:rFonts w:eastAsia="SimSun"/>
          <w:lang w:eastAsia="zh-CN"/>
        </w:rPr>
        <w:t xml:space="preserve"> opportunit</w:t>
      </w:r>
      <w:r w:rsidR="00554246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s </w:t>
      </w:r>
      <w:r w:rsidR="00554246" w:rsidRPr="00E568C3">
        <w:rPr>
          <w:rFonts w:eastAsia="SimSun"/>
          <w:lang w:eastAsia="zh-CN"/>
        </w:rPr>
        <w:t xml:space="preserve">en matière de gestion des ressources </w:t>
      </w:r>
      <w:proofErr w:type="spellStart"/>
      <w:r w:rsidR="00554246" w:rsidRPr="00E568C3">
        <w:rPr>
          <w:rFonts w:eastAsia="SimSun"/>
          <w:lang w:eastAsia="zh-CN"/>
        </w:rPr>
        <w:t>zoogénétiques</w:t>
      </w:r>
      <w:proofErr w:type="spellEnd"/>
      <w:r w:rsidR="00883AE7" w:rsidRPr="00E568C3">
        <w:rPr>
          <w:rFonts w:eastAsia="SimSun"/>
          <w:lang w:eastAsia="zh-CN"/>
        </w:rPr>
        <w:t>”.</w:t>
      </w:r>
    </w:p>
    <w:p w:rsidR="00F55AA9" w:rsidRDefault="00C369F7" w:rsidP="00883AE7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Un autre rapport panoramique sur les brevets publié au cours de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exercice biennal</w:t>
      </w:r>
      <w:r w:rsidR="00190917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2014</w:t>
      </w:r>
      <w:r w:rsidR="006A3508" w:rsidRPr="00E568C3">
        <w:rPr>
          <w:rFonts w:eastAsia="SimSun"/>
          <w:lang w:eastAsia="zh-CN"/>
        </w:rPr>
        <w:noBreakHyphen/>
      </w:r>
      <w:r w:rsidR="00883AE7" w:rsidRPr="00E568C3">
        <w:rPr>
          <w:rFonts w:eastAsia="SimSun"/>
          <w:lang w:eastAsia="zh-CN"/>
        </w:rPr>
        <w:t xml:space="preserve">2015 </w:t>
      </w:r>
      <w:r w:rsidRPr="00E568C3">
        <w:rPr>
          <w:rFonts w:eastAsia="SimSun"/>
          <w:lang w:eastAsia="zh-CN"/>
        </w:rPr>
        <w:t>ét</w:t>
      </w:r>
      <w:r w:rsidR="00190917" w:rsidRPr="00E568C3">
        <w:rPr>
          <w:rFonts w:eastAsia="SimSun"/>
          <w:lang w:eastAsia="zh-CN"/>
        </w:rPr>
        <w:t>ait</w:t>
      </w:r>
      <w:r w:rsidRPr="00E568C3">
        <w:rPr>
          <w:rFonts w:eastAsia="SimSun"/>
          <w:lang w:eastAsia="zh-CN"/>
        </w:rPr>
        <w:t xml:space="preserve"> le rapport panoramique sur les brevets concernant les dispositifs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</w:t>
      </w:r>
      <w:r w:rsidR="00883AE7" w:rsidRPr="00E568C3">
        <w:rPr>
          <w:rFonts w:eastAsia="SimSun"/>
          <w:lang w:eastAsia="zh-CN"/>
        </w:rPr>
        <w:t>ssist</w:t>
      </w:r>
      <w:r w:rsidRPr="00E568C3">
        <w:rPr>
          <w:rFonts w:eastAsia="SimSun"/>
          <w:lang w:eastAsia="zh-CN"/>
        </w:rPr>
        <w:t>anc</w:t>
      </w:r>
      <w:r w:rsidR="00883AE7" w:rsidRPr="00E568C3">
        <w:rPr>
          <w:rFonts w:eastAsia="SimSun"/>
          <w:lang w:eastAsia="zh-CN"/>
        </w:rPr>
        <w:t xml:space="preserve">e </w:t>
      </w:r>
      <w:r w:rsidRPr="00E568C3">
        <w:rPr>
          <w:rFonts w:eastAsia="SimSun"/>
          <w:lang w:eastAsia="zh-CN"/>
        </w:rPr>
        <w:t>destinés aux déficients visuel</w:t>
      </w:r>
      <w:r w:rsidR="00883AE7" w:rsidRPr="00E568C3">
        <w:rPr>
          <w:rFonts w:eastAsia="SimSun"/>
          <w:lang w:eastAsia="zh-CN"/>
        </w:rPr>
        <w:t xml:space="preserve">s, </w:t>
      </w:r>
      <w:r w:rsidRPr="00E568C3">
        <w:rPr>
          <w:rFonts w:eastAsia="SimSun"/>
          <w:lang w:eastAsia="zh-CN"/>
        </w:rPr>
        <w:t xml:space="preserve">également mis à disposition dans un format </w:t>
      </w:r>
      <w:r w:rsidR="00883AE7" w:rsidRPr="00E568C3">
        <w:rPr>
          <w:rFonts w:eastAsia="SimSun"/>
          <w:lang w:eastAsia="zh-CN"/>
        </w:rPr>
        <w:t xml:space="preserve">accessible </w:t>
      </w:r>
      <w:r w:rsidRPr="00E568C3">
        <w:rPr>
          <w:rFonts w:eastAsia="SimSun"/>
          <w:lang w:eastAsia="zh-CN"/>
        </w:rPr>
        <w:t>aux personnes ayant des difficultés de lecture des imprim</w:t>
      </w:r>
      <w:r w:rsidR="006A3508" w:rsidRPr="00E568C3">
        <w:rPr>
          <w:rFonts w:eastAsia="SimSun"/>
          <w:lang w:eastAsia="zh-CN"/>
        </w:rPr>
        <w:t>és.  Ce</w:t>
      </w:r>
      <w:r w:rsidRPr="00E568C3">
        <w:rPr>
          <w:rFonts w:eastAsia="SimSun"/>
          <w:lang w:eastAsia="zh-CN"/>
        </w:rPr>
        <w:t xml:space="preserve"> rapport visait à </w:t>
      </w:r>
      <w:r w:rsidR="00883AE7" w:rsidRPr="00E568C3">
        <w:rPr>
          <w:rFonts w:eastAsia="SimSun"/>
          <w:lang w:eastAsia="zh-CN"/>
        </w:rPr>
        <w:t>facilite</w:t>
      </w:r>
      <w:r w:rsidRPr="00E568C3">
        <w:rPr>
          <w:rFonts w:eastAsia="SimSun"/>
          <w:lang w:eastAsia="zh-CN"/>
        </w:rPr>
        <w:t>r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le recensement de</w:t>
      </w:r>
      <w:r w:rsidR="00190917" w:rsidRPr="00E568C3">
        <w:rPr>
          <w:rFonts w:eastAsia="SimSun"/>
          <w:lang w:eastAsia="zh-CN"/>
        </w:rPr>
        <w:t>s</w:t>
      </w:r>
      <w:r w:rsidRPr="00E568C3">
        <w:rPr>
          <w:rFonts w:eastAsia="SimSun"/>
          <w:lang w:eastAsia="zh-CN"/>
        </w:rPr>
        <w:t xml:space="preserve"> dispositifs et technologies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assistance existants qui pourraient renseigner les diverses parties prenantes sur les solutions disponibles, permettant de m</w:t>
      </w:r>
      <w:r w:rsidR="00190917" w:rsidRPr="00E568C3">
        <w:rPr>
          <w:rFonts w:eastAsia="SimSun"/>
          <w:lang w:eastAsia="zh-CN"/>
        </w:rPr>
        <w:t>eilleures</w:t>
      </w:r>
      <w:r w:rsidRPr="00E568C3">
        <w:rPr>
          <w:rFonts w:eastAsia="SimSun"/>
          <w:lang w:eastAsia="zh-CN"/>
        </w:rPr>
        <w:t xml:space="preserve"> négoci</w:t>
      </w:r>
      <w:r w:rsidR="00190917" w:rsidRPr="00E568C3">
        <w:rPr>
          <w:rFonts w:eastAsia="SimSun"/>
          <w:lang w:eastAsia="zh-CN"/>
        </w:rPr>
        <w:t>ations</w:t>
      </w:r>
      <w:r w:rsidRPr="00E568C3">
        <w:rPr>
          <w:rFonts w:eastAsia="SimSun"/>
          <w:lang w:eastAsia="zh-CN"/>
        </w:rPr>
        <w:t xml:space="preserve"> </w:t>
      </w:r>
      <w:r w:rsidR="00190917" w:rsidRPr="00E568C3">
        <w:rPr>
          <w:rFonts w:eastAsia="SimSun"/>
          <w:lang w:eastAsia="zh-CN"/>
        </w:rPr>
        <w:t xml:space="preserve">pour </w:t>
      </w:r>
      <w:r w:rsidRPr="00E568C3">
        <w:rPr>
          <w:rFonts w:eastAsia="SimSun"/>
          <w:lang w:eastAsia="zh-CN"/>
        </w:rPr>
        <w:t>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 xml:space="preserve">acquisition </w:t>
      </w:r>
      <w:r w:rsidRPr="00E568C3">
        <w:rPr>
          <w:rFonts w:eastAsia="SimSun"/>
          <w:lang w:eastAsia="zh-CN"/>
        </w:rPr>
        <w:t>de</w:t>
      </w:r>
      <w:r w:rsidR="00883AE7" w:rsidRPr="00E568C3">
        <w:rPr>
          <w:rFonts w:eastAsia="SimSun"/>
          <w:lang w:eastAsia="zh-CN"/>
        </w:rPr>
        <w:t xml:space="preserve"> technolog</w:t>
      </w:r>
      <w:r w:rsidRPr="00E568C3">
        <w:rPr>
          <w:rFonts w:eastAsia="SimSun"/>
          <w:lang w:eastAsia="zh-CN"/>
        </w:rPr>
        <w:t xml:space="preserve">ies et </w:t>
      </w:r>
      <w:r w:rsidR="00190917" w:rsidRPr="00E568C3">
        <w:rPr>
          <w:rFonts w:eastAsia="SimSun"/>
          <w:lang w:eastAsia="zh-CN"/>
        </w:rPr>
        <w:t>lors</w:t>
      </w:r>
      <w:r w:rsidRPr="00E568C3">
        <w:rPr>
          <w:rFonts w:eastAsia="SimSun"/>
          <w:lang w:eastAsia="zh-CN"/>
        </w:rPr>
        <w:t xml:space="preserve"> des discussions </w:t>
      </w:r>
      <w:r w:rsidR="00294C78" w:rsidRPr="00E568C3">
        <w:rPr>
          <w:rFonts w:eastAsia="SimSun"/>
          <w:lang w:eastAsia="zh-CN"/>
        </w:rPr>
        <w:t>sur l</w:t>
      </w:r>
      <w:r w:rsidRPr="00E568C3">
        <w:rPr>
          <w:rFonts w:eastAsia="SimSun"/>
          <w:lang w:eastAsia="zh-CN"/>
        </w:rPr>
        <w:t xml:space="preserve">e transfert de </w:t>
      </w:r>
      <w:r w:rsidR="00883AE7" w:rsidRPr="00E568C3">
        <w:rPr>
          <w:rFonts w:eastAsia="SimSun"/>
          <w:lang w:eastAsia="zh-CN"/>
        </w:rPr>
        <w:t>technolog</w:t>
      </w:r>
      <w:r w:rsidRPr="00E568C3">
        <w:rPr>
          <w:rFonts w:eastAsia="SimSun"/>
          <w:lang w:eastAsia="zh-CN"/>
        </w:rPr>
        <w:t>ie et de savoir</w:t>
      </w:r>
      <w:r w:rsidR="006A3508" w:rsidRPr="00E568C3">
        <w:rPr>
          <w:rFonts w:eastAsia="SimSun"/>
          <w:lang w:eastAsia="zh-CN"/>
        </w:rPr>
        <w:noBreakHyphen/>
      </w:r>
      <w:r w:rsidRPr="00E568C3">
        <w:rPr>
          <w:rFonts w:eastAsia="SimSun"/>
          <w:lang w:eastAsia="zh-CN"/>
        </w:rPr>
        <w:t>fai</w:t>
      </w:r>
      <w:r w:rsidR="006A3508" w:rsidRPr="00E568C3">
        <w:rPr>
          <w:rFonts w:eastAsia="SimSun"/>
          <w:lang w:eastAsia="zh-CN"/>
        </w:rPr>
        <w:t>re.  To</w:t>
      </w:r>
      <w:r w:rsidRPr="00E568C3">
        <w:rPr>
          <w:rFonts w:eastAsia="SimSun"/>
          <w:lang w:eastAsia="zh-CN"/>
        </w:rPr>
        <w:t>us les rapports susmentionnés ont été présentés aux États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m</w:t>
      </w:r>
      <w:r w:rsidR="00883AE7" w:rsidRPr="00E568C3">
        <w:rPr>
          <w:rFonts w:eastAsia="SimSun"/>
          <w:lang w:eastAsia="zh-CN"/>
        </w:rPr>
        <w:t xml:space="preserve">embres </w:t>
      </w:r>
      <w:r w:rsidRPr="00E568C3">
        <w:rPr>
          <w:rFonts w:eastAsia="SimSun"/>
          <w:lang w:eastAsia="zh-CN"/>
        </w:rPr>
        <w:t>lors de manifestations</w:t>
      </w:r>
      <w:r w:rsidR="00883AE7" w:rsidRPr="00E568C3">
        <w:rPr>
          <w:rFonts w:eastAsia="SimSun"/>
          <w:lang w:eastAsia="zh-CN"/>
        </w:rPr>
        <w:t xml:space="preserve"> promotion</w:t>
      </w:r>
      <w:r w:rsidRPr="00E568C3">
        <w:rPr>
          <w:rFonts w:eastAsia="SimSun"/>
          <w:lang w:eastAsia="zh-CN"/>
        </w:rPr>
        <w:t>nelles enrichis d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infographi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s </w:t>
      </w:r>
      <w:r w:rsidRPr="00E568C3">
        <w:rPr>
          <w:rFonts w:eastAsia="SimSun"/>
          <w:lang w:eastAsia="zh-CN"/>
        </w:rPr>
        <w:t>résumant les principal</w:t>
      </w:r>
      <w:r w:rsidR="00026622" w:rsidRPr="00E568C3">
        <w:rPr>
          <w:rFonts w:eastAsia="SimSun"/>
          <w:lang w:eastAsia="zh-CN"/>
        </w:rPr>
        <w:t>e</w:t>
      </w:r>
      <w:r w:rsidRPr="00E568C3">
        <w:rPr>
          <w:rFonts w:eastAsia="SimSun"/>
          <w:lang w:eastAsia="zh-CN"/>
        </w:rPr>
        <w:t xml:space="preserve">s conclusions de ces </w:t>
      </w:r>
      <w:r w:rsidR="00883AE7" w:rsidRPr="00E568C3">
        <w:rPr>
          <w:rFonts w:eastAsia="SimSun"/>
          <w:lang w:eastAsia="zh-CN"/>
        </w:rPr>
        <w:t>r</w:t>
      </w:r>
      <w:r w:rsidRPr="00E568C3">
        <w:rPr>
          <w:rFonts w:eastAsia="SimSun"/>
          <w:lang w:eastAsia="zh-CN"/>
        </w:rPr>
        <w:t>ap</w:t>
      </w:r>
      <w:r w:rsidR="00883AE7" w:rsidRPr="00E568C3">
        <w:rPr>
          <w:rFonts w:eastAsia="SimSun"/>
          <w:lang w:eastAsia="zh-CN"/>
        </w:rPr>
        <w:t>por</w:t>
      </w:r>
      <w:r w:rsidR="006A3508" w:rsidRPr="00E568C3">
        <w:rPr>
          <w:rFonts w:eastAsia="SimSun"/>
          <w:lang w:eastAsia="zh-CN"/>
        </w:rPr>
        <w:t>ts.  De</w:t>
      </w:r>
      <w:r w:rsidRPr="00E568C3">
        <w:rPr>
          <w:rFonts w:eastAsia="SimSun"/>
          <w:lang w:eastAsia="zh-CN"/>
        </w:rPr>
        <w:t>ux nouveaux rapports panoramiques sur les brevets ont été élaborés en </w:t>
      </w:r>
      <w:r w:rsidR="00883AE7" w:rsidRPr="00E568C3">
        <w:rPr>
          <w:rFonts w:eastAsia="SimSun"/>
          <w:lang w:eastAsia="zh-CN"/>
        </w:rPr>
        <w:t xml:space="preserve">2015 </w:t>
      </w:r>
      <w:r w:rsidRPr="00E568C3">
        <w:rPr>
          <w:rFonts w:eastAsia="SimSun"/>
          <w:lang w:eastAsia="zh-CN"/>
        </w:rPr>
        <w:t>sur les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t</w:t>
      </w:r>
      <w:r w:rsidR="00883AE7" w:rsidRPr="00E568C3">
        <w:rPr>
          <w:rFonts w:eastAsia="SimSun"/>
          <w:lang w:eastAsia="zh-CN"/>
        </w:rPr>
        <w:t xml:space="preserve">echnologies </w:t>
      </w:r>
      <w:r w:rsidRPr="00E568C3">
        <w:rPr>
          <w:rFonts w:eastAsia="SimSun"/>
          <w:lang w:eastAsia="zh-CN"/>
        </w:rPr>
        <w:t>de p</w:t>
      </w:r>
      <w:r w:rsidR="00883AE7" w:rsidRPr="00E568C3">
        <w:rPr>
          <w:rFonts w:eastAsia="SimSun"/>
          <w:lang w:eastAsia="zh-CN"/>
        </w:rPr>
        <w:t xml:space="preserve">roduction, </w:t>
      </w:r>
      <w:r w:rsidR="00026622"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xploitation</w:t>
      </w:r>
      <w:r w:rsidRPr="00E568C3">
        <w:rPr>
          <w:rFonts w:eastAsia="SimSun"/>
          <w:lang w:eastAsia="zh-CN"/>
        </w:rPr>
        <w:t xml:space="preserve"> </w:t>
      </w:r>
      <w:r w:rsidR="00026622" w:rsidRPr="00E568C3">
        <w:rPr>
          <w:rFonts w:eastAsia="SimSun"/>
          <w:lang w:eastAsia="zh-CN"/>
        </w:rPr>
        <w:t xml:space="preserve">et de traitement </w:t>
      </w:r>
      <w:r w:rsidRPr="00E568C3">
        <w:rPr>
          <w:rFonts w:eastAsia="SimSun"/>
          <w:lang w:eastAsia="zh-CN"/>
        </w:rPr>
        <w:t>des déchets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huile de palme</w:t>
      </w:r>
      <w:r w:rsidR="00883AE7" w:rsidRPr="00E568C3">
        <w:rPr>
          <w:rFonts w:eastAsia="SimSun"/>
          <w:lang w:eastAsia="zh-CN"/>
        </w:rPr>
        <w:t xml:space="preserve">, </w:t>
      </w:r>
      <w:r w:rsidR="00026622" w:rsidRPr="00E568C3">
        <w:rPr>
          <w:rFonts w:eastAsia="SimSun"/>
          <w:lang w:eastAsia="zh-CN"/>
        </w:rPr>
        <w:t>ainsi que sur les t</w:t>
      </w:r>
      <w:r w:rsidR="00883AE7" w:rsidRPr="00E568C3">
        <w:rPr>
          <w:rFonts w:eastAsia="SimSun"/>
          <w:lang w:eastAsia="zh-CN"/>
        </w:rPr>
        <w:t xml:space="preserve">echnologies </w:t>
      </w:r>
      <w:r w:rsidR="00026622" w:rsidRPr="00E568C3">
        <w:rPr>
          <w:rFonts w:eastAsia="SimSun"/>
          <w:lang w:eastAsia="zh-CN"/>
        </w:rPr>
        <w:t>r</w:t>
      </w:r>
      <w:r w:rsidR="00883AE7" w:rsidRPr="00E568C3">
        <w:rPr>
          <w:rFonts w:eastAsia="SimSun"/>
          <w:lang w:eastAsia="zh-CN"/>
        </w:rPr>
        <w:t>elat</w:t>
      </w:r>
      <w:r w:rsidR="00026622" w:rsidRPr="00E568C3">
        <w:rPr>
          <w:rFonts w:eastAsia="SimSun"/>
          <w:lang w:eastAsia="zh-CN"/>
        </w:rPr>
        <w:t>ives aux algues microscopiques</w:t>
      </w:r>
      <w:r w:rsidR="00883AE7" w:rsidRPr="00E568C3">
        <w:rPr>
          <w:rFonts w:eastAsia="SimSun"/>
          <w:lang w:eastAsia="zh-CN"/>
        </w:rPr>
        <w:t xml:space="preserve">, </w:t>
      </w:r>
      <w:r w:rsidR="00026622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n r</w:t>
      </w:r>
      <w:r w:rsidR="00026622"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 xml:space="preserve">ponse </w:t>
      </w:r>
      <w:r w:rsidR="00026622" w:rsidRPr="00E568C3">
        <w:rPr>
          <w:rFonts w:eastAsia="SimSun"/>
          <w:lang w:eastAsia="zh-CN"/>
        </w:rPr>
        <w:t xml:space="preserve">à des demandes </w:t>
      </w:r>
      <w:r w:rsidR="00294C78" w:rsidRPr="00E568C3">
        <w:rPr>
          <w:rFonts w:eastAsia="SimSun"/>
          <w:lang w:eastAsia="zh-CN"/>
        </w:rPr>
        <w:t xml:space="preserve">et à des besoins </w:t>
      </w:r>
      <w:r w:rsidR="00026622" w:rsidRPr="00E568C3">
        <w:rPr>
          <w:rFonts w:eastAsia="SimSun"/>
          <w:lang w:eastAsia="zh-CN"/>
        </w:rPr>
        <w:t>spécifiques d</w:t>
      </w:r>
      <w:r w:rsidR="00871730" w:rsidRPr="00E568C3">
        <w:rPr>
          <w:rFonts w:eastAsia="SimSun"/>
          <w:lang w:eastAsia="zh-CN"/>
        </w:rPr>
        <w:t>’</w:t>
      </w:r>
      <w:r w:rsidR="00026622" w:rsidRPr="00E568C3">
        <w:rPr>
          <w:rFonts w:eastAsia="SimSun"/>
          <w:lang w:eastAsia="zh-CN"/>
        </w:rPr>
        <w:t>États</w:t>
      </w:r>
      <w:r w:rsidR="00883AE7" w:rsidRPr="00E568C3">
        <w:rPr>
          <w:rFonts w:eastAsia="SimSun"/>
          <w:lang w:eastAsia="zh-CN"/>
        </w:rPr>
        <w:t xml:space="preserve"> </w:t>
      </w:r>
      <w:r w:rsidR="00026622" w:rsidRPr="00E568C3">
        <w:rPr>
          <w:rFonts w:eastAsia="SimSun"/>
          <w:lang w:eastAsia="zh-CN"/>
        </w:rPr>
        <w:t>m</w:t>
      </w:r>
      <w:r w:rsidR="00883AE7" w:rsidRPr="00E568C3">
        <w:rPr>
          <w:rFonts w:eastAsia="SimSun"/>
          <w:lang w:eastAsia="zh-CN"/>
        </w:rPr>
        <w:t xml:space="preserve">embres </w:t>
      </w:r>
      <w:r w:rsidR="00294C78" w:rsidRPr="00E568C3">
        <w:rPr>
          <w:rFonts w:eastAsia="SimSun"/>
          <w:lang w:eastAsia="zh-CN"/>
        </w:rPr>
        <w:t>travaill</w:t>
      </w:r>
      <w:r w:rsidR="00026622" w:rsidRPr="00E568C3">
        <w:rPr>
          <w:rFonts w:eastAsia="SimSun"/>
          <w:lang w:eastAsia="zh-CN"/>
        </w:rPr>
        <w:t>ant a</w:t>
      </w:r>
      <w:r w:rsidR="00294C78" w:rsidRPr="00E568C3">
        <w:rPr>
          <w:rFonts w:eastAsia="SimSun"/>
          <w:lang w:eastAsia="zh-CN"/>
        </w:rPr>
        <w:t>vec</w:t>
      </w:r>
      <w:r w:rsidR="00026622" w:rsidRPr="00E568C3">
        <w:rPr>
          <w:rFonts w:eastAsia="SimSun"/>
          <w:lang w:eastAsia="zh-CN"/>
        </w:rPr>
        <w:t xml:space="preserve"> ces technologi</w:t>
      </w:r>
      <w:r w:rsidR="006A3508" w:rsidRPr="00E568C3">
        <w:rPr>
          <w:rFonts w:eastAsia="SimSun"/>
          <w:lang w:eastAsia="zh-CN"/>
        </w:rPr>
        <w:t>es.  En</w:t>
      </w:r>
      <w:r w:rsidR="00294C78" w:rsidRPr="00E568C3">
        <w:rPr>
          <w:rFonts w:eastAsia="SimSun"/>
          <w:lang w:eastAsia="zh-CN"/>
        </w:rPr>
        <w:t> </w:t>
      </w:r>
      <w:r w:rsidR="00026622" w:rsidRPr="00E568C3">
        <w:rPr>
          <w:rFonts w:eastAsia="SimSun"/>
          <w:lang w:eastAsia="zh-CN"/>
        </w:rPr>
        <w:t>outre, des lignes directrices pour l</w:t>
      </w:r>
      <w:r w:rsidR="00871730" w:rsidRPr="00E568C3">
        <w:rPr>
          <w:rFonts w:eastAsia="SimSun"/>
          <w:lang w:eastAsia="zh-CN"/>
        </w:rPr>
        <w:t>’</w:t>
      </w:r>
      <w:r w:rsidR="00026622" w:rsidRPr="00E568C3">
        <w:rPr>
          <w:rFonts w:eastAsia="SimSun"/>
          <w:lang w:eastAsia="zh-CN"/>
        </w:rPr>
        <w:t xml:space="preserve">établissement des rapports panoramiques sur les brevets ont été publiées en août 2015 (voir </w:t>
      </w:r>
      <w:hyperlink r:id="rId19" w:history="1">
        <w:r w:rsidR="00294C78" w:rsidRPr="00E568C3">
          <w:rPr>
            <w:rStyle w:val="Hyperlink"/>
            <w:rFonts w:eastAsia="SimSun"/>
            <w:color w:val="auto"/>
            <w:lang w:eastAsia="zh-CN"/>
          </w:rPr>
          <w:t>http://www.wipo.int/edocs/pubdocs/fr/wipo_pub_946.pdf</w:t>
        </w:r>
      </w:hyperlink>
      <w:r w:rsidR="00026622" w:rsidRPr="00E568C3">
        <w:rPr>
          <w:rFonts w:eastAsia="SimSun"/>
          <w:lang w:eastAsia="zh-CN"/>
        </w:rPr>
        <w:t>), tandis qu</w:t>
      </w:r>
      <w:r w:rsidR="00871730" w:rsidRPr="00E568C3">
        <w:rPr>
          <w:rFonts w:eastAsia="SimSun"/>
          <w:lang w:eastAsia="zh-CN"/>
        </w:rPr>
        <w:t>’</w:t>
      </w:r>
      <w:r w:rsidR="00026622" w:rsidRPr="00E568C3">
        <w:rPr>
          <w:rFonts w:eastAsia="SimSun"/>
          <w:lang w:eastAsia="zh-CN"/>
        </w:rPr>
        <w:t>un manuel sur les logiciels libres et les outils en libre accès pour l</w:t>
      </w:r>
      <w:r w:rsidR="00871730" w:rsidRPr="00E568C3">
        <w:rPr>
          <w:rFonts w:eastAsia="SimSun"/>
          <w:lang w:eastAsia="zh-CN"/>
        </w:rPr>
        <w:t>’</w:t>
      </w:r>
      <w:r w:rsidR="00026622" w:rsidRPr="00E568C3">
        <w:rPr>
          <w:rFonts w:eastAsia="SimSun"/>
          <w:lang w:eastAsia="zh-CN"/>
        </w:rPr>
        <w:t>analyse des brevets a été finalisé et sera publié début 2016.  On trouvera de plus amples dé</w:t>
      </w:r>
      <w:r w:rsidR="00883AE7" w:rsidRPr="00E568C3">
        <w:rPr>
          <w:rFonts w:eastAsia="SimSun"/>
          <w:lang w:eastAsia="zh-CN"/>
        </w:rPr>
        <w:t xml:space="preserve">tails </w:t>
      </w:r>
      <w:r w:rsidR="00026622" w:rsidRPr="00E568C3">
        <w:rPr>
          <w:rFonts w:eastAsia="SimSun"/>
          <w:lang w:eastAsia="zh-CN"/>
        </w:rPr>
        <w:t xml:space="preserve">sur tous les </w:t>
      </w:r>
      <w:r w:rsidR="00883AE7" w:rsidRPr="00E568C3">
        <w:rPr>
          <w:rFonts w:eastAsia="SimSun"/>
          <w:lang w:eastAsia="zh-CN"/>
        </w:rPr>
        <w:t xml:space="preserve">aspects </w:t>
      </w:r>
      <w:r w:rsidR="00026622" w:rsidRPr="00E568C3">
        <w:rPr>
          <w:rFonts w:eastAsia="SimSun"/>
          <w:lang w:eastAsia="zh-CN"/>
        </w:rPr>
        <w:t>des rapports panoramiques sur les brevets à l</w:t>
      </w:r>
      <w:r w:rsidR="00871730" w:rsidRPr="00E568C3">
        <w:rPr>
          <w:rFonts w:eastAsia="SimSun"/>
          <w:lang w:eastAsia="zh-CN"/>
        </w:rPr>
        <w:t>’</w:t>
      </w:r>
      <w:r w:rsidR="00026622" w:rsidRPr="00E568C3">
        <w:rPr>
          <w:rFonts w:eastAsia="SimSun"/>
          <w:lang w:eastAsia="zh-CN"/>
        </w:rPr>
        <w:t>adresse </w:t>
      </w:r>
      <w:r w:rsidR="00883AE7" w:rsidRPr="00E568C3">
        <w:rPr>
          <w:rFonts w:eastAsia="SimSun"/>
          <w:lang w:eastAsia="zh-CN"/>
        </w:rPr>
        <w:t xml:space="preserve">: </w:t>
      </w:r>
      <w:hyperlink r:id="rId20" w:history="1">
        <w:r w:rsidR="00026622" w:rsidRPr="00E568C3">
          <w:rPr>
            <w:rStyle w:val="Hyperlink"/>
            <w:rFonts w:eastAsia="SimSun"/>
            <w:color w:val="auto"/>
            <w:lang w:eastAsia="zh-CN"/>
          </w:rPr>
          <w:t>http://www.wipo.int/patentscope/fr/programs/patent_landscapes/index.html</w:t>
        </w:r>
      </w:hyperlink>
      <w:r w:rsidR="00883AE7" w:rsidRPr="00E568C3">
        <w:rPr>
          <w:rFonts w:eastAsia="SimSun"/>
          <w:lang w:eastAsia="zh-CN"/>
        </w:rPr>
        <w:t>.</w:t>
      </w:r>
    </w:p>
    <w:p w:rsidR="00F55AA9" w:rsidRDefault="00883AE7" w:rsidP="00E14402">
      <w:pPr>
        <w:pStyle w:val="Heading2"/>
      </w:pPr>
      <w:r w:rsidRPr="00E568C3">
        <w:t>V.</w:t>
      </w:r>
      <w:r w:rsidRPr="00E568C3">
        <w:tab/>
      </w:r>
      <w:r w:rsidR="00E14402" w:rsidRPr="00E568C3">
        <w:t xml:space="preserve">MISE EN </w:t>
      </w:r>
      <w:r w:rsidRPr="00E568C3">
        <w:t>v</w:t>
      </w:r>
      <w:r w:rsidR="00E14402" w:rsidRPr="00E568C3">
        <w:t>A</w:t>
      </w:r>
      <w:r w:rsidRPr="00E568C3">
        <w:t>l</w:t>
      </w:r>
      <w:r w:rsidR="00E14402" w:rsidRPr="00E568C3">
        <w:t>EUR</w:t>
      </w:r>
      <w:r w:rsidRPr="00E568C3">
        <w:t xml:space="preserve"> </w:t>
      </w:r>
      <w:r w:rsidR="00E14402" w:rsidRPr="00E568C3">
        <w:t>DU</w:t>
      </w:r>
      <w:r w:rsidRPr="00E568C3">
        <w:t xml:space="preserve"> Capital</w:t>
      </w:r>
      <w:r w:rsidR="00E14402" w:rsidRPr="00E568C3">
        <w:t xml:space="preserve"> HUMAIN</w:t>
      </w:r>
      <w:r w:rsidRPr="00E568C3">
        <w:t xml:space="preserve"> – </w:t>
      </w:r>
      <w:r w:rsidR="00E14402" w:rsidRPr="00E568C3">
        <w:t xml:space="preserve">PROGRAMMES DE RENFORCEMENT DES </w:t>
      </w:r>
      <w:r w:rsidRPr="00E568C3">
        <w:t>Capacit</w:t>
      </w:r>
      <w:r w:rsidR="00E14402" w:rsidRPr="00E568C3">
        <w:t>és</w:t>
      </w:r>
    </w:p>
    <w:p w:rsidR="00F55AA9" w:rsidRDefault="00F55AA9" w:rsidP="00883AE7">
      <w:pPr>
        <w:rPr>
          <w:u w:val="single"/>
        </w:rPr>
      </w:pPr>
    </w:p>
    <w:p w:rsidR="00F55AA9" w:rsidRDefault="00883AE7" w:rsidP="00883AE7">
      <w:pPr>
        <w:pStyle w:val="ONUMFS"/>
      </w:pPr>
      <w:r w:rsidRPr="00E568C3">
        <w:t>L</w:t>
      </w:r>
      <w:r w:rsidR="00E20867" w:rsidRPr="00E568C3">
        <w:t>e ma</w:t>
      </w:r>
      <w:r w:rsidR="00053BBC" w:rsidRPr="00E568C3">
        <w:t>n</w:t>
      </w:r>
      <w:r w:rsidR="00E20867" w:rsidRPr="00E568C3">
        <w:t>q</w:t>
      </w:r>
      <w:r w:rsidR="00053BBC" w:rsidRPr="00E568C3">
        <w:t>u</w:t>
      </w:r>
      <w:r w:rsidR="00E14402" w:rsidRPr="00E568C3">
        <w:t xml:space="preserve">e de capital humain doté des compétences professionnelles </w:t>
      </w:r>
      <w:r w:rsidRPr="00E568C3">
        <w:t>interdisciplina</w:t>
      </w:r>
      <w:r w:rsidR="00E14402" w:rsidRPr="00E568C3">
        <w:t>ires requises</w:t>
      </w:r>
      <w:r w:rsidRPr="00E568C3">
        <w:t xml:space="preserve"> </w:t>
      </w:r>
      <w:r w:rsidR="00E14402" w:rsidRPr="00E568C3">
        <w:t>pour prendre en charge les systèmes d</w:t>
      </w:r>
      <w:r w:rsidR="00871730" w:rsidRPr="00E568C3">
        <w:t>’</w:t>
      </w:r>
      <w:r w:rsidRPr="00E568C3">
        <w:t xml:space="preserve">innovation </w:t>
      </w:r>
      <w:r w:rsidR="00E14402" w:rsidRPr="00E568C3">
        <w:t>et de transfert de savoir a été reconnu comme un</w:t>
      </w:r>
      <w:r w:rsidR="00053BBC" w:rsidRPr="00E568C3">
        <w:t>e</w:t>
      </w:r>
      <w:r w:rsidR="00E14402" w:rsidRPr="00E568C3">
        <w:t xml:space="preserve"> important</w:t>
      </w:r>
      <w:r w:rsidR="00053BBC" w:rsidRPr="00E568C3">
        <w:t xml:space="preserve">e </w:t>
      </w:r>
      <w:r w:rsidR="00E20867" w:rsidRPr="00E568C3">
        <w:t>inég</w:t>
      </w:r>
      <w:r w:rsidR="00053BBC" w:rsidRPr="00E568C3">
        <w:t>a</w:t>
      </w:r>
      <w:r w:rsidR="00E20867" w:rsidRPr="00E568C3">
        <w:t>l</w:t>
      </w:r>
      <w:r w:rsidR="00053BBC" w:rsidRPr="00E568C3">
        <w:t xml:space="preserve">ité </w:t>
      </w:r>
      <w:r w:rsidR="00E14402" w:rsidRPr="00E568C3">
        <w:t>entre pays développés et pays en développement</w:t>
      </w:r>
      <w:r w:rsidR="00B00341" w:rsidRPr="00E568C3">
        <w:t xml:space="preserve"> eu égard à </w:t>
      </w:r>
      <w:r w:rsidR="00053BBC" w:rsidRPr="00E568C3">
        <w:t>leurs réalisations et résultats en matière d</w:t>
      </w:r>
      <w:r w:rsidR="00871730" w:rsidRPr="00E568C3">
        <w:t>’</w:t>
      </w:r>
      <w:r w:rsidRPr="00E568C3">
        <w:t>innovation.</w:t>
      </w:r>
    </w:p>
    <w:p w:rsidR="00F55AA9" w:rsidRDefault="00053BBC" w:rsidP="00883AE7">
      <w:pPr>
        <w:pStyle w:val="ONUMFS"/>
      </w:pPr>
      <w:r w:rsidRPr="00E568C3">
        <w:t>Pour r</w:t>
      </w:r>
      <w:r w:rsidR="00B00341" w:rsidRPr="00E568C3">
        <w:t>em</w:t>
      </w:r>
      <w:r w:rsidRPr="00E568C3">
        <w:t>é</w:t>
      </w:r>
      <w:r w:rsidR="00B00341" w:rsidRPr="00E568C3">
        <w:t>dier à ce manque</w:t>
      </w:r>
      <w:r w:rsidR="00883AE7" w:rsidRPr="00E568C3">
        <w:t xml:space="preserve">, </w:t>
      </w:r>
      <w:r w:rsidRPr="00E568C3">
        <w:t>l</w:t>
      </w:r>
      <w:r w:rsidR="00871730" w:rsidRPr="00E568C3">
        <w:t>’</w:t>
      </w:r>
      <w:r w:rsidRPr="00E568C3">
        <w:t>OMPI a élaboré des programmes de renforcement des capacités très concrets, basés sur les données d</w:t>
      </w:r>
      <w:r w:rsidR="00871730" w:rsidRPr="00E568C3">
        <w:t>’</w:t>
      </w:r>
      <w:r w:rsidRPr="00E568C3">
        <w:t>expé</w:t>
      </w:r>
      <w:r w:rsidR="00883AE7" w:rsidRPr="00E568C3">
        <w:t>rience</w:t>
      </w:r>
      <w:r w:rsidR="00B00341" w:rsidRPr="00E568C3">
        <w:t>,</w:t>
      </w:r>
      <w:r w:rsidRPr="00E568C3">
        <w:t xml:space="preserve"> </w:t>
      </w:r>
      <w:r w:rsidR="00B00341" w:rsidRPr="00E568C3">
        <w:t>destinés aux</w:t>
      </w:r>
      <w:r w:rsidR="00883AE7" w:rsidRPr="00E568C3">
        <w:t xml:space="preserve"> scienti</w:t>
      </w:r>
      <w:r w:rsidRPr="00E568C3">
        <w:t>fiques, chercheurs, responsables des</w:t>
      </w:r>
      <w:r w:rsidR="00883AE7" w:rsidRPr="00E568C3">
        <w:t xml:space="preserve"> technolog</w:t>
      </w:r>
      <w:r w:rsidRPr="00E568C3">
        <w:t>i</w:t>
      </w:r>
      <w:r w:rsidR="00883AE7" w:rsidRPr="00E568C3">
        <w:t xml:space="preserve">es, </w:t>
      </w:r>
      <w:r w:rsidRPr="00E568C3">
        <w:t>é</w:t>
      </w:r>
      <w:r w:rsidR="00883AE7" w:rsidRPr="00E568C3">
        <w:t>tud</w:t>
      </w:r>
      <w:r w:rsidRPr="00E568C3">
        <w:t>ia</w:t>
      </w:r>
      <w:r w:rsidR="00883AE7" w:rsidRPr="00E568C3">
        <w:t xml:space="preserve">nts </w:t>
      </w:r>
      <w:r w:rsidRPr="00E568C3">
        <w:t>et autres personnes intervenant dans les processus d</w:t>
      </w:r>
      <w:r w:rsidR="00871730" w:rsidRPr="00E568C3">
        <w:t>’</w:t>
      </w:r>
      <w:r w:rsidR="00883AE7" w:rsidRPr="00E568C3">
        <w:t xml:space="preserve">innovation </w:t>
      </w:r>
      <w:r w:rsidRPr="00E568C3">
        <w:t>ou faisant partie d</w:t>
      </w:r>
      <w:r w:rsidR="00871730" w:rsidRPr="00E568C3">
        <w:t>’</w:t>
      </w:r>
      <w:r w:rsidR="00883AE7" w:rsidRPr="00E568C3">
        <w:t>organi</w:t>
      </w:r>
      <w:r w:rsidRPr="00E568C3">
        <w:t>s</w:t>
      </w:r>
      <w:r w:rsidR="00883AE7" w:rsidRPr="00E568C3">
        <w:t xml:space="preserve">ations </w:t>
      </w:r>
      <w:r w:rsidRPr="00E568C3">
        <w:t xml:space="preserve">et </w:t>
      </w:r>
      <w:r w:rsidR="00883AE7" w:rsidRPr="00E568C3">
        <w:t>d</w:t>
      </w:r>
      <w:r w:rsidRPr="00E568C3">
        <w:t>e</w:t>
      </w:r>
      <w:r w:rsidR="00883AE7" w:rsidRPr="00E568C3">
        <w:t xml:space="preserve"> services </w:t>
      </w:r>
      <w:r w:rsidRPr="00E568C3">
        <w:t>qui sont censés appuyer ces</w:t>
      </w:r>
      <w:r w:rsidR="00883AE7" w:rsidRPr="00E568C3">
        <w:t xml:space="preserve"> process</w:t>
      </w:r>
      <w:r w:rsidRPr="00E568C3">
        <w:t>u</w:t>
      </w:r>
      <w:r w:rsidR="00883AE7" w:rsidRPr="00E568C3">
        <w:t xml:space="preserve">s – </w:t>
      </w:r>
      <w:r w:rsidRPr="00E568C3">
        <w:t xml:space="preserve">tels que les décideurs </w:t>
      </w:r>
      <w:r w:rsidR="00883AE7" w:rsidRPr="00E568C3">
        <w:t>poli</w:t>
      </w:r>
      <w:r w:rsidRPr="00E568C3">
        <w:t>tiques et les bailleurs de fonds, ou qui jouent</w:t>
      </w:r>
      <w:r w:rsidR="00A1691F" w:rsidRPr="00E568C3">
        <w:t xml:space="preserve"> </w:t>
      </w:r>
      <w:r w:rsidRPr="00E568C3">
        <w:t>un rôle d</w:t>
      </w:r>
      <w:r w:rsidR="00871730" w:rsidRPr="00E568C3">
        <w:t>’</w:t>
      </w:r>
      <w:r w:rsidR="00883AE7" w:rsidRPr="00E568C3">
        <w:t>interm</w:t>
      </w:r>
      <w:r w:rsidRPr="00E568C3">
        <w:t>é</w:t>
      </w:r>
      <w:r w:rsidR="00883AE7" w:rsidRPr="00E568C3">
        <w:t>diai</w:t>
      </w:r>
      <w:r w:rsidRPr="00E568C3">
        <w:t>r</w:t>
      </w:r>
      <w:r w:rsidR="00883AE7" w:rsidRPr="00E568C3">
        <w:t xml:space="preserve">es – </w:t>
      </w:r>
      <w:r w:rsidRPr="00E568C3">
        <w:t>tels les spécialistes de la pr</w:t>
      </w:r>
      <w:r w:rsidR="00A1691F" w:rsidRPr="00E568C3">
        <w:t>o</w:t>
      </w:r>
      <w:r w:rsidRPr="00E568C3">
        <w:t>priété intellectuelle engagés dans des processus de transfert des c</w:t>
      </w:r>
      <w:r w:rsidR="00A1691F" w:rsidRPr="00E568C3">
        <w:t>o</w:t>
      </w:r>
      <w:r w:rsidRPr="00E568C3">
        <w:t>nnais</w:t>
      </w:r>
      <w:r w:rsidR="00A1691F" w:rsidRPr="00E568C3">
        <w:t>sa</w:t>
      </w:r>
      <w:r w:rsidRPr="00E568C3">
        <w:t>nces</w:t>
      </w:r>
      <w:r w:rsidR="00883AE7" w:rsidRPr="00E568C3">
        <w:t>.</w:t>
      </w:r>
    </w:p>
    <w:p w:rsidR="00F55AA9" w:rsidRDefault="00A1691F" w:rsidP="00A1691F">
      <w:pPr>
        <w:pStyle w:val="ONUMFS"/>
      </w:pPr>
      <w:r w:rsidRPr="00E568C3">
        <w:t>L</w:t>
      </w:r>
      <w:r w:rsidR="00871730" w:rsidRPr="00E568C3">
        <w:t>’</w:t>
      </w:r>
      <w:r w:rsidRPr="00E568C3">
        <w:t>objectif n</w:t>
      </w:r>
      <w:r w:rsidR="00871730" w:rsidRPr="00E568C3">
        <w:t>’</w:t>
      </w:r>
      <w:r w:rsidRPr="00E568C3">
        <w:t xml:space="preserve">était pas de </w:t>
      </w:r>
      <w:r w:rsidR="00B00341" w:rsidRPr="00E568C3">
        <w:t>f</w:t>
      </w:r>
      <w:r w:rsidRPr="00E568C3">
        <w:t>o</w:t>
      </w:r>
      <w:r w:rsidR="00B00341" w:rsidRPr="00E568C3">
        <w:t>rm</w:t>
      </w:r>
      <w:r w:rsidRPr="00E568C3">
        <w:t>e</w:t>
      </w:r>
      <w:r w:rsidR="00B00341" w:rsidRPr="00E568C3">
        <w:t>r</w:t>
      </w:r>
      <w:r w:rsidRPr="00E568C3">
        <w:t xml:space="preserve"> des experts juridiques en matière de propriété intellectuelle mais plutôt des spécialistes </w:t>
      </w:r>
      <w:r w:rsidR="00883AE7" w:rsidRPr="00E568C3">
        <w:t>interdisciplina</w:t>
      </w:r>
      <w:r w:rsidRPr="00E568C3">
        <w:t>i</w:t>
      </w:r>
      <w:r w:rsidR="00883AE7" w:rsidRPr="00E568C3">
        <w:t>r</w:t>
      </w:r>
      <w:r w:rsidRPr="00E568C3">
        <w:t xml:space="preserve">es </w:t>
      </w:r>
      <w:r w:rsidR="00B00341" w:rsidRPr="00E568C3">
        <w:t>venant d</w:t>
      </w:r>
      <w:r w:rsidR="00871730" w:rsidRPr="00E568C3">
        <w:t>’</w:t>
      </w:r>
      <w:r w:rsidR="00B00341" w:rsidRPr="00E568C3">
        <w:t>horizon</w:t>
      </w:r>
      <w:r w:rsidRPr="00E568C3">
        <w:t>s diffé</w:t>
      </w:r>
      <w:r w:rsidR="00883AE7" w:rsidRPr="00E568C3">
        <w:t>rent</w:t>
      </w:r>
      <w:r w:rsidRPr="00E568C3">
        <w:t xml:space="preserve">s, </w:t>
      </w:r>
      <w:r w:rsidR="00B00341" w:rsidRPr="00E568C3">
        <w:t>aptes à</w:t>
      </w:r>
      <w:r w:rsidRPr="00E568C3">
        <w:t xml:space="preserve"> recenser les opportunités de transfert de savoir</w:t>
      </w:r>
      <w:r w:rsidR="00883AE7" w:rsidRPr="00E568C3">
        <w:t xml:space="preserve"> </w:t>
      </w:r>
      <w:r w:rsidRPr="00E568C3">
        <w:t>et les</w:t>
      </w:r>
      <w:r w:rsidR="00883AE7" w:rsidRPr="00E568C3">
        <w:t xml:space="preserve"> ris</w:t>
      </w:r>
      <w:r w:rsidRPr="00E568C3">
        <w:t>ques associés</w:t>
      </w:r>
      <w:r w:rsidR="00883AE7" w:rsidRPr="00E568C3">
        <w:t xml:space="preserve">, </w:t>
      </w:r>
      <w:r w:rsidR="00B00341" w:rsidRPr="00E568C3">
        <w:t>à</w:t>
      </w:r>
      <w:r w:rsidR="00883AE7" w:rsidRPr="00E568C3">
        <w:t xml:space="preserve"> propose</w:t>
      </w:r>
      <w:r w:rsidRPr="00E568C3">
        <w:t>r</w:t>
      </w:r>
      <w:r w:rsidR="00883AE7" w:rsidRPr="00E568C3">
        <w:t xml:space="preserve"> </w:t>
      </w:r>
      <w:r w:rsidRPr="00E568C3">
        <w:t>des options et des procédures a</w:t>
      </w:r>
      <w:r w:rsidR="00883AE7" w:rsidRPr="00E568C3">
        <w:t>d</w:t>
      </w:r>
      <w:r w:rsidRPr="00E568C3">
        <w:t>é</w:t>
      </w:r>
      <w:r w:rsidR="00883AE7" w:rsidRPr="00E568C3">
        <w:t>quate</w:t>
      </w:r>
      <w:r w:rsidRPr="00E568C3">
        <w:t>s</w:t>
      </w:r>
      <w:r w:rsidR="00883AE7" w:rsidRPr="00E568C3">
        <w:t xml:space="preserve"> </w:t>
      </w:r>
      <w:r w:rsidRPr="00E568C3">
        <w:t xml:space="preserve">pour la gestion des connaissances et de la propriété intellectuelle et </w:t>
      </w:r>
      <w:r w:rsidR="00B00341" w:rsidRPr="00E568C3">
        <w:t>à</w:t>
      </w:r>
      <w:r w:rsidR="00883AE7" w:rsidRPr="00E568C3">
        <w:t xml:space="preserve"> reco</w:t>
      </w:r>
      <w:r w:rsidRPr="00E568C3">
        <w:t>nnaître les cas où il convient de faire intervenir d</w:t>
      </w:r>
      <w:r w:rsidR="00871730" w:rsidRPr="00E568C3">
        <w:t>’</w:t>
      </w:r>
      <w:r w:rsidRPr="00E568C3">
        <w:t xml:space="preserve">autres </w:t>
      </w:r>
      <w:r w:rsidR="00883AE7" w:rsidRPr="00E568C3">
        <w:t xml:space="preserve">experts – </w:t>
      </w:r>
      <w:r w:rsidRPr="00E568C3">
        <w:t>comme les conseils en brevet et les avocats spécialisés en propriété intellectuelle</w:t>
      </w:r>
      <w:r w:rsidR="00883AE7" w:rsidRPr="00E568C3">
        <w:t xml:space="preserve">, </w:t>
      </w:r>
      <w:r w:rsidRPr="00E568C3">
        <w:t>dans l</w:t>
      </w:r>
      <w:r w:rsidR="00871730" w:rsidRPr="00E568C3">
        <w:t>’</w:t>
      </w:r>
      <w:r w:rsidRPr="00E568C3">
        <w:t>une des activités du cycle d</w:t>
      </w:r>
      <w:r w:rsidR="00871730" w:rsidRPr="00E568C3">
        <w:t>’</w:t>
      </w:r>
      <w:r w:rsidRPr="00E568C3">
        <w:t>innovation</w:t>
      </w:r>
      <w:r w:rsidR="00883AE7" w:rsidRPr="00E568C3">
        <w:t>.</w:t>
      </w:r>
    </w:p>
    <w:p w:rsidR="00F55AA9" w:rsidRDefault="00A1691F" w:rsidP="00883AE7">
      <w:pPr>
        <w:pStyle w:val="ONUMFS"/>
      </w:pPr>
      <w:r w:rsidRPr="00E568C3">
        <w:t>Les</w:t>
      </w:r>
      <w:r w:rsidR="00883AE7" w:rsidRPr="00E568C3">
        <w:t xml:space="preserve"> program</w:t>
      </w:r>
      <w:r w:rsidRPr="00E568C3">
        <w:t>me</w:t>
      </w:r>
      <w:r w:rsidR="00883AE7" w:rsidRPr="00E568C3">
        <w:t xml:space="preserve">s </w:t>
      </w:r>
      <w:r w:rsidRPr="00E568C3">
        <w:t>de formation se fondent es</w:t>
      </w:r>
      <w:r w:rsidR="00B00341" w:rsidRPr="00E568C3">
        <w:t>sentiellement sur des manuels</w:t>
      </w:r>
      <w:r w:rsidR="00AC4E3A" w:rsidRPr="00E568C3">
        <w:t xml:space="preserve">, des </w:t>
      </w:r>
      <w:r w:rsidR="00883AE7" w:rsidRPr="00E568C3">
        <w:t xml:space="preserve">publications </w:t>
      </w:r>
      <w:r w:rsidR="00AC4E3A" w:rsidRPr="00E568C3">
        <w:t>et</w:t>
      </w:r>
      <w:r w:rsidR="00883AE7" w:rsidRPr="00E568C3">
        <w:t xml:space="preserve"> </w:t>
      </w:r>
      <w:r w:rsidR="00AC4E3A" w:rsidRPr="00E568C3">
        <w:t xml:space="preserve">des </w:t>
      </w:r>
      <w:r w:rsidR="00883AE7" w:rsidRPr="00E568C3">
        <w:t xml:space="preserve">documents </w:t>
      </w:r>
      <w:r w:rsidR="00B00341" w:rsidRPr="00E568C3">
        <w:t xml:space="preserve">spécifiques </w:t>
      </w:r>
      <w:r w:rsidR="00AC4E3A" w:rsidRPr="00E568C3">
        <w:t>de l</w:t>
      </w:r>
      <w:r w:rsidR="00871730" w:rsidRPr="00E568C3">
        <w:t>’</w:t>
      </w:r>
      <w:r w:rsidR="00AC4E3A" w:rsidRPr="00E568C3">
        <w:t>OMPI qui sont</w:t>
      </w:r>
      <w:r w:rsidR="00883AE7" w:rsidRPr="00E568C3">
        <w:t xml:space="preserve"> conceptuali</w:t>
      </w:r>
      <w:r w:rsidR="00AC4E3A" w:rsidRPr="00E568C3">
        <w:t>sés pour être mis à disposition et concédés sous licence aux pays en développement intéressés à des fins éducatives</w:t>
      </w:r>
      <w:r w:rsidR="00883AE7" w:rsidRPr="00E568C3">
        <w:t xml:space="preserve">, </w:t>
      </w:r>
      <w:r w:rsidR="00E17D9D" w:rsidRPr="00E568C3">
        <w:t>ainsi qu</w:t>
      </w:r>
      <w:r w:rsidR="00AC4E3A" w:rsidRPr="00E568C3">
        <w:t xml:space="preserve">e sur le </w:t>
      </w:r>
      <w:r w:rsidR="00883AE7" w:rsidRPr="00E568C3">
        <w:t xml:space="preserve">principe </w:t>
      </w:r>
      <w:r w:rsidR="00AC4E3A" w:rsidRPr="00E568C3">
        <w:t>du</w:t>
      </w:r>
      <w:r w:rsidR="00883AE7" w:rsidRPr="00E568C3">
        <w:t xml:space="preserve"> “</w:t>
      </w:r>
      <w:r w:rsidR="00AC4E3A" w:rsidRPr="00E568C3">
        <w:t>libre accès</w:t>
      </w:r>
      <w:r w:rsidR="00883AE7" w:rsidRPr="00E568C3">
        <w:t xml:space="preserve">” – </w:t>
      </w:r>
      <w:r w:rsidR="00AC4E3A" w:rsidRPr="00E568C3">
        <w:t>avec l</w:t>
      </w:r>
      <w:r w:rsidR="00871730" w:rsidRPr="00E568C3">
        <w:t>’</w:t>
      </w:r>
      <w:r w:rsidR="00883AE7" w:rsidRPr="00E568C3">
        <w:t xml:space="preserve">obligation </w:t>
      </w:r>
      <w:r w:rsidR="00AC4E3A" w:rsidRPr="00E568C3">
        <w:t>de</w:t>
      </w:r>
      <w:r w:rsidR="00883AE7" w:rsidRPr="00E568C3">
        <w:t xml:space="preserve"> “</w:t>
      </w:r>
      <w:r w:rsidR="00AC4E3A" w:rsidRPr="00E568C3">
        <w:t>rétrocéder</w:t>
      </w:r>
      <w:r w:rsidR="00883AE7" w:rsidRPr="00E568C3">
        <w:t xml:space="preserve">” </w:t>
      </w:r>
      <w:r w:rsidR="00AC4E3A" w:rsidRPr="00E568C3">
        <w:t>à l</w:t>
      </w:r>
      <w:r w:rsidR="00871730" w:rsidRPr="00E568C3">
        <w:t>’</w:t>
      </w:r>
      <w:r w:rsidR="00AC4E3A" w:rsidRPr="00E568C3">
        <w:t>OMPI toutes les améliorations apportées aux supports</w:t>
      </w:r>
      <w:r w:rsidR="00883AE7" w:rsidRPr="00E568C3">
        <w:t>.</w:t>
      </w:r>
    </w:p>
    <w:p w:rsidR="00F55AA9" w:rsidRDefault="008E3970" w:rsidP="00883AE7">
      <w:pPr>
        <w:pStyle w:val="ONUMFS"/>
      </w:pPr>
      <w:r w:rsidRPr="00E568C3">
        <w:lastRenderedPageBreak/>
        <w:t>S</w:t>
      </w:r>
      <w:r w:rsidR="00871730" w:rsidRPr="00E568C3">
        <w:t>’</w:t>
      </w:r>
      <w:r w:rsidRPr="00E568C3">
        <w:t>agissant de l</w:t>
      </w:r>
      <w:r w:rsidR="00871730" w:rsidRPr="00E568C3">
        <w:t>’</w:t>
      </w:r>
      <w:r w:rsidRPr="00E568C3">
        <w:t>élaboration des principaux programmes</w:t>
      </w:r>
      <w:r w:rsidR="00883AE7" w:rsidRPr="00E568C3">
        <w:t xml:space="preserve">, </w:t>
      </w:r>
      <w:r w:rsidRPr="00E568C3">
        <w:t xml:space="preserve">qui ont ensuite été mis à disposition sous différentes formes adaptées à </w:t>
      </w:r>
      <w:r w:rsidR="00E17D9D" w:rsidRPr="00E568C3">
        <w:t>certains group</w:t>
      </w:r>
      <w:r w:rsidRPr="00E568C3">
        <w:t>es cibles et partenaires, nous avons suivi le chemin de l</w:t>
      </w:r>
      <w:r w:rsidR="00871730" w:rsidRPr="00E568C3">
        <w:t>’</w:t>
      </w:r>
      <w:r w:rsidRPr="00E568C3">
        <w:t>idée depuis la conception jusqu</w:t>
      </w:r>
      <w:r w:rsidR="00871730" w:rsidRPr="00E568C3">
        <w:t>’</w:t>
      </w:r>
      <w:r w:rsidRPr="00E568C3">
        <w:t xml:space="preserve">à la commercialisation et </w:t>
      </w:r>
      <w:r w:rsidR="00FA6E8A" w:rsidRPr="00E568C3">
        <w:t>érigé</w:t>
      </w:r>
      <w:r w:rsidRPr="00E568C3">
        <w:t xml:space="preserve"> </w:t>
      </w:r>
      <w:r w:rsidR="00FA6E8A" w:rsidRPr="00E568C3">
        <w:t>l</w:t>
      </w:r>
      <w:r w:rsidRPr="00E568C3">
        <w:t xml:space="preserve">es </w:t>
      </w:r>
      <w:r w:rsidR="00FA6E8A" w:rsidRPr="00E568C3">
        <w:t>piliers de formation suivants</w:t>
      </w:r>
      <w:r w:rsidR="00883AE7" w:rsidRPr="00E568C3">
        <w:t xml:space="preserve"> </w:t>
      </w:r>
      <w:r w:rsidR="00FA6E8A" w:rsidRPr="00E568C3">
        <w:t>en matière d</w:t>
      </w:r>
      <w:r w:rsidR="00871730" w:rsidRPr="00E568C3">
        <w:t>’</w:t>
      </w:r>
      <w:r w:rsidR="00FA6E8A" w:rsidRPr="00E568C3">
        <w:t>enseignement de la gestion des connaissances à l</w:t>
      </w:r>
      <w:r w:rsidR="00871730" w:rsidRPr="00E568C3">
        <w:t>’</w:t>
      </w:r>
      <w:r w:rsidR="00FA6E8A" w:rsidRPr="00E568C3">
        <w:t>intention des</w:t>
      </w:r>
      <w:r w:rsidR="00883AE7" w:rsidRPr="00E568C3">
        <w:t xml:space="preserve"> universit</w:t>
      </w:r>
      <w:r w:rsidR="00FA6E8A" w:rsidRPr="00E568C3">
        <w:t>és </w:t>
      </w:r>
      <w:r w:rsidR="00883AE7" w:rsidRPr="00E568C3">
        <w:t>:</w:t>
      </w:r>
    </w:p>
    <w:p w:rsidR="00F55AA9" w:rsidRDefault="00FA6E8A" w:rsidP="00F91088">
      <w:pPr>
        <w:pStyle w:val="ONUMFS"/>
        <w:numPr>
          <w:ilvl w:val="1"/>
          <w:numId w:val="2"/>
        </w:numPr>
      </w:pPr>
      <w:r w:rsidRPr="00E568C3">
        <w:rPr>
          <w:bCs/>
          <w:i/>
          <w:iCs/>
        </w:rPr>
        <w:t>Formations à la rédaction des demandes de brevet</w:t>
      </w:r>
      <w:r w:rsidR="00883AE7" w:rsidRPr="00E568C3">
        <w:rPr>
          <w:b/>
        </w:rPr>
        <w:t xml:space="preserve"> </w:t>
      </w:r>
      <w:r w:rsidR="00883AE7" w:rsidRPr="00E568C3">
        <w:t xml:space="preserve">– </w:t>
      </w:r>
      <w:r w:rsidRPr="00E568C3">
        <w:t xml:space="preserve">centrées sur le renforcement des compétences et des </w:t>
      </w:r>
      <w:r w:rsidR="00883AE7" w:rsidRPr="00E568C3">
        <w:t xml:space="preserve">techniques </w:t>
      </w:r>
      <w:r w:rsidRPr="00E568C3">
        <w:t>en matière de rédaction des demandes de brevet afin d</w:t>
      </w:r>
      <w:r w:rsidR="000D6402" w:rsidRPr="00E568C3">
        <w:t>e favorise</w:t>
      </w:r>
      <w:r w:rsidRPr="00E568C3">
        <w:t>r l</w:t>
      </w:r>
      <w:r w:rsidR="00871730" w:rsidRPr="00E568C3">
        <w:t>’</w:t>
      </w:r>
      <w:r w:rsidRPr="00E568C3">
        <w:t>utilisation du système des brevets par les inventeurs loca</w:t>
      </w:r>
      <w:r w:rsidR="006A3508" w:rsidRPr="00E568C3">
        <w:t>ux.  Ce</w:t>
      </w:r>
      <w:r w:rsidRPr="00E568C3">
        <w:t xml:space="preserve">s formations ont été principalement suivies par des spécialistes au sein des bureaux de transfert de </w:t>
      </w:r>
      <w:r w:rsidR="00883AE7" w:rsidRPr="00E568C3">
        <w:t>technolog</w:t>
      </w:r>
      <w:r w:rsidRPr="00E568C3">
        <w:t>ie et</w:t>
      </w:r>
      <w:r w:rsidR="00871730" w:rsidRPr="00E568C3">
        <w:t xml:space="preserve"> des CAT</w:t>
      </w:r>
      <w:r w:rsidR="00883AE7" w:rsidRPr="00E568C3">
        <w:t xml:space="preserve">I, </w:t>
      </w:r>
      <w:r w:rsidRPr="00E568C3">
        <w:t xml:space="preserve">des responsables des </w:t>
      </w:r>
      <w:r w:rsidR="00883AE7" w:rsidRPr="00E568C3">
        <w:t>technolog</w:t>
      </w:r>
      <w:r w:rsidRPr="00E568C3">
        <w:t xml:space="preserve">ies ainsi que des spécialistes de la propriété intellectuelle dans les pays en développement en vue de pouvoir conseiller efficacement les </w:t>
      </w:r>
      <w:r w:rsidR="00883AE7" w:rsidRPr="00E568C3">
        <w:t>invent</w:t>
      </w:r>
      <w:r w:rsidRPr="00E568C3">
        <w:t>eu</w:t>
      </w:r>
      <w:r w:rsidR="00883AE7" w:rsidRPr="00E568C3">
        <w:t xml:space="preserve">rs </w:t>
      </w:r>
      <w:r w:rsidRPr="00E568C3">
        <w:t>locaux sur les moyens de protéger leurs</w:t>
      </w:r>
      <w:r w:rsidR="00883AE7" w:rsidRPr="00E568C3">
        <w:t xml:space="preserve"> inventio</w:t>
      </w:r>
      <w:r w:rsidR="006A3508" w:rsidRPr="00E568C3">
        <w:t>ns.  Le</w:t>
      </w:r>
      <w:r w:rsidRPr="00E568C3">
        <w:t>s</w:t>
      </w:r>
      <w:r w:rsidR="00726863" w:rsidRPr="00E568C3">
        <w:t> </w:t>
      </w:r>
      <w:r w:rsidRPr="00E568C3">
        <w:t xml:space="preserve">formations </w:t>
      </w:r>
      <w:r w:rsidR="00726863" w:rsidRPr="00E568C3">
        <w:t>directes classiques ont été dispensées en a</w:t>
      </w:r>
      <w:r w:rsidR="00883AE7" w:rsidRPr="00E568C3">
        <w:t>ngl</w:t>
      </w:r>
      <w:r w:rsidR="00726863" w:rsidRPr="00E568C3">
        <w:t>a</w:t>
      </w:r>
      <w:r w:rsidR="00883AE7" w:rsidRPr="00E568C3">
        <w:t xml:space="preserve">is, </w:t>
      </w:r>
      <w:r w:rsidR="00726863" w:rsidRPr="00E568C3">
        <w:t>espagnol, français et p</w:t>
      </w:r>
      <w:r w:rsidR="00883AE7" w:rsidRPr="00E568C3">
        <w:t>ortug</w:t>
      </w:r>
      <w:r w:rsidR="00726863" w:rsidRPr="00E568C3">
        <w:t>ais</w:t>
      </w:r>
      <w:r w:rsidR="00883AE7" w:rsidRPr="00E568C3">
        <w:t xml:space="preserve">, </w:t>
      </w:r>
      <w:r w:rsidR="00726863" w:rsidRPr="00E568C3">
        <w:t>pour les niveaux élémentaires et avancés</w:t>
      </w:r>
      <w:r w:rsidR="00883AE7" w:rsidRPr="00E568C3">
        <w:t xml:space="preserve">, </w:t>
      </w:r>
      <w:r w:rsidR="00726863" w:rsidRPr="00E568C3">
        <w:t>avec des exercices de suivi en ligne et un accompagnement personnali</w:t>
      </w:r>
      <w:r w:rsidR="006A3508" w:rsidRPr="00E568C3">
        <w:t>sé.  Su</w:t>
      </w:r>
      <w:r w:rsidR="00726863" w:rsidRPr="00E568C3">
        <w:t xml:space="preserve">r le plan théorique, le </w:t>
      </w:r>
      <w:r w:rsidR="00883AE7" w:rsidRPr="00E568C3">
        <w:t>program</w:t>
      </w:r>
      <w:r w:rsidR="00726863" w:rsidRPr="00E568C3">
        <w:t xml:space="preserve">me se réfère au Manuel </w:t>
      </w:r>
      <w:r w:rsidR="000D6402" w:rsidRPr="00E568C3">
        <w:t>po</w:t>
      </w:r>
      <w:r w:rsidR="00726863" w:rsidRPr="00E568C3">
        <w:t>ur la rédaction des demandes de brevet</w:t>
      </w:r>
      <w:r w:rsidR="00883AE7" w:rsidRPr="00E568C3">
        <w:t xml:space="preserve"> (</w:t>
      </w:r>
      <w:r w:rsidR="00726863" w:rsidRPr="00E568C3">
        <w:t>p</w:t>
      </w:r>
      <w:r w:rsidR="00883AE7" w:rsidRPr="00E568C3">
        <w:t xml:space="preserve">ublication </w:t>
      </w:r>
      <w:r w:rsidR="00726863" w:rsidRPr="00E568C3">
        <w:t>de l</w:t>
      </w:r>
      <w:r w:rsidR="00871730" w:rsidRPr="00E568C3">
        <w:t>’</w:t>
      </w:r>
      <w:r w:rsidR="00726863" w:rsidRPr="00E568C3">
        <w:t>OMPI n°</w:t>
      </w:r>
      <w:r w:rsidR="000D6402" w:rsidRPr="00E568C3">
        <w:t> </w:t>
      </w:r>
      <w:r w:rsidR="00883AE7" w:rsidRPr="00E568C3">
        <w:t xml:space="preserve">867) </w:t>
      </w:r>
      <w:r w:rsidR="00726863" w:rsidRPr="00E568C3">
        <w:t xml:space="preserve">et au projet de </w:t>
      </w:r>
      <w:r w:rsidR="00883AE7" w:rsidRPr="00E568C3">
        <w:t xml:space="preserve">Strategic Patent </w:t>
      </w:r>
      <w:proofErr w:type="spellStart"/>
      <w:r w:rsidR="00883AE7" w:rsidRPr="00E568C3">
        <w:t>Drafting</w:t>
      </w:r>
      <w:proofErr w:type="spellEnd"/>
      <w:r w:rsidR="00883AE7" w:rsidRPr="00E568C3">
        <w:t xml:space="preserve"> </w:t>
      </w:r>
      <w:proofErr w:type="spellStart"/>
      <w:r w:rsidR="00883AE7" w:rsidRPr="00E568C3">
        <w:t>Exercise</w:t>
      </w:r>
      <w:proofErr w:type="spellEnd"/>
      <w:r w:rsidR="00883AE7" w:rsidRPr="00E568C3">
        <w:t xml:space="preserve"> Book</w:t>
      </w:r>
      <w:r w:rsidR="00726863" w:rsidRPr="00E568C3">
        <w:t xml:space="preserve"> (en angla</w:t>
      </w:r>
      <w:r w:rsidR="006A3508" w:rsidRPr="00E568C3">
        <w:t>is).  En</w:t>
      </w:r>
      <w:r w:rsidR="00726863" w:rsidRPr="00E568C3">
        <w:t> </w:t>
      </w:r>
      <w:r w:rsidR="00883AE7" w:rsidRPr="00E568C3">
        <w:t xml:space="preserve">2014–2015, </w:t>
      </w:r>
      <w:r w:rsidR="00726863" w:rsidRPr="00E568C3">
        <w:t>l</w:t>
      </w:r>
      <w:r w:rsidR="00871730" w:rsidRPr="00E568C3">
        <w:t>’</w:t>
      </w:r>
      <w:r w:rsidR="00726863" w:rsidRPr="00E568C3">
        <w:t>OMPI a dispensé des formations</w:t>
      </w:r>
      <w:r w:rsidR="00883AE7" w:rsidRPr="00E568C3">
        <w:t xml:space="preserve"> </w:t>
      </w:r>
      <w:r w:rsidR="00726863" w:rsidRPr="00E568C3">
        <w:t>sur la rédaction des demandes de brevet dans neuf pays</w:t>
      </w:r>
      <w:r w:rsidR="00883AE7" w:rsidRPr="00E568C3">
        <w:t xml:space="preserve"> (Br</w:t>
      </w:r>
      <w:r w:rsidR="00726863" w:rsidRPr="00E568C3">
        <w:t>és</w:t>
      </w:r>
      <w:r w:rsidR="00883AE7" w:rsidRPr="00E568C3">
        <w:t>il, Chil</w:t>
      </w:r>
      <w:r w:rsidR="00726863" w:rsidRPr="00E568C3">
        <w:t>i</w:t>
      </w:r>
      <w:r w:rsidR="00883AE7" w:rsidRPr="00E568C3">
        <w:t>, Colombi</w:t>
      </w:r>
      <w:r w:rsidR="00726863" w:rsidRPr="00E568C3">
        <w:t>e</w:t>
      </w:r>
      <w:r w:rsidR="00883AE7" w:rsidRPr="00E568C3">
        <w:t xml:space="preserve">, </w:t>
      </w:r>
      <w:r w:rsidR="00726863" w:rsidRPr="00E568C3">
        <w:t>Équateu</w:t>
      </w:r>
      <w:r w:rsidR="00883AE7" w:rsidRPr="00E568C3">
        <w:t>r, Indon</w:t>
      </w:r>
      <w:r w:rsidR="00726863" w:rsidRPr="00E568C3">
        <w:t>é</w:t>
      </w:r>
      <w:r w:rsidR="00883AE7" w:rsidRPr="00E568C3">
        <w:t>si</w:t>
      </w:r>
      <w:r w:rsidR="00726863" w:rsidRPr="00E568C3">
        <w:t>e</w:t>
      </w:r>
      <w:r w:rsidR="00883AE7" w:rsidRPr="00E568C3">
        <w:t>, Sri</w:t>
      </w:r>
      <w:r w:rsidR="00726863" w:rsidRPr="00E568C3">
        <w:t> </w:t>
      </w:r>
      <w:r w:rsidR="00883AE7" w:rsidRPr="00E568C3">
        <w:t>Lanka, Tha</w:t>
      </w:r>
      <w:r w:rsidR="00726863" w:rsidRPr="00E568C3">
        <w:t>ï</w:t>
      </w:r>
      <w:r w:rsidR="00883AE7" w:rsidRPr="00E568C3">
        <w:t>land</w:t>
      </w:r>
      <w:r w:rsidR="00726863" w:rsidRPr="00E568C3">
        <w:t>e</w:t>
      </w:r>
      <w:r w:rsidR="00883AE7" w:rsidRPr="00E568C3">
        <w:t>, Tunisi</w:t>
      </w:r>
      <w:r w:rsidR="00726863" w:rsidRPr="00E568C3">
        <w:t>e</w:t>
      </w:r>
      <w:r w:rsidR="00883AE7" w:rsidRPr="00E568C3">
        <w:t xml:space="preserve"> </w:t>
      </w:r>
      <w:r w:rsidR="00726863" w:rsidRPr="00E568C3">
        <w:t>et</w:t>
      </w:r>
      <w:r w:rsidR="00883AE7" w:rsidRPr="00E568C3">
        <w:t xml:space="preserve"> Viet</w:t>
      </w:r>
      <w:r w:rsidR="00726863" w:rsidRPr="00E568C3">
        <w:t> </w:t>
      </w:r>
      <w:r w:rsidR="00883AE7" w:rsidRPr="00E568C3">
        <w:t>Nam) a</w:t>
      </w:r>
      <w:r w:rsidR="00726863" w:rsidRPr="00E568C3">
        <w:t>insi qu</w:t>
      </w:r>
      <w:r w:rsidR="00871730" w:rsidRPr="00E568C3">
        <w:t>’</w:t>
      </w:r>
      <w:r w:rsidR="00726863" w:rsidRPr="00E568C3">
        <w:t xml:space="preserve">aux </w:t>
      </w:r>
      <w:r w:rsidR="00F91088" w:rsidRPr="00E568C3">
        <w:t>É</w:t>
      </w:r>
      <w:r w:rsidR="00726863" w:rsidRPr="00E568C3">
        <w:t>tats membres et o</w:t>
      </w:r>
      <w:r w:rsidR="00883AE7" w:rsidRPr="00E568C3">
        <w:t>bserv</w:t>
      </w:r>
      <w:r w:rsidR="00726863" w:rsidRPr="00E568C3">
        <w:t>ateurs de l</w:t>
      </w:r>
      <w:r w:rsidR="00871730" w:rsidRPr="00E568C3">
        <w:t>’</w:t>
      </w:r>
      <w:r w:rsidR="00726863" w:rsidRPr="00E568C3">
        <w:t xml:space="preserve">Organisation </w:t>
      </w:r>
      <w:r w:rsidR="00F91088" w:rsidRPr="00E568C3">
        <w:t xml:space="preserve">régionale africaine de la propriété intellectuelle </w:t>
      </w:r>
      <w:r w:rsidR="00883AE7" w:rsidRPr="00E568C3">
        <w:t>(ARIPO);</w:t>
      </w:r>
    </w:p>
    <w:p w:rsidR="00F55AA9" w:rsidRDefault="00F91088" w:rsidP="00505CC2">
      <w:pPr>
        <w:pStyle w:val="ONUMFS"/>
        <w:numPr>
          <w:ilvl w:val="1"/>
          <w:numId w:val="2"/>
        </w:numPr>
        <w:rPr>
          <w:rFonts w:eastAsia="SimSun"/>
          <w:lang w:eastAsia="zh-CN"/>
        </w:rPr>
      </w:pPr>
      <w:r w:rsidRPr="00E568C3">
        <w:rPr>
          <w:bCs/>
          <w:i/>
          <w:iCs/>
        </w:rPr>
        <w:t>Concession de licence</w:t>
      </w:r>
      <w:r w:rsidR="0081670F" w:rsidRPr="00E568C3">
        <w:rPr>
          <w:bCs/>
          <w:i/>
          <w:iCs/>
        </w:rPr>
        <w:t>s</w:t>
      </w:r>
      <w:r w:rsidRPr="00E568C3">
        <w:rPr>
          <w:bCs/>
          <w:i/>
          <w:iCs/>
        </w:rPr>
        <w:t xml:space="preserve"> de t</w:t>
      </w:r>
      <w:r w:rsidR="00883AE7" w:rsidRPr="00E568C3">
        <w:rPr>
          <w:bCs/>
          <w:i/>
          <w:iCs/>
        </w:rPr>
        <w:t>echnolog</w:t>
      </w:r>
      <w:r w:rsidRPr="00E568C3">
        <w:rPr>
          <w:bCs/>
          <w:i/>
          <w:iCs/>
        </w:rPr>
        <w:t>ie réussie</w:t>
      </w:r>
      <w:r w:rsidR="00883AE7" w:rsidRPr="00E568C3">
        <w:rPr>
          <w:b/>
        </w:rPr>
        <w:t xml:space="preserve"> </w:t>
      </w:r>
      <w:r w:rsidR="00883AE7" w:rsidRPr="00E568C3">
        <w:t xml:space="preserve">– </w:t>
      </w:r>
      <w:r w:rsidRPr="00E568C3">
        <w:t>l</w:t>
      </w:r>
      <w:r w:rsidR="00883AE7" w:rsidRPr="00E568C3">
        <w:t xml:space="preserve">e </w:t>
      </w:r>
      <w:r w:rsidRPr="00E568C3">
        <w:t>p</w:t>
      </w:r>
      <w:r w:rsidR="00883AE7" w:rsidRPr="00E568C3">
        <w:t>rogram</w:t>
      </w:r>
      <w:r w:rsidRPr="00E568C3">
        <w:t>me a été créé pour aider</w:t>
      </w:r>
      <w:r w:rsidR="00871730" w:rsidRPr="00E568C3">
        <w:t xml:space="preserve"> les PMA</w:t>
      </w:r>
      <w:r w:rsidR="00883AE7" w:rsidRPr="00E568C3">
        <w:t xml:space="preserve">, </w:t>
      </w:r>
      <w:r w:rsidRPr="00E568C3">
        <w:t>les pays en développement et les pays e</w:t>
      </w:r>
      <w:r w:rsidR="00883AE7" w:rsidRPr="00E568C3">
        <w:t xml:space="preserve">n transition </w:t>
      </w:r>
      <w:r w:rsidRPr="00E568C3">
        <w:t xml:space="preserve">à valoriser le capital humain avec les compétences nécessaires dans les domaines concernés par le transfert de connaissances </w:t>
      </w:r>
      <w:r w:rsidR="0081670F" w:rsidRPr="00E568C3">
        <w:t>et</w:t>
      </w:r>
      <w:r w:rsidRPr="00E568C3">
        <w:t xml:space="preserve"> de technologie, </w:t>
      </w:r>
      <w:r w:rsidR="0081670F" w:rsidRPr="00E568C3">
        <w:t xml:space="preserve">notamment en </w:t>
      </w:r>
      <w:r w:rsidRPr="00E568C3">
        <w:t>utilisan</w:t>
      </w:r>
      <w:r w:rsidR="0081670F" w:rsidRPr="00E568C3">
        <w:t>t</w:t>
      </w:r>
      <w:r w:rsidRPr="00E568C3">
        <w:t xml:space="preserve"> </w:t>
      </w:r>
      <w:r w:rsidR="0081670F" w:rsidRPr="00E568C3">
        <w:t>l</w:t>
      </w:r>
      <w:r w:rsidR="00871730" w:rsidRPr="00E568C3">
        <w:t>’</w:t>
      </w:r>
      <w:r w:rsidRPr="00E568C3">
        <w:t>accord de licence comme un instrument de collaboration dans le domaine de la propriété intellectuelle et d</w:t>
      </w:r>
      <w:r w:rsidR="0081670F" w:rsidRPr="00E568C3">
        <w:t>e</w:t>
      </w:r>
      <w:r w:rsidRPr="00E568C3">
        <w:t xml:space="preserve"> transfert de technologie</w:t>
      </w:r>
      <w:r w:rsidR="0081670F" w:rsidRPr="00E568C3">
        <w:t>,</w:t>
      </w:r>
      <w:r w:rsidRPr="00E568C3">
        <w:t xml:space="preserve"> </w:t>
      </w:r>
      <w:r w:rsidR="0081670F" w:rsidRPr="00E568C3">
        <w:t xml:space="preserve">en </w:t>
      </w:r>
      <w:r w:rsidRPr="00E568C3">
        <w:t>compr</w:t>
      </w:r>
      <w:r w:rsidR="0081670F" w:rsidRPr="00E568C3">
        <w:t>e</w:t>
      </w:r>
      <w:r w:rsidRPr="00E568C3">
        <w:t>n</w:t>
      </w:r>
      <w:r w:rsidR="0081670F" w:rsidRPr="00E568C3">
        <w:t>ant l</w:t>
      </w:r>
      <w:r w:rsidRPr="00E568C3">
        <w:t>es termes clés d</w:t>
      </w:r>
      <w:r w:rsidR="00871730" w:rsidRPr="00E568C3">
        <w:t>’</w:t>
      </w:r>
      <w:r w:rsidRPr="00E568C3">
        <w:t xml:space="preserve">un accord de </w:t>
      </w:r>
      <w:r w:rsidR="00883AE7" w:rsidRPr="00E568C3">
        <w:t>licen</w:t>
      </w:r>
      <w:r w:rsidRPr="00E568C3">
        <w:t>ce</w:t>
      </w:r>
      <w:r w:rsidR="00883AE7" w:rsidRPr="00E568C3">
        <w:t xml:space="preserve"> </w:t>
      </w:r>
      <w:r w:rsidRPr="00E568C3">
        <w:t xml:space="preserve">et </w:t>
      </w:r>
      <w:r w:rsidR="0081670F" w:rsidRPr="00E568C3">
        <w:t>l</w:t>
      </w:r>
      <w:r w:rsidRPr="00E568C3">
        <w:t>es techniques de né</w:t>
      </w:r>
      <w:r w:rsidR="00883AE7" w:rsidRPr="00E568C3">
        <w:t>go</w:t>
      </w:r>
      <w:r w:rsidRPr="00E568C3">
        <w:t>c</w:t>
      </w:r>
      <w:r w:rsidR="00883AE7" w:rsidRPr="00E568C3">
        <w:t>iation</w:t>
      </w:r>
      <w:r w:rsidR="0081670F" w:rsidRPr="00E568C3">
        <w:t xml:space="preserve"> et en </w:t>
      </w:r>
      <w:r w:rsidRPr="00E568C3">
        <w:t>appren</w:t>
      </w:r>
      <w:r w:rsidR="0081670F" w:rsidRPr="00E568C3">
        <w:t>ant</w:t>
      </w:r>
      <w:r w:rsidRPr="00E568C3">
        <w:t xml:space="preserve"> </w:t>
      </w:r>
      <w:r w:rsidR="0081670F" w:rsidRPr="00E568C3">
        <w:t>à</w:t>
      </w:r>
      <w:r w:rsidRPr="00E568C3">
        <w:t xml:space="preserve"> rédiger cet accord </w:t>
      </w:r>
      <w:r w:rsidR="00883AE7" w:rsidRPr="00E568C3">
        <w:t>(</w:t>
      </w:r>
      <w:r w:rsidRPr="00E568C3">
        <w:t>cours avancé sur la concession de licences de technologie réuss</w:t>
      </w:r>
      <w:r w:rsidR="006A3508" w:rsidRPr="00E568C3">
        <w:t>ie).  Au</w:t>
      </w:r>
      <w:r w:rsidR="00840968" w:rsidRPr="00E568C3">
        <w:t>x fins de la formation sur la concession de licences de technologie réussie</w:t>
      </w:r>
      <w:r w:rsidR="00883AE7" w:rsidRPr="00E568C3">
        <w:t xml:space="preserve">, </w:t>
      </w:r>
      <w:r w:rsidR="00840968" w:rsidRPr="00E568C3">
        <w:t xml:space="preserve">un instrument de formation a été mis au point qui </w:t>
      </w:r>
      <w:r w:rsidR="00883AE7" w:rsidRPr="00E568C3">
        <w:t>conti</w:t>
      </w:r>
      <w:r w:rsidR="00840968" w:rsidRPr="00E568C3">
        <w:t>e</w:t>
      </w:r>
      <w:r w:rsidR="00883AE7" w:rsidRPr="00E568C3">
        <w:t>n</w:t>
      </w:r>
      <w:r w:rsidR="00840968" w:rsidRPr="00E568C3">
        <w:t>t</w:t>
      </w:r>
      <w:r w:rsidR="00883AE7" w:rsidRPr="00E568C3">
        <w:t xml:space="preserve"> </w:t>
      </w:r>
      <w:r w:rsidR="00840968" w:rsidRPr="00E568C3">
        <w:t xml:space="preserve">le Guide pour </w:t>
      </w:r>
      <w:r w:rsidR="0081670F" w:rsidRPr="00E568C3">
        <w:t>une</w:t>
      </w:r>
      <w:r w:rsidR="0006276B" w:rsidRPr="00E568C3">
        <w:t xml:space="preserve"> concession d</w:t>
      </w:r>
      <w:r w:rsidR="00840968" w:rsidRPr="00E568C3">
        <w:t xml:space="preserve">e </w:t>
      </w:r>
      <w:r w:rsidR="0006276B" w:rsidRPr="00E568C3">
        <w:t xml:space="preserve">licence de </w:t>
      </w:r>
      <w:r w:rsidR="00840968" w:rsidRPr="00E568C3">
        <w:t>technologie réussi</w:t>
      </w:r>
      <w:r w:rsidR="0006276B" w:rsidRPr="00E568C3">
        <w:t>e</w:t>
      </w:r>
      <w:r w:rsidR="00883AE7" w:rsidRPr="00E568C3">
        <w:t xml:space="preserve"> (publication </w:t>
      </w:r>
      <w:r w:rsidR="00840968" w:rsidRPr="00E568C3">
        <w:t>de l</w:t>
      </w:r>
      <w:r w:rsidR="00871730" w:rsidRPr="00E568C3">
        <w:t>’</w:t>
      </w:r>
      <w:r w:rsidR="00840968" w:rsidRPr="00E568C3">
        <w:t>OMPI n° </w:t>
      </w:r>
      <w:r w:rsidR="00883AE7" w:rsidRPr="00E568C3">
        <w:t xml:space="preserve">903 </w:t>
      </w:r>
      <w:r w:rsidR="00840968" w:rsidRPr="00E568C3">
        <w:t>–</w:t>
      </w:r>
      <w:r w:rsidR="00883AE7" w:rsidRPr="00E568C3">
        <w:t xml:space="preserve"> r</w:t>
      </w:r>
      <w:r w:rsidR="00840968" w:rsidRPr="00E568C3">
        <w:t>évisé</w:t>
      </w:r>
      <w:r w:rsidR="0081670F" w:rsidRPr="00E568C3">
        <w:t>e avec</w:t>
      </w:r>
      <w:r w:rsidR="0006276B" w:rsidRPr="00E568C3">
        <w:t xml:space="preserve"> une </w:t>
      </w:r>
      <w:r w:rsidR="00840968" w:rsidRPr="00E568C3">
        <w:t>nouvelle éd</w:t>
      </w:r>
      <w:r w:rsidR="00883AE7" w:rsidRPr="00E568C3">
        <w:t xml:space="preserve">ition </w:t>
      </w:r>
      <w:r w:rsidR="00840968" w:rsidRPr="00E568C3">
        <w:t>publiée en </w:t>
      </w:r>
      <w:r w:rsidR="00883AE7" w:rsidRPr="00E568C3">
        <w:t xml:space="preserve">2015 </w:t>
      </w:r>
      <w:r w:rsidR="0081670F" w:rsidRPr="00E568C3">
        <w:t xml:space="preserve">en anglais </w:t>
      </w:r>
      <w:r w:rsidR="00840968" w:rsidRPr="00E568C3">
        <w:t>contenant le nouveau chapitre </w:t>
      </w:r>
      <w:r w:rsidR="00883AE7" w:rsidRPr="00E568C3">
        <w:t xml:space="preserve">V </w:t>
      </w:r>
      <w:r w:rsidR="00840968" w:rsidRPr="00E568C3">
        <w:t>intitulé</w:t>
      </w:r>
      <w:r w:rsidR="00883AE7" w:rsidRPr="00E568C3">
        <w:t xml:space="preserve"> </w:t>
      </w:r>
      <w:proofErr w:type="spellStart"/>
      <w:r w:rsidR="00883AE7" w:rsidRPr="00E568C3">
        <w:rPr>
          <w:i/>
        </w:rPr>
        <w:t>Understanding</w:t>
      </w:r>
      <w:proofErr w:type="spellEnd"/>
      <w:r w:rsidR="00883AE7" w:rsidRPr="00E568C3">
        <w:rPr>
          <w:i/>
        </w:rPr>
        <w:t xml:space="preserve"> Certain Antitrust </w:t>
      </w:r>
      <w:proofErr w:type="spellStart"/>
      <w:r w:rsidR="00883AE7" w:rsidRPr="00E568C3">
        <w:rPr>
          <w:i/>
        </w:rPr>
        <w:t>Concerns</w:t>
      </w:r>
      <w:proofErr w:type="spellEnd"/>
      <w:r w:rsidR="00883AE7" w:rsidRPr="00E568C3">
        <w:rPr>
          <w:i/>
        </w:rPr>
        <w:t xml:space="preserve"> </w:t>
      </w:r>
      <w:proofErr w:type="spellStart"/>
      <w:r w:rsidR="00883AE7" w:rsidRPr="00E568C3">
        <w:rPr>
          <w:i/>
        </w:rPr>
        <w:t>Re</w:t>
      </w:r>
      <w:r w:rsidR="00840968" w:rsidRPr="00E568C3">
        <w:rPr>
          <w:i/>
        </w:rPr>
        <w:t>lated</w:t>
      </w:r>
      <w:proofErr w:type="spellEnd"/>
      <w:r w:rsidR="00840968" w:rsidRPr="00E568C3">
        <w:rPr>
          <w:i/>
        </w:rPr>
        <w:t xml:space="preserve"> to </w:t>
      </w:r>
      <w:proofErr w:type="spellStart"/>
      <w:r w:rsidR="00840968" w:rsidRPr="00E568C3">
        <w:rPr>
          <w:i/>
        </w:rPr>
        <w:t>Technology</w:t>
      </w:r>
      <w:proofErr w:type="spellEnd"/>
      <w:r w:rsidR="00840968" w:rsidRPr="00E568C3">
        <w:rPr>
          <w:i/>
        </w:rPr>
        <w:t xml:space="preserve"> </w:t>
      </w:r>
      <w:proofErr w:type="spellStart"/>
      <w:r w:rsidR="00840968" w:rsidRPr="00E568C3">
        <w:rPr>
          <w:i/>
        </w:rPr>
        <w:t>Licensing</w:t>
      </w:r>
      <w:proofErr w:type="spellEnd"/>
      <w:r w:rsidR="00840968" w:rsidRPr="00E568C3">
        <w:rPr>
          <w:i/>
        </w:rPr>
        <w:t>),</w:t>
      </w:r>
      <w:r w:rsidR="0006276B" w:rsidRPr="00E568C3">
        <w:rPr>
          <w:i/>
        </w:rPr>
        <w:t xml:space="preserve"> </w:t>
      </w:r>
      <w:r w:rsidR="00840968" w:rsidRPr="00E568C3">
        <w:t>assorti du</w:t>
      </w:r>
      <w:r w:rsidR="008D5BD8" w:rsidRPr="00E568C3">
        <w:t xml:space="preserve"> </w:t>
      </w:r>
      <w:r w:rsidR="00883AE7" w:rsidRPr="00E568C3">
        <w:t>program</w:t>
      </w:r>
      <w:r w:rsidR="00840968" w:rsidRPr="00E568C3">
        <w:t xml:space="preserve">me </w:t>
      </w:r>
      <w:r w:rsidR="008D5BD8" w:rsidRPr="00E568C3">
        <w:t xml:space="preserve">normalisé </w:t>
      </w:r>
      <w:r w:rsidR="00840968" w:rsidRPr="00E568C3">
        <w:t xml:space="preserve">pour le cours élémentaire et </w:t>
      </w:r>
      <w:r w:rsidR="008D5BD8" w:rsidRPr="00E568C3">
        <w:t>d</w:t>
      </w:r>
      <w:r w:rsidR="00871730" w:rsidRPr="00E568C3">
        <w:t>’</w:t>
      </w:r>
      <w:r w:rsidR="008D5BD8" w:rsidRPr="00E568C3">
        <w:t xml:space="preserve">un cours avancé, </w:t>
      </w:r>
      <w:r w:rsidR="00840968" w:rsidRPr="00E568C3">
        <w:t>de présentati</w:t>
      </w:r>
      <w:r w:rsidR="008D5BD8" w:rsidRPr="00E568C3">
        <w:t>o</w:t>
      </w:r>
      <w:r w:rsidR="00840968" w:rsidRPr="00E568C3">
        <w:t xml:space="preserve">ns standards et </w:t>
      </w:r>
      <w:r w:rsidR="008D5BD8" w:rsidRPr="00E568C3">
        <w:t>d</w:t>
      </w:r>
      <w:r w:rsidR="00871730" w:rsidRPr="00E568C3">
        <w:t>’</w:t>
      </w:r>
      <w:r w:rsidR="00840968" w:rsidRPr="00E568C3">
        <w:t xml:space="preserve">une série de cas </w:t>
      </w:r>
      <w:r w:rsidR="008D5BD8" w:rsidRPr="00E568C3">
        <w:t>ficti</w:t>
      </w:r>
      <w:r w:rsidR="006A3508" w:rsidRPr="00E568C3">
        <w:t>fs.  Ce</w:t>
      </w:r>
      <w:r w:rsidR="008D5BD8" w:rsidRPr="00E568C3">
        <w:t xml:space="preserve">t instrument de formation est </w:t>
      </w:r>
      <w:r w:rsidR="00D65B01" w:rsidRPr="00E568C3">
        <w:t xml:space="preserve">mis à disposition des </w:t>
      </w:r>
      <w:r w:rsidR="00883AE7" w:rsidRPr="00E568C3">
        <w:t>universit</w:t>
      </w:r>
      <w:r w:rsidR="008D5BD8" w:rsidRPr="00E568C3">
        <w:t xml:space="preserve">és et </w:t>
      </w:r>
      <w:r w:rsidR="00D65B01" w:rsidRPr="00E568C3">
        <w:t>des</w:t>
      </w:r>
      <w:r w:rsidR="008D5BD8" w:rsidRPr="00E568C3">
        <w:t xml:space="preserve"> organismes publics de recherche pour la concession de l</w:t>
      </w:r>
      <w:r w:rsidR="00883AE7" w:rsidRPr="00E568C3">
        <w:t>icen</w:t>
      </w:r>
      <w:r w:rsidR="008D5BD8" w:rsidRPr="00E568C3">
        <w:t>ce</w:t>
      </w:r>
      <w:r w:rsidR="00883AE7" w:rsidRPr="00E568C3">
        <w:t xml:space="preserve">s, </w:t>
      </w:r>
      <w:r w:rsidR="008D5BD8" w:rsidRPr="00E568C3">
        <w:t>sur le principe du</w:t>
      </w:r>
      <w:r w:rsidR="00883AE7" w:rsidRPr="00E568C3">
        <w:t xml:space="preserve"> “</w:t>
      </w:r>
      <w:r w:rsidR="008D5BD8" w:rsidRPr="00E568C3">
        <w:t>libre accès</w:t>
      </w:r>
      <w:r w:rsidR="00883AE7" w:rsidRPr="00E568C3">
        <w:t xml:space="preserve">”.  </w:t>
      </w:r>
      <w:r w:rsidR="008D5BD8" w:rsidRPr="00E568C3">
        <w:t xml:space="preserve">Au cours du dernier exercice biennal, le cours sur </w:t>
      </w:r>
      <w:r w:rsidR="00D65B01" w:rsidRPr="00E568C3">
        <w:t>une</w:t>
      </w:r>
      <w:r w:rsidR="008D5BD8" w:rsidRPr="00E568C3">
        <w:t xml:space="preserve"> concession de licence de technologie réussie a été </w:t>
      </w:r>
      <w:r w:rsidR="00883AE7" w:rsidRPr="00E568C3">
        <w:t>organi</w:t>
      </w:r>
      <w:r w:rsidR="008D5BD8" w:rsidRPr="00E568C3">
        <w:t>sé</w:t>
      </w:r>
      <w:r w:rsidR="00883AE7" w:rsidRPr="00E568C3">
        <w:t xml:space="preserve">, </w:t>
      </w:r>
      <w:r w:rsidR="008D5BD8" w:rsidRPr="00E568C3">
        <w:t>pour les niveaux élémentaire et avancé</w:t>
      </w:r>
      <w:r w:rsidR="00883AE7" w:rsidRPr="00E568C3">
        <w:t xml:space="preserve">, </w:t>
      </w:r>
      <w:r w:rsidR="008D5BD8" w:rsidRPr="00E568C3">
        <w:t>dans le cadre de manifestations</w:t>
      </w:r>
      <w:r w:rsidR="00883AE7" w:rsidRPr="00E568C3">
        <w:t xml:space="preserve"> national</w:t>
      </w:r>
      <w:r w:rsidR="008D5BD8" w:rsidRPr="00E568C3">
        <w:t>es</w:t>
      </w:r>
      <w:r w:rsidR="00883AE7" w:rsidRPr="00E568C3">
        <w:t xml:space="preserve"> </w:t>
      </w:r>
      <w:r w:rsidR="008D5BD8" w:rsidRPr="00E568C3">
        <w:t>et</w:t>
      </w:r>
      <w:r w:rsidR="00883AE7" w:rsidRPr="00E568C3">
        <w:t xml:space="preserve"> r</w:t>
      </w:r>
      <w:r w:rsidR="008D5BD8" w:rsidRPr="00E568C3">
        <w:t>é</w:t>
      </w:r>
      <w:r w:rsidR="00883AE7" w:rsidRPr="00E568C3">
        <w:t xml:space="preserve">gionales </w:t>
      </w:r>
      <w:r w:rsidR="008D5BD8" w:rsidRPr="00E568C3">
        <w:t>dans les pays suivants </w:t>
      </w:r>
      <w:r w:rsidR="00883AE7" w:rsidRPr="00E568C3">
        <w:t>: Br</w:t>
      </w:r>
      <w:r w:rsidR="008D5BD8" w:rsidRPr="00E568C3">
        <w:t>és</w:t>
      </w:r>
      <w:r w:rsidR="00883AE7" w:rsidRPr="00E568C3">
        <w:t>il, Ital</w:t>
      </w:r>
      <w:r w:rsidR="008D5BD8" w:rsidRPr="00E568C3">
        <w:t>ie</w:t>
      </w:r>
      <w:r w:rsidR="00883AE7" w:rsidRPr="00E568C3">
        <w:t xml:space="preserve"> (</w:t>
      </w:r>
      <w:r w:rsidR="008D5BD8" w:rsidRPr="00E568C3">
        <w:t>programme de master en droit de la propriété intellectuelle,</w:t>
      </w:r>
      <w:r w:rsidR="00883AE7" w:rsidRPr="00E568C3">
        <w:t xml:space="preserve"> </w:t>
      </w:r>
      <w:r w:rsidR="008D5BD8" w:rsidRPr="00E568C3">
        <w:t>avec des</w:t>
      </w:r>
      <w:r w:rsidR="00883AE7" w:rsidRPr="00E568C3">
        <w:t xml:space="preserve"> participants </w:t>
      </w:r>
      <w:r w:rsidR="00322868" w:rsidRPr="00E568C3">
        <w:t xml:space="preserve">parrainés </w:t>
      </w:r>
      <w:r w:rsidR="00D65B01" w:rsidRPr="00E568C3">
        <w:t xml:space="preserve">ressortissants </w:t>
      </w:r>
      <w:r w:rsidR="00322868" w:rsidRPr="00E568C3">
        <w:t>de pays en développement</w:t>
      </w:r>
      <w:r w:rsidR="00883AE7" w:rsidRPr="00E568C3">
        <w:t>), Indon</w:t>
      </w:r>
      <w:r w:rsidR="00322868" w:rsidRPr="00E568C3">
        <w:t>é</w:t>
      </w:r>
      <w:r w:rsidR="00883AE7" w:rsidRPr="00E568C3">
        <w:t>si</w:t>
      </w:r>
      <w:r w:rsidR="00322868" w:rsidRPr="00E568C3">
        <w:t>e</w:t>
      </w:r>
      <w:r w:rsidR="00883AE7" w:rsidRPr="00E568C3">
        <w:t>, Mexi</w:t>
      </w:r>
      <w:r w:rsidR="00322868" w:rsidRPr="00E568C3">
        <w:t>que</w:t>
      </w:r>
      <w:r w:rsidR="00883AE7" w:rsidRPr="00E568C3">
        <w:t>, Philippines, Singapo</w:t>
      </w:r>
      <w:r w:rsidR="00322868" w:rsidRPr="00E568C3">
        <w:t>u</w:t>
      </w:r>
      <w:r w:rsidR="00883AE7" w:rsidRPr="00E568C3">
        <w:t>r (</w:t>
      </w:r>
      <w:r w:rsidR="00322868" w:rsidRPr="00E568C3">
        <w:t xml:space="preserve">vidéo </w:t>
      </w:r>
      <w:r w:rsidR="00883AE7" w:rsidRPr="00E568C3">
        <w:t>conf</w:t>
      </w:r>
      <w:r w:rsidR="00322868" w:rsidRPr="00E568C3">
        <w:t>é</w:t>
      </w:r>
      <w:r w:rsidR="00883AE7" w:rsidRPr="00E568C3">
        <w:t xml:space="preserve">rence </w:t>
      </w:r>
      <w:r w:rsidR="00322868" w:rsidRPr="00E568C3">
        <w:t>pour l</w:t>
      </w:r>
      <w:r w:rsidR="00871730" w:rsidRPr="00E568C3">
        <w:t>’</w:t>
      </w:r>
      <w:r w:rsidR="00322868" w:rsidRPr="00E568C3">
        <w:t>Université n</w:t>
      </w:r>
      <w:r w:rsidR="00883AE7" w:rsidRPr="00E568C3">
        <w:t>ational</w:t>
      </w:r>
      <w:r w:rsidR="00322868" w:rsidRPr="00E568C3">
        <w:t>e</w:t>
      </w:r>
      <w:r w:rsidR="00883AE7" w:rsidRPr="00E568C3">
        <w:t xml:space="preserve"> </w:t>
      </w:r>
      <w:r w:rsidR="00322868" w:rsidRPr="00E568C3">
        <w:t>de</w:t>
      </w:r>
      <w:r w:rsidR="00883AE7" w:rsidRPr="00E568C3">
        <w:t xml:space="preserve"> Singapo</w:t>
      </w:r>
      <w:r w:rsidR="00322868" w:rsidRPr="00E568C3">
        <w:t>u</w:t>
      </w:r>
      <w:r w:rsidR="00883AE7" w:rsidRPr="00E568C3">
        <w:t>r), Tur</w:t>
      </w:r>
      <w:r w:rsidR="00322868" w:rsidRPr="00E568C3">
        <w:t>quie</w:t>
      </w:r>
      <w:r w:rsidR="00D65B01" w:rsidRPr="00E568C3">
        <w:t>,</w:t>
      </w:r>
      <w:r w:rsidR="00322868" w:rsidRPr="00E568C3">
        <w:t xml:space="preserve"> et en </w:t>
      </w:r>
      <w:r w:rsidR="00883AE7" w:rsidRPr="00E568C3">
        <w:t xml:space="preserve">France </w:t>
      </w:r>
      <w:r w:rsidR="00322868" w:rsidRPr="00E568C3">
        <w:t>où l</w:t>
      </w:r>
      <w:r w:rsidR="00871730" w:rsidRPr="00E568C3">
        <w:t>’</w:t>
      </w:r>
      <w:r w:rsidR="00322868" w:rsidRPr="00E568C3">
        <w:t>Académie de l</w:t>
      </w:r>
      <w:r w:rsidR="00871730" w:rsidRPr="00E568C3">
        <w:t>’</w:t>
      </w:r>
      <w:r w:rsidR="00322868" w:rsidRPr="00E568C3">
        <w:t>OMPI, e</w:t>
      </w:r>
      <w:r w:rsidR="00883AE7" w:rsidRPr="00E568C3">
        <w:rPr>
          <w:rFonts w:eastAsia="SimSun"/>
          <w:lang w:eastAsia="zh-CN"/>
        </w:rPr>
        <w:t xml:space="preserve">n collaboration </w:t>
      </w:r>
      <w:r w:rsidR="00322868" w:rsidRPr="00E568C3">
        <w:rPr>
          <w:rFonts w:eastAsia="SimSun"/>
          <w:lang w:eastAsia="zh-CN"/>
        </w:rPr>
        <w:t>avec le</w:t>
      </w:r>
      <w:r w:rsidR="00322868" w:rsidRPr="00E568C3">
        <w:t xml:space="preserve"> </w:t>
      </w:r>
      <w:r w:rsidR="00322868" w:rsidRPr="00E568C3">
        <w:rPr>
          <w:rFonts w:eastAsia="SimSun"/>
          <w:lang w:eastAsia="zh-CN"/>
        </w:rPr>
        <w:t>Centre d</w:t>
      </w:r>
      <w:r w:rsidR="00871730" w:rsidRPr="00E568C3">
        <w:rPr>
          <w:rFonts w:eastAsia="SimSun"/>
          <w:lang w:eastAsia="zh-CN"/>
        </w:rPr>
        <w:t>’</w:t>
      </w:r>
      <w:r w:rsidR="00322868" w:rsidRPr="00E568C3">
        <w:rPr>
          <w:rFonts w:eastAsia="SimSun"/>
          <w:lang w:eastAsia="zh-CN"/>
        </w:rPr>
        <w:t>études internationales de la propriété intellectuelle</w:t>
      </w:r>
      <w:r w:rsidR="00883AE7" w:rsidRPr="00E568C3">
        <w:rPr>
          <w:rFonts w:eastAsia="SimSun"/>
          <w:lang w:eastAsia="zh-CN"/>
        </w:rPr>
        <w:t xml:space="preserve"> (CEIPI) </w:t>
      </w:r>
      <w:r w:rsidR="00322868" w:rsidRPr="00E568C3">
        <w:rPr>
          <w:rFonts w:eastAsia="SimSun"/>
          <w:lang w:eastAsia="zh-CN"/>
        </w:rPr>
        <w:t>à</w:t>
      </w:r>
      <w:r w:rsidR="00883AE7" w:rsidRPr="00E568C3">
        <w:rPr>
          <w:rFonts w:eastAsia="SimSun"/>
          <w:lang w:eastAsia="zh-CN"/>
        </w:rPr>
        <w:t xml:space="preserve"> Strasbourg, </w:t>
      </w:r>
      <w:r w:rsidR="00322868" w:rsidRPr="00E568C3">
        <w:rPr>
          <w:rFonts w:eastAsia="SimSun"/>
          <w:lang w:eastAsia="zh-CN"/>
        </w:rPr>
        <w:t>et l</w:t>
      </w:r>
      <w:r w:rsidR="00871730" w:rsidRPr="00E568C3">
        <w:rPr>
          <w:rFonts w:eastAsia="SimSun"/>
          <w:lang w:eastAsia="zh-CN"/>
        </w:rPr>
        <w:t>’</w:t>
      </w:r>
      <w:r w:rsidR="00322868" w:rsidRPr="00E568C3">
        <w:rPr>
          <w:rFonts w:eastAsia="SimSun"/>
          <w:lang w:eastAsia="zh-CN"/>
        </w:rPr>
        <w:t>office français de la propriété intellectuelle</w:t>
      </w:r>
      <w:r w:rsidR="00883AE7" w:rsidRPr="00E568C3">
        <w:rPr>
          <w:rFonts w:eastAsia="SimSun"/>
          <w:lang w:eastAsia="zh-CN"/>
        </w:rPr>
        <w:t xml:space="preserve">, </w:t>
      </w:r>
      <w:r w:rsidR="00322868" w:rsidRPr="00E568C3">
        <w:rPr>
          <w:rFonts w:eastAsia="SimSun"/>
          <w:lang w:eastAsia="zh-CN"/>
        </w:rPr>
        <w:t>a mis au point un nouveau cours de formation de niveau avancé intitulé</w:t>
      </w:r>
      <w:r w:rsidR="00883AE7" w:rsidRPr="00E568C3">
        <w:rPr>
          <w:rFonts w:eastAsia="SimSun"/>
          <w:lang w:eastAsia="zh-CN"/>
        </w:rPr>
        <w:t xml:space="preserve"> “T</w:t>
      </w:r>
      <w:r w:rsidR="00322868" w:rsidRPr="00E568C3">
        <w:rPr>
          <w:rFonts w:eastAsia="SimSun"/>
          <w:lang w:eastAsia="zh-CN"/>
        </w:rPr>
        <w:t>ransfert de t</w:t>
      </w:r>
      <w:r w:rsidR="00883AE7" w:rsidRPr="00E568C3">
        <w:rPr>
          <w:rFonts w:eastAsia="SimSun"/>
          <w:lang w:eastAsia="zh-CN"/>
        </w:rPr>
        <w:t>echnolog</w:t>
      </w:r>
      <w:r w:rsidR="00322868" w:rsidRPr="00E568C3">
        <w:rPr>
          <w:rFonts w:eastAsia="SimSun"/>
          <w:lang w:eastAsia="zh-CN"/>
        </w:rPr>
        <w:t>ie</w:t>
      </w:r>
      <w:r w:rsidR="00883AE7" w:rsidRPr="00E568C3">
        <w:rPr>
          <w:rFonts w:eastAsia="SimSun"/>
          <w:lang w:eastAsia="zh-CN"/>
        </w:rPr>
        <w:t xml:space="preserve">, </w:t>
      </w:r>
      <w:r w:rsidR="00322868" w:rsidRPr="00E568C3">
        <w:rPr>
          <w:rFonts w:eastAsia="SimSun"/>
          <w:lang w:eastAsia="zh-CN"/>
        </w:rPr>
        <w:t>concession de l</w:t>
      </w:r>
      <w:r w:rsidR="00883AE7" w:rsidRPr="00E568C3">
        <w:rPr>
          <w:rFonts w:eastAsia="SimSun"/>
          <w:lang w:eastAsia="zh-CN"/>
        </w:rPr>
        <w:t>icen</w:t>
      </w:r>
      <w:r w:rsidR="00322868" w:rsidRPr="00E568C3">
        <w:rPr>
          <w:rFonts w:eastAsia="SimSun"/>
          <w:lang w:eastAsia="zh-CN"/>
        </w:rPr>
        <w:t>ce</w:t>
      </w:r>
      <w:r w:rsidR="00883AE7" w:rsidRPr="00E568C3">
        <w:rPr>
          <w:rFonts w:eastAsia="SimSun"/>
          <w:lang w:eastAsia="zh-CN"/>
        </w:rPr>
        <w:t xml:space="preserve">s </w:t>
      </w:r>
      <w:r w:rsidR="00322868" w:rsidRPr="00E568C3">
        <w:rPr>
          <w:rFonts w:eastAsia="SimSun"/>
          <w:lang w:eastAsia="zh-CN"/>
        </w:rPr>
        <w:t>et dé</w:t>
      </w:r>
      <w:r w:rsidR="00883AE7" w:rsidRPr="00E568C3">
        <w:rPr>
          <w:rFonts w:eastAsia="SimSun"/>
          <w:lang w:eastAsia="zh-CN"/>
        </w:rPr>
        <w:t>velop</w:t>
      </w:r>
      <w:r w:rsidR="00322868" w:rsidRPr="00E568C3">
        <w:rPr>
          <w:rFonts w:eastAsia="SimSun"/>
          <w:lang w:eastAsia="zh-CN"/>
        </w:rPr>
        <w:t>pe</w:t>
      </w:r>
      <w:r w:rsidR="00883AE7" w:rsidRPr="00E568C3">
        <w:rPr>
          <w:rFonts w:eastAsia="SimSun"/>
          <w:lang w:eastAsia="zh-CN"/>
        </w:rPr>
        <w:t xml:space="preserve">ment”, </w:t>
      </w:r>
      <w:r w:rsidR="00322868" w:rsidRPr="00E568C3">
        <w:rPr>
          <w:rFonts w:eastAsia="SimSun"/>
          <w:lang w:eastAsia="zh-CN"/>
        </w:rPr>
        <w:t xml:space="preserve">qui a </w:t>
      </w:r>
      <w:r w:rsidR="00D65B01" w:rsidRPr="00E568C3">
        <w:rPr>
          <w:rFonts w:eastAsia="SimSun"/>
          <w:lang w:eastAsia="zh-CN"/>
        </w:rPr>
        <w:t xml:space="preserve">eu lieu pour la première fois </w:t>
      </w:r>
      <w:r w:rsidR="00322868" w:rsidRPr="00E568C3">
        <w:rPr>
          <w:rFonts w:eastAsia="SimSun"/>
          <w:lang w:eastAsia="zh-CN"/>
        </w:rPr>
        <w:t>dans les locaux</w:t>
      </w:r>
      <w:r w:rsidR="00871730" w:rsidRPr="00E568C3">
        <w:rPr>
          <w:rFonts w:eastAsia="SimSun"/>
          <w:lang w:eastAsia="zh-CN"/>
        </w:rPr>
        <w:t xml:space="preserve"> du CEI</w:t>
      </w:r>
      <w:r w:rsidR="00883AE7" w:rsidRPr="00E568C3">
        <w:rPr>
          <w:rFonts w:eastAsia="SimSun"/>
          <w:lang w:eastAsia="zh-CN"/>
        </w:rPr>
        <w:t xml:space="preserve">PI </w:t>
      </w:r>
      <w:r w:rsidR="00322868" w:rsidRPr="00E568C3">
        <w:rPr>
          <w:rFonts w:eastAsia="SimSun"/>
          <w:lang w:eastAsia="zh-CN"/>
        </w:rPr>
        <w:t>à</w:t>
      </w:r>
      <w:r w:rsidR="00883AE7" w:rsidRPr="00E568C3">
        <w:rPr>
          <w:rFonts w:eastAsia="SimSun"/>
          <w:lang w:eastAsia="zh-CN"/>
        </w:rPr>
        <w:t xml:space="preserve"> Strasbourg </w:t>
      </w:r>
      <w:r w:rsidR="00D65B01" w:rsidRPr="00E568C3">
        <w:rPr>
          <w:rFonts w:eastAsia="SimSun"/>
          <w:lang w:eastAsia="zh-CN"/>
        </w:rPr>
        <w:t>du</w:t>
      </w:r>
      <w:r w:rsidR="00322868" w:rsidRPr="00E568C3">
        <w:rPr>
          <w:rFonts w:eastAsia="SimSun"/>
          <w:lang w:eastAsia="zh-CN"/>
        </w:rPr>
        <w:t xml:space="preserve"> 22</w:t>
      </w:r>
      <w:r w:rsidR="00D65B01" w:rsidRPr="00E568C3">
        <w:rPr>
          <w:rFonts w:eastAsia="SimSun"/>
          <w:lang w:eastAsia="zh-CN"/>
        </w:rPr>
        <w:t> au </w:t>
      </w:r>
      <w:r w:rsidR="00322868" w:rsidRPr="00E568C3">
        <w:rPr>
          <w:rFonts w:eastAsia="SimSun"/>
          <w:lang w:eastAsia="zh-CN"/>
        </w:rPr>
        <w:t>27 jui</w:t>
      </w:r>
      <w:r w:rsidR="00883AE7" w:rsidRPr="00E568C3">
        <w:rPr>
          <w:rFonts w:eastAsia="SimSun"/>
          <w:lang w:eastAsia="zh-CN"/>
        </w:rPr>
        <w:t>n</w:t>
      </w:r>
      <w:r w:rsidR="00322868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 xml:space="preserve">2014 </w:t>
      </w:r>
      <w:r w:rsidR="00322868" w:rsidRPr="00E568C3">
        <w:rPr>
          <w:rFonts w:eastAsia="SimSun"/>
          <w:lang w:eastAsia="zh-CN"/>
        </w:rPr>
        <w:t xml:space="preserve">et </w:t>
      </w:r>
      <w:r w:rsidR="00D65B01" w:rsidRPr="00E568C3">
        <w:rPr>
          <w:rFonts w:eastAsia="SimSun"/>
          <w:lang w:eastAsia="zh-CN"/>
        </w:rPr>
        <w:t xml:space="preserve">a été </w:t>
      </w:r>
      <w:r w:rsidR="00322868" w:rsidRPr="00E568C3">
        <w:rPr>
          <w:rFonts w:eastAsia="SimSun"/>
          <w:lang w:eastAsia="zh-CN"/>
        </w:rPr>
        <w:t xml:space="preserve">suivi par </w:t>
      </w:r>
      <w:r w:rsidR="00883AE7" w:rsidRPr="00E568C3">
        <w:rPr>
          <w:rFonts w:eastAsia="SimSun"/>
          <w:lang w:eastAsia="zh-CN"/>
        </w:rPr>
        <w:t>22</w:t>
      </w:r>
      <w:r w:rsidR="00322868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participants</w:t>
      </w:r>
      <w:r w:rsidR="00322868" w:rsidRPr="00E568C3">
        <w:rPr>
          <w:rFonts w:eastAsia="SimSun"/>
          <w:lang w:eastAsia="zh-CN"/>
        </w:rPr>
        <w:t xml:space="preserve"> de pays en développeme</w:t>
      </w:r>
      <w:r w:rsidR="006A3508" w:rsidRPr="00E568C3">
        <w:rPr>
          <w:rFonts w:eastAsia="SimSun"/>
          <w:lang w:eastAsia="zh-CN"/>
        </w:rPr>
        <w:t>nt.  Pa</w:t>
      </w:r>
      <w:r w:rsidR="00322868" w:rsidRPr="00E568C3">
        <w:rPr>
          <w:rFonts w:eastAsia="SimSun"/>
          <w:lang w:eastAsia="zh-CN"/>
        </w:rPr>
        <w:t>r ailleurs, un certain nombre de</w:t>
      </w:r>
      <w:r w:rsidR="00505CC2" w:rsidRPr="00E568C3">
        <w:rPr>
          <w:rFonts w:eastAsia="SimSun"/>
          <w:lang w:eastAsia="zh-CN"/>
        </w:rPr>
        <w:t xml:space="preserve"> “</w:t>
      </w:r>
      <w:r w:rsidR="00322868" w:rsidRPr="00E568C3">
        <w:rPr>
          <w:rFonts w:eastAsia="SimSun"/>
          <w:lang w:eastAsia="zh-CN"/>
        </w:rPr>
        <w:t>mini cours</w:t>
      </w:r>
      <w:r w:rsidR="00505CC2" w:rsidRPr="00E568C3">
        <w:rPr>
          <w:rFonts w:eastAsia="SimSun"/>
          <w:lang w:eastAsia="zh-CN"/>
        </w:rPr>
        <w:t xml:space="preserve">” </w:t>
      </w:r>
      <w:r w:rsidR="00322868"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="00322868" w:rsidRPr="00E568C3">
        <w:rPr>
          <w:rFonts w:eastAsia="SimSun"/>
          <w:lang w:eastAsia="zh-CN"/>
        </w:rPr>
        <w:t>une journée sur une concession de licence de technolog</w:t>
      </w:r>
      <w:r w:rsidR="00505CC2" w:rsidRPr="00E568C3">
        <w:rPr>
          <w:rFonts w:eastAsia="SimSun"/>
          <w:lang w:eastAsia="zh-CN"/>
        </w:rPr>
        <w:t>ie réussie ont</w:t>
      </w:r>
      <w:r w:rsidR="00883AE7" w:rsidRPr="00E568C3">
        <w:rPr>
          <w:rFonts w:eastAsia="SimSun"/>
          <w:lang w:eastAsia="zh-CN"/>
        </w:rPr>
        <w:t xml:space="preserve"> </w:t>
      </w:r>
      <w:r w:rsidR="00505CC2" w:rsidRPr="00E568C3">
        <w:rPr>
          <w:rFonts w:eastAsia="SimSun"/>
          <w:lang w:eastAsia="zh-CN"/>
        </w:rPr>
        <w:t xml:space="preserve">été </w:t>
      </w:r>
      <w:r w:rsidR="00883AE7" w:rsidRPr="00E568C3">
        <w:rPr>
          <w:rFonts w:eastAsia="SimSun"/>
          <w:lang w:eastAsia="zh-CN"/>
        </w:rPr>
        <w:t>organi</w:t>
      </w:r>
      <w:r w:rsidR="00505CC2" w:rsidRPr="00E568C3">
        <w:rPr>
          <w:rFonts w:eastAsia="SimSun"/>
          <w:lang w:eastAsia="zh-CN"/>
        </w:rPr>
        <w:t>sés à</w:t>
      </w:r>
      <w:r w:rsidR="00883AE7" w:rsidRPr="00E568C3">
        <w:rPr>
          <w:rFonts w:eastAsia="SimSun"/>
          <w:lang w:eastAsia="zh-CN"/>
        </w:rPr>
        <w:t xml:space="preserve"> Gen</w:t>
      </w:r>
      <w:r w:rsidR="00505CC2" w:rsidRPr="00E568C3">
        <w:rPr>
          <w:rFonts w:eastAsia="SimSun"/>
          <w:lang w:eastAsia="zh-CN"/>
        </w:rPr>
        <w:t>ève</w:t>
      </w:r>
      <w:r w:rsidR="00883AE7" w:rsidRPr="00E568C3">
        <w:rPr>
          <w:rFonts w:eastAsia="SimSun"/>
          <w:lang w:eastAsia="zh-CN"/>
        </w:rPr>
        <w:t xml:space="preserve">, </w:t>
      </w:r>
      <w:r w:rsidR="00505CC2"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 xml:space="preserve">n collaboration </w:t>
      </w:r>
      <w:r w:rsidR="00505CC2" w:rsidRPr="00E568C3">
        <w:rPr>
          <w:rFonts w:eastAsia="SimSun"/>
          <w:lang w:eastAsia="zh-CN"/>
        </w:rPr>
        <w:t>avec l</w:t>
      </w:r>
      <w:r w:rsidR="00871730" w:rsidRPr="00E568C3">
        <w:rPr>
          <w:rFonts w:eastAsia="SimSun"/>
          <w:lang w:eastAsia="zh-CN"/>
        </w:rPr>
        <w:t>’</w:t>
      </w:r>
      <w:r w:rsidR="00505CC2" w:rsidRPr="00E568C3">
        <w:rPr>
          <w:rFonts w:eastAsia="SimSun"/>
          <w:lang w:eastAsia="zh-CN"/>
        </w:rPr>
        <w:t>OMPI et 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Organi</w:t>
      </w:r>
      <w:r w:rsidR="00505CC2" w:rsidRPr="00E568C3">
        <w:rPr>
          <w:rFonts w:eastAsia="SimSun"/>
          <w:lang w:eastAsia="zh-CN"/>
        </w:rPr>
        <w:t>s</w:t>
      </w:r>
      <w:r w:rsidR="00883AE7" w:rsidRPr="00E568C3">
        <w:rPr>
          <w:rFonts w:eastAsia="SimSun"/>
          <w:lang w:eastAsia="zh-CN"/>
        </w:rPr>
        <w:t xml:space="preserve">ation </w:t>
      </w:r>
      <w:r w:rsidR="00505CC2" w:rsidRPr="00E568C3">
        <w:rPr>
          <w:rFonts w:eastAsia="SimSun"/>
          <w:lang w:eastAsia="zh-CN"/>
        </w:rPr>
        <w:t xml:space="preserve">mondiale du commerce </w:t>
      </w:r>
      <w:r w:rsidR="00883AE7" w:rsidRPr="00E568C3">
        <w:rPr>
          <w:rFonts w:eastAsia="SimSun"/>
          <w:lang w:eastAsia="zh-CN"/>
        </w:rPr>
        <w:t>(O</w:t>
      </w:r>
      <w:r w:rsidR="00505CC2" w:rsidRPr="00E568C3">
        <w:rPr>
          <w:rFonts w:eastAsia="SimSun"/>
          <w:lang w:eastAsia="zh-CN"/>
        </w:rPr>
        <w:t>MC</w:t>
      </w:r>
      <w:r w:rsidR="00883AE7" w:rsidRPr="00E568C3">
        <w:rPr>
          <w:rFonts w:eastAsia="SimSun"/>
          <w:lang w:eastAsia="zh-CN"/>
        </w:rPr>
        <w:t xml:space="preserve">) </w:t>
      </w:r>
      <w:r w:rsidR="00505CC2" w:rsidRPr="00E568C3">
        <w:rPr>
          <w:rFonts w:eastAsia="SimSun"/>
          <w:lang w:eastAsia="zh-CN"/>
        </w:rPr>
        <w:t>à l</w:t>
      </w:r>
      <w:r w:rsidR="00871730" w:rsidRPr="00E568C3">
        <w:rPr>
          <w:rFonts w:eastAsia="SimSun"/>
          <w:lang w:eastAsia="zh-CN"/>
        </w:rPr>
        <w:t>’</w:t>
      </w:r>
      <w:r w:rsidR="00505CC2" w:rsidRPr="00E568C3">
        <w:rPr>
          <w:rFonts w:eastAsia="SimSun"/>
          <w:lang w:eastAsia="zh-CN"/>
        </w:rPr>
        <w:t>intention des responsables</w:t>
      </w:r>
      <w:r w:rsidR="00883AE7" w:rsidRPr="00E568C3">
        <w:rPr>
          <w:rFonts w:eastAsia="SimSun"/>
          <w:lang w:eastAsia="zh-CN"/>
        </w:rPr>
        <w:t xml:space="preserve"> poli</w:t>
      </w:r>
      <w:r w:rsidR="00505CC2" w:rsidRPr="00E568C3">
        <w:rPr>
          <w:rFonts w:eastAsia="SimSun"/>
          <w:lang w:eastAsia="zh-CN"/>
        </w:rPr>
        <w:t>tiques et des enseignants en propriété intellectuelle</w:t>
      </w:r>
      <w:r w:rsidR="00883AE7" w:rsidRPr="00E568C3">
        <w:rPr>
          <w:rFonts w:eastAsia="SimSun"/>
          <w:lang w:eastAsia="zh-CN"/>
        </w:rPr>
        <w:t>.</w:t>
      </w:r>
    </w:p>
    <w:p w:rsidR="00F55AA9" w:rsidRDefault="00505CC2" w:rsidP="006A3508">
      <w:pPr>
        <w:pStyle w:val="ONUMFS"/>
        <w:numPr>
          <w:ilvl w:val="1"/>
          <w:numId w:val="2"/>
        </w:numPr>
      </w:pPr>
      <w:r w:rsidRPr="00E568C3">
        <w:rPr>
          <w:bCs/>
          <w:i/>
          <w:iCs/>
        </w:rPr>
        <w:lastRenderedPageBreak/>
        <w:t>Év</w:t>
      </w:r>
      <w:r w:rsidR="00883AE7" w:rsidRPr="00E568C3">
        <w:rPr>
          <w:bCs/>
          <w:i/>
          <w:iCs/>
        </w:rPr>
        <w:t>aluation</w:t>
      </w:r>
      <w:r w:rsidRPr="00E568C3">
        <w:rPr>
          <w:bCs/>
          <w:i/>
          <w:iCs/>
        </w:rPr>
        <w:t xml:space="preserve"> de la propriété intellectuelle</w:t>
      </w:r>
      <w:r w:rsidR="00883AE7" w:rsidRPr="00E568C3">
        <w:rPr>
          <w:b/>
        </w:rPr>
        <w:t xml:space="preserve"> – </w:t>
      </w:r>
      <w:r w:rsidR="00883AE7" w:rsidRPr="00E568C3">
        <w:t>D</w:t>
      </w:r>
      <w:r w:rsidRPr="00E568C3">
        <w:t>é</w:t>
      </w:r>
      <w:r w:rsidR="00883AE7" w:rsidRPr="00E568C3">
        <w:t>termin</w:t>
      </w:r>
      <w:r w:rsidRPr="00E568C3">
        <w:t>er la valeur des résultats de la recherche</w:t>
      </w:r>
      <w:r w:rsidR="00883AE7" w:rsidRPr="00E568C3">
        <w:t xml:space="preserve"> </w:t>
      </w:r>
      <w:r w:rsidRPr="00E568C3">
        <w:t xml:space="preserve">dans le </w:t>
      </w:r>
      <w:r w:rsidR="00883AE7" w:rsidRPr="00E568C3">
        <w:t>process</w:t>
      </w:r>
      <w:r w:rsidRPr="00E568C3">
        <w:t>us de</w:t>
      </w:r>
      <w:r w:rsidR="00883AE7" w:rsidRPr="00E568C3">
        <w:t xml:space="preserve"> commerciali</w:t>
      </w:r>
      <w:r w:rsidRPr="00E568C3">
        <w:t>s</w:t>
      </w:r>
      <w:r w:rsidR="00883AE7" w:rsidRPr="00E568C3">
        <w:t xml:space="preserve">ation </w:t>
      </w:r>
      <w:r w:rsidRPr="00E568C3">
        <w:t>de la propriété intellectuelle est l</w:t>
      </w:r>
      <w:r w:rsidR="00871730" w:rsidRPr="00E568C3">
        <w:t>’</w:t>
      </w:r>
      <w:r w:rsidRPr="00E568C3">
        <w:t xml:space="preserve">un des enjeux majeurs pour les </w:t>
      </w:r>
      <w:r w:rsidR="0072189C" w:rsidRPr="00E568C3">
        <w:t>chercheur</w:t>
      </w:r>
      <w:r w:rsidR="00883AE7" w:rsidRPr="00E568C3">
        <w:t>s</w:t>
      </w:r>
      <w:r w:rsidRPr="00E568C3">
        <w:t xml:space="preserve"> et les responsables des</w:t>
      </w:r>
      <w:r w:rsidR="00883AE7" w:rsidRPr="00E568C3">
        <w:t xml:space="preserve"> technolog</w:t>
      </w:r>
      <w:r w:rsidRPr="00E568C3">
        <w:t xml:space="preserve">ies dans la plupart des pays en développement et des pays en </w:t>
      </w:r>
      <w:r w:rsidR="00883AE7" w:rsidRPr="00E568C3">
        <w:t>transiti</w:t>
      </w:r>
      <w:r w:rsidR="006A3508" w:rsidRPr="00E568C3">
        <w:t>on.  Da</w:t>
      </w:r>
      <w:r w:rsidRPr="00E568C3">
        <w:t>ns le cadre de la mise en œuvre de la recommandation n°</w:t>
      </w:r>
      <w:r w:rsidR="0042075B" w:rsidRPr="00E568C3">
        <w:t> </w:t>
      </w:r>
      <w:r w:rsidRPr="00E568C3">
        <w:t>10 du Plan d</w:t>
      </w:r>
      <w:r w:rsidR="00871730" w:rsidRPr="00E568C3">
        <w:t>’</w:t>
      </w:r>
      <w:r w:rsidRPr="00E568C3">
        <w:t>action pour le développement</w:t>
      </w:r>
      <w:r w:rsidR="00883AE7" w:rsidRPr="00E568C3">
        <w:t xml:space="preserve">, </w:t>
      </w:r>
      <w:r w:rsidRPr="00E568C3">
        <w:t>l</w:t>
      </w:r>
      <w:r w:rsidR="00871730" w:rsidRPr="00E568C3">
        <w:t>’</w:t>
      </w:r>
      <w:r w:rsidRPr="00E568C3">
        <w:t>OMPI a mis au point deux guides complémentaires</w:t>
      </w:r>
      <w:r w:rsidR="00C1176D" w:rsidRPr="00E568C3">
        <w:t xml:space="preserve"> </w:t>
      </w:r>
      <w:r w:rsidR="00883AE7" w:rsidRPr="00E568C3">
        <w:t xml:space="preserve">– </w:t>
      </w:r>
      <w:r w:rsidR="00C1176D" w:rsidRPr="00E568C3">
        <w:t xml:space="preserve">le </w:t>
      </w:r>
      <w:proofErr w:type="spellStart"/>
      <w:r w:rsidR="00883AE7" w:rsidRPr="00E568C3">
        <w:t>Practical</w:t>
      </w:r>
      <w:proofErr w:type="spellEnd"/>
      <w:r w:rsidR="00883AE7" w:rsidRPr="00E568C3">
        <w:t xml:space="preserve"> Guide for </w:t>
      </w:r>
      <w:proofErr w:type="spellStart"/>
      <w:r w:rsidR="00883AE7" w:rsidRPr="00E568C3">
        <w:t>Valuing</w:t>
      </w:r>
      <w:proofErr w:type="spellEnd"/>
      <w:r w:rsidR="00883AE7" w:rsidRPr="00E568C3">
        <w:t xml:space="preserve"> Intangible </w:t>
      </w:r>
      <w:proofErr w:type="spellStart"/>
      <w:r w:rsidR="00883AE7" w:rsidRPr="00E568C3">
        <w:t>Assets</w:t>
      </w:r>
      <w:proofErr w:type="spellEnd"/>
      <w:r w:rsidR="00883AE7" w:rsidRPr="00E568C3">
        <w:t xml:space="preserve"> in </w:t>
      </w:r>
      <w:proofErr w:type="spellStart"/>
      <w:r w:rsidR="00883AE7" w:rsidRPr="00E568C3">
        <w:t>Research</w:t>
      </w:r>
      <w:proofErr w:type="spellEnd"/>
      <w:r w:rsidR="00883AE7" w:rsidRPr="00E568C3">
        <w:t xml:space="preserve"> and Development Institutions</w:t>
      </w:r>
      <w:r w:rsidR="00E568E0" w:rsidRPr="00E568C3">
        <w:t xml:space="preserve"> (Guide pratique sur l</w:t>
      </w:r>
      <w:r w:rsidR="00871730" w:rsidRPr="00E568C3">
        <w:t>’</w:t>
      </w:r>
      <w:r w:rsidR="00E568E0" w:rsidRPr="00E568C3">
        <w:t>évaluation des actifs intangibles dans les organismes de recherche</w:t>
      </w:r>
      <w:r w:rsidR="006A3508" w:rsidRPr="00E568C3">
        <w:noBreakHyphen/>
      </w:r>
      <w:r w:rsidR="00E568E0" w:rsidRPr="00E568C3">
        <w:t>développement)</w:t>
      </w:r>
      <w:r w:rsidR="00883AE7" w:rsidRPr="00E568C3">
        <w:t xml:space="preserve">, </w:t>
      </w:r>
      <w:r w:rsidR="00C1176D" w:rsidRPr="00E568C3">
        <w:t>axé sur les méthodes</w:t>
      </w:r>
      <w:r w:rsidR="00883AE7" w:rsidRPr="00E568C3">
        <w:t xml:space="preserve"> qualitative</w:t>
      </w:r>
      <w:r w:rsidR="00C1176D" w:rsidRPr="00E568C3">
        <w:t>s</w:t>
      </w:r>
      <w:r w:rsidR="00883AE7" w:rsidRPr="00E568C3">
        <w:t xml:space="preserve"> </w:t>
      </w:r>
      <w:r w:rsidR="00C1176D" w:rsidRPr="00E568C3">
        <w:t>d</w:t>
      </w:r>
      <w:r w:rsidR="00871730" w:rsidRPr="00E568C3">
        <w:t>’</w:t>
      </w:r>
      <w:r w:rsidR="00C1176D" w:rsidRPr="00E568C3">
        <w:t>éva</w:t>
      </w:r>
      <w:r w:rsidR="00883AE7" w:rsidRPr="00E568C3">
        <w:t xml:space="preserve">luation </w:t>
      </w:r>
      <w:r w:rsidR="00C1176D" w:rsidRPr="00E568C3">
        <w:t>dans la phase de pré</w:t>
      </w:r>
      <w:r w:rsidR="006A3508" w:rsidRPr="00E568C3">
        <w:noBreakHyphen/>
      </w:r>
      <w:r w:rsidR="00883AE7" w:rsidRPr="00E568C3">
        <w:t>commerciali</w:t>
      </w:r>
      <w:r w:rsidR="00C1176D" w:rsidRPr="00E568C3">
        <w:t>sation</w:t>
      </w:r>
      <w:r w:rsidR="00883AE7" w:rsidRPr="00E568C3">
        <w:t xml:space="preserve">, </w:t>
      </w:r>
      <w:r w:rsidR="00C1176D" w:rsidRPr="00E568C3">
        <w:t>et un instrument de formation à l</w:t>
      </w:r>
      <w:r w:rsidR="00871730" w:rsidRPr="00E568C3">
        <w:t>’</w:t>
      </w:r>
      <w:r w:rsidR="00C1176D" w:rsidRPr="00E568C3">
        <w:t>éva</w:t>
      </w:r>
      <w:r w:rsidR="00883AE7" w:rsidRPr="00E568C3">
        <w:t xml:space="preserve">luation </w:t>
      </w:r>
      <w:r w:rsidR="00C1176D" w:rsidRPr="00E568C3">
        <w:t xml:space="preserve">de la propriété intellectuelle </w:t>
      </w:r>
      <w:r w:rsidR="0072189C" w:rsidRPr="00E568C3">
        <w:t>destiné aux</w:t>
      </w:r>
      <w:r w:rsidR="00C1176D" w:rsidRPr="00E568C3">
        <w:t xml:space="preserve"> </w:t>
      </w:r>
      <w:r w:rsidR="0042075B" w:rsidRPr="00E568C3">
        <w:t>établissement</w:t>
      </w:r>
      <w:r w:rsidR="00883AE7" w:rsidRPr="00E568C3">
        <w:t>s</w:t>
      </w:r>
      <w:r w:rsidR="00C1176D" w:rsidRPr="00E568C3">
        <w:t xml:space="preserve"> universitaires</w:t>
      </w:r>
      <w:r w:rsidR="00883AE7" w:rsidRPr="00E568C3">
        <w:t xml:space="preserve">, </w:t>
      </w:r>
      <w:r w:rsidR="00C1176D" w:rsidRPr="00E568C3">
        <w:t>qui traite des questions relatives à l</w:t>
      </w:r>
      <w:r w:rsidR="00871730" w:rsidRPr="00E568C3">
        <w:t>’</w:t>
      </w:r>
      <w:r w:rsidR="00C1176D" w:rsidRPr="00E568C3">
        <w:t>é</w:t>
      </w:r>
      <w:r w:rsidR="00883AE7" w:rsidRPr="00E568C3">
        <w:t xml:space="preserve">valuation </w:t>
      </w:r>
      <w:r w:rsidR="00C1176D" w:rsidRPr="00E568C3">
        <w:t xml:space="preserve">de la propriété intellectuelle dans le cadre de la </w:t>
      </w:r>
      <w:r w:rsidR="00883AE7" w:rsidRPr="00E568C3">
        <w:t>commerciali</w:t>
      </w:r>
      <w:r w:rsidR="00C1176D" w:rsidRPr="00E568C3">
        <w:t>s</w:t>
      </w:r>
      <w:r w:rsidR="00883AE7" w:rsidRPr="00E568C3">
        <w:t xml:space="preserve">ation </w:t>
      </w:r>
      <w:r w:rsidR="00C1176D" w:rsidRPr="00E568C3">
        <w:t>des résultats de la recherche</w:t>
      </w:r>
      <w:r w:rsidR="00883AE7" w:rsidRPr="00E568C3">
        <w:t xml:space="preserve"> – </w:t>
      </w:r>
      <w:r w:rsidR="00C1176D" w:rsidRPr="00E568C3">
        <w:t xml:space="preserve">par la concession de </w:t>
      </w:r>
      <w:r w:rsidR="00883AE7" w:rsidRPr="00E568C3">
        <w:t>licen</w:t>
      </w:r>
      <w:r w:rsidR="00C1176D" w:rsidRPr="00E568C3">
        <w:t>ce</w:t>
      </w:r>
      <w:r w:rsidR="00883AE7" w:rsidRPr="00E568C3">
        <w:t>s o</w:t>
      </w:r>
      <w:r w:rsidR="00C1176D" w:rsidRPr="00E568C3">
        <w:t xml:space="preserve">u la création de </w:t>
      </w:r>
      <w:r w:rsidR="00AE3120" w:rsidRPr="00E568C3">
        <w:t>nouvelle</w:t>
      </w:r>
      <w:r w:rsidR="0072189C" w:rsidRPr="00E568C3">
        <w:t>s</w:t>
      </w:r>
      <w:r w:rsidR="00AE3120" w:rsidRPr="00E568C3">
        <w:t xml:space="preserve"> entreprise</w:t>
      </w:r>
      <w:r w:rsidR="0072189C" w:rsidRPr="00E568C3">
        <w:t>s</w:t>
      </w:r>
      <w:r w:rsidR="00AE3120" w:rsidRPr="00E568C3">
        <w:t xml:space="preserve"> </w:t>
      </w:r>
      <w:r w:rsidR="00C1176D" w:rsidRPr="00E568C3">
        <w:t>fondée</w:t>
      </w:r>
      <w:r w:rsidR="0072189C" w:rsidRPr="00E568C3">
        <w:t>s</w:t>
      </w:r>
      <w:r w:rsidR="00C1176D" w:rsidRPr="00E568C3">
        <w:t xml:space="preserve"> sur l</w:t>
      </w:r>
      <w:r w:rsidR="00883AE7" w:rsidRPr="00E568C3">
        <w:t>a technolog</w:t>
      </w:r>
      <w:r w:rsidR="00C1176D" w:rsidRPr="00E568C3">
        <w:t>ie</w:t>
      </w:r>
      <w:r w:rsidR="00883AE7" w:rsidRPr="00E568C3">
        <w:t xml:space="preserve"> d</w:t>
      </w:r>
      <w:r w:rsidR="00C1176D" w:rsidRPr="00E568C3">
        <w:t>éveloppée à l</w:t>
      </w:r>
      <w:r w:rsidR="00871730" w:rsidRPr="00E568C3">
        <w:t>’</w:t>
      </w:r>
      <w:r w:rsidR="00883AE7" w:rsidRPr="00E568C3">
        <w:t>universi</w:t>
      </w:r>
      <w:r w:rsidR="006A3508" w:rsidRPr="00E568C3">
        <w:t>té.  Un</w:t>
      </w:r>
      <w:r w:rsidR="00AE3120" w:rsidRPr="00E568C3">
        <w:t> </w:t>
      </w:r>
      <w:r w:rsidR="00C1176D" w:rsidRPr="00E568C3">
        <w:t xml:space="preserve">programme type a par ailleurs été élaboré, avec des éléments de </w:t>
      </w:r>
      <w:r w:rsidR="00883AE7" w:rsidRPr="00E568C3">
        <w:t>flexibilit</w:t>
      </w:r>
      <w:r w:rsidR="00C1176D" w:rsidRPr="00E568C3">
        <w:t>é adaptés aux besoins particuliers d</w:t>
      </w:r>
      <w:r w:rsidR="00B80EA9" w:rsidRPr="00E568C3">
        <w:t>e groupes</w:t>
      </w:r>
      <w:r w:rsidR="00C1176D" w:rsidRPr="00E568C3">
        <w:t xml:space="preserve"> cibl</w:t>
      </w:r>
      <w:r w:rsidR="00B80EA9" w:rsidRPr="00E568C3">
        <w:t>es</w:t>
      </w:r>
      <w:r w:rsidR="00C1176D" w:rsidRPr="00E568C3">
        <w:t xml:space="preserve"> et un plan général </w:t>
      </w:r>
      <w:r w:rsidR="00AE3120" w:rsidRPr="00E568C3">
        <w:t>reposant</w:t>
      </w:r>
      <w:r w:rsidR="00C1176D" w:rsidRPr="00E568C3">
        <w:t xml:space="preserve"> sur la conviction que</w:t>
      </w:r>
      <w:r w:rsidR="00B80EA9" w:rsidRPr="00E568C3">
        <w:t xml:space="preserve"> le cours devrait être consacré à</w:t>
      </w:r>
      <w:r w:rsidR="00C1176D" w:rsidRPr="00E568C3">
        <w:t xml:space="preserve"> </w:t>
      </w:r>
      <w:r w:rsidR="00883AE7" w:rsidRPr="00E568C3">
        <w:t>30</w:t>
      </w:r>
      <w:r w:rsidR="006A3508" w:rsidRPr="00E568C3">
        <w:noBreakHyphen/>
      </w:r>
      <w:r w:rsidR="00883AE7" w:rsidRPr="00E568C3">
        <w:t>50</w:t>
      </w:r>
      <w:r w:rsidR="00C1176D" w:rsidRPr="00E568C3">
        <w:t xml:space="preserve">% </w:t>
      </w:r>
      <w:r w:rsidR="00B80EA9" w:rsidRPr="00E568C3">
        <w:t>à</w:t>
      </w:r>
      <w:r w:rsidR="00C1176D" w:rsidRPr="00E568C3">
        <w:t xml:space="preserve"> des exercices pratiques </w:t>
      </w:r>
      <w:r w:rsidR="00B80EA9" w:rsidRPr="00E568C3">
        <w:t>faisant l</w:t>
      </w:r>
      <w:r w:rsidR="00871730" w:rsidRPr="00E568C3">
        <w:t>’</w:t>
      </w:r>
      <w:r w:rsidR="00B80EA9" w:rsidRPr="00E568C3">
        <w:t>objet d</w:t>
      </w:r>
      <w:r w:rsidR="00871730" w:rsidRPr="00E568C3">
        <w:t>’</w:t>
      </w:r>
      <w:r w:rsidR="00B80EA9" w:rsidRPr="00E568C3">
        <w:t xml:space="preserve">un </w:t>
      </w:r>
      <w:r w:rsidR="00C1176D" w:rsidRPr="00E568C3">
        <w:t>su</w:t>
      </w:r>
      <w:r w:rsidR="00B80EA9" w:rsidRPr="00E568C3">
        <w:t>i</w:t>
      </w:r>
      <w:r w:rsidR="00C1176D" w:rsidRPr="00E568C3">
        <w:t>v</w:t>
      </w:r>
      <w:r w:rsidR="00B80EA9" w:rsidRPr="00E568C3">
        <w:t>i</w:t>
      </w:r>
      <w:r w:rsidR="00C1176D" w:rsidRPr="00E568C3">
        <w:t>, inspir</w:t>
      </w:r>
      <w:r w:rsidR="00B80EA9" w:rsidRPr="00E568C3">
        <w:t>és</w:t>
      </w:r>
      <w:r w:rsidR="00C1176D" w:rsidRPr="00E568C3">
        <w:t xml:space="preserve"> de technologies réelles ou fictives mises au point dans </w:t>
      </w:r>
      <w:r w:rsidR="00AE3120" w:rsidRPr="00E568C3">
        <w:t>l</w:t>
      </w:r>
      <w:r w:rsidR="00C1176D" w:rsidRPr="00E568C3">
        <w:t xml:space="preserve">es </w:t>
      </w:r>
      <w:r w:rsidR="00AE3120" w:rsidRPr="00E568C3">
        <w:t>établissement</w:t>
      </w:r>
      <w:r w:rsidR="00C1176D" w:rsidRPr="00E568C3">
        <w:t>s de recherche lo</w:t>
      </w:r>
      <w:r w:rsidR="00AE3120" w:rsidRPr="00E568C3">
        <w:t>ca</w:t>
      </w:r>
      <w:r w:rsidR="006A3508" w:rsidRPr="00E568C3">
        <w:t>ux.  Au</w:t>
      </w:r>
      <w:r w:rsidR="00AE3120" w:rsidRPr="00E568C3">
        <w:t xml:space="preserve"> cours de l</w:t>
      </w:r>
      <w:r w:rsidR="00871730" w:rsidRPr="00E568C3">
        <w:t>’</w:t>
      </w:r>
      <w:r w:rsidR="00AE3120" w:rsidRPr="00E568C3">
        <w:t>exercice biennal </w:t>
      </w:r>
      <w:r w:rsidR="00883AE7" w:rsidRPr="00E568C3">
        <w:t xml:space="preserve">2014–2015, </w:t>
      </w:r>
      <w:r w:rsidR="00AE3120" w:rsidRPr="00E568C3">
        <w:t>l</w:t>
      </w:r>
      <w:r w:rsidR="00871730" w:rsidRPr="00E568C3">
        <w:t>’</w:t>
      </w:r>
      <w:r w:rsidR="00AE3120" w:rsidRPr="00E568C3">
        <w:t>OMPI a dispensé</w:t>
      </w:r>
      <w:r w:rsidR="00883AE7" w:rsidRPr="00E568C3">
        <w:t xml:space="preserve"> </w:t>
      </w:r>
      <w:r w:rsidR="00AE3120" w:rsidRPr="00E568C3">
        <w:t>les cours ci</w:t>
      </w:r>
      <w:r w:rsidR="006A3508" w:rsidRPr="00E568C3">
        <w:noBreakHyphen/>
      </w:r>
      <w:r w:rsidR="00AE3120" w:rsidRPr="00E568C3">
        <w:t>après en matière d</w:t>
      </w:r>
      <w:r w:rsidR="00871730" w:rsidRPr="00E568C3">
        <w:t>’</w:t>
      </w:r>
      <w:r w:rsidR="00AE3120" w:rsidRPr="00E568C3">
        <w:t>év</w:t>
      </w:r>
      <w:r w:rsidR="00883AE7" w:rsidRPr="00E568C3">
        <w:t xml:space="preserve">aluation </w:t>
      </w:r>
      <w:r w:rsidR="00AE3120" w:rsidRPr="00E568C3">
        <w:t>de la propriété intellectuelle </w:t>
      </w:r>
      <w:r w:rsidR="00883AE7" w:rsidRPr="00E568C3">
        <w:t>:</w:t>
      </w:r>
    </w:p>
    <w:p w:rsidR="00F55AA9" w:rsidRDefault="00311A4F" w:rsidP="00311A4F">
      <w:pPr>
        <w:pStyle w:val="ONUMFS"/>
        <w:numPr>
          <w:ilvl w:val="2"/>
          <w:numId w:val="2"/>
        </w:numPr>
      </w:pPr>
      <w:r w:rsidRPr="00E568C3">
        <w:t>Cours d</w:t>
      </w:r>
      <w:r w:rsidR="00871730" w:rsidRPr="00E568C3">
        <w:t>’</w:t>
      </w:r>
      <w:r w:rsidRPr="00E568C3">
        <w:t>év</w:t>
      </w:r>
      <w:r w:rsidR="00883AE7" w:rsidRPr="00E568C3">
        <w:t xml:space="preserve">aluation </w:t>
      </w:r>
      <w:r w:rsidRPr="00E568C3">
        <w:t>de la propriété intellectuelle dans le cadre de l</w:t>
      </w:r>
      <w:r w:rsidR="00871730" w:rsidRPr="00E568C3">
        <w:t>’</w:t>
      </w:r>
      <w:r w:rsidR="00883AE7" w:rsidRPr="00E568C3">
        <w:t>UC</w:t>
      </w:r>
      <w:r w:rsidR="002A5CE7" w:rsidRPr="00E568C3">
        <w:t> </w:t>
      </w:r>
      <w:r w:rsidR="00883AE7" w:rsidRPr="00E568C3">
        <w:t xml:space="preserve">Davis </w:t>
      </w:r>
      <w:proofErr w:type="spellStart"/>
      <w:r w:rsidR="00883AE7" w:rsidRPr="00E568C3">
        <w:t>Licensing</w:t>
      </w:r>
      <w:proofErr w:type="spellEnd"/>
      <w:r w:rsidR="00883AE7" w:rsidRPr="00E568C3">
        <w:t xml:space="preserve"> </w:t>
      </w:r>
      <w:proofErr w:type="spellStart"/>
      <w:r w:rsidR="00883AE7" w:rsidRPr="00E568C3">
        <w:t>Academy</w:t>
      </w:r>
      <w:proofErr w:type="spellEnd"/>
      <w:r w:rsidR="00883AE7" w:rsidRPr="00E568C3">
        <w:t>, organi</w:t>
      </w:r>
      <w:r w:rsidRPr="00E568C3">
        <w:t xml:space="preserve">sés </w:t>
      </w:r>
      <w:r w:rsidR="00883AE7" w:rsidRPr="00E568C3">
        <w:t xml:space="preserve">en collaboration </w:t>
      </w:r>
      <w:r w:rsidRPr="00E568C3">
        <w:t>avec</w:t>
      </w:r>
      <w:r w:rsidR="00883AE7" w:rsidRPr="00E568C3">
        <w:t xml:space="preserve"> </w:t>
      </w:r>
      <w:r w:rsidRPr="00E568C3">
        <w:t>PIPRA et</w:t>
      </w:r>
      <w:r w:rsidR="00883AE7" w:rsidRPr="00E568C3">
        <w:t xml:space="preserve"> UC</w:t>
      </w:r>
      <w:r w:rsidR="00A60808" w:rsidRPr="00E568C3">
        <w:t> </w:t>
      </w:r>
      <w:r w:rsidR="00883AE7" w:rsidRPr="00E568C3">
        <w:t xml:space="preserve">Davis </w:t>
      </w:r>
      <w:r w:rsidRPr="00E568C3">
        <w:t>à l</w:t>
      </w:r>
      <w:r w:rsidR="00871730" w:rsidRPr="00E568C3">
        <w:t>’</w:t>
      </w:r>
      <w:r w:rsidRPr="00E568C3">
        <w:t>intention des responsables des</w:t>
      </w:r>
      <w:r w:rsidR="00883AE7" w:rsidRPr="00E568C3">
        <w:t xml:space="preserve"> technolog</w:t>
      </w:r>
      <w:r w:rsidRPr="00E568C3">
        <w:t>ies</w:t>
      </w:r>
      <w:r w:rsidR="00883AE7" w:rsidRPr="00E568C3">
        <w:t xml:space="preserve">, </w:t>
      </w:r>
      <w:r w:rsidRPr="00E568C3">
        <w:t>notamment des pays en développement</w:t>
      </w:r>
      <w:r w:rsidR="00883AE7" w:rsidRPr="00E568C3">
        <w:t>, 4</w:t>
      </w:r>
      <w:r w:rsidR="00871730" w:rsidRPr="00E568C3">
        <w:t xml:space="preserve"> – </w:t>
      </w:r>
      <w:r w:rsidR="00883AE7" w:rsidRPr="00E568C3">
        <w:t>10</w:t>
      </w:r>
      <w:r w:rsidR="00A60808" w:rsidRPr="00E568C3">
        <w:t> </w:t>
      </w:r>
      <w:r w:rsidRPr="00E568C3">
        <w:t>juin </w:t>
      </w:r>
      <w:r w:rsidR="00883AE7" w:rsidRPr="00E568C3">
        <w:t>2014, UC Davis</w:t>
      </w:r>
      <w:r w:rsidR="002A5CE7" w:rsidRPr="00E568C3">
        <w:t xml:space="preserve"> (</w:t>
      </w:r>
      <w:r w:rsidRPr="00E568C3">
        <w:t>États</w:t>
      </w:r>
      <w:r w:rsidR="006A3508" w:rsidRPr="00E568C3">
        <w:noBreakHyphen/>
      </w:r>
      <w:r w:rsidR="00883AE7" w:rsidRPr="00E568C3">
        <w:t xml:space="preserve">Unis </w:t>
      </w:r>
      <w:r w:rsidRPr="00E568C3">
        <w:t>d</w:t>
      </w:r>
      <w:r w:rsidR="00871730" w:rsidRPr="00E568C3">
        <w:t>’</w:t>
      </w:r>
      <w:r w:rsidR="00883AE7" w:rsidRPr="00E568C3">
        <w:t>Am</w:t>
      </w:r>
      <w:r w:rsidRPr="00E568C3">
        <w:t>é</w:t>
      </w:r>
      <w:r w:rsidR="00883AE7" w:rsidRPr="00E568C3">
        <w:t>ri</w:t>
      </w:r>
      <w:r w:rsidRPr="00E568C3">
        <w:t>que</w:t>
      </w:r>
      <w:r w:rsidR="002A5CE7" w:rsidRPr="00E568C3">
        <w:t>)</w:t>
      </w:r>
      <w:r w:rsidR="00883AE7" w:rsidRPr="00E568C3">
        <w:t>;</w:t>
      </w:r>
    </w:p>
    <w:p w:rsidR="00F55AA9" w:rsidRDefault="00311A4F" w:rsidP="00883AE7">
      <w:pPr>
        <w:pStyle w:val="ONUMFS"/>
        <w:numPr>
          <w:ilvl w:val="2"/>
          <w:numId w:val="2"/>
        </w:numPr>
      </w:pPr>
      <w:r w:rsidRPr="00E568C3">
        <w:t>Atelier d</w:t>
      </w:r>
      <w:r w:rsidR="00871730" w:rsidRPr="00E568C3">
        <w:t>’</w:t>
      </w:r>
      <w:r w:rsidRPr="00E568C3">
        <w:t xml:space="preserve">évaluation de la propriété intellectuelle OMPI/Fonds fiduciaire </w:t>
      </w:r>
      <w:r w:rsidR="00A519C9" w:rsidRPr="00E568C3">
        <w:t>pour l</w:t>
      </w:r>
      <w:r w:rsidR="00871730" w:rsidRPr="00E568C3">
        <w:t>’</w:t>
      </w:r>
      <w:r w:rsidRPr="00E568C3">
        <w:t xml:space="preserve">Australie, </w:t>
      </w:r>
      <w:r w:rsidR="00883AE7" w:rsidRPr="00E568C3">
        <w:t>9</w:t>
      </w:r>
      <w:r w:rsidR="00871730" w:rsidRPr="00E568C3">
        <w:t xml:space="preserve"> – </w:t>
      </w:r>
      <w:r w:rsidR="00883AE7" w:rsidRPr="00E568C3">
        <w:t>12</w:t>
      </w:r>
      <w:r w:rsidR="00A519C9" w:rsidRPr="00E568C3">
        <w:t> juin </w:t>
      </w:r>
      <w:r w:rsidR="00883AE7" w:rsidRPr="00E568C3">
        <w:t>2014, Jakarta</w:t>
      </w:r>
      <w:r w:rsidR="002A5CE7" w:rsidRPr="00E568C3">
        <w:t xml:space="preserve"> (</w:t>
      </w:r>
      <w:r w:rsidR="00883AE7" w:rsidRPr="00E568C3">
        <w:t>Indon</w:t>
      </w:r>
      <w:r w:rsidR="00A519C9" w:rsidRPr="00E568C3">
        <w:t>é</w:t>
      </w:r>
      <w:r w:rsidR="00883AE7" w:rsidRPr="00E568C3">
        <w:t>si</w:t>
      </w:r>
      <w:r w:rsidR="00A519C9" w:rsidRPr="00E568C3">
        <w:t>e</w:t>
      </w:r>
      <w:r w:rsidR="002A5CE7" w:rsidRPr="00E568C3">
        <w:t>)</w:t>
      </w:r>
      <w:r w:rsidR="00883AE7" w:rsidRPr="00E568C3">
        <w:t>;</w:t>
      </w:r>
    </w:p>
    <w:p w:rsidR="00F55AA9" w:rsidRDefault="00A519C9" w:rsidP="00883AE7">
      <w:pPr>
        <w:pStyle w:val="ONUMFS"/>
        <w:numPr>
          <w:ilvl w:val="2"/>
          <w:numId w:val="2"/>
        </w:numPr>
      </w:pPr>
      <w:r w:rsidRPr="00E568C3">
        <w:t>Séminaire itinérant de l</w:t>
      </w:r>
      <w:r w:rsidR="00871730" w:rsidRPr="00E568C3">
        <w:t>’</w:t>
      </w:r>
      <w:r w:rsidRPr="00E568C3">
        <w:t>OMPI sur l</w:t>
      </w:r>
      <w:r w:rsidR="00871730" w:rsidRPr="00E568C3">
        <w:t>’</w:t>
      </w:r>
      <w:r w:rsidRPr="00E568C3">
        <w:t>évaluation de la propriété intellectuelle et le transfert de t</w:t>
      </w:r>
      <w:r w:rsidR="00883AE7" w:rsidRPr="00E568C3">
        <w:t>echnolog</w:t>
      </w:r>
      <w:r w:rsidRPr="00E568C3">
        <w:t>ie</w:t>
      </w:r>
      <w:r w:rsidR="00883AE7" w:rsidRPr="00E568C3">
        <w:t xml:space="preserve"> </w:t>
      </w:r>
      <w:r w:rsidRPr="00E568C3">
        <w:t>à l</w:t>
      </w:r>
      <w:r w:rsidR="00871730" w:rsidRPr="00E568C3">
        <w:t>’</w:t>
      </w:r>
      <w:r w:rsidRPr="00E568C3">
        <w:t>intention des u</w:t>
      </w:r>
      <w:r w:rsidR="00883AE7" w:rsidRPr="00E568C3">
        <w:t>niversit</w:t>
      </w:r>
      <w:r w:rsidRPr="00E568C3">
        <w:t>é</w:t>
      </w:r>
      <w:r w:rsidR="00883AE7" w:rsidRPr="00E568C3">
        <w:t>s, 2</w:t>
      </w:r>
      <w:r w:rsidR="00871730" w:rsidRPr="00E568C3">
        <w:t xml:space="preserve"> – </w:t>
      </w:r>
      <w:r w:rsidRPr="00E568C3">
        <w:t>4 décembre </w:t>
      </w:r>
      <w:r w:rsidR="00883AE7" w:rsidRPr="00E568C3">
        <w:t xml:space="preserve">2014, </w:t>
      </w:r>
      <w:proofErr w:type="spellStart"/>
      <w:r w:rsidR="00883AE7" w:rsidRPr="00E568C3">
        <w:t>Klaipeda</w:t>
      </w:r>
      <w:proofErr w:type="spellEnd"/>
      <w:r w:rsidR="00883AE7" w:rsidRPr="00E568C3">
        <w:t xml:space="preserve"> </w:t>
      </w:r>
      <w:r w:rsidRPr="00E568C3">
        <w:t>et</w:t>
      </w:r>
      <w:r w:rsidR="00883AE7" w:rsidRPr="00E568C3">
        <w:t xml:space="preserve"> Kaunas</w:t>
      </w:r>
      <w:r w:rsidR="002A5CE7" w:rsidRPr="00E568C3">
        <w:t xml:space="preserve"> (L</w:t>
      </w:r>
      <w:r w:rsidR="00883AE7" w:rsidRPr="00E568C3">
        <w:t>ituani</w:t>
      </w:r>
      <w:r w:rsidRPr="00E568C3">
        <w:t>e</w:t>
      </w:r>
      <w:r w:rsidR="002A5CE7" w:rsidRPr="00E568C3">
        <w:t>)</w:t>
      </w:r>
      <w:r w:rsidR="00883AE7" w:rsidRPr="00E568C3">
        <w:t>;</w:t>
      </w:r>
    </w:p>
    <w:p w:rsidR="00F55AA9" w:rsidRDefault="00A519C9" w:rsidP="00A519C9">
      <w:pPr>
        <w:pStyle w:val="ONUMFS"/>
        <w:numPr>
          <w:ilvl w:val="2"/>
          <w:numId w:val="2"/>
        </w:numPr>
      </w:pPr>
      <w:r w:rsidRPr="00E568C3">
        <w:t>Cours d</w:t>
      </w:r>
      <w:r w:rsidR="00871730" w:rsidRPr="00E568C3">
        <w:t>’</w:t>
      </w:r>
      <w:r w:rsidRPr="00E568C3">
        <w:t>évaluation de la propriété intellectuelle OMPI/PIPRA/UC</w:t>
      </w:r>
      <w:r w:rsidR="00CB4829" w:rsidRPr="00E568C3">
        <w:t> </w:t>
      </w:r>
      <w:r w:rsidRPr="00E568C3">
        <w:t>Davis</w:t>
      </w:r>
      <w:r w:rsidR="00883AE7" w:rsidRPr="00E568C3">
        <w:t>, UC</w:t>
      </w:r>
      <w:r w:rsidRPr="00E568C3">
        <w:t> </w:t>
      </w:r>
      <w:r w:rsidR="00883AE7" w:rsidRPr="00E568C3">
        <w:t xml:space="preserve">Davis </w:t>
      </w:r>
      <w:proofErr w:type="spellStart"/>
      <w:r w:rsidR="00883AE7" w:rsidRPr="00E568C3">
        <w:t>Licensing</w:t>
      </w:r>
      <w:proofErr w:type="spellEnd"/>
      <w:r w:rsidR="00883AE7" w:rsidRPr="00E568C3">
        <w:t xml:space="preserve"> </w:t>
      </w:r>
      <w:proofErr w:type="spellStart"/>
      <w:r w:rsidR="00883AE7" w:rsidRPr="00E568C3">
        <w:t>Academy</w:t>
      </w:r>
      <w:proofErr w:type="spellEnd"/>
      <w:r w:rsidR="00883AE7" w:rsidRPr="00E568C3">
        <w:t xml:space="preserve">, </w:t>
      </w:r>
      <w:r w:rsidRPr="00E568C3">
        <w:t>29 juin </w:t>
      </w:r>
      <w:r w:rsidR="00883AE7" w:rsidRPr="00E568C3">
        <w:t>2015, UC</w:t>
      </w:r>
      <w:r w:rsidRPr="00E568C3">
        <w:t> </w:t>
      </w:r>
      <w:r w:rsidR="00883AE7" w:rsidRPr="00E568C3">
        <w:t>Davis, Californi</w:t>
      </w:r>
      <w:r w:rsidRPr="00E568C3">
        <w:t>e</w:t>
      </w:r>
      <w:r w:rsidR="002A5CE7" w:rsidRPr="00E568C3">
        <w:t xml:space="preserve"> (</w:t>
      </w:r>
      <w:r w:rsidRPr="00E568C3">
        <w:t>États</w:t>
      </w:r>
      <w:r w:rsidR="006A3508" w:rsidRPr="00E568C3">
        <w:noBreakHyphen/>
      </w:r>
      <w:r w:rsidRPr="00E568C3">
        <w:t>Unis d</w:t>
      </w:r>
      <w:r w:rsidR="00871730" w:rsidRPr="00E568C3">
        <w:t>’</w:t>
      </w:r>
      <w:r w:rsidRPr="00E568C3">
        <w:t>Amérique</w:t>
      </w:r>
      <w:r w:rsidR="002A5CE7" w:rsidRPr="00E568C3">
        <w:t>)</w:t>
      </w:r>
      <w:r w:rsidR="00883AE7" w:rsidRPr="00E568C3">
        <w:t xml:space="preserve">;  </w:t>
      </w:r>
      <w:r w:rsidRPr="00E568C3">
        <w:t>et</w:t>
      </w:r>
    </w:p>
    <w:p w:rsidR="00F55AA9" w:rsidRDefault="00A519C9" w:rsidP="00883AE7">
      <w:pPr>
        <w:pStyle w:val="ONUMFS"/>
        <w:numPr>
          <w:ilvl w:val="2"/>
          <w:numId w:val="2"/>
        </w:numPr>
      </w:pPr>
      <w:r w:rsidRPr="00E568C3">
        <w:t>Atelier sous</w:t>
      </w:r>
      <w:r w:rsidR="006A3508" w:rsidRPr="00E568C3">
        <w:noBreakHyphen/>
      </w:r>
      <w:r w:rsidRPr="00E568C3">
        <w:t>régional d</w:t>
      </w:r>
      <w:r w:rsidR="00871730" w:rsidRPr="00E568C3">
        <w:t>’</w:t>
      </w:r>
      <w:r w:rsidRPr="00E568C3">
        <w:t>évaluation de la propriété intellectuelle de l</w:t>
      </w:r>
      <w:r w:rsidR="00871730" w:rsidRPr="00E568C3">
        <w:t>’</w:t>
      </w:r>
      <w:r w:rsidRPr="00E568C3">
        <w:t>OMPI</w:t>
      </w:r>
      <w:r w:rsidR="00883AE7" w:rsidRPr="00E568C3">
        <w:t xml:space="preserve">, </w:t>
      </w:r>
      <w:r w:rsidRPr="00E568C3">
        <w:t>21</w:t>
      </w:r>
      <w:r w:rsidR="00871730" w:rsidRPr="00E568C3">
        <w:t xml:space="preserve"> – </w:t>
      </w:r>
      <w:r w:rsidRPr="00E568C3">
        <w:t>23 o</w:t>
      </w:r>
      <w:r w:rsidR="00883AE7" w:rsidRPr="00E568C3">
        <w:t>ctobr</w:t>
      </w:r>
      <w:r w:rsidRPr="00E568C3">
        <w:t>e </w:t>
      </w:r>
      <w:r w:rsidR="00883AE7" w:rsidRPr="00E568C3">
        <w:t>2015, Sibiu</w:t>
      </w:r>
      <w:r w:rsidR="002A5CE7" w:rsidRPr="00E568C3">
        <w:t xml:space="preserve"> (</w:t>
      </w:r>
      <w:r w:rsidR="00883AE7" w:rsidRPr="00E568C3">
        <w:t>Ro</w:t>
      </w:r>
      <w:r w:rsidRPr="00E568C3">
        <w:t>u</w:t>
      </w:r>
      <w:r w:rsidR="00883AE7" w:rsidRPr="00E568C3">
        <w:t>mani</w:t>
      </w:r>
      <w:r w:rsidRPr="00E568C3">
        <w:t>e</w:t>
      </w:r>
      <w:r w:rsidR="002A5CE7" w:rsidRPr="00E568C3">
        <w:t>)</w:t>
      </w:r>
      <w:r w:rsidR="00883AE7" w:rsidRPr="00E568C3">
        <w:t>.</w:t>
      </w:r>
    </w:p>
    <w:p w:rsidR="00F55AA9" w:rsidRDefault="00A519C9" w:rsidP="009872A9">
      <w:pPr>
        <w:pStyle w:val="ONUMFS"/>
        <w:numPr>
          <w:ilvl w:val="1"/>
          <w:numId w:val="2"/>
        </w:numPr>
        <w:rPr>
          <w:b/>
        </w:rPr>
      </w:pPr>
      <w:r w:rsidRPr="00E568C3">
        <w:rPr>
          <w:bCs/>
          <w:i/>
          <w:iCs/>
        </w:rPr>
        <w:t>Commercialisation et évaluation de la propriété intellectuelle</w:t>
      </w:r>
      <w:r w:rsidR="00883AE7" w:rsidRPr="00E568C3">
        <w:t xml:space="preserve"> – N</w:t>
      </w:r>
      <w:r w:rsidRPr="00E568C3">
        <w:t>ouveau programme créé en </w:t>
      </w:r>
      <w:r w:rsidR="00883AE7" w:rsidRPr="00E568C3">
        <w:t xml:space="preserve">2015 </w:t>
      </w:r>
      <w:r w:rsidRPr="00E568C3">
        <w:t xml:space="preserve">pour répondre aux demandes de nombreux instituts de recherche rencontrant des difficultés pour commercialiser les </w:t>
      </w:r>
      <w:r w:rsidR="00883AE7" w:rsidRPr="00E568C3">
        <w:t>technologies</w:t>
      </w:r>
      <w:r w:rsidRPr="00E568C3">
        <w:t xml:space="preserve"> </w:t>
      </w:r>
      <w:r w:rsidR="009872A9" w:rsidRPr="00E568C3">
        <w:t xml:space="preserve">qui sont à un stade précoce de leur développement, </w:t>
      </w:r>
      <w:r w:rsidRPr="00E568C3">
        <w:t>recenser</w:t>
      </w:r>
      <w:r w:rsidR="009872A9" w:rsidRPr="00E568C3">
        <w:t xml:space="preserve"> </w:t>
      </w:r>
      <w:r w:rsidRPr="00E568C3">
        <w:t>les partenaires de c</w:t>
      </w:r>
      <w:r w:rsidR="009872A9" w:rsidRPr="00E568C3">
        <w:t>o</w:t>
      </w:r>
      <w:r w:rsidRPr="00E568C3">
        <w:t>llaboration ou de</w:t>
      </w:r>
      <w:r w:rsidR="009872A9" w:rsidRPr="00E568C3">
        <w:t xml:space="preserve"> </w:t>
      </w:r>
      <w:r w:rsidRPr="00E568C3">
        <w:t xml:space="preserve">marché les plus </w:t>
      </w:r>
      <w:r w:rsidR="00883AE7" w:rsidRPr="00E568C3">
        <w:t>appropri</w:t>
      </w:r>
      <w:r w:rsidRPr="00E568C3">
        <w:t>és</w:t>
      </w:r>
      <w:r w:rsidR="00883AE7" w:rsidRPr="00E568C3">
        <w:t>, communi</w:t>
      </w:r>
      <w:r w:rsidRPr="00E568C3">
        <w:t xml:space="preserve">quer </w:t>
      </w:r>
      <w:r w:rsidR="009872A9" w:rsidRPr="00E568C3">
        <w:t>d</w:t>
      </w:r>
      <w:r w:rsidRPr="00E568C3">
        <w:t>es</w:t>
      </w:r>
      <w:r w:rsidR="00883AE7" w:rsidRPr="00E568C3">
        <w:t xml:space="preserve"> information</w:t>
      </w:r>
      <w:r w:rsidRPr="00E568C3">
        <w:t>s</w:t>
      </w:r>
      <w:r w:rsidR="00883AE7" w:rsidRPr="00E568C3">
        <w:t xml:space="preserve"> concern</w:t>
      </w:r>
      <w:r w:rsidRPr="00E568C3">
        <w:t>ant les</w:t>
      </w:r>
      <w:r w:rsidR="00883AE7" w:rsidRPr="00E568C3">
        <w:t xml:space="preserve"> technologies</w:t>
      </w:r>
      <w:r w:rsidRPr="00E568C3">
        <w:t xml:space="preserve"> </w:t>
      </w:r>
      <w:r w:rsidR="009872A9" w:rsidRPr="00E568C3">
        <w:t>jugé</w:t>
      </w:r>
      <w:r w:rsidRPr="00E568C3">
        <w:t xml:space="preserve">es </w:t>
      </w:r>
      <w:r w:rsidR="009872A9" w:rsidRPr="00E568C3">
        <w:t>porteuses</w:t>
      </w:r>
      <w:r w:rsidRPr="00E568C3">
        <w:t xml:space="preserve"> </w:t>
      </w:r>
      <w:r w:rsidR="009872A9" w:rsidRPr="00E568C3">
        <w:t>d</w:t>
      </w:r>
      <w:r w:rsidRPr="00E568C3">
        <w:t xml:space="preserve">e valeur commerciale et prêtes à être </w:t>
      </w:r>
      <w:r w:rsidR="00883AE7" w:rsidRPr="00E568C3">
        <w:t>commercial</w:t>
      </w:r>
      <w:r w:rsidR="009872A9" w:rsidRPr="00E568C3">
        <w:t>isé</w:t>
      </w:r>
      <w:r w:rsidR="006A3508" w:rsidRPr="00E568C3">
        <w:t>es.  Po</w:t>
      </w:r>
      <w:r w:rsidR="009872A9" w:rsidRPr="00E568C3">
        <w:t>ur l</w:t>
      </w:r>
      <w:r w:rsidR="00871730" w:rsidRPr="00E568C3">
        <w:t>’</w:t>
      </w:r>
      <w:r w:rsidR="009872A9" w:rsidRPr="00E568C3">
        <w:t>heure, la formation se déroule sur trois ou quatre jours et propose des</w:t>
      </w:r>
      <w:r w:rsidR="00883AE7" w:rsidRPr="00E568C3">
        <w:t xml:space="preserve"> ex</w:t>
      </w:r>
      <w:r w:rsidR="009872A9" w:rsidRPr="00E568C3">
        <w:t>e</w:t>
      </w:r>
      <w:r w:rsidR="00883AE7" w:rsidRPr="00E568C3">
        <w:t xml:space="preserve">mples </w:t>
      </w:r>
      <w:r w:rsidR="009872A9" w:rsidRPr="00E568C3">
        <w:t>et des</w:t>
      </w:r>
      <w:r w:rsidR="00883AE7" w:rsidRPr="00E568C3">
        <w:t xml:space="preserve"> exerci</w:t>
      </w:r>
      <w:r w:rsidR="009872A9" w:rsidRPr="00E568C3">
        <w:t>c</w:t>
      </w:r>
      <w:r w:rsidR="00883AE7" w:rsidRPr="00E568C3">
        <w:t xml:space="preserve">es </w:t>
      </w:r>
      <w:r w:rsidR="009872A9" w:rsidRPr="00E568C3">
        <w:t>c</w:t>
      </w:r>
      <w:r w:rsidR="00CB4829" w:rsidRPr="00E568C3">
        <w:t>onçu</w:t>
      </w:r>
      <w:r w:rsidR="009872A9" w:rsidRPr="00E568C3">
        <w:t xml:space="preserve">s autour de </w:t>
      </w:r>
      <w:r w:rsidR="00883AE7" w:rsidRPr="00E568C3">
        <w:t>technologies</w:t>
      </w:r>
      <w:r w:rsidR="009872A9" w:rsidRPr="00E568C3">
        <w:t xml:space="preserve"> réelles</w:t>
      </w:r>
      <w:r w:rsidR="00883AE7" w:rsidRPr="00E568C3">
        <w:t xml:space="preserve">, </w:t>
      </w:r>
      <w:r w:rsidR="009872A9" w:rsidRPr="00E568C3">
        <w:t xml:space="preserve">mises au point dans </w:t>
      </w:r>
      <w:r w:rsidR="00CB4829" w:rsidRPr="00E568C3">
        <w:t>l</w:t>
      </w:r>
      <w:r w:rsidR="009872A9" w:rsidRPr="00E568C3">
        <w:t>es</w:t>
      </w:r>
      <w:r w:rsidR="00883AE7" w:rsidRPr="00E568C3">
        <w:t xml:space="preserve"> universit</w:t>
      </w:r>
      <w:r w:rsidR="009872A9" w:rsidRPr="00E568C3">
        <w:t>és ou instituts de recherche loca</w:t>
      </w:r>
      <w:r w:rsidR="006A3508" w:rsidRPr="00E568C3">
        <w:t>ux.  En</w:t>
      </w:r>
      <w:r w:rsidR="00883AE7" w:rsidRPr="00E568C3">
        <w:t> 2015</w:t>
      </w:r>
      <w:r w:rsidR="009872A9" w:rsidRPr="00E568C3">
        <w:t>, cette formation a été or</w:t>
      </w:r>
      <w:r w:rsidR="00883AE7" w:rsidRPr="00E568C3">
        <w:t>gani</w:t>
      </w:r>
      <w:r w:rsidR="009872A9" w:rsidRPr="00E568C3">
        <w:t xml:space="preserve">sée au </w:t>
      </w:r>
      <w:r w:rsidR="00883AE7" w:rsidRPr="00E568C3">
        <w:t>Br</w:t>
      </w:r>
      <w:r w:rsidR="009872A9" w:rsidRPr="00E568C3">
        <w:t>és</w:t>
      </w:r>
      <w:r w:rsidR="00883AE7" w:rsidRPr="00E568C3">
        <w:t>il (</w:t>
      </w:r>
      <w:r w:rsidR="009872A9" w:rsidRPr="00E568C3">
        <w:t>dans le cadre d</w:t>
      </w:r>
      <w:r w:rsidR="00871730" w:rsidRPr="00E568C3">
        <w:t>’</w:t>
      </w:r>
      <w:r w:rsidR="009872A9" w:rsidRPr="00E568C3">
        <w:t xml:space="preserve">un cours de niveau avancé sur </w:t>
      </w:r>
      <w:r w:rsidR="00CB4829" w:rsidRPr="00E568C3">
        <w:t>une</w:t>
      </w:r>
      <w:r w:rsidR="009872A9" w:rsidRPr="00E568C3">
        <w:t xml:space="preserve"> concession de licence de technologie réussie</w:t>
      </w:r>
      <w:r w:rsidR="00883AE7" w:rsidRPr="00E568C3">
        <w:t xml:space="preserve">), </w:t>
      </w:r>
      <w:r w:rsidR="009872A9" w:rsidRPr="00E568C3">
        <w:t xml:space="preserve">aux </w:t>
      </w:r>
      <w:r w:rsidR="00883AE7" w:rsidRPr="00E568C3">
        <w:t>Philippines</w:t>
      </w:r>
      <w:r w:rsidR="009872A9" w:rsidRPr="00E568C3">
        <w:t xml:space="preserve"> et e</w:t>
      </w:r>
      <w:r w:rsidR="00883AE7" w:rsidRPr="00E568C3">
        <w:t>n Serbi</w:t>
      </w:r>
      <w:r w:rsidR="009872A9" w:rsidRPr="00E568C3">
        <w:t>e</w:t>
      </w:r>
      <w:r w:rsidR="00883AE7" w:rsidRPr="00E568C3">
        <w:t>.</w:t>
      </w:r>
    </w:p>
    <w:p w:rsidR="00F55AA9" w:rsidRDefault="009872A9" w:rsidP="00883AE7">
      <w:pPr>
        <w:pStyle w:val="ONUMFS"/>
      </w:pPr>
      <w:r w:rsidRPr="00E568C3">
        <w:t xml:space="preserve">Des programmes de renforcement des capacités ont aussi été </w:t>
      </w:r>
      <w:r w:rsidR="00883AE7" w:rsidRPr="00E568C3">
        <w:t>organi</w:t>
      </w:r>
      <w:r w:rsidRPr="00E568C3">
        <w:t>sés</w:t>
      </w:r>
      <w:r w:rsidR="00883AE7" w:rsidRPr="00E568C3">
        <w:t xml:space="preserve"> </w:t>
      </w:r>
      <w:r w:rsidRPr="00E568C3">
        <w:t xml:space="preserve">pour </w:t>
      </w:r>
      <w:r w:rsidR="00CB4829" w:rsidRPr="00E568C3">
        <w:t>des publics cibles de</w:t>
      </w:r>
      <w:r w:rsidRPr="00E568C3">
        <w:t xml:space="preserve"> </w:t>
      </w:r>
      <w:r w:rsidR="00CB4829" w:rsidRPr="00E568C3">
        <w:t>chercheur</w:t>
      </w:r>
      <w:r w:rsidR="00883AE7" w:rsidRPr="00E568C3">
        <w:t xml:space="preserve">s, </w:t>
      </w:r>
      <w:r w:rsidR="00221EF2" w:rsidRPr="00E568C3">
        <w:t xml:space="preserve">traitant de </w:t>
      </w:r>
      <w:r w:rsidR="00CB4829" w:rsidRPr="00E568C3">
        <w:t>domain</w:t>
      </w:r>
      <w:r w:rsidR="00221EF2" w:rsidRPr="00E568C3">
        <w:t xml:space="preserve">es scientifiques </w:t>
      </w:r>
      <w:r w:rsidR="00CB4829" w:rsidRPr="00E568C3">
        <w:t>s</w:t>
      </w:r>
      <w:r w:rsidR="00221EF2" w:rsidRPr="00E568C3">
        <w:t>p</w:t>
      </w:r>
      <w:r w:rsidR="00CB4829" w:rsidRPr="00E568C3">
        <w:t>écifique</w:t>
      </w:r>
      <w:r w:rsidR="00221EF2" w:rsidRPr="00E568C3">
        <w:t>s et du transfert des connaissances, comme le</w:t>
      </w:r>
      <w:r w:rsidR="00883AE7" w:rsidRPr="00E568C3">
        <w:t xml:space="preserve"> transfer</w:t>
      </w:r>
      <w:r w:rsidR="00221EF2" w:rsidRPr="00E568C3">
        <w:t>t et</w:t>
      </w:r>
      <w:r w:rsidR="00883AE7" w:rsidRPr="00E568C3">
        <w:t xml:space="preserve"> </w:t>
      </w:r>
      <w:r w:rsidR="00221EF2" w:rsidRPr="00E568C3">
        <w:t>l</w:t>
      </w:r>
      <w:r w:rsidR="00883AE7" w:rsidRPr="00E568C3">
        <w:t>a commerciali</w:t>
      </w:r>
      <w:r w:rsidR="00221EF2" w:rsidRPr="00E568C3">
        <w:t>s</w:t>
      </w:r>
      <w:r w:rsidR="00883AE7" w:rsidRPr="00E568C3">
        <w:t xml:space="preserve">ation </w:t>
      </w:r>
      <w:r w:rsidR="00221EF2" w:rsidRPr="00E568C3">
        <w:t>des résultats de la recherche</w:t>
      </w:r>
      <w:r w:rsidR="00883AE7" w:rsidRPr="00E568C3">
        <w:t xml:space="preserve"> </w:t>
      </w:r>
      <w:r w:rsidR="00221EF2" w:rsidRPr="00E568C3">
        <w:t xml:space="preserve">en lien avec les maladies négligées et la santé </w:t>
      </w:r>
      <w:r w:rsidR="00883AE7" w:rsidRPr="00E568C3">
        <w:t>publi</w:t>
      </w:r>
      <w:r w:rsidR="00221EF2" w:rsidRPr="00E568C3">
        <w:t>que </w:t>
      </w:r>
      <w:r w:rsidR="00883AE7" w:rsidRPr="00E568C3">
        <w:t>:</w:t>
      </w:r>
    </w:p>
    <w:p w:rsidR="00F55AA9" w:rsidRDefault="00221EF2" w:rsidP="00883AE7">
      <w:pPr>
        <w:pStyle w:val="ONUMFS"/>
        <w:numPr>
          <w:ilvl w:val="0"/>
          <w:numId w:val="9"/>
        </w:numPr>
        <w:ind w:left="1134" w:hanging="567"/>
        <w:rPr>
          <w:bCs/>
          <w:szCs w:val="22"/>
        </w:rPr>
      </w:pPr>
      <w:r w:rsidRPr="00E568C3">
        <w:lastRenderedPageBreak/>
        <w:t>Atelier de formation à la gestion de la propriété intellectuelle de l</w:t>
      </w:r>
      <w:r w:rsidR="00871730" w:rsidRPr="00E568C3">
        <w:t>’</w:t>
      </w:r>
      <w:r w:rsidRPr="00E568C3">
        <w:t>OMPI,</w:t>
      </w:r>
      <w:r w:rsidR="00883AE7" w:rsidRPr="00E568C3">
        <w:t xml:space="preserve"> </w:t>
      </w:r>
      <w:r w:rsidR="00883AE7" w:rsidRPr="00E568C3">
        <w:rPr>
          <w:bCs/>
          <w:szCs w:val="22"/>
        </w:rPr>
        <w:t>New</w:t>
      </w:r>
      <w:r w:rsidRPr="00E568C3">
        <w:rPr>
          <w:bCs/>
          <w:szCs w:val="22"/>
        </w:rPr>
        <w:t> </w:t>
      </w:r>
      <w:r w:rsidR="00883AE7" w:rsidRPr="00E568C3">
        <w:rPr>
          <w:bCs/>
          <w:szCs w:val="22"/>
        </w:rPr>
        <w:t xml:space="preserve">York </w:t>
      </w:r>
      <w:r w:rsidR="002A5CE7" w:rsidRPr="00E568C3">
        <w:rPr>
          <w:bCs/>
          <w:szCs w:val="22"/>
        </w:rPr>
        <w:t>(</w:t>
      </w:r>
      <w:r w:rsidRPr="00E568C3">
        <w:rPr>
          <w:bCs/>
          <w:szCs w:val="22"/>
        </w:rPr>
        <w:t>États</w:t>
      </w:r>
      <w:r w:rsidR="006A3508" w:rsidRPr="00E568C3">
        <w:rPr>
          <w:bCs/>
          <w:szCs w:val="22"/>
        </w:rPr>
        <w:noBreakHyphen/>
      </w:r>
      <w:r w:rsidR="00883AE7" w:rsidRPr="00E568C3">
        <w:rPr>
          <w:bCs/>
          <w:szCs w:val="22"/>
        </w:rPr>
        <w:t>U</w:t>
      </w:r>
      <w:r w:rsidRPr="00E568C3">
        <w:rPr>
          <w:bCs/>
          <w:szCs w:val="22"/>
        </w:rPr>
        <w:t>nis d</w:t>
      </w:r>
      <w:r w:rsidR="00871730" w:rsidRPr="00E568C3">
        <w:rPr>
          <w:bCs/>
          <w:szCs w:val="22"/>
        </w:rPr>
        <w:t>’</w:t>
      </w:r>
      <w:r w:rsidR="00883AE7" w:rsidRPr="00E568C3">
        <w:rPr>
          <w:bCs/>
          <w:szCs w:val="22"/>
        </w:rPr>
        <w:t>A</w:t>
      </w:r>
      <w:r w:rsidRPr="00E568C3">
        <w:rPr>
          <w:bCs/>
          <w:szCs w:val="22"/>
        </w:rPr>
        <w:t>mérique</w:t>
      </w:r>
      <w:r w:rsidR="002A5CE7" w:rsidRPr="00E568C3">
        <w:rPr>
          <w:bCs/>
          <w:szCs w:val="22"/>
        </w:rPr>
        <w:t>)</w:t>
      </w:r>
      <w:r w:rsidRPr="00E568C3">
        <w:rPr>
          <w:bCs/>
          <w:szCs w:val="22"/>
        </w:rPr>
        <w:t>, 4 n</w:t>
      </w:r>
      <w:r w:rsidR="00883AE7" w:rsidRPr="00E568C3">
        <w:t>ovembr</w:t>
      </w:r>
      <w:r w:rsidRPr="00E568C3">
        <w:t>e </w:t>
      </w:r>
      <w:r w:rsidR="00883AE7" w:rsidRPr="00E568C3">
        <w:t>2014</w:t>
      </w:r>
      <w:r w:rsidR="00883AE7" w:rsidRPr="00E568C3">
        <w:rPr>
          <w:bCs/>
          <w:szCs w:val="22"/>
        </w:rPr>
        <w:t xml:space="preserve">, </w:t>
      </w:r>
      <w:r w:rsidRPr="00E568C3">
        <w:rPr>
          <w:bCs/>
          <w:szCs w:val="22"/>
        </w:rPr>
        <w:t>à l</w:t>
      </w:r>
      <w:r w:rsidR="00871730" w:rsidRPr="00E568C3">
        <w:rPr>
          <w:bCs/>
          <w:szCs w:val="22"/>
        </w:rPr>
        <w:t>’</w:t>
      </w:r>
      <w:r w:rsidRPr="00E568C3">
        <w:rPr>
          <w:bCs/>
          <w:szCs w:val="22"/>
        </w:rPr>
        <w:t>intention des chargés de recherche et s</w:t>
      </w:r>
      <w:r w:rsidR="00883AE7" w:rsidRPr="00E568C3">
        <w:t>cienti</w:t>
      </w:r>
      <w:r w:rsidRPr="00E568C3">
        <w:t>fique</w:t>
      </w:r>
      <w:r w:rsidR="00883AE7" w:rsidRPr="00E568C3">
        <w:t xml:space="preserve">s </w:t>
      </w:r>
      <w:r w:rsidRPr="00E568C3">
        <w:t>d</w:t>
      </w:r>
      <w:r w:rsidR="00871730" w:rsidRPr="00E568C3">
        <w:t>’</w:t>
      </w:r>
      <w:r w:rsidRPr="00E568C3">
        <w:t>établissements de pays en développement</w:t>
      </w:r>
      <w:r w:rsidR="00883AE7" w:rsidRPr="00E568C3">
        <w:t xml:space="preserve"> </w:t>
      </w:r>
      <w:r w:rsidRPr="00E568C3">
        <w:t>qui sont m</w:t>
      </w:r>
      <w:r w:rsidR="00883AE7" w:rsidRPr="00E568C3">
        <w:t>embr</w:t>
      </w:r>
      <w:r w:rsidRPr="00E568C3">
        <w:t>e</w:t>
      </w:r>
      <w:r w:rsidR="00883AE7" w:rsidRPr="00E568C3">
        <w:t xml:space="preserve">s </w:t>
      </w:r>
      <w:r w:rsidRPr="00E568C3">
        <w:t>de</w:t>
      </w:r>
      <w:r w:rsidR="00883AE7" w:rsidRPr="00E568C3">
        <w:t xml:space="preserve"> WIPO</w:t>
      </w:r>
      <w:r w:rsidRPr="00E568C3">
        <w:t> </w:t>
      </w:r>
      <w:proofErr w:type="spellStart"/>
      <w:r w:rsidR="00883AE7" w:rsidRPr="00E568C3">
        <w:t>Re:Search</w:t>
      </w:r>
      <w:proofErr w:type="spellEnd"/>
      <w:r w:rsidR="00883AE7" w:rsidRPr="00E568C3">
        <w:t>;</w:t>
      </w:r>
    </w:p>
    <w:p w:rsidR="00F55AA9" w:rsidRDefault="002A5CE7" w:rsidP="00883AE7">
      <w:pPr>
        <w:pStyle w:val="ONUMFS"/>
        <w:numPr>
          <w:ilvl w:val="0"/>
          <w:numId w:val="9"/>
        </w:numPr>
        <w:ind w:left="1134" w:hanging="567"/>
      </w:pPr>
      <w:r w:rsidRPr="00E568C3">
        <w:rPr>
          <w:bCs/>
          <w:szCs w:val="22"/>
        </w:rPr>
        <w:t>Colloque co</w:t>
      </w:r>
      <w:r w:rsidR="0096576C" w:rsidRPr="00E568C3">
        <w:rPr>
          <w:bCs/>
          <w:szCs w:val="22"/>
        </w:rPr>
        <w:t xml:space="preserve">njoint OMS/OMPI/OMC </w:t>
      </w:r>
      <w:r w:rsidRPr="00E568C3">
        <w:rPr>
          <w:bCs/>
          <w:szCs w:val="22"/>
        </w:rPr>
        <w:t>sur le thème</w:t>
      </w:r>
      <w:r w:rsidR="008A2E3E" w:rsidRPr="00E568C3">
        <w:rPr>
          <w:bCs/>
          <w:szCs w:val="22"/>
        </w:rPr>
        <w:t> </w:t>
      </w:r>
      <w:r w:rsidR="00883AE7" w:rsidRPr="00E568C3">
        <w:rPr>
          <w:bCs/>
          <w:i/>
          <w:szCs w:val="22"/>
        </w:rPr>
        <w:t xml:space="preserve">Innovation </w:t>
      </w:r>
      <w:r w:rsidRPr="00E568C3">
        <w:rPr>
          <w:bCs/>
          <w:i/>
          <w:szCs w:val="22"/>
        </w:rPr>
        <w:t>et</w:t>
      </w:r>
      <w:r w:rsidR="00883AE7" w:rsidRPr="00E568C3">
        <w:rPr>
          <w:bCs/>
          <w:i/>
          <w:szCs w:val="22"/>
        </w:rPr>
        <w:t xml:space="preserve"> </w:t>
      </w:r>
      <w:r w:rsidRPr="00E568C3">
        <w:rPr>
          <w:bCs/>
          <w:i/>
          <w:szCs w:val="22"/>
        </w:rPr>
        <w:t>accès aux t</w:t>
      </w:r>
      <w:r w:rsidR="00883AE7" w:rsidRPr="00E568C3">
        <w:rPr>
          <w:bCs/>
          <w:i/>
          <w:szCs w:val="22"/>
        </w:rPr>
        <w:t>echnologies</w:t>
      </w:r>
      <w:r w:rsidRPr="00E568C3">
        <w:rPr>
          <w:bCs/>
          <w:i/>
          <w:szCs w:val="22"/>
        </w:rPr>
        <w:t xml:space="preserve"> médicales</w:t>
      </w:r>
      <w:r w:rsidR="00883AE7" w:rsidRPr="00E568C3">
        <w:rPr>
          <w:bCs/>
          <w:i/>
          <w:szCs w:val="22"/>
        </w:rPr>
        <w:t xml:space="preserve"> – </w:t>
      </w:r>
      <w:r w:rsidRPr="00E568C3">
        <w:rPr>
          <w:bCs/>
          <w:i/>
          <w:szCs w:val="22"/>
        </w:rPr>
        <w:t>Défis et o</w:t>
      </w:r>
      <w:r w:rsidR="00883AE7" w:rsidRPr="00E568C3">
        <w:rPr>
          <w:bCs/>
          <w:i/>
          <w:szCs w:val="22"/>
        </w:rPr>
        <w:t>pportunit</w:t>
      </w:r>
      <w:r w:rsidRPr="00E568C3">
        <w:rPr>
          <w:bCs/>
          <w:i/>
          <w:szCs w:val="22"/>
        </w:rPr>
        <w:t>és pour les pays à revenu intermédiaire</w:t>
      </w:r>
      <w:r w:rsidRPr="00E568C3">
        <w:rPr>
          <w:bCs/>
          <w:szCs w:val="22"/>
        </w:rPr>
        <w:t>, G</w:t>
      </w:r>
      <w:r w:rsidR="00883AE7" w:rsidRPr="00E568C3">
        <w:rPr>
          <w:bCs/>
          <w:szCs w:val="22"/>
        </w:rPr>
        <w:t>en</w:t>
      </w:r>
      <w:r w:rsidRPr="00E568C3">
        <w:rPr>
          <w:bCs/>
          <w:szCs w:val="22"/>
        </w:rPr>
        <w:t>è</w:t>
      </w:r>
      <w:r w:rsidR="00883AE7" w:rsidRPr="00E568C3">
        <w:rPr>
          <w:bCs/>
          <w:szCs w:val="22"/>
        </w:rPr>
        <w:t>v</w:t>
      </w:r>
      <w:r w:rsidRPr="00E568C3">
        <w:rPr>
          <w:bCs/>
          <w:szCs w:val="22"/>
        </w:rPr>
        <w:t>e (</w:t>
      </w:r>
      <w:r w:rsidR="00883AE7" w:rsidRPr="00E568C3">
        <w:rPr>
          <w:bCs/>
          <w:szCs w:val="22"/>
        </w:rPr>
        <w:t>S</w:t>
      </w:r>
      <w:r w:rsidRPr="00E568C3">
        <w:rPr>
          <w:bCs/>
          <w:szCs w:val="22"/>
        </w:rPr>
        <w:t>uisse), 5 n</w:t>
      </w:r>
      <w:r w:rsidR="00883AE7" w:rsidRPr="00E568C3">
        <w:rPr>
          <w:bCs/>
          <w:szCs w:val="22"/>
        </w:rPr>
        <w:t>ovembr</w:t>
      </w:r>
      <w:r w:rsidRPr="00E568C3">
        <w:rPr>
          <w:bCs/>
          <w:szCs w:val="22"/>
        </w:rPr>
        <w:t>e </w:t>
      </w:r>
      <w:r w:rsidR="00883AE7" w:rsidRPr="00E568C3">
        <w:rPr>
          <w:bCs/>
          <w:szCs w:val="22"/>
        </w:rPr>
        <w:t>2014;</w:t>
      </w:r>
    </w:p>
    <w:p w:rsidR="00F55AA9" w:rsidRDefault="00883AE7" w:rsidP="00883AE7">
      <w:pPr>
        <w:pStyle w:val="ONUMFS"/>
        <w:numPr>
          <w:ilvl w:val="0"/>
          <w:numId w:val="9"/>
        </w:numPr>
        <w:ind w:left="1134" w:hanging="567"/>
        <w:rPr>
          <w:szCs w:val="22"/>
        </w:rPr>
      </w:pPr>
      <w:r w:rsidRPr="00E568C3">
        <w:rPr>
          <w:i/>
          <w:szCs w:val="22"/>
        </w:rPr>
        <w:t xml:space="preserve">Forum </w:t>
      </w:r>
      <w:r w:rsidR="00A60808" w:rsidRPr="00E568C3">
        <w:rPr>
          <w:i/>
          <w:szCs w:val="22"/>
        </w:rPr>
        <w:t>mondial</w:t>
      </w:r>
      <w:r w:rsidR="00871730" w:rsidRPr="00E568C3">
        <w:rPr>
          <w:i/>
          <w:szCs w:val="22"/>
        </w:rPr>
        <w:t xml:space="preserve"> du COH</w:t>
      </w:r>
      <w:r w:rsidR="00A60808" w:rsidRPr="00E568C3">
        <w:rPr>
          <w:i/>
          <w:szCs w:val="22"/>
        </w:rPr>
        <w:t>RED sur la recherche</w:t>
      </w:r>
      <w:r w:rsidRPr="00E568C3">
        <w:rPr>
          <w:i/>
          <w:szCs w:val="22"/>
        </w:rPr>
        <w:t xml:space="preserve"> </w:t>
      </w:r>
      <w:r w:rsidR="00A60808" w:rsidRPr="00E568C3">
        <w:rPr>
          <w:i/>
          <w:szCs w:val="22"/>
        </w:rPr>
        <w:t>et l</w:t>
      </w:r>
      <w:r w:rsidR="00871730" w:rsidRPr="00E568C3">
        <w:rPr>
          <w:i/>
          <w:szCs w:val="22"/>
        </w:rPr>
        <w:t>’</w:t>
      </w:r>
      <w:r w:rsidR="00A60808" w:rsidRPr="00E568C3">
        <w:rPr>
          <w:i/>
          <w:szCs w:val="22"/>
        </w:rPr>
        <w:t>i</w:t>
      </w:r>
      <w:r w:rsidRPr="00E568C3">
        <w:rPr>
          <w:i/>
          <w:szCs w:val="22"/>
        </w:rPr>
        <w:t xml:space="preserve">nnovation </w:t>
      </w:r>
      <w:r w:rsidR="00A60808" w:rsidRPr="00E568C3">
        <w:rPr>
          <w:i/>
          <w:szCs w:val="22"/>
        </w:rPr>
        <w:t>au service de la santé </w:t>
      </w:r>
      <w:r w:rsidRPr="00E568C3">
        <w:rPr>
          <w:i/>
          <w:szCs w:val="22"/>
        </w:rPr>
        <w:t xml:space="preserve">2015, </w:t>
      </w:r>
      <w:r w:rsidRPr="00E568C3">
        <w:rPr>
          <w:szCs w:val="22"/>
        </w:rPr>
        <w:t>Manil</w:t>
      </w:r>
      <w:r w:rsidR="00A60808" w:rsidRPr="00E568C3">
        <w:rPr>
          <w:szCs w:val="22"/>
        </w:rPr>
        <w:t>le (</w:t>
      </w:r>
      <w:r w:rsidRPr="00E568C3">
        <w:rPr>
          <w:szCs w:val="22"/>
        </w:rPr>
        <w:t>Philippines</w:t>
      </w:r>
      <w:r w:rsidR="00A60808" w:rsidRPr="00E568C3">
        <w:rPr>
          <w:szCs w:val="22"/>
        </w:rPr>
        <w:t>)</w:t>
      </w:r>
      <w:r w:rsidRPr="00E568C3">
        <w:rPr>
          <w:szCs w:val="22"/>
        </w:rPr>
        <w:t>, 24</w:t>
      </w:r>
      <w:r w:rsidR="00871730" w:rsidRPr="00E568C3">
        <w:rPr>
          <w:szCs w:val="22"/>
        </w:rPr>
        <w:t xml:space="preserve"> – </w:t>
      </w:r>
      <w:r w:rsidRPr="00E568C3">
        <w:rPr>
          <w:szCs w:val="22"/>
        </w:rPr>
        <w:t>27</w:t>
      </w:r>
      <w:r w:rsidR="00A60808" w:rsidRPr="00E568C3">
        <w:rPr>
          <w:szCs w:val="22"/>
        </w:rPr>
        <w:t> août </w:t>
      </w:r>
      <w:r w:rsidRPr="00E568C3">
        <w:rPr>
          <w:szCs w:val="22"/>
        </w:rPr>
        <w:t>2015</w:t>
      </w:r>
      <w:r w:rsidR="00A60808" w:rsidRPr="00E568C3">
        <w:rPr>
          <w:szCs w:val="22"/>
        </w:rPr>
        <w:t>;</w:t>
      </w:r>
    </w:p>
    <w:p w:rsidR="00F55AA9" w:rsidRDefault="00A60808" w:rsidP="0096576C">
      <w:pPr>
        <w:pStyle w:val="ONUMFS"/>
        <w:numPr>
          <w:ilvl w:val="0"/>
          <w:numId w:val="9"/>
        </w:numPr>
        <w:tabs>
          <w:tab w:val="left" w:pos="567"/>
        </w:tabs>
        <w:ind w:left="1134" w:hanging="567"/>
        <w:rPr>
          <w:szCs w:val="22"/>
        </w:rPr>
      </w:pPr>
      <w:r w:rsidRPr="00E568C3">
        <w:rPr>
          <w:bCs/>
          <w:szCs w:val="22"/>
        </w:rPr>
        <w:t>Colloque conjoint OMS/OMPI/OMC</w:t>
      </w:r>
      <w:r w:rsidR="00883AE7" w:rsidRPr="00E568C3">
        <w:rPr>
          <w:szCs w:val="22"/>
        </w:rPr>
        <w:t xml:space="preserve"> </w:t>
      </w:r>
      <w:r w:rsidRPr="00E568C3">
        <w:rPr>
          <w:szCs w:val="22"/>
        </w:rPr>
        <w:t>sur le thème</w:t>
      </w:r>
      <w:r w:rsidR="008A2E3E" w:rsidRPr="00E568C3">
        <w:rPr>
          <w:szCs w:val="22"/>
        </w:rPr>
        <w:t> </w:t>
      </w:r>
      <w:r w:rsidRPr="00E568C3">
        <w:rPr>
          <w:i/>
          <w:szCs w:val="22"/>
        </w:rPr>
        <w:t>Santé p</w:t>
      </w:r>
      <w:r w:rsidR="00883AE7" w:rsidRPr="00E568C3">
        <w:rPr>
          <w:i/>
          <w:szCs w:val="22"/>
        </w:rPr>
        <w:t>ubli</w:t>
      </w:r>
      <w:r w:rsidRPr="00E568C3">
        <w:rPr>
          <w:i/>
          <w:szCs w:val="22"/>
        </w:rPr>
        <w:t>que, propriété i</w:t>
      </w:r>
      <w:r w:rsidR="00883AE7" w:rsidRPr="00E568C3">
        <w:rPr>
          <w:i/>
          <w:szCs w:val="22"/>
        </w:rPr>
        <w:t>ntellectu</w:t>
      </w:r>
      <w:r w:rsidRPr="00E568C3">
        <w:rPr>
          <w:i/>
          <w:szCs w:val="22"/>
        </w:rPr>
        <w:t>elle et Accord sur</w:t>
      </w:r>
      <w:r w:rsidR="00871730" w:rsidRPr="00E568C3">
        <w:rPr>
          <w:i/>
          <w:szCs w:val="22"/>
        </w:rPr>
        <w:t xml:space="preserve"> les ADP</w:t>
      </w:r>
      <w:r w:rsidRPr="00E568C3">
        <w:rPr>
          <w:i/>
          <w:szCs w:val="22"/>
        </w:rPr>
        <w:t xml:space="preserve">IC : 20 ans déjà : Innovation et accès aux médicaments; </w:t>
      </w:r>
      <w:r w:rsidR="0096576C" w:rsidRPr="00E568C3">
        <w:rPr>
          <w:i/>
          <w:szCs w:val="22"/>
        </w:rPr>
        <w:t xml:space="preserve"> </w:t>
      </w:r>
      <w:r w:rsidRPr="00E568C3">
        <w:rPr>
          <w:i/>
          <w:szCs w:val="22"/>
        </w:rPr>
        <w:t>tirer les enseignements du passé pour éclairer l</w:t>
      </w:r>
      <w:r w:rsidR="00871730" w:rsidRPr="00E568C3">
        <w:rPr>
          <w:i/>
          <w:szCs w:val="22"/>
        </w:rPr>
        <w:t>’</w:t>
      </w:r>
      <w:r w:rsidRPr="00E568C3">
        <w:rPr>
          <w:i/>
          <w:szCs w:val="22"/>
        </w:rPr>
        <w:t>avenir</w:t>
      </w:r>
      <w:r w:rsidR="00883AE7" w:rsidRPr="00E568C3">
        <w:rPr>
          <w:i/>
          <w:szCs w:val="22"/>
        </w:rPr>
        <w:t>,</w:t>
      </w:r>
      <w:r w:rsidR="00883AE7" w:rsidRPr="00E568C3">
        <w:rPr>
          <w:szCs w:val="22"/>
        </w:rPr>
        <w:t xml:space="preserve"> Gen</w:t>
      </w:r>
      <w:r w:rsidRPr="00E568C3">
        <w:rPr>
          <w:szCs w:val="22"/>
        </w:rPr>
        <w:t>è</w:t>
      </w:r>
      <w:r w:rsidR="00883AE7" w:rsidRPr="00E568C3">
        <w:rPr>
          <w:szCs w:val="22"/>
        </w:rPr>
        <w:t>v</w:t>
      </w:r>
      <w:r w:rsidRPr="00E568C3">
        <w:rPr>
          <w:szCs w:val="22"/>
        </w:rPr>
        <w:t>e (</w:t>
      </w:r>
      <w:r w:rsidR="00883AE7" w:rsidRPr="00E568C3">
        <w:rPr>
          <w:szCs w:val="22"/>
        </w:rPr>
        <w:t>S</w:t>
      </w:r>
      <w:r w:rsidRPr="00E568C3">
        <w:rPr>
          <w:szCs w:val="22"/>
        </w:rPr>
        <w:t>u</w:t>
      </w:r>
      <w:r w:rsidR="00883AE7" w:rsidRPr="00E568C3">
        <w:rPr>
          <w:szCs w:val="22"/>
        </w:rPr>
        <w:t>i</w:t>
      </w:r>
      <w:r w:rsidRPr="00E568C3">
        <w:rPr>
          <w:szCs w:val="22"/>
        </w:rPr>
        <w:t>ss</w:t>
      </w:r>
      <w:r w:rsidR="00883AE7" w:rsidRPr="00E568C3">
        <w:rPr>
          <w:szCs w:val="22"/>
        </w:rPr>
        <w:t>e</w:t>
      </w:r>
      <w:r w:rsidRPr="00E568C3">
        <w:rPr>
          <w:szCs w:val="22"/>
        </w:rPr>
        <w:t>),</w:t>
      </w:r>
      <w:r w:rsidR="00883AE7" w:rsidRPr="00E568C3">
        <w:rPr>
          <w:szCs w:val="22"/>
        </w:rPr>
        <w:t xml:space="preserve"> </w:t>
      </w:r>
      <w:r w:rsidRPr="00E568C3">
        <w:rPr>
          <w:szCs w:val="22"/>
        </w:rPr>
        <w:t>27 o</w:t>
      </w:r>
      <w:r w:rsidR="00883AE7" w:rsidRPr="00E568C3">
        <w:rPr>
          <w:szCs w:val="22"/>
        </w:rPr>
        <w:t>ctobr</w:t>
      </w:r>
      <w:r w:rsidRPr="00E568C3">
        <w:rPr>
          <w:szCs w:val="22"/>
        </w:rPr>
        <w:t>e </w:t>
      </w:r>
      <w:r w:rsidR="00883AE7" w:rsidRPr="00E568C3">
        <w:rPr>
          <w:szCs w:val="22"/>
        </w:rPr>
        <w:t>2015.</w:t>
      </w:r>
    </w:p>
    <w:p w:rsidR="00F55AA9" w:rsidRDefault="00977E68" w:rsidP="00883AE7">
      <w:pPr>
        <w:pStyle w:val="ONUMFS"/>
      </w:pPr>
      <w:r w:rsidRPr="00E568C3">
        <w:t>L</w:t>
      </w:r>
      <w:r w:rsidR="00871730" w:rsidRPr="00E568C3">
        <w:t>’</w:t>
      </w:r>
      <w:r w:rsidRPr="00E568C3">
        <w:t>Académie de l</w:t>
      </w:r>
      <w:r w:rsidR="00871730" w:rsidRPr="00E568C3">
        <w:t>’</w:t>
      </w:r>
      <w:r w:rsidRPr="00E568C3">
        <w:t>OMPI a créé un programme spécial sur le transfert de</w:t>
      </w:r>
      <w:r w:rsidR="00883AE7" w:rsidRPr="00E568C3">
        <w:t xml:space="preserve"> technolog</w:t>
      </w:r>
      <w:r w:rsidRPr="00E568C3">
        <w:t>ie pour les cours d</w:t>
      </w:r>
      <w:r w:rsidR="00871730" w:rsidRPr="00E568C3">
        <w:t>’</w:t>
      </w:r>
      <w:r w:rsidRPr="00E568C3">
        <w:t>été OMPI</w:t>
      </w:r>
      <w:r w:rsidR="006A3508" w:rsidRPr="00E568C3">
        <w:noBreakHyphen/>
      </w:r>
      <w:r w:rsidRPr="00E568C3">
        <w:t xml:space="preserve">Afrique du Sud, qui est </w:t>
      </w:r>
      <w:r w:rsidR="00883AE7" w:rsidRPr="00E568C3">
        <w:t>organi</w:t>
      </w:r>
      <w:r w:rsidRPr="00E568C3">
        <w:t xml:space="preserve">sé une fois par an à </w:t>
      </w:r>
      <w:r w:rsidR="00883AE7" w:rsidRPr="00E568C3">
        <w:t>Durban</w:t>
      </w:r>
      <w:r w:rsidRPr="00E568C3">
        <w:t xml:space="preserve"> (</w:t>
      </w:r>
      <w:r w:rsidR="00883AE7" w:rsidRPr="00E568C3">
        <w:t>Afri</w:t>
      </w:r>
      <w:r w:rsidRPr="00E568C3">
        <w:t>que du Sud) e</w:t>
      </w:r>
      <w:r w:rsidR="00883AE7" w:rsidRPr="00E568C3">
        <w:t xml:space="preserve">n </w:t>
      </w:r>
      <w:r w:rsidRPr="00E568C3">
        <w:t>n</w:t>
      </w:r>
      <w:r w:rsidR="00883AE7" w:rsidRPr="00E568C3">
        <w:t>ovembr</w:t>
      </w:r>
      <w:r w:rsidRPr="00E568C3">
        <w:t>e</w:t>
      </w:r>
      <w:r w:rsidR="00883AE7" w:rsidRPr="00E568C3">
        <w:t xml:space="preserve"> (2014 </w:t>
      </w:r>
      <w:r w:rsidRPr="00E568C3">
        <w:t>et</w:t>
      </w:r>
      <w:r w:rsidR="00883AE7" w:rsidRPr="00E568C3">
        <w:t xml:space="preserve"> 2015), </w:t>
      </w:r>
      <w:r w:rsidRPr="00E568C3">
        <w:t>essentiellement à l</w:t>
      </w:r>
      <w:r w:rsidR="00871730" w:rsidRPr="00E568C3">
        <w:t>’</w:t>
      </w:r>
      <w:r w:rsidRPr="00E568C3">
        <w:t>intention des spécialistes de</w:t>
      </w:r>
      <w:r w:rsidR="00ED6771" w:rsidRPr="00E568C3">
        <w:t>s</w:t>
      </w:r>
      <w:r w:rsidRPr="00E568C3">
        <w:t xml:space="preserve"> pays en développeme</w:t>
      </w:r>
      <w:r w:rsidR="006A3508" w:rsidRPr="00E568C3">
        <w:t>nt.  La</w:t>
      </w:r>
      <w:r w:rsidRPr="00E568C3">
        <w:t xml:space="preserve"> formation d</w:t>
      </w:r>
      <w:r w:rsidR="00871730" w:rsidRPr="00E568C3">
        <w:t>’</w:t>
      </w:r>
      <w:r w:rsidRPr="00E568C3">
        <w:t>une journée sur le transfert de t</w:t>
      </w:r>
      <w:r w:rsidR="00883AE7" w:rsidRPr="00E568C3">
        <w:t>echnolog</w:t>
      </w:r>
      <w:r w:rsidRPr="00E568C3">
        <w:t>ie et la concession de licences est également intégrée dans</w:t>
      </w:r>
      <w:r w:rsidR="006A5291" w:rsidRPr="00E568C3">
        <w:t xml:space="preserve"> </w:t>
      </w:r>
      <w:r w:rsidRPr="00E568C3">
        <w:t>le colloque OMPI</w:t>
      </w:r>
      <w:r w:rsidR="00883AE7" w:rsidRPr="00E568C3">
        <w:t>/O</w:t>
      </w:r>
      <w:r w:rsidRPr="00E568C3">
        <w:t>MC pour les enseignants de propriété intellectu</w:t>
      </w:r>
      <w:r w:rsidR="006A5291" w:rsidRPr="00E568C3">
        <w:t>e</w:t>
      </w:r>
      <w:r w:rsidRPr="00E568C3">
        <w:t>lle qui est proposé conjointement par les deux</w:t>
      </w:r>
      <w:r w:rsidR="006A5291" w:rsidRPr="00E568C3">
        <w:t> </w:t>
      </w:r>
      <w:r w:rsidRPr="00E568C3">
        <w:t>o</w:t>
      </w:r>
      <w:r w:rsidR="00883AE7" w:rsidRPr="00E568C3">
        <w:t>rgani</w:t>
      </w:r>
      <w:r w:rsidRPr="00E568C3">
        <w:t>s</w:t>
      </w:r>
      <w:r w:rsidR="00883AE7" w:rsidRPr="00E568C3">
        <w:t xml:space="preserve">ations </w:t>
      </w:r>
      <w:r w:rsidR="006A5291" w:rsidRPr="00E568C3">
        <w:t xml:space="preserve">une fois par an </w:t>
      </w:r>
      <w:r w:rsidRPr="00E568C3">
        <w:t>à</w:t>
      </w:r>
      <w:r w:rsidR="00883AE7" w:rsidRPr="00E568C3">
        <w:t xml:space="preserve"> Gen</w:t>
      </w:r>
      <w:r w:rsidRPr="00E568C3">
        <w:t>ève</w:t>
      </w:r>
      <w:r w:rsidR="00883AE7" w:rsidRPr="00E568C3">
        <w:t xml:space="preserve"> (</w:t>
      </w:r>
      <w:r w:rsidR="006A5291" w:rsidRPr="00E568C3">
        <w:t>juin </w:t>
      </w:r>
      <w:r w:rsidR="00883AE7" w:rsidRPr="00E568C3">
        <w:t>2014/</w:t>
      </w:r>
      <w:r w:rsidR="006A5291" w:rsidRPr="00E568C3">
        <w:t>juin </w:t>
      </w:r>
      <w:r w:rsidR="00883AE7" w:rsidRPr="00E568C3">
        <w:t xml:space="preserve">2015).  </w:t>
      </w:r>
      <w:r w:rsidR="006A5291" w:rsidRPr="00E568C3">
        <w:t xml:space="preserve">Pour les fonctionnaires publics et les responsables des </w:t>
      </w:r>
      <w:r w:rsidR="00883AE7" w:rsidRPr="00E568C3">
        <w:t>poli</w:t>
      </w:r>
      <w:r w:rsidR="006A5291" w:rsidRPr="00E568C3">
        <w:t xml:space="preserve">tiques des pays en développement, le sujet est </w:t>
      </w:r>
      <w:r w:rsidR="00883AE7" w:rsidRPr="00E568C3">
        <w:t>inclu</w:t>
      </w:r>
      <w:r w:rsidR="006A5291" w:rsidRPr="00E568C3">
        <w:t>s dans le cours avancé OMPI</w:t>
      </w:r>
      <w:r w:rsidR="00883AE7" w:rsidRPr="00E568C3">
        <w:t>/O</w:t>
      </w:r>
      <w:r w:rsidR="006A5291" w:rsidRPr="00E568C3">
        <w:t>MC sur la politique commerciale, organisé généralement deux à trois fois par an à Genève</w:t>
      </w:r>
      <w:r w:rsidR="00883AE7" w:rsidRPr="00E568C3">
        <w:t xml:space="preserve"> (</w:t>
      </w:r>
      <w:r w:rsidR="006A5291" w:rsidRPr="00E568C3">
        <w:t>e</w:t>
      </w:r>
      <w:r w:rsidR="00883AE7" w:rsidRPr="00E568C3">
        <w:t>n</w:t>
      </w:r>
      <w:r w:rsidR="006A5291" w:rsidRPr="00E568C3">
        <w:t> </w:t>
      </w:r>
      <w:r w:rsidR="00883AE7" w:rsidRPr="00E568C3">
        <w:t>2014</w:t>
      </w:r>
      <w:r w:rsidR="006A5291" w:rsidRPr="00E568C3">
        <w:t>, la formation a eu lieu en février et octobre;  e</w:t>
      </w:r>
      <w:r w:rsidR="00883AE7" w:rsidRPr="00E568C3">
        <w:t>n</w:t>
      </w:r>
      <w:r w:rsidR="006A5291" w:rsidRPr="00E568C3">
        <w:t> </w:t>
      </w:r>
      <w:r w:rsidR="00883AE7" w:rsidRPr="00E568C3">
        <w:t>2015</w:t>
      </w:r>
      <w:r w:rsidR="006A5291" w:rsidRPr="00E568C3">
        <w:t>, l</w:t>
      </w:r>
      <w:r w:rsidR="00883AE7" w:rsidRPr="00E568C3">
        <w:t>e cours</w:t>
      </w:r>
      <w:r w:rsidR="006A5291" w:rsidRPr="00E568C3">
        <w:t xml:space="preserve"> </w:t>
      </w:r>
      <w:r w:rsidR="00883AE7" w:rsidRPr="00E568C3">
        <w:t>a</w:t>
      </w:r>
      <w:r w:rsidR="006A5291" w:rsidRPr="00E568C3">
        <w:t xml:space="preserve"> été</w:t>
      </w:r>
      <w:r w:rsidR="00883AE7" w:rsidRPr="00E568C3">
        <w:t xml:space="preserve"> organi</w:t>
      </w:r>
      <w:r w:rsidR="006A5291" w:rsidRPr="00E568C3">
        <w:t xml:space="preserve">sé en février, juillet et </w:t>
      </w:r>
      <w:r w:rsidR="00883AE7" w:rsidRPr="00E568C3">
        <w:t>novembr</w:t>
      </w:r>
      <w:r w:rsidR="006A5291" w:rsidRPr="00E568C3">
        <w:t>e</w:t>
      </w:r>
      <w:r w:rsidR="00883AE7" w:rsidRPr="00E568C3">
        <w:t>).</w:t>
      </w:r>
    </w:p>
    <w:p w:rsidR="00F55AA9" w:rsidRDefault="006A5291" w:rsidP="00883AE7">
      <w:pPr>
        <w:pStyle w:val="ONUMFS"/>
      </w:pPr>
      <w:r w:rsidRPr="00E568C3">
        <w:t>Grâce à la</w:t>
      </w:r>
      <w:r w:rsidR="00883AE7" w:rsidRPr="00E568C3">
        <w:t xml:space="preserve"> collaboration </w:t>
      </w:r>
      <w:r w:rsidRPr="00E568C3">
        <w:t>de</w:t>
      </w:r>
      <w:r w:rsidR="00883AE7" w:rsidRPr="00E568C3">
        <w:t xml:space="preserve"> </w:t>
      </w:r>
      <w:r w:rsidRPr="00E568C3">
        <w:t>l</w:t>
      </w:r>
      <w:r w:rsidR="00871730" w:rsidRPr="00E568C3">
        <w:t>’</w:t>
      </w:r>
      <w:r w:rsidR="00883AE7" w:rsidRPr="00E568C3">
        <w:t>Acad</w:t>
      </w:r>
      <w:r w:rsidRPr="00E568C3">
        <w:t>émie avec différents établissements universitaires,</w:t>
      </w:r>
      <w:r w:rsidR="00883AE7" w:rsidRPr="00E568C3">
        <w:t xml:space="preserve"> </w:t>
      </w:r>
      <w:r w:rsidRPr="00E568C3">
        <w:t>l</w:t>
      </w:r>
      <w:r w:rsidR="00871730" w:rsidRPr="00E568C3">
        <w:t>’</w:t>
      </w:r>
      <w:r w:rsidRPr="00E568C3">
        <w:t>OMPI est également devenue un partenaire dans la cré</w:t>
      </w:r>
      <w:r w:rsidR="00883AE7" w:rsidRPr="00E568C3">
        <w:t xml:space="preserve">ation </w:t>
      </w:r>
      <w:r w:rsidRPr="00E568C3">
        <w:t>de cours de m</w:t>
      </w:r>
      <w:r w:rsidR="00883AE7" w:rsidRPr="00E568C3">
        <w:t xml:space="preserve">aster </w:t>
      </w:r>
      <w:r w:rsidR="00ED6771" w:rsidRPr="00E568C3">
        <w:t>en droit de</w:t>
      </w:r>
      <w:r w:rsidRPr="00E568C3">
        <w:t xml:space="preserve"> la propriété i</w:t>
      </w:r>
      <w:r w:rsidR="00883AE7" w:rsidRPr="00E568C3">
        <w:t>ntellectu</w:t>
      </w:r>
      <w:r w:rsidRPr="00E568C3">
        <w:t>e</w:t>
      </w:r>
      <w:r w:rsidR="00883AE7" w:rsidRPr="00E568C3">
        <w:t>l</w:t>
      </w:r>
      <w:r w:rsidRPr="00E568C3">
        <w:t>le</w:t>
      </w:r>
      <w:r w:rsidR="00ED6771" w:rsidRPr="00E568C3">
        <w:t xml:space="preserve"> (LLM)</w:t>
      </w:r>
      <w:r w:rsidR="00883AE7" w:rsidRPr="00E568C3">
        <w:t xml:space="preserve">, </w:t>
      </w:r>
      <w:r w:rsidR="008539A0" w:rsidRPr="00E568C3">
        <w:t>pour l</w:t>
      </w:r>
      <w:r w:rsidRPr="00E568C3">
        <w:t>esquels la</w:t>
      </w:r>
      <w:r w:rsidR="00883AE7" w:rsidRPr="00E568C3">
        <w:t xml:space="preserve"> participation </w:t>
      </w:r>
      <w:r w:rsidRPr="00E568C3">
        <w:t>d</w:t>
      </w:r>
      <w:r w:rsidR="00871730" w:rsidRPr="00E568C3">
        <w:t>’</w:t>
      </w:r>
      <w:r w:rsidRPr="00E568C3">
        <w:t>é</w:t>
      </w:r>
      <w:r w:rsidR="00883AE7" w:rsidRPr="00E568C3">
        <w:t>tud</w:t>
      </w:r>
      <w:r w:rsidRPr="00E568C3">
        <w:t>ia</w:t>
      </w:r>
      <w:r w:rsidR="00883AE7" w:rsidRPr="00E568C3">
        <w:t xml:space="preserve">nts </w:t>
      </w:r>
      <w:r w:rsidRPr="00E568C3">
        <w:t>de pays en développement est pr</w:t>
      </w:r>
      <w:r w:rsidR="005A6B08" w:rsidRPr="00E568C3">
        <w:t>i</w:t>
      </w:r>
      <w:r w:rsidRPr="00E568C3">
        <w:t>ncipalement parrainée par l</w:t>
      </w:r>
      <w:r w:rsidR="00871730" w:rsidRPr="00E568C3">
        <w:t>’</w:t>
      </w:r>
      <w:r w:rsidRPr="00E568C3">
        <w:t>O</w:t>
      </w:r>
      <w:r w:rsidR="006A3508" w:rsidRPr="00E568C3">
        <w:t>MPI.  Le</w:t>
      </w:r>
      <w:r w:rsidRPr="00E568C3">
        <w:t xml:space="preserve">s questions </w:t>
      </w:r>
      <w:r w:rsidR="005A6B08" w:rsidRPr="00E568C3">
        <w:t>re</w:t>
      </w:r>
      <w:r w:rsidRPr="00E568C3">
        <w:t>l</w:t>
      </w:r>
      <w:r w:rsidR="005A6B08" w:rsidRPr="00E568C3">
        <w:t>at</w:t>
      </w:r>
      <w:r w:rsidRPr="00E568C3">
        <w:t>i</w:t>
      </w:r>
      <w:r w:rsidR="005A6B08" w:rsidRPr="00E568C3">
        <w:t>v</w:t>
      </w:r>
      <w:r w:rsidRPr="00E568C3">
        <w:t xml:space="preserve">es au transfert de </w:t>
      </w:r>
      <w:r w:rsidR="008539A0" w:rsidRPr="00E568C3">
        <w:t>savoir</w:t>
      </w:r>
      <w:r w:rsidRPr="00E568C3">
        <w:t xml:space="preserve"> et de </w:t>
      </w:r>
      <w:r w:rsidR="00883AE7" w:rsidRPr="00E568C3">
        <w:t>technolog</w:t>
      </w:r>
      <w:r w:rsidRPr="00E568C3">
        <w:t xml:space="preserve">ie </w:t>
      </w:r>
      <w:r w:rsidR="008539A0" w:rsidRPr="00E568C3">
        <w:t>s</w:t>
      </w:r>
      <w:r w:rsidRPr="00E568C3">
        <w:t xml:space="preserve">ont </w:t>
      </w:r>
      <w:r w:rsidR="008539A0" w:rsidRPr="00E568C3">
        <w:t>intégrées dans l</w:t>
      </w:r>
      <w:r w:rsidRPr="00E568C3">
        <w:t>e programme d</w:t>
      </w:r>
      <w:r w:rsidR="00871730" w:rsidRPr="00E568C3">
        <w:t>’</w:t>
      </w:r>
      <w:r w:rsidRPr="00E568C3">
        <w:t xml:space="preserve">étude de ces cours </w:t>
      </w:r>
      <w:r w:rsidR="00883AE7" w:rsidRPr="00E568C3">
        <w:t xml:space="preserve">LLM </w:t>
      </w:r>
      <w:r w:rsidRPr="00E568C3">
        <w:t xml:space="preserve">sous </w:t>
      </w:r>
      <w:r w:rsidR="00883AE7" w:rsidRPr="00E568C3">
        <w:t>diff</w:t>
      </w:r>
      <w:r w:rsidRPr="00E568C3">
        <w:t>é</w:t>
      </w:r>
      <w:r w:rsidR="00883AE7" w:rsidRPr="00E568C3">
        <w:t>rent</w:t>
      </w:r>
      <w:r w:rsidRPr="00E568C3">
        <w:t>es</w:t>
      </w:r>
      <w:r w:rsidR="00883AE7" w:rsidRPr="00E568C3">
        <w:t xml:space="preserve"> form</w:t>
      </w:r>
      <w:r w:rsidRPr="00E568C3">
        <w:t>e</w:t>
      </w:r>
      <w:r w:rsidR="00883AE7" w:rsidRPr="00E568C3">
        <w:t xml:space="preserve">s, </w:t>
      </w:r>
      <w:r w:rsidRPr="00E568C3">
        <w:t xml:space="preserve">combinant la plupart du temps une partie </w:t>
      </w:r>
      <w:r w:rsidR="00883AE7" w:rsidRPr="00E568C3">
        <w:t>th</w:t>
      </w:r>
      <w:r w:rsidRPr="00E568C3">
        <w:t>é</w:t>
      </w:r>
      <w:r w:rsidR="00883AE7" w:rsidRPr="00E568C3">
        <w:t>or</w:t>
      </w:r>
      <w:r w:rsidRPr="00E568C3">
        <w:t>ique et des exercices</w:t>
      </w:r>
      <w:r w:rsidR="00883AE7" w:rsidRPr="00E568C3">
        <w:t xml:space="preserve"> prati</w:t>
      </w:r>
      <w:r w:rsidRPr="00E568C3">
        <w:t>ques portant sur l</w:t>
      </w:r>
      <w:r w:rsidR="00871730" w:rsidRPr="00E568C3">
        <w:t>’</w:t>
      </w:r>
      <w:r w:rsidRPr="00E568C3">
        <w:t>utilisation de la p</w:t>
      </w:r>
      <w:r w:rsidR="005A6B08" w:rsidRPr="00E568C3">
        <w:t>r</w:t>
      </w:r>
      <w:r w:rsidRPr="00E568C3">
        <w:t>opriété intellectue</w:t>
      </w:r>
      <w:r w:rsidR="005A6B08" w:rsidRPr="00E568C3">
        <w:t>l</w:t>
      </w:r>
      <w:r w:rsidRPr="00E568C3">
        <w:t>le dans ce</w:t>
      </w:r>
      <w:r w:rsidR="00883AE7" w:rsidRPr="00E568C3">
        <w:t xml:space="preserve"> contex</w:t>
      </w:r>
      <w:r w:rsidR="006A3508" w:rsidRPr="00E568C3">
        <w:t>te.  Ce</w:t>
      </w:r>
      <w:r w:rsidR="005A6B08" w:rsidRPr="00E568C3">
        <w:t>s</w:t>
      </w:r>
      <w:r w:rsidR="00883AE7" w:rsidRPr="00E568C3">
        <w:t xml:space="preserve"> program</w:t>
      </w:r>
      <w:r w:rsidR="005A6B08" w:rsidRPr="00E568C3">
        <w:t>me</w:t>
      </w:r>
      <w:r w:rsidR="00883AE7" w:rsidRPr="00E568C3">
        <w:t xml:space="preserve">s </w:t>
      </w:r>
      <w:r w:rsidR="005A6B08" w:rsidRPr="00E568C3">
        <w:t>sont mis au point e</w:t>
      </w:r>
      <w:r w:rsidR="00883AE7" w:rsidRPr="00E568C3">
        <w:t>n coop</w:t>
      </w:r>
      <w:r w:rsidR="005A6B08" w:rsidRPr="00E568C3">
        <w:t>é</w:t>
      </w:r>
      <w:r w:rsidR="00883AE7" w:rsidRPr="00E568C3">
        <w:t xml:space="preserve">ration </w:t>
      </w:r>
      <w:r w:rsidR="005A6B08" w:rsidRPr="00E568C3">
        <w:t>avec l</w:t>
      </w:r>
      <w:r w:rsidR="00871730" w:rsidRPr="00E568C3">
        <w:t>’</w:t>
      </w:r>
      <w:r w:rsidR="005A6B08" w:rsidRPr="00E568C3">
        <w:t>Université de</w:t>
      </w:r>
      <w:r w:rsidR="00883AE7" w:rsidRPr="00E568C3">
        <w:t xml:space="preserve"> Turin (Ital</w:t>
      </w:r>
      <w:r w:rsidR="005A6B08" w:rsidRPr="00E568C3">
        <w:t>ie</w:t>
      </w:r>
      <w:r w:rsidR="00883AE7" w:rsidRPr="00E568C3">
        <w:t xml:space="preserve">), </w:t>
      </w:r>
      <w:r w:rsidR="005A6B08" w:rsidRPr="00E568C3">
        <w:t>l</w:t>
      </w:r>
      <w:r w:rsidR="00871730" w:rsidRPr="00E568C3">
        <w:t>’</w:t>
      </w:r>
      <w:r w:rsidR="005A6B08" w:rsidRPr="00E568C3">
        <w:t>Universit</w:t>
      </w:r>
      <w:r w:rsidR="00E62607" w:rsidRPr="00E568C3">
        <w:t xml:space="preserve">é </w:t>
      </w:r>
      <w:proofErr w:type="spellStart"/>
      <w:r w:rsidR="00E62607" w:rsidRPr="00E568C3">
        <w:t>Africa</w:t>
      </w:r>
      <w:proofErr w:type="spellEnd"/>
      <w:r w:rsidR="005A6B08" w:rsidRPr="00E568C3">
        <w:t xml:space="preserve"> </w:t>
      </w:r>
      <w:r w:rsidR="00E62607" w:rsidRPr="00E568C3">
        <w:t xml:space="preserve">à </w:t>
      </w:r>
      <w:r w:rsidR="005A6B08" w:rsidRPr="00E568C3">
        <w:t>Mutare</w:t>
      </w:r>
      <w:r w:rsidR="00E62607" w:rsidRPr="00E568C3">
        <w:t xml:space="preserve"> (</w:t>
      </w:r>
      <w:r w:rsidR="005A6B08" w:rsidRPr="00E568C3">
        <w:t>Zimbabwe), la Q</w:t>
      </w:r>
      <w:r w:rsidR="00883AE7" w:rsidRPr="00E568C3">
        <w:t xml:space="preserve">ueensland </w:t>
      </w:r>
      <w:proofErr w:type="spellStart"/>
      <w:r w:rsidR="00883AE7" w:rsidRPr="00E568C3">
        <w:t>University</w:t>
      </w:r>
      <w:proofErr w:type="spellEnd"/>
      <w:r w:rsidR="00883AE7" w:rsidRPr="00E568C3">
        <w:t xml:space="preserve"> of </w:t>
      </w:r>
      <w:proofErr w:type="spellStart"/>
      <w:r w:rsidR="00883AE7" w:rsidRPr="00E568C3">
        <w:t>Technology</w:t>
      </w:r>
      <w:proofErr w:type="spellEnd"/>
      <w:r w:rsidR="00883AE7" w:rsidRPr="00E568C3">
        <w:t xml:space="preserve"> </w:t>
      </w:r>
      <w:r w:rsidR="00E62607" w:rsidRPr="00E568C3">
        <w:t xml:space="preserve">à </w:t>
      </w:r>
      <w:r w:rsidR="00883AE7" w:rsidRPr="00E568C3">
        <w:t>Brisbane</w:t>
      </w:r>
      <w:r w:rsidR="00E62607" w:rsidRPr="00E568C3">
        <w:t xml:space="preserve"> (</w:t>
      </w:r>
      <w:r w:rsidR="00883AE7" w:rsidRPr="00E568C3">
        <w:t>Australi</w:t>
      </w:r>
      <w:r w:rsidR="005A6B08" w:rsidRPr="00E568C3">
        <w:t>e</w:t>
      </w:r>
      <w:r w:rsidR="00883AE7" w:rsidRPr="00E568C3">
        <w:t xml:space="preserve">) </w:t>
      </w:r>
      <w:r w:rsidR="005A6B08" w:rsidRPr="00E568C3">
        <w:t>et l</w:t>
      </w:r>
      <w:r w:rsidR="00871730" w:rsidRPr="00E568C3">
        <w:t>’</w:t>
      </w:r>
      <w:r w:rsidR="00883AE7" w:rsidRPr="00E568C3">
        <w:t>Universit</w:t>
      </w:r>
      <w:r w:rsidR="005A6B08" w:rsidRPr="00E568C3">
        <w:t>é australe</w:t>
      </w:r>
      <w:r w:rsidR="00883AE7" w:rsidRPr="00E568C3">
        <w:t xml:space="preserve"> </w:t>
      </w:r>
      <w:r w:rsidR="00E62607" w:rsidRPr="00E568C3">
        <w:t xml:space="preserve">à </w:t>
      </w:r>
      <w:r w:rsidR="00883AE7" w:rsidRPr="00E568C3">
        <w:t>Buenos Aires</w:t>
      </w:r>
      <w:r w:rsidR="00E62607" w:rsidRPr="00E568C3">
        <w:t xml:space="preserve"> (</w:t>
      </w:r>
      <w:r w:rsidR="00883AE7" w:rsidRPr="00E568C3">
        <w:t>Argentin</w:t>
      </w:r>
      <w:r w:rsidR="005A6B08" w:rsidRPr="00E568C3">
        <w:t>e</w:t>
      </w:r>
      <w:r w:rsidR="00883AE7" w:rsidRPr="00E568C3">
        <w:t xml:space="preserve">), </w:t>
      </w:r>
      <w:r w:rsidR="005A6B08" w:rsidRPr="00E568C3">
        <w:t xml:space="preserve">et sont proposés sur une base annuelle, avec des bourses pour les </w:t>
      </w:r>
      <w:r w:rsidR="00883AE7" w:rsidRPr="00E568C3">
        <w:t>participants</w:t>
      </w:r>
      <w:r w:rsidR="00871730" w:rsidRPr="00E568C3">
        <w:t xml:space="preserve"> des PMA</w:t>
      </w:r>
      <w:r w:rsidR="00883AE7" w:rsidRPr="00E568C3">
        <w:t xml:space="preserve">, </w:t>
      </w:r>
      <w:r w:rsidR="005A6B08" w:rsidRPr="00E568C3">
        <w:t>des pays en développement et des pays e</w:t>
      </w:r>
      <w:r w:rsidR="00883AE7" w:rsidRPr="00E568C3">
        <w:t>n transition.</w:t>
      </w:r>
    </w:p>
    <w:p w:rsidR="00F55AA9" w:rsidRDefault="00883AE7" w:rsidP="00883AE7">
      <w:pPr>
        <w:pStyle w:val="Heading2"/>
      </w:pPr>
      <w:r w:rsidRPr="00E568C3">
        <w:t>V</w:t>
      </w:r>
      <w:r w:rsidR="00C71996">
        <w:t>I</w:t>
      </w:r>
      <w:r w:rsidRPr="00E568C3">
        <w:t>.</w:t>
      </w:r>
      <w:r w:rsidRPr="00E568C3">
        <w:tab/>
      </w:r>
      <w:r w:rsidR="005A6B08" w:rsidRPr="00E568C3">
        <w:t>MISE AU POINT D</w:t>
      </w:r>
      <w:r w:rsidR="00871730" w:rsidRPr="00E568C3">
        <w:t>’</w:t>
      </w:r>
      <w:r w:rsidRPr="00E568C3">
        <w:t>o</w:t>
      </w:r>
      <w:r w:rsidR="005A6B08" w:rsidRPr="00E568C3">
        <w:t>U</w:t>
      </w:r>
      <w:r w:rsidRPr="00E568C3">
        <w:t>T</w:t>
      </w:r>
      <w:r w:rsidR="005A6B08" w:rsidRPr="00E568C3">
        <w:t>I</w:t>
      </w:r>
      <w:r w:rsidRPr="00E568C3">
        <w:t xml:space="preserve">ls, </w:t>
      </w:r>
      <w:r w:rsidR="005A6B08" w:rsidRPr="00E568C3">
        <w:t xml:space="preserve">DE </w:t>
      </w:r>
      <w:r w:rsidRPr="00E568C3">
        <w:t>Guides / Manu</w:t>
      </w:r>
      <w:r w:rsidR="005A6B08" w:rsidRPr="00E568C3">
        <w:t>E</w:t>
      </w:r>
      <w:r w:rsidRPr="00E568C3">
        <w:t xml:space="preserve">ls </w:t>
      </w:r>
      <w:r w:rsidR="005A6B08" w:rsidRPr="00E568C3">
        <w:t>ET DE</w:t>
      </w:r>
      <w:r w:rsidRPr="00E568C3">
        <w:t xml:space="preserve"> Mat</w:t>
      </w:r>
      <w:r w:rsidR="005A6B08" w:rsidRPr="00E568C3">
        <w:t>é</w:t>
      </w:r>
      <w:r w:rsidRPr="00E568C3">
        <w:t>ri</w:t>
      </w:r>
      <w:r w:rsidR="005A6B08" w:rsidRPr="00E568C3">
        <w:t>e</w:t>
      </w:r>
      <w:r w:rsidRPr="00E568C3">
        <w:t>ls</w:t>
      </w:r>
      <w:r w:rsidR="005A6B08" w:rsidRPr="00E568C3">
        <w:t xml:space="preserve"> de formation</w:t>
      </w:r>
    </w:p>
    <w:p w:rsidR="00F55AA9" w:rsidRDefault="00F55AA9" w:rsidP="00883AE7">
      <w:pPr>
        <w:rPr>
          <w:u w:val="single"/>
        </w:rPr>
      </w:pPr>
    </w:p>
    <w:p w:rsidR="00F55AA9" w:rsidRDefault="005A6B08" w:rsidP="00883AE7">
      <w:pPr>
        <w:pStyle w:val="ONUMFS"/>
      </w:pPr>
      <w:r w:rsidRPr="00E568C3">
        <w:t xml:space="preserve">La plupart des </w:t>
      </w:r>
      <w:r w:rsidR="00883AE7" w:rsidRPr="00E568C3">
        <w:t xml:space="preserve">guides </w:t>
      </w:r>
      <w:r w:rsidRPr="00E568C3">
        <w:t>et</w:t>
      </w:r>
      <w:r w:rsidR="00883AE7" w:rsidRPr="00E568C3">
        <w:t xml:space="preserve"> manu</w:t>
      </w:r>
      <w:r w:rsidRPr="00E568C3">
        <w:t>e</w:t>
      </w:r>
      <w:r w:rsidR="00883AE7" w:rsidRPr="00E568C3">
        <w:t xml:space="preserve">ls </w:t>
      </w:r>
      <w:r w:rsidRPr="00E568C3">
        <w:t>de l</w:t>
      </w:r>
      <w:r w:rsidR="00871730" w:rsidRPr="00E568C3">
        <w:t>’</w:t>
      </w:r>
      <w:r w:rsidRPr="00E568C3">
        <w:t xml:space="preserve">OMPI sont </w:t>
      </w:r>
      <w:r w:rsidR="008539A0" w:rsidRPr="00E568C3">
        <w:t>conçu</w:t>
      </w:r>
      <w:r w:rsidRPr="00E568C3">
        <w:t>s pour être utilisés dans le cadre de programmes de formation s</w:t>
      </w:r>
      <w:r w:rsidR="00883AE7" w:rsidRPr="00E568C3">
        <w:t>p</w:t>
      </w:r>
      <w:r w:rsidRPr="00E568C3">
        <w:t>é</w:t>
      </w:r>
      <w:r w:rsidR="00883AE7" w:rsidRPr="00E568C3">
        <w:t>cifi</w:t>
      </w:r>
      <w:r w:rsidRPr="00E568C3">
        <w:t>ques</w:t>
      </w:r>
      <w:r w:rsidR="00883AE7" w:rsidRPr="00E568C3">
        <w:t xml:space="preserve">, </w:t>
      </w:r>
      <w:r w:rsidRPr="00E568C3">
        <w:t>comme</w:t>
      </w:r>
      <w:r w:rsidR="00883AE7" w:rsidRPr="00E568C3">
        <w:t xml:space="preserve"> indi</w:t>
      </w:r>
      <w:r w:rsidRPr="00E568C3">
        <w:t xml:space="preserve">qué dans le </w:t>
      </w:r>
      <w:r w:rsidR="00883AE7" w:rsidRPr="00E568C3">
        <w:t>chap</w:t>
      </w:r>
      <w:r w:rsidRPr="00E568C3">
        <w:t>itre consacré aux p</w:t>
      </w:r>
      <w:r w:rsidR="00E62607" w:rsidRPr="00E568C3">
        <w:t>r</w:t>
      </w:r>
      <w:r w:rsidRPr="00E568C3">
        <w:t>ogrammes de renforcement des c</w:t>
      </w:r>
      <w:r w:rsidR="00883AE7" w:rsidRPr="00E568C3">
        <w:t>apacit</w:t>
      </w:r>
      <w:r w:rsidRPr="00E568C3">
        <w:t>és</w:t>
      </w:r>
      <w:r w:rsidR="00883AE7" w:rsidRPr="00E568C3">
        <w:t xml:space="preserve">.  </w:t>
      </w:r>
      <w:r w:rsidR="00E62607" w:rsidRPr="00E568C3">
        <w:t>L</w:t>
      </w:r>
      <w:r w:rsidR="00871730" w:rsidRPr="00E568C3">
        <w:t>’</w:t>
      </w:r>
      <w:r w:rsidR="00E62607" w:rsidRPr="00E568C3">
        <w:t xml:space="preserve">OMPI a </w:t>
      </w:r>
      <w:r w:rsidR="008539A0" w:rsidRPr="00E568C3">
        <w:t>élaboré</w:t>
      </w:r>
      <w:r w:rsidR="00E62607" w:rsidRPr="00E568C3">
        <w:t xml:space="preserve"> les manuels suivants </w:t>
      </w:r>
      <w:r w:rsidR="00883AE7" w:rsidRPr="00E568C3">
        <w:t>:</w:t>
      </w:r>
    </w:p>
    <w:p w:rsidR="00F55AA9" w:rsidRDefault="008539A0" w:rsidP="00883AE7">
      <w:pPr>
        <w:pStyle w:val="ONUMFS"/>
        <w:numPr>
          <w:ilvl w:val="0"/>
          <w:numId w:val="10"/>
        </w:numPr>
        <w:ind w:left="1134" w:hanging="567"/>
      </w:pPr>
      <w:r w:rsidRPr="00E568C3">
        <w:t>Instrument</w:t>
      </w:r>
      <w:r w:rsidR="00E62607" w:rsidRPr="00E568C3">
        <w:t xml:space="preserve"> de formation de l</w:t>
      </w:r>
      <w:r w:rsidR="00871730" w:rsidRPr="00E568C3">
        <w:t>’</w:t>
      </w:r>
      <w:r w:rsidR="00E62607" w:rsidRPr="00E568C3">
        <w:t>OMPI sur la rédaction des demandes de brevet</w:t>
      </w:r>
      <w:r w:rsidR="00883AE7" w:rsidRPr="00E568C3">
        <w:t xml:space="preserve"> – </w:t>
      </w:r>
      <w:r w:rsidR="00E62607" w:rsidRPr="00E568C3">
        <w:t xml:space="preserve">contenant le </w:t>
      </w:r>
      <w:r w:rsidRPr="00E568C3">
        <w:t>M</w:t>
      </w:r>
      <w:r w:rsidR="00E62607" w:rsidRPr="00E568C3">
        <w:t>anuel de l</w:t>
      </w:r>
      <w:r w:rsidR="00871730" w:rsidRPr="00E568C3">
        <w:t>’</w:t>
      </w:r>
      <w:r w:rsidR="00E62607" w:rsidRPr="00E568C3">
        <w:t>OMPI pour la rédaction des demandes de brevet (p</w:t>
      </w:r>
      <w:r w:rsidR="00883AE7" w:rsidRPr="00E568C3">
        <w:t>ublication n</w:t>
      </w:r>
      <w:r w:rsidR="008A2E3E" w:rsidRPr="00E568C3">
        <w:t>° </w:t>
      </w:r>
      <w:r w:rsidR="00883AE7" w:rsidRPr="00E568C3">
        <w:t>867</w:t>
      </w:r>
      <w:r w:rsidR="00E62607" w:rsidRPr="00E568C3">
        <w:t>)</w:t>
      </w:r>
      <w:r w:rsidR="00871730" w:rsidRPr="00E568C3">
        <w:t xml:space="preserve"> – </w:t>
      </w:r>
      <w:hyperlink r:id="rId21" w:history="1">
        <w:r w:rsidR="00E62607" w:rsidRPr="00E568C3">
          <w:rPr>
            <w:rStyle w:val="Hyperlink"/>
            <w:color w:val="auto"/>
            <w:szCs w:val="22"/>
          </w:rPr>
          <w:t>http://www.wipo.int/edocs/pubdocs/fr/patents/867/wipo_pub_867.pdf</w:t>
        </w:r>
      </w:hyperlink>
      <w:r w:rsidR="00883AE7" w:rsidRPr="00E568C3">
        <w:t xml:space="preserve">), </w:t>
      </w:r>
      <w:r w:rsidR="00E62607" w:rsidRPr="00E568C3">
        <w:t xml:space="preserve">un </w:t>
      </w:r>
      <w:r w:rsidR="00883AE7" w:rsidRPr="00E568C3">
        <w:t>mod</w:t>
      </w:r>
      <w:r w:rsidR="00E62607" w:rsidRPr="00E568C3">
        <w:t>èle d</w:t>
      </w:r>
      <w:r w:rsidR="00883AE7" w:rsidRPr="00E568C3">
        <w:t xml:space="preserve">e </w:t>
      </w:r>
      <w:r w:rsidR="00E62607" w:rsidRPr="00E568C3">
        <w:t>programme type</w:t>
      </w:r>
      <w:r w:rsidR="00883AE7" w:rsidRPr="00E568C3">
        <w:t xml:space="preserve"> </w:t>
      </w:r>
      <w:r w:rsidR="00E62607" w:rsidRPr="00E568C3">
        <w:t>et une série de p</w:t>
      </w:r>
      <w:r w:rsidR="00883AE7" w:rsidRPr="00E568C3">
        <w:t>r</w:t>
      </w:r>
      <w:r w:rsidR="00E62607" w:rsidRPr="00E568C3">
        <w:t>é</w:t>
      </w:r>
      <w:r w:rsidR="00883AE7" w:rsidRPr="00E568C3">
        <w:t>sentations align</w:t>
      </w:r>
      <w:r w:rsidR="00E62607" w:rsidRPr="00E568C3">
        <w:t>ées sur l</w:t>
      </w:r>
      <w:r w:rsidR="00883AE7" w:rsidRPr="00E568C3">
        <w:t>e conten</w:t>
      </w:r>
      <w:r w:rsidR="00E62607" w:rsidRPr="00E568C3">
        <w:t>u du</w:t>
      </w:r>
      <w:r w:rsidR="00883AE7" w:rsidRPr="00E568C3">
        <w:t xml:space="preserve"> </w:t>
      </w:r>
      <w:r w:rsidRPr="00E568C3">
        <w:t>m</w:t>
      </w:r>
      <w:r w:rsidR="00883AE7" w:rsidRPr="00E568C3">
        <w:t>anu</w:t>
      </w:r>
      <w:r w:rsidR="006A3508" w:rsidRPr="00E568C3">
        <w:t>el.  Le</w:t>
      </w:r>
      <w:r w:rsidR="00E62607" w:rsidRPr="00E568C3">
        <w:t>s supports sont d</w:t>
      </w:r>
      <w:r w:rsidR="00883AE7" w:rsidRPr="00E568C3">
        <w:t>is</w:t>
      </w:r>
      <w:r w:rsidR="00E62607" w:rsidRPr="00E568C3">
        <w:t>pon</w:t>
      </w:r>
      <w:r w:rsidR="00883AE7" w:rsidRPr="00E568C3">
        <w:t>ible</w:t>
      </w:r>
      <w:r w:rsidR="00E62607" w:rsidRPr="00E568C3">
        <w:t>s</w:t>
      </w:r>
      <w:r w:rsidR="00883AE7" w:rsidRPr="00E568C3">
        <w:t xml:space="preserve"> </w:t>
      </w:r>
      <w:r w:rsidR="00E62607" w:rsidRPr="00E568C3">
        <w:t>en français, anglais et e</w:t>
      </w:r>
      <w:r w:rsidR="00883AE7" w:rsidRPr="00E568C3">
        <w:t>spa</w:t>
      </w:r>
      <w:r w:rsidR="00E62607" w:rsidRPr="00E568C3">
        <w:t>g</w:t>
      </w:r>
      <w:r w:rsidR="00883AE7" w:rsidRPr="00E568C3">
        <w:t>n</w:t>
      </w:r>
      <w:r w:rsidR="00E62607" w:rsidRPr="00E568C3">
        <w:t>ol</w:t>
      </w:r>
      <w:r w:rsidR="00883AE7" w:rsidRPr="00E568C3">
        <w:t>;</w:t>
      </w:r>
    </w:p>
    <w:p w:rsidR="00F55AA9" w:rsidRDefault="00883AE7" w:rsidP="00883AE7">
      <w:pPr>
        <w:pStyle w:val="ONUMFS"/>
        <w:numPr>
          <w:ilvl w:val="0"/>
          <w:numId w:val="10"/>
        </w:numPr>
        <w:ind w:left="1134" w:hanging="567"/>
      </w:pPr>
      <w:r w:rsidRPr="00E568C3">
        <w:lastRenderedPageBreak/>
        <w:t xml:space="preserve">Patent </w:t>
      </w:r>
      <w:proofErr w:type="spellStart"/>
      <w:r w:rsidRPr="00E568C3">
        <w:t>Drafting</w:t>
      </w:r>
      <w:proofErr w:type="spellEnd"/>
      <w:r w:rsidRPr="00E568C3">
        <w:t xml:space="preserve"> </w:t>
      </w:r>
      <w:proofErr w:type="spellStart"/>
      <w:r w:rsidRPr="00E568C3">
        <w:t>Exercise</w:t>
      </w:r>
      <w:proofErr w:type="spellEnd"/>
      <w:r w:rsidRPr="00E568C3">
        <w:t xml:space="preserve"> Book – Mat</w:t>
      </w:r>
      <w:r w:rsidR="006B30EF" w:rsidRPr="00E568C3">
        <w:t>é</w:t>
      </w:r>
      <w:r w:rsidRPr="00E568C3">
        <w:t>ri</w:t>
      </w:r>
      <w:r w:rsidR="006B30EF" w:rsidRPr="00E568C3">
        <w:t>e</w:t>
      </w:r>
      <w:r w:rsidRPr="00E568C3">
        <w:t xml:space="preserve">l </w:t>
      </w:r>
      <w:r w:rsidR="006B30EF" w:rsidRPr="00E568C3">
        <w:t>élaboré sur la</w:t>
      </w:r>
      <w:r w:rsidRPr="00E568C3">
        <w:t xml:space="preserve"> base</w:t>
      </w:r>
      <w:r w:rsidR="006B30EF" w:rsidRPr="00E568C3">
        <w:t xml:space="preserve"> </w:t>
      </w:r>
      <w:r w:rsidRPr="00E568C3">
        <w:t>d</w:t>
      </w:r>
      <w:r w:rsidR="006B30EF" w:rsidRPr="00E568C3">
        <w:t>e la r</w:t>
      </w:r>
      <w:r w:rsidRPr="00E568C3">
        <w:t>ecomm</w:t>
      </w:r>
      <w:r w:rsidR="006B30EF" w:rsidRPr="00E568C3">
        <w:t>a</w:t>
      </w:r>
      <w:r w:rsidRPr="00E568C3">
        <w:t xml:space="preserve">ndation </w:t>
      </w:r>
      <w:r w:rsidR="006B30EF" w:rsidRPr="00E568C3">
        <w:t>n</w:t>
      </w:r>
      <w:r w:rsidR="008A2E3E" w:rsidRPr="00E568C3">
        <w:t>° </w:t>
      </w:r>
      <w:r w:rsidRPr="00E568C3">
        <w:t>10</w:t>
      </w:r>
      <w:r w:rsidR="006B30EF" w:rsidRPr="00E568C3">
        <w:t xml:space="preserve"> du Plan d</w:t>
      </w:r>
      <w:r w:rsidR="00871730" w:rsidRPr="00E568C3">
        <w:t>’</w:t>
      </w:r>
      <w:r w:rsidR="006B30EF" w:rsidRPr="00E568C3">
        <w:t>action pour le développement</w:t>
      </w:r>
      <w:r w:rsidRPr="00E568C3">
        <w:t>,</w:t>
      </w:r>
      <w:r w:rsidR="006B30EF" w:rsidRPr="00E568C3">
        <w:t xml:space="preserve"> a</w:t>
      </w:r>
      <w:r w:rsidRPr="00E568C3">
        <w:t>c</w:t>
      </w:r>
      <w:r w:rsidR="006B30EF" w:rsidRPr="00E568C3">
        <w:t>t</w:t>
      </w:r>
      <w:r w:rsidRPr="00E568C3">
        <w:t>u</w:t>
      </w:r>
      <w:r w:rsidR="006B30EF" w:rsidRPr="00E568C3">
        <w:t>ellement disponible sous forme de projet et en cours de révision, il devrait être prochainement accessible sur la page W</w:t>
      </w:r>
      <w:r w:rsidRPr="00E568C3">
        <w:t>e</w:t>
      </w:r>
      <w:r w:rsidR="006B30EF" w:rsidRPr="00E568C3">
        <w:t>b</w:t>
      </w:r>
      <w:r w:rsidRPr="00E568C3">
        <w:t xml:space="preserve"> </w:t>
      </w:r>
      <w:r w:rsidR="006B30EF" w:rsidRPr="00E568C3">
        <w:t>de l</w:t>
      </w:r>
      <w:r w:rsidR="00871730" w:rsidRPr="00E568C3">
        <w:t>’</w:t>
      </w:r>
      <w:r w:rsidR="006B30EF" w:rsidRPr="00E568C3">
        <w:t>OMPI consacrée au transfert de connaissances</w:t>
      </w:r>
      <w:r w:rsidRPr="00E568C3">
        <w:t>;</w:t>
      </w:r>
    </w:p>
    <w:p w:rsidR="00F55AA9" w:rsidRDefault="008539A0" w:rsidP="00883AE7">
      <w:pPr>
        <w:pStyle w:val="ONUMFS"/>
        <w:numPr>
          <w:ilvl w:val="0"/>
          <w:numId w:val="10"/>
        </w:numPr>
        <w:ind w:left="1134" w:hanging="567"/>
      </w:pPr>
      <w:r w:rsidRPr="00E568C3">
        <w:t>Instrument</w:t>
      </w:r>
      <w:r w:rsidR="006B30EF" w:rsidRPr="00E568C3">
        <w:t xml:space="preserve"> de formation sur </w:t>
      </w:r>
      <w:r w:rsidRPr="00E568C3">
        <w:t>une</w:t>
      </w:r>
      <w:r w:rsidR="006B30EF" w:rsidRPr="00E568C3">
        <w:t xml:space="preserve"> concession de licence de t</w:t>
      </w:r>
      <w:r w:rsidR="00883AE7" w:rsidRPr="00E568C3">
        <w:t>echnolog</w:t>
      </w:r>
      <w:r w:rsidR="006B30EF" w:rsidRPr="00E568C3">
        <w:t>ie réussie</w:t>
      </w:r>
      <w:r w:rsidR="00883AE7" w:rsidRPr="00E568C3">
        <w:t xml:space="preserve"> – I</w:t>
      </w:r>
      <w:r w:rsidR="00C84C70" w:rsidRPr="00E568C3">
        <w:t>l</w:t>
      </w:r>
      <w:r w:rsidR="00ED7DF7" w:rsidRPr="00E568C3">
        <w:t> </w:t>
      </w:r>
      <w:r w:rsidR="00C84C70" w:rsidRPr="00E568C3">
        <w:t>est s</w:t>
      </w:r>
      <w:r w:rsidR="00883AE7" w:rsidRPr="00E568C3">
        <w:t>trat</w:t>
      </w:r>
      <w:r w:rsidR="00C84C70" w:rsidRPr="00E568C3">
        <w:t>é</w:t>
      </w:r>
      <w:r w:rsidR="00883AE7" w:rsidRPr="00E568C3">
        <w:t>gi</w:t>
      </w:r>
      <w:r w:rsidR="00C84C70" w:rsidRPr="00E568C3">
        <w:t xml:space="preserve">quement conçu pour combiner le manuel théorique de </w:t>
      </w:r>
      <w:r w:rsidR="00883AE7" w:rsidRPr="00E568C3">
        <w:t>bas</w:t>
      </w:r>
      <w:r w:rsidR="00C84C70" w:rsidRPr="00E568C3">
        <w:t>e</w:t>
      </w:r>
      <w:r w:rsidR="00883AE7" w:rsidRPr="00E568C3">
        <w:t xml:space="preserve"> </w:t>
      </w:r>
      <w:r w:rsidR="00C84C70" w:rsidRPr="00E568C3">
        <w:t xml:space="preserve">pour </w:t>
      </w:r>
      <w:r w:rsidRPr="00E568C3">
        <w:t>une</w:t>
      </w:r>
      <w:r w:rsidR="00C84C70" w:rsidRPr="00E568C3">
        <w:t xml:space="preserve"> concession de licence de technologie réussie</w:t>
      </w:r>
      <w:r w:rsidR="00883AE7" w:rsidRPr="00E568C3">
        <w:t xml:space="preserve">, </w:t>
      </w:r>
      <w:r w:rsidR="00C84C70" w:rsidRPr="00E568C3">
        <w:t>les</w:t>
      </w:r>
      <w:r w:rsidR="00883AE7" w:rsidRPr="00E568C3">
        <w:t xml:space="preserve"> program</w:t>
      </w:r>
      <w:r w:rsidR="00C84C70" w:rsidRPr="00E568C3">
        <w:t>me</w:t>
      </w:r>
      <w:r w:rsidR="00883AE7" w:rsidRPr="00E568C3">
        <w:t xml:space="preserve">s </w:t>
      </w:r>
      <w:r w:rsidR="00C84C70" w:rsidRPr="00E568C3">
        <w:t>types pour les cours élémentaires, avancés et la formation des formateu</w:t>
      </w:r>
      <w:r w:rsidR="006A3508" w:rsidRPr="00E568C3">
        <w:t>rs.  La</w:t>
      </w:r>
      <w:r w:rsidR="00C84C70" w:rsidRPr="00E568C3">
        <w:t xml:space="preserve"> première</w:t>
      </w:r>
      <w:r w:rsidRPr="00E568C3">
        <w:t> </w:t>
      </w:r>
      <w:r w:rsidR="00C84C70" w:rsidRPr="00E568C3">
        <w:t>édition du</w:t>
      </w:r>
      <w:r w:rsidR="00883AE7" w:rsidRPr="00E568C3">
        <w:t xml:space="preserve"> manu</w:t>
      </w:r>
      <w:r w:rsidR="00C84C70" w:rsidRPr="00E568C3">
        <w:t>e</w:t>
      </w:r>
      <w:r w:rsidR="00883AE7" w:rsidRPr="00E568C3">
        <w:t xml:space="preserve">l </w:t>
      </w:r>
      <w:r w:rsidR="00C84C70" w:rsidRPr="00E568C3">
        <w:t>remonte à </w:t>
      </w:r>
      <w:r w:rsidR="00883AE7" w:rsidRPr="00E568C3">
        <w:t>2007</w:t>
      </w:r>
      <w:r w:rsidR="00C84C70" w:rsidRPr="00E568C3">
        <w:t>, où il a été publié</w:t>
      </w:r>
      <w:r w:rsidR="00883AE7" w:rsidRPr="00E568C3">
        <w:t xml:space="preserve"> </w:t>
      </w:r>
      <w:r w:rsidR="00C84C70" w:rsidRPr="00E568C3">
        <w:t>e</w:t>
      </w:r>
      <w:r w:rsidR="00883AE7" w:rsidRPr="00E568C3">
        <w:t xml:space="preserve">n </w:t>
      </w:r>
      <w:r w:rsidR="00C84C70" w:rsidRPr="00E568C3">
        <w:t>français et en a</w:t>
      </w:r>
      <w:r w:rsidR="00883AE7" w:rsidRPr="00E568C3">
        <w:t>ngl</w:t>
      </w:r>
      <w:r w:rsidR="00C84C70" w:rsidRPr="00E568C3">
        <w:t>a</w:t>
      </w:r>
      <w:r w:rsidR="00883AE7" w:rsidRPr="00E568C3">
        <w:t xml:space="preserve">is </w:t>
      </w:r>
      <w:r w:rsidR="00C84C70" w:rsidRPr="00E568C3">
        <w:t>en tant que p</w:t>
      </w:r>
      <w:r w:rsidR="00883AE7" w:rsidRPr="00E568C3">
        <w:t xml:space="preserve">ublication </w:t>
      </w:r>
      <w:r w:rsidR="00C84C70" w:rsidRPr="00E568C3">
        <w:t>n</w:t>
      </w:r>
      <w:r w:rsidR="008A2E3E" w:rsidRPr="00E568C3">
        <w:t>° </w:t>
      </w:r>
      <w:r w:rsidR="00883AE7" w:rsidRPr="00E568C3">
        <w:t>903</w:t>
      </w:r>
      <w:r w:rsidR="00C84C70" w:rsidRPr="00E568C3">
        <w:t> </w:t>
      </w:r>
      <w:r w:rsidR="00883AE7" w:rsidRPr="00E568C3">
        <w:t xml:space="preserve">E </w:t>
      </w:r>
      <w:r w:rsidR="00C84C70" w:rsidRPr="00E568C3">
        <w:t>et</w:t>
      </w:r>
      <w:r w:rsidR="00883AE7" w:rsidRPr="00E568C3">
        <w:t xml:space="preserve"> 903</w:t>
      </w:r>
      <w:r w:rsidR="00C84C70" w:rsidRPr="00E568C3">
        <w:t> </w:t>
      </w:r>
      <w:r w:rsidR="00883AE7" w:rsidRPr="00E568C3">
        <w:t xml:space="preserve">F, </w:t>
      </w:r>
      <w:r w:rsidR="00ED7DF7" w:rsidRPr="00E568C3">
        <w:t xml:space="preserve">puis </w:t>
      </w:r>
      <w:r w:rsidR="00883AE7" w:rsidRPr="00E568C3">
        <w:t>tra</w:t>
      </w:r>
      <w:r w:rsidR="00C84C70" w:rsidRPr="00E568C3">
        <w:t xml:space="preserve">duit dans huit autres </w:t>
      </w:r>
      <w:r w:rsidR="00883AE7" w:rsidRPr="00E568C3">
        <w:t>langues (</w:t>
      </w:r>
      <w:r w:rsidR="00C84C70" w:rsidRPr="00E568C3">
        <w:rPr>
          <w:rFonts w:eastAsia="MS PGothic"/>
          <w:i/>
          <w:iCs/>
          <w:kern w:val="24"/>
        </w:rPr>
        <w:t>arabe, chinois, espagnol</w:t>
      </w:r>
      <w:r w:rsidR="00883AE7" w:rsidRPr="00E568C3">
        <w:rPr>
          <w:rFonts w:eastAsia="MS PGothic"/>
          <w:i/>
          <w:iCs/>
          <w:kern w:val="24"/>
        </w:rPr>
        <w:t xml:space="preserve">, </w:t>
      </w:r>
      <w:r w:rsidR="00C84C70" w:rsidRPr="00E568C3">
        <w:rPr>
          <w:rFonts w:eastAsia="MS PGothic"/>
          <w:i/>
          <w:iCs/>
          <w:kern w:val="24"/>
        </w:rPr>
        <w:t>portugais, roumain, russe, serbe et</w:t>
      </w:r>
      <w:r w:rsidR="00883AE7" w:rsidRPr="00E568C3">
        <w:rPr>
          <w:rFonts w:eastAsia="MS PGothic"/>
          <w:i/>
          <w:iCs/>
          <w:kern w:val="24"/>
        </w:rPr>
        <w:t xml:space="preserve"> </w:t>
      </w:r>
      <w:r w:rsidR="00C84C70" w:rsidRPr="00E568C3">
        <w:rPr>
          <w:rFonts w:eastAsia="MS PGothic"/>
          <w:i/>
          <w:iCs/>
          <w:kern w:val="24"/>
        </w:rPr>
        <w:t>v</w:t>
      </w:r>
      <w:r w:rsidR="00883AE7" w:rsidRPr="00E568C3">
        <w:rPr>
          <w:rFonts w:eastAsia="MS PGothic"/>
          <w:i/>
          <w:iCs/>
          <w:kern w:val="24"/>
        </w:rPr>
        <w:t>ietnam</w:t>
      </w:r>
      <w:r w:rsidR="00C84C70" w:rsidRPr="00E568C3">
        <w:rPr>
          <w:rFonts w:eastAsia="MS PGothic"/>
          <w:i/>
          <w:iCs/>
          <w:kern w:val="24"/>
        </w:rPr>
        <w:t>i</w:t>
      </w:r>
      <w:r w:rsidR="00883AE7" w:rsidRPr="00E568C3">
        <w:rPr>
          <w:rFonts w:eastAsia="MS PGothic"/>
          <w:i/>
          <w:iCs/>
          <w:kern w:val="24"/>
        </w:rPr>
        <w:t>en)</w:t>
      </w:r>
      <w:r w:rsidR="00883AE7" w:rsidRPr="00E568C3">
        <w:t xml:space="preserve">, </w:t>
      </w:r>
      <w:r w:rsidR="00C84C70" w:rsidRPr="00E568C3">
        <w:t>révisé e</w:t>
      </w:r>
      <w:r w:rsidR="00883AE7" w:rsidRPr="00E568C3">
        <w:t>n</w:t>
      </w:r>
      <w:r w:rsidR="00C84C70" w:rsidRPr="00E568C3">
        <w:t> </w:t>
      </w:r>
      <w:r w:rsidR="00883AE7" w:rsidRPr="00E568C3">
        <w:t xml:space="preserve">2014 </w:t>
      </w:r>
      <w:r w:rsidR="00C84C70" w:rsidRPr="00E568C3">
        <w:t>af</w:t>
      </w:r>
      <w:r w:rsidR="00883AE7" w:rsidRPr="00E568C3">
        <w:t xml:space="preserve">in </w:t>
      </w:r>
      <w:r w:rsidR="00C84C70" w:rsidRPr="00E568C3">
        <w:t>d</w:t>
      </w:r>
      <w:r w:rsidR="00871730" w:rsidRPr="00E568C3">
        <w:t>’</w:t>
      </w:r>
      <w:r w:rsidR="00ED7DF7" w:rsidRPr="00E568C3">
        <w:t xml:space="preserve">évoquer la question </w:t>
      </w:r>
      <w:r w:rsidR="00C84C70" w:rsidRPr="00E568C3">
        <w:t>du droit de la concurrence et de la concession de</w:t>
      </w:r>
      <w:r w:rsidR="00883AE7" w:rsidRPr="00E568C3">
        <w:t xml:space="preserve"> licen</w:t>
      </w:r>
      <w:r w:rsidR="00C84C70" w:rsidRPr="00E568C3">
        <w:t>c</w:t>
      </w:r>
      <w:r w:rsidR="006A3508" w:rsidRPr="00E568C3">
        <w:t>es.  Il</w:t>
      </w:r>
      <w:r w:rsidR="00ED7DF7" w:rsidRPr="00E568C3">
        <w:t> </w:t>
      </w:r>
      <w:r w:rsidR="00C84C70" w:rsidRPr="00E568C3">
        <w:t>est actuellement disponible dans une nouvelle version de la publication n</w:t>
      </w:r>
      <w:r w:rsidR="008A2E3E" w:rsidRPr="00E568C3">
        <w:t>° </w:t>
      </w:r>
      <w:r w:rsidR="00883AE7" w:rsidRPr="00E568C3">
        <w:t>903E</w:t>
      </w:r>
      <w:r w:rsidR="00C84C70" w:rsidRPr="00E568C3">
        <w:t xml:space="preserve"> de l</w:t>
      </w:r>
      <w:r w:rsidR="00871730" w:rsidRPr="00E568C3">
        <w:t>’</w:t>
      </w:r>
      <w:r w:rsidR="00C84C70" w:rsidRPr="00E568C3">
        <w:t>OMPI</w:t>
      </w:r>
      <w:r w:rsidR="00883AE7" w:rsidRPr="00E568C3">
        <w:t xml:space="preserve">, </w:t>
      </w:r>
      <w:r w:rsidR="00C84C70" w:rsidRPr="00E568C3">
        <w:t>enrichie du chapitre </w:t>
      </w:r>
      <w:r w:rsidR="00883AE7" w:rsidRPr="00E568C3">
        <w:t>V</w:t>
      </w:r>
      <w:r w:rsidR="003E545B" w:rsidRPr="00E568C3">
        <w:t xml:space="preserve"> intitulé</w:t>
      </w:r>
      <w:r w:rsidR="00883AE7" w:rsidRPr="00E568C3">
        <w:t xml:space="preserve"> </w:t>
      </w:r>
      <w:proofErr w:type="spellStart"/>
      <w:r w:rsidR="00883AE7" w:rsidRPr="00E568C3">
        <w:rPr>
          <w:i/>
        </w:rPr>
        <w:t>Understanding</w:t>
      </w:r>
      <w:proofErr w:type="spellEnd"/>
      <w:r w:rsidR="00883AE7" w:rsidRPr="00E568C3">
        <w:rPr>
          <w:i/>
        </w:rPr>
        <w:t xml:space="preserve"> Certain Antitrust </w:t>
      </w:r>
      <w:proofErr w:type="spellStart"/>
      <w:r w:rsidR="00883AE7" w:rsidRPr="00E568C3">
        <w:rPr>
          <w:i/>
        </w:rPr>
        <w:t>Concerns</w:t>
      </w:r>
      <w:proofErr w:type="spellEnd"/>
      <w:r w:rsidR="00883AE7" w:rsidRPr="00E568C3">
        <w:rPr>
          <w:i/>
        </w:rPr>
        <w:t xml:space="preserve"> </w:t>
      </w:r>
      <w:proofErr w:type="spellStart"/>
      <w:r w:rsidR="00883AE7" w:rsidRPr="00E568C3">
        <w:rPr>
          <w:i/>
        </w:rPr>
        <w:t>Related</w:t>
      </w:r>
      <w:proofErr w:type="spellEnd"/>
      <w:r w:rsidR="00883AE7" w:rsidRPr="00E568C3">
        <w:rPr>
          <w:i/>
        </w:rPr>
        <w:t xml:space="preserve"> to </w:t>
      </w:r>
      <w:proofErr w:type="spellStart"/>
      <w:r w:rsidR="00883AE7" w:rsidRPr="00E568C3">
        <w:rPr>
          <w:i/>
        </w:rPr>
        <w:t>Technology</w:t>
      </w:r>
      <w:proofErr w:type="spellEnd"/>
      <w:r w:rsidR="00883AE7" w:rsidRPr="00E568C3">
        <w:rPr>
          <w:i/>
        </w:rPr>
        <w:t xml:space="preserve"> </w:t>
      </w:r>
      <w:proofErr w:type="spellStart"/>
      <w:r w:rsidR="00883AE7" w:rsidRPr="00E568C3">
        <w:rPr>
          <w:i/>
        </w:rPr>
        <w:t>Licensing</w:t>
      </w:r>
      <w:proofErr w:type="spellEnd"/>
      <w:r w:rsidR="00883AE7" w:rsidRPr="00E568C3">
        <w:rPr>
          <w:i/>
        </w:rPr>
        <w:t xml:space="preserve">. </w:t>
      </w:r>
      <w:r w:rsidR="008A2E3E" w:rsidRPr="00E568C3">
        <w:rPr>
          <w:i/>
        </w:rPr>
        <w:t xml:space="preserve"> </w:t>
      </w:r>
      <w:hyperlink r:id="rId22" w:history="1">
        <w:r w:rsidR="00883AE7" w:rsidRPr="00E568C3">
          <w:rPr>
            <w:rStyle w:val="Hyperlink"/>
            <w:color w:val="auto"/>
            <w:szCs w:val="22"/>
          </w:rPr>
          <w:t>http://www.wipo.int/edocs/pubdocs/en/licensing/903/wipo_pub_903.pdf</w:t>
        </w:r>
      </w:hyperlink>
      <w:r w:rsidR="003E545B" w:rsidRPr="00E568C3">
        <w:rPr>
          <w:rStyle w:val="Hyperlink"/>
          <w:color w:val="auto"/>
          <w:szCs w:val="22"/>
        </w:rPr>
        <w:t>.</w:t>
      </w:r>
    </w:p>
    <w:p w:rsidR="00F55AA9" w:rsidRDefault="003E545B" w:rsidP="00883AE7">
      <w:pPr>
        <w:pStyle w:val="ONUMFS"/>
        <w:numPr>
          <w:ilvl w:val="0"/>
          <w:numId w:val="10"/>
        </w:numPr>
        <w:ind w:left="1134" w:hanging="567"/>
      </w:pPr>
      <w:r w:rsidRPr="00E568C3">
        <w:t>Boîte à outils pour la gestion des droits de propriété intellectuelle à l</w:t>
      </w:r>
      <w:r w:rsidR="00871730" w:rsidRPr="00E568C3">
        <w:t>’</w:t>
      </w:r>
      <w:r w:rsidRPr="00E568C3">
        <w:t>intention des uni</w:t>
      </w:r>
      <w:r w:rsidR="00883AE7" w:rsidRPr="00E568C3">
        <w:t>versit</w:t>
      </w:r>
      <w:r w:rsidRPr="00E568C3">
        <w:t>és</w:t>
      </w:r>
      <w:r w:rsidR="00883AE7" w:rsidRPr="00E568C3">
        <w:t xml:space="preserve"> </w:t>
      </w:r>
      <w:r w:rsidRPr="00E568C3">
        <w:t>–</w:t>
      </w:r>
      <w:r w:rsidR="00883AE7" w:rsidRPr="00E568C3">
        <w:t xml:space="preserve"> </w:t>
      </w:r>
      <w:r w:rsidR="00ED7DF7" w:rsidRPr="00E568C3">
        <w:t>En 2014, a</w:t>
      </w:r>
      <w:r w:rsidRPr="00E568C3">
        <w:t>vec l</w:t>
      </w:r>
      <w:r w:rsidR="00871730" w:rsidRPr="00E568C3">
        <w:t>’</w:t>
      </w:r>
      <w:r w:rsidRPr="00E568C3">
        <w:t xml:space="preserve">appui des fonds fiduciaires du </w:t>
      </w:r>
      <w:r w:rsidR="008A2E3E" w:rsidRPr="00E568C3">
        <w:t>Gouvernement</w:t>
      </w:r>
      <w:r w:rsidRPr="00E568C3">
        <w:t xml:space="preserve"> australien, l</w:t>
      </w:r>
      <w:r w:rsidR="00871730" w:rsidRPr="00E568C3">
        <w:t>’</w:t>
      </w:r>
      <w:r w:rsidRPr="00E568C3">
        <w:t>OMPI a mis au point une</w:t>
      </w:r>
      <w:r w:rsidR="00883AE7" w:rsidRPr="00E568C3">
        <w:t xml:space="preserve"> “</w:t>
      </w:r>
      <w:r w:rsidRPr="00E568C3">
        <w:t>boîte à outils</w:t>
      </w:r>
      <w:r w:rsidR="00883AE7" w:rsidRPr="00E568C3">
        <w:t xml:space="preserve">” </w:t>
      </w:r>
      <w:r w:rsidRPr="00E568C3">
        <w:t>pou</w:t>
      </w:r>
      <w:r w:rsidR="00883AE7" w:rsidRPr="00E568C3">
        <w:t xml:space="preserve">r </w:t>
      </w:r>
      <w:r w:rsidRPr="00E568C3">
        <w:t xml:space="preserve">les </w:t>
      </w:r>
      <w:r w:rsidR="00883AE7" w:rsidRPr="00E568C3">
        <w:t>universit</w:t>
      </w:r>
      <w:r w:rsidRPr="00E568C3">
        <w:t>é</w:t>
      </w:r>
      <w:r w:rsidR="00883AE7" w:rsidRPr="00E568C3">
        <w:t>s cont</w:t>
      </w:r>
      <w:r w:rsidRPr="00E568C3">
        <w:t xml:space="preserve">enant des modèles de politique institutionnelle </w:t>
      </w:r>
      <w:r w:rsidR="00B279F1" w:rsidRPr="00E568C3">
        <w:t xml:space="preserve">en matière de propriété intellectuelle </w:t>
      </w:r>
      <w:r w:rsidRPr="00E568C3">
        <w:t xml:space="preserve">et de contrats de transfert de technologie que les instituts de recherche </w:t>
      </w:r>
      <w:r w:rsidR="00301499" w:rsidRPr="00E568C3">
        <w:t xml:space="preserve">sont le plus souvent appelés à </w:t>
      </w:r>
      <w:r w:rsidRPr="00E568C3">
        <w:t>négocie</w:t>
      </w:r>
      <w:r w:rsidR="00301499" w:rsidRPr="00E568C3">
        <w:t>r</w:t>
      </w:r>
      <w:r w:rsidRPr="00E568C3">
        <w:t xml:space="preserve"> et </w:t>
      </w:r>
      <w:r w:rsidR="00301499" w:rsidRPr="00E568C3">
        <w:t xml:space="preserve">à </w:t>
      </w:r>
      <w:r w:rsidRPr="00E568C3">
        <w:t>sign</w:t>
      </w:r>
      <w:r w:rsidR="006A3508" w:rsidRPr="00E568C3">
        <w:t>er.  Ch</w:t>
      </w:r>
      <w:r w:rsidR="00301499" w:rsidRPr="00E568C3">
        <w:t>aque</w:t>
      </w:r>
      <w:r w:rsidR="00883AE7" w:rsidRPr="00E568C3">
        <w:t xml:space="preserve"> mod</w:t>
      </w:r>
      <w:r w:rsidR="00301499" w:rsidRPr="00E568C3">
        <w:t>è</w:t>
      </w:r>
      <w:r w:rsidR="00883AE7" w:rsidRPr="00E568C3">
        <w:t>l</w:t>
      </w:r>
      <w:r w:rsidR="00301499" w:rsidRPr="00E568C3">
        <w:t>e</w:t>
      </w:r>
      <w:r w:rsidR="00883AE7" w:rsidRPr="00E568C3">
        <w:t xml:space="preserve"> </w:t>
      </w:r>
      <w:r w:rsidR="00301499" w:rsidRPr="00E568C3">
        <w:t>est</w:t>
      </w:r>
      <w:r w:rsidR="00883AE7" w:rsidRPr="00E568C3">
        <w:t xml:space="preserve"> accompa</w:t>
      </w:r>
      <w:r w:rsidR="00301499" w:rsidRPr="00E568C3">
        <w:t>g</w:t>
      </w:r>
      <w:r w:rsidR="00883AE7" w:rsidRPr="00E568C3">
        <w:t>n</w:t>
      </w:r>
      <w:r w:rsidR="00301499" w:rsidRPr="00E568C3">
        <w:t>é d</w:t>
      </w:r>
      <w:r w:rsidR="00871730" w:rsidRPr="00E568C3">
        <w:t>’</w:t>
      </w:r>
      <w:r w:rsidR="00301499" w:rsidRPr="00E568C3">
        <w:t>un</w:t>
      </w:r>
      <w:r w:rsidR="00883AE7" w:rsidRPr="00E568C3">
        <w:t xml:space="preserve"> guide </w:t>
      </w:r>
      <w:r w:rsidR="00301499" w:rsidRPr="00E568C3">
        <w:t xml:space="preserve">et </w:t>
      </w:r>
      <w:r w:rsidR="00883AE7" w:rsidRPr="00E568C3">
        <w:t>d</w:t>
      </w:r>
      <w:r w:rsidR="00871730" w:rsidRPr="00E568C3">
        <w:t>’</w:t>
      </w:r>
      <w:r w:rsidR="00883AE7" w:rsidRPr="00E568C3">
        <w:t xml:space="preserve">instructions </w:t>
      </w:r>
      <w:r w:rsidR="00301499" w:rsidRPr="00E568C3">
        <w:t>concernant l</w:t>
      </w:r>
      <w:r w:rsidR="00883AE7" w:rsidRPr="00E568C3">
        <w:t>e conten</w:t>
      </w:r>
      <w:r w:rsidR="00301499" w:rsidRPr="00E568C3">
        <w:t>u</w:t>
      </w:r>
      <w:r w:rsidR="00883AE7" w:rsidRPr="00E568C3">
        <w:t xml:space="preserve">, </w:t>
      </w:r>
      <w:r w:rsidR="00301499" w:rsidRPr="00E568C3">
        <w:t xml:space="preserve">le </w:t>
      </w:r>
      <w:r w:rsidR="00883AE7" w:rsidRPr="00E568C3">
        <w:t>process</w:t>
      </w:r>
      <w:r w:rsidR="00301499" w:rsidRPr="00E568C3">
        <w:t>us de né</w:t>
      </w:r>
      <w:r w:rsidR="00883AE7" w:rsidRPr="00E568C3">
        <w:t>go</w:t>
      </w:r>
      <w:r w:rsidR="00301499" w:rsidRPr="00E568C3">
        <w:t>c</w:t>
      </w:r>
      <w:r w:rsidR="00883AE7" w:rsidRPr="00E568C3">
        <w:t xml:space="preserve">iation </w:t>
      </w:r>
      <w:r w:rsidR="00301499" w:rsidRPr="00E568C3">
        <w:t xml:space="preserve">et la rédaction du </w:t>
      </w:r>
      <w:r w:rsidR="00883AE7" w:rsidRPr="00E568C3">
        <w:t>contr</w:t>
      </w:r>
      <w:r w:rsidR="006A3508" w:rsidRPr="00E568C3">
        <w:t>at.  Il</w:t>
      </w:r>
      <w:r w:rsidR="00301499" w:rsidRPr="00E568C3">
        <w:t xml:space="preserve"> sera prochainement accessible sur la page Web de l</w:t>
      </w:r>
      <w:r w:rsidR="00871730" w:rsidRPr="00E568C3">
        <w:t>’</w:t>
      </w:r>
      <w:r w:rsidR="00301499" w:rsidRPr="00E568C3">
        <w:t xml:space="preserve">OMPI consacrée au transfert de </w:t>
      </w:r>
      <w:r w:rsidR="00B279F1" w:rsidRPr="00E568C3">
        <w:t>savoir</w:t>
      </w:r>
      <w:r w:rsidR="00301499" w:rsidRPr="00E568C3">
        <w:t>s</w:t>
      </w:r>
      <w:r w:rsidR="00883AE7" w:rsidRPr="00E568C3">
        <w:t>;</w:t>
      </w:r>
    </w:p>
    <w:p w:rsidR="00F55AA9" w:rsidRDefault="00883AE7" w:rsidP="00883AE7">
      <w:pPr>
        <w:pStyle w:val="ONUMFS"/>
        <w:numPr>
          <w:ilvl w:val="0"/>
          <w:numId w:val="10"/>
        </w:numPr>
        <w:ind w:left="1134" w:hanging="567"/>
      </w:pPr>
      <w:proofErr w:type="spellStart"/>
      <w:r w:rsidRPr="00E568C3">
        <w:t>Practical</w:t>
      </w:r>
      <w:proofErr w:type="spellEnd"/>
      <w:r w:rsidRPr="00E568C3">
        <w:t xml:space="preserve"> Guide for </w:t>
      </w:r>
      <w:proofErr w:type="spellStart"/>
      <w:r w:rsidRPr="00E568C3">
        <w:t>Valuing</w:t>
      </w:r>
      <w:proofErr w:type="spellEnd"/>
      <w:r w:rsidRPr="00E568C3">
        <w:t xml:space="preserve"> Intangible </w:t>
      </w:r>
      <w:proofErr w:type="spellStart"/>
      <w:r w:rsidRPr="00E568C3">
        <w:t>Assets</w:t>
      </w:r>
      <w:proofErr w:type="spellEnd"/>
      <w:r w:rsidRPr="00E568C3">
        <w:t xml:space="preserve"> in </w:t>
      </w:r>
      <w:proofErr w:type="spellStart"/>
      <w:r w:rsidRPr="00E568C3">
        <w:t>Research</w:t>
      </w:r>
      <w:proofErr w:type="spellEnd"/>
      <w:r w:rsidRPr="00E568C3">
        <w:t xml:space="preserve"> and Development Institutions (document</w:t>
      </w:r>
      <w:r w:rsidR="00301499" w:rsidRPr="00E568C3">
        <w:t xml:space="preserve"> CDIP, en anglais</w:t>
      </w:r>
      <w:r w:rsidRPr="00E568C3">
        <w:t>);</w:t>
      </w:r>
    </w:p>
    <w:p w:rsidR="00F55AA9" w:rsidRDefault="00883AE7" w:rsidP="00883AE7">
      <w:pPr>
        <w:pStyle w:val="ONUMFS"/>
        <w:numPr>
          <w:ilvl w:val="0"/>
          <w:numId w:val="10"/>
        </w:numPr>
        <w:ind w:left="1134" w:hanging="567"/>
      </w:pPr>
      <w:r w:rsidRPr="00E568C3">
        <w:t xml:space="preserve">IP </w:t>
      </w:r>
      <w:proofErr w:type="spellStart"/>
      <w:r w:rsidRPr="00E568C3">
        <w:t>Valuation</w:t>
      </w:r>
      <w:proofErr w:type="spellEnd"/>
      <w:r w:rsidRPr="00E568C3">
        <w:t xml:space="preserve"> Training Kit for </w:t>
      </w:r>
      <w:proofErr w:type="spellStart"/>
      <w:r w:rsidRPr="00E568C3">
        <w:t>Academic</w:t>
      </w:r>
      <w:proofErr w:type="spellEnd"/>
      <w:r w:rsidRPr="00E568C3">
        <w:t xml:space="preserve"> Institutions (document</w:t>
      </w:r>
      <w:r w:rsidR="00301499" w:rsidRPr="00E568C3">
        <w:t xml:space="preserve"> CDIP, en anglais</w:t>
      </w:r>
      <w:r w:rsidRPr="00E568C3">
        <w:t>);</w:t>
      </w:r>
    </w:p>
    <w:p w:rsidR="00F55AA9" w:rsidRDefault="00301499" w:rsidP="00883AE7">
      <w:pPr>
        <w:pStyle w:val="ONUMFS"/>
        <w:numPr>
          <w:ilvl w:val="0"/>
          <w:numId w:val="10"/>
        </w:numPr>
        <w:ind w:left="1134" w:hanging="567"/>
      </w:pPr>
      <w:r w:rsidRPr="00E568C3">
        <w:rPr>
          <w:szCs w:val="22"/>
        </w:rPr>
        <w:t xml:space="preserve">IP Audit </w:t>
      </w:r>
      <w:proofErr w:type="spellStart"/>
      <w:r w:rsidRPr="00E568C3">
        <w:rPr>
          <w:szCs w:val="22"/>
        </w:rPr>
        <w:t>Tool</w:t>
      </w:r>
      <w:proofErr w:type="spellEnd"/>
      <w:r w:rsidRPr="00E568C3">
        <w:rPr>
          <w:szCs w:val="22"/>
        </w:rPr>
        <w:t xml:space="preserve"> </w:t>
      </w:r>
      <w:r w:rsidR="00883AE7" w:rsidRPr="00E568C3">
        <w:t xml:space="preserve">– Publication </w:t>
      </w:r>
      <w:r w:rsidRPr="00E568C3">
        <w:t>n</w:t>
      </w:r>
      <w:r w:rsidR="008A2E3E" w:rsidRPr="00E568C3">
        <w:t>° </w:t>
      </w:r>
      <w:r w:rsidR="00883AE7" w:rsidRPr="00E568C3">
        <w:t>927</w:t>
      </w:r>
      <w:r w:rsidRPr="00E568C3">
        <w:t xml:space="preserve"> de l</w:t>
      </w:r>
      <w:r w:rsidR="00871730" w:rsidRPr="00E568C3">
        <w:t>’</w:t>
      </w:r>
      <w:r w:rsidRPr="00E568C3">
        <w:t>OMPI (en anglais)</w:t>
      </w:r>
      <w:r w:rsidR="00883AE7" w:rsidRPr="00E568C3">
        <w:t xml:space="preserve">, </w:t>
      </w:r>
      <w:r w:rsidRPr="00E568C3">
        <w:t>sur les questions qui doivent être traitées dans le processus d</w:t>
      </w:r>
      <w:r w:rsidR="00871730" w:rsidRPr="00E568C3">
        <w:t>’</w:t>
      </w:r>
      <w:r w:rsidRPr="00E568C3">
        <w:t xml:space="preserve">audit de la propriété intellectuelle au niveau </w:t>
      </w:r>
      <w:r w:rsidR="00883AE7" w:rsidRPr="00E568C3">
        <w:t xml:space="preserve">national </w:t>
      </w:r>
      <w:r w:rsidRPr="00E568C3">
        <w:t xml:space="preserve">et </w:t>
      </w:r>
      <w:r w:rsidR="00883AE7" w:rsidRPr="00E568C3">
        <w:t>institution</w:t>
      </w:r>
      <w:r w:rsidRPr="00E568C3">
        <w:t>ne</w:t>
      </w:r>
      <w:r w:rsidR="00883AE7" w:rsidRPr="00E568C3">
        <w:t xml:space="preserve">l </w:t>
      </w:r>
      <w:r w:rsidRPr="00E568C3">
        <w:t>lors de l</w:t>
      </w:r>
      <w:r w:rsidR="00871730" w:rsidRPr="00E568C3">
        <w:t>’</w:t>
      </w:r>
      <w:r w:rsidRPr="00E568C3">
        <w:t>élaboration d</w:t>
      </w:r>
      <w:r w:rsidR="00871730" w:rsidRPr="00E568C3">
        <w:t>’</w:t>
      </w:r>
      <w:r w:rsidRPr="00E568C3">
        <w:t>une stratégie en matière de propriété intellectuelle</w:t>
      </w:r>
      <w:r w:rsidR="00E742A5" w:rsidRPr="00E568C3">
        <w:t xml:space="preserve"> : </w:t>
      </w:r>
      <w:hyperlink r:id="rId23" w:history="1">
        <w:r w:rsidR="00883AE7" w:rsidRPr="00E568C3">
          <w:rPr>
            <w:rStyle w:val="Hyperlink"/>
            <w:color w:val="auto"/>
            <w:szCs w:val="22"/>
          </w:rPr>
          <w:t>http://www.wipo.int/edocs/pubdocs/en/intproperty/927/wipo_pub_927.pdf</w:t>
        </w:r>
      </w:hyperlink>
    </w:p>
    <w:p w:rsidR="00F55AA9" w:rsidRDefault="00883AE7" w:rsidP="00883AE7">
      <w:pPr>
        <w:pStyle w:val="ONUMFS"/>
        <w:numPr>
          <w:ilvl w:val="0"/>
          <w:numId w:val="10"/>
        </w:numPr>
        <w:ind w:left="1134" w:hanging="567"/>
      </w:pPr>
      <w:r w:rsidRPr="00E568C3">
        <w:t xml:space="preserve">IP </w:t>
      </w:r>
      <w:proofErr w:type="spellStart"/>
      <w:r w:rsidRPr="00E568C3">
        <w:t>Asset</w:t>
      </w:r>
      <w:proofErr w:type="spellEnd"/>
      <w:r w:rsidRPr="00E568C3">
        <w:t xml:space="preserve"> Development and Management</w:t>
      </w:r>
      <w:r w:rsidR="00301499" w:rsidRPr="00E568C3">
        <w:t> </w:t>
      </w:r>
      <w:r w:rsidRPr="00E568C3">
        <w:t xml:space="preserve">: </w:t>
      </w:r>
      <w:proofErr w:type="spellStart"/>
      <w:r w:rsidRPr="00E568C3">
        <w:t>A</w:t>
      </w:r>
      <w:proofErr w:type="spellEnd"/>
      <w:r w:rsidRPr="00E568C3">
        <w:t xml:space="preserve"> Key </w:t>
      </w:r>
      <w:proofErr w:type="spellStart"/>
      <w:r w:rsidRPr="00E568C3">
        <w:t>Strategy</w:t>
      </w:r>
      <w:proofErr w:type="spellEnd"/>
      <w:r w:rsidRPr="00E568C3">
        <w:t xml:space="preserve"> for </w:t>
      </w:r>
      <w:proofErr w:type="spellStart"/>
      <w:r w:rsidRPr="00E568C3">
        <w:t>Economic</w:t>
      </w:r>
      <w:proofErr w:type="spellEnd"/>
      <w:r w:rsidRPr="00E568C3">
        <w:t xml:space="preserve"> </w:t>
      </w:r>
      <w:proofErr w:type="spellStart"/>
      <w:r w:rsidRPr="00E568C3">
        <w:t>Growth</w:t>
      </w:r>
      <w:proofErr w:type="spellEnd"/>
      <w:r w:rsidRPr="00E568C3">
        <w:t xml:space="preserve">, </w:t>
      </w:r>
      <w:r w:rsidR="00301499" w:rsidRPr="00E568C3">
        <w:t>pu</w:t>
      </w:r>
      <w:r w:rsidRPr="00E568C3">
        <w:t xml:space="preserve">blication </w:t>
      </w:r>
      <w:r w:rsidR="00301499" w:rsidRPr="00E568C3">
        <w:t>n</w:t>
      </w:r>
      <w:r w:rsidR="008A2E3E" w:rsidRPr="00E568C3">
        <w:t>° </w:t>
      </w:r>
      <w:r w:rsidR="00301499" w:rsidRPr="00E568C3">
        <w:t>°</w:t>
      </w:r>
      <w:r w:rsidRPr="00E568C3">
        <w:t>896</w:t>
      </w:r>
      <w:r w:rsidR="00301499" w:rsidRPr="00E568C3">
        <w:t xml:space="preserve"> de l</w:t>
      </w:r>
      <w:r w:rsidR="00871730" w:rsidRPr="00E568C3">
        <w:t>’</w:t>
      </w:r>
      <w:r w:rsidR="00301499" w:rsidRPr="00E568C3">
        <w:t>OMPI (en anglais)</w:t>
      </w:r>
      <w:r w:rsidR="00AD6818" w:rsidRPr="00E568C3">
        <w:t xml:space="preserve"> présent</w:t>
      </w:r>
      <w:r w:rsidR="00AA2A7C" w:rsidRPr="00E568C3">
        <w:t>ant</w:t>
      </w:r>
      <w:r w:rsidR="00301499" w:rsidRPr="00E568C3">
        <w:t xml:space="preserve"> les éléments</w:t>
      </w:r>
      <w:r w:rsidRPr="00E568C3">
        <w:t xml:space="preserve"> essenti</w:t>
      </w:r>
      <w:r w:rsidR="00301499" w:rsidRPr="00E568C3">
        <w:t>e</w:t>
      </w:r>
      <w:r w:rsidRPr="00E568C3">
        <w:t xml:space="preserve">ls </w:t>
      </w:r>
      <w:r w:rsidR="00301499" w:rsidRPr="00E568C3">
        <w:t>de la gestion des droits de pr</w:t>
      </w:r>
      <w:r w:rsidRPr="00E568C3">
        <w:t>o</w:t>
      </w:r>
      <w:r w:rsidR="00301499" w:rsidRPr="00E568C3">
        <w:t>priété intellectuelle</w:t>
      </w:r>
      <w:r w:rsidR="00E742A5" w:rsidRPr="00E568C3">
        <w:t> :</w:t>
      </w:r>
      <w:r w:rsidRPr="00E568C3">
        <w:t xml:space="preserve"> </w:t>
      </w:r>
      <w:hyperlink r:id="rId24" w:history="1">
        <w:r w:rsidRPr="00E568C3">
          <w:rPr>
            <w:rStyle w:val="Hyperlink"/>
            <w:color w:val="auto"/>
            <w:szCs w:val="22"/>
          </w:rPr>
          <w:t>http://www.wipo.int/edocs/pubdocs/en/intproperty/896/wipo_pub_896.pdf</w:t>
        </w:r>
      </w:hyperlink>
    </w:p>
    <w:p w:rsidR="00F55AA9" w:rsidRDefault="00E742A5" w:rsidP="00883AE7">
      <w:pPr>
        <w:pStyle w:val="ONUMFS"/>
        <w:numPr>
          <w:ilvl w:val="0"/>
          <w:numId w:val="10"/>
        </w:numPr>
        <w:ind w:left="1134" w:hanging="567"/>
      </w:pPr>
      <w:r w:rsidRPr="00E568C3">
        <w:t>L</w:t>
      </w:r>
      <w:r w:rsidR="00871730" w:rsidRPr="00E568C3">
        <w:t>’</w:t>
      </w:r>
      <w:r w:rsidRPr="00E568C3">
        <w:t>affaire équilibrée</w:t>
      </w:r>
      <w:r w:rsidR="00883AE7" w:rsidRPr="00E568C3">
        <w:t xml:space="preserve"> – </w:t>
      </w:r>
      <w:r w:rsidRPr="00E568C3">
        <w:t>La né</w:t>
      </w:r>
      <w:r w:rsidR="00883AE7" w:rsidRPr="00E568C3">
        <w:t>go</w:t>
      </w:r>
      <w:r w:rsidRPr="00E568C3">
        <w:t>ci</w:t>
      </w:r>
      <w:r w:rsidR="00883AE7" w:rsidRPr="00E568C3">
        <w:t xml:space="preserve">ation </w:t>
      </w:r>
      <w:r w:rsidRPr="00E568C3">
        <w:t>des contrats de licence de t</w:t>
      </w:r>
      <w:r w:rsidR="00883AE7" w:rsidRPr="00E568C3">
        <w:t xml:space="preserve">echnologie – </w:t>
      </w:r>
      <w:r w:rsidRPr="00E568C3">
        <w:t>support de formation p</w:t>
      </w:r>
      <w:r w:rsidR="00883AE7" w:rsidRPr="00E568C3">
        <w:t>rati</w:t>
      </w:r>
      <w:r w:rsidRPr="00E568C3">
        <w:t>que</w:t>
      </w:r>
      <w:r w:rsidR="00883AE7" w:rsidRPr="00E568C3">
        <w:t xml:space="preserve">, </w:t>
      </w:r>
      <w:r w:rsidRPr="00E568C3">
        <w:t>disponib</w:t>
      </w:r>
      <w:r w:rsidR="00883AE7" w:rsidRPr="00E568C3">
        <w:t xml:space="preserve">le </w:t>
      </w:r>
      <w:r w:rsidRPr="00E568C3">
        <w:t>en tant que p</w:t>
      </w:r>
      <w:r w:rsidR="00883AE7" w:rsidRPr="00E568C3">
        <w:t xml:space="preserve">ublication </w:t>
      </w:r>
      <w:r w:rsidRPr="00E568C3">
        <w:t>n</w:t>
      </w:r>
      <w:r w:rsidR="008A2E3E" w:rsidRPr="00E568C3">
        <w:t>° </w:t>
      </w:r>
      <w:r w:rsidR="00883AE7" w:rsidRPr="00E568C3">
        <w:t>906</w:t>
      </w:r>
      <w:r w:rsidRPr="00E568C3">
        <w:t xml:space="preserve"> de l</w:t>
      </w:r>
      <w:r w:rsidR="00871730" w:rsidRPr="00E568C3">
        <w:t>’</w:t>
      </w:r>
      <w:r w:rsidRPr="00E568C3">
        <w:t>OMPI :</w:t>
      </w:r>
      <w:r w:rsidR="00883AE7" w:rsidRPr="00E568C3">
        <w:t xml:space="preserve"> </w:t>
      </w:r>
      <w:hyperlink r:id="rId25" w:history="1">
        <w:r w:rsidRPr="00E568C3">
          <w:rPr>
            <w:rStyle w:val="Hyperlink"/>
            <w:color w:val="auto"/>
            <w:szCs w:val="22"/>
          </w:rPr>
          <w:t>http://www.wipo.int/export/sites/www/sme/fr/documents/pdf/technology_licensing.pdf</w:t>
        </w:r>
      </w:hyperlink>
    </w:p>
    <w:p w:rsidR="00F55AA9" w:rsidRDefault="00AA2A7C" w:rsidP="00883AE7">
      <w:pPr>
        <w:pStyle w:val="ONUMFS"/>
        <w:numPr>
          <w:ilvl w:val="0"/>
          <w:numId w:val="10"/>
        </w:numPr>
        <w:ind w:left="1134" w:hanging="567"/>
        <w:rPr>
          <w:bCs/>
        </w:rPr>
      </w:pPr>
      <w:r w:rsidRPr="00E568C3">
        <w:rPr>
          <w:bCs/>
          <w:i/>
        </w:rPr>
        <w:t xml:space="preserve">Étude cas </w:t>
      </w:r>
      <w:r w:rsidR="00883AE7" w:rsidRPr="00E568C3">
        <w:rPr>
          <w:bCs/>
          <w:i/>
        </w:rPr>
        <w:t>WIPO GREEN</w:t>
      </w:r>
      <w:r w:rsidR="00AD6818" w:rsidRPr="00E568C3">
        <w:rPr>
          <w:bCs/>
          <w:i/>
        </w:rPr>
        <w:t> </w:t>
      </w:r>
      <w:r w:rsidR="00883AE7" w:rsidRPr="00E568C3">
        <w:rPr>
          <w:bCs/>
          <w:i/>
        </w:rPr>
        <w:t xml:space="preserve">: Green </w:t>
      </w:r>
      <w:proofErr w:type="spellStart"/>
      <w:r w:rsidR="00883AE7" w:rsidRPr="00E568C3">
        <w:rPr>
          <w:bCs/>
          <w:i/>
        </w:rPr>
        <w:t>Technology</w:t>
      </w:r>
      <w:proofErr w:type="spellEnd"/>
      <w:r w:rsidR="00883AE7" w:rsidRPr="00E568C3">
        <w:rPr>
          <w:bCs/>
          <w:i/>
        </w:rPr>
        <w:t xml:space="preserve"> Diffusion</w:t>
      </w:r>
      <w:r w:rsidR="00AD6818" w:rsidRPr="00E568C3">
        <w:rPr>
          <w:bCs/>
          <w:i/>
        </w:rPr>
        <w:t> </w:t>
      </w:r>
      <w:r w:rsidR="00883AE7" w:rsidRPr="00E568C3">
        <w:rPr>
          <w:bCs/>
          <w:i/>
        </w:rPr>
        <w:t xml:space="preserve">: The Case of </w:t>
      </w:r>
      <w:proofErr w:type="spellStart"/>
      <w:r w:rsidR="00883AE7" w:rsidRPr="00E568C3">
        <w:rPr>
          <w:bCs/>
          <w:i/>
        </w:rPr>
        <w:t>Ecosan</w:t>
      </w:r>
      <w:proofErr w:type="spellEnd"/>
      <w:r w:rsidR="00883AE7" w:rsidRPr="00E568C3">
        <w:rPr>
          <w:bCs/>
          <w:i/>
        </w:rPr>
        <w:t xml:space="preserve"> </w:t>
      </w:r>
      <w:proofErr w:type="spellStart"/>
      <w:r w:rsidR="00883AE7" w:rsidRPr="00E568C3">
        <w:rPr>
          <w:bCs/>
          <w:i/>
        </w:rPr>
        <w:t>Waterless</w:t>
      </w:r>
      <w:proofErr w:type="spellEnd"/>
      <w:r w:rsidR="00883AE7" w:rsidRPr="00E568C3">
        <w:rPr>
          <w:bCs/>
          <w:i/>
        </w:rPr>
        <w:t xml:space="preserve"> </w:t>
      </w:r>
      <w:proofErr w:type="spellStart"/>
      <w:r w:rsidR="00883AE7" w:rsidRPr="00E568C3">
        <w:rPr>
          <w:bCs/>
          <w:i/>
        </w:rPr>
        <w:t>Toilets</w:t>
      </w:r>
      <w:proofErr w:type="spellEnd"/>
      <w:r w:rsidR="00883AE7" w:rsidRPr="00E568C3">
        <w:rPr>
          <w:bCs/>
        </w:rPr>
        <w:t xml:space="preserve"> </w:t>
      </w:r>
      <w:r w:rsidR="00AD6818" w:rsidRPr="00E568C3">
        <w:rPr>
          <w:bCs/>
        </w:rPr>
        <w:t xml:space="preserve">(en anglais) : </w:t>
      </w:r>
      <w:hyperlink r:id="rId26" w:history="1">
        <w:r w:rsidR="00883AE7" w:rsidRPr="00E568C3">
          <w:rPr>
            <w:rStyle w:val="Hyperlink"/>
            <w:bCs/>
            <w:color w:val="auto"/>
            <w:szCs w:val="22"/>
          </w:rPr>
          <w:t>http://www.wipo.int/edocs/pubdocs/en/wipo_pub_951_6.pdf</w:t>
        </w:r>
      </w:hyperlink>
    </w:p>
    <w:p w:rsidR="00F55AA9" w:rsidRDefault="00AA2A7C" w:rsidP="00883AE7">
      <w:pPr>
        <w:pStyle w:val="ONUMFS"/>
        <w:numPr>
          <w:ilvl w:val="0"/>
          <w:numId w:val="10"/>
        </w:numPr>
        <w:ind w:left="1134" w:hanging="567"/>
        <w:rPr>
          <w:bCs/>
        </w:rPr>
      </w:pPr>
      <w:r w:rsidRPr="00E568C3">
        <w:rPr>
          <w:bCs/>
          <w:i/>
        </w:rPr>
        <w:t xml:space="preserve">Étude de cas </w:t>
      </w:r>
      <w:r w:rsidR="00883AE7" w:rsidRPr="00E568C3">
        <w:rPr>
          <w:bCs/>
          <w:i/>
        </w:rPr>
        <w:t>WIPO GREEN</w:t>
      </w:r>
      <w:r w:rsidR="00AD6818" w:rsidRPr="00E568C3">
        <w:rPr>
          <w:bCs/>
          <w:i/>
        </w:rPr>
        <w:t> </w:t>
      </w:r>
      <w:r w:rsidR="00883AE7" w:rsidRPr="00E568C3">
        <w:rPr>
          <w:bCs/>
          <w:i/>
        </w:rPr>
        <w:t xml:space="preserve">: Green </w:t>
      </w:r>
      <w:proofErr w:type="spellStart"/>
      <w:r w:rsidR="00883AE7" w:rsidRPr="00E568C3">
        <w:rPr>
          <w:bCs/>
          <w:i/>
        </w:rPr>
        <w:t>Technology</w:t>
      </w:r>
      <w:proofErr w:type="spellEnd"/>
      <w:r w:rsidR="00883AE7" w:rsidRPr="00E568C3">
        <w:rPr>
          <w:bCs/>
          <w:i/>
        </w:rPr>
        <w:t xml:space="preserve"> Diffusion</w:t>
      </w:r>
      <w:r w:rsidR="00AD6818" w:rsidRPr="00E568C3">
        <w:rPr>
          <w:bCs/>
          <w:i/>
        </w:rPr>
        <w:t> </w:t>
      </w:r>
      <w:r w:rsidR="00883AE7" w:rsidRPr="00E568C3">
        <w:rPr>
          <w:bCs/>
          <w:i/>
        </w:rPr>
        <w:t xml:space="preserve">: The Case of </w:t>
      </w:r>
      <w:proofErr w:type="spellStart"/>
      <w:r w:rsidR="00883AE7" w:rsidRPr="00E568C3">
        <w:rPr>
          <w:bCs/>
          <w:i/>
        </w:rPr>
        <w:t>Arivi</w:t>
      </w:r>
      <w:proofErr w:type="spellEnd"/>
      <w:r w:rsidR="00883AE7" w:rsidRPr="00E568C3">
        <w:rPr>
          <w:bCs/>
          <w:i/>
        </w:rPr>
        <w:t xml:space="preserve"> </w:t>
      </w:r>
      <w:proofErr w:type="spellStart"/>
      <w:r w:rsidR="00883AE7" w:rsidRPr="00E568C3">
        <w:rPr>
          <w:bCs/>
          <w:i/>
        </w:rPr>
        <w:t>Paraffin</w:t>
      </w:r>
      <w:proofErr w:type="spellEnd"/>
      <w:r w:rsidR="00883AE7" w:rsidRPr="00E568C3">
        <w:rPr>
          <w:bCs/>
          <w:i/>
        </w:rPr>
        <w:t xml:space="preserve"> </w:t>
      </w:r>
      <w:proofErr w:type="spellStart"/>
      <w:r w:rsidR="00883AE7" w:rsidRPr="00E568C3">
        <w:rPr>
          <w:bCs/>
          <w:i/>
        </w:rPr>
        <w:t>Cookstoves</w:t>
      </w:r>
      <w:proofErr w:type="spellEnd"/>
      <w:r w:rsidR="00AD6818" w:rsidRPr="00E568C3">
        <w:rPr>
          <w:bCs/>
          <w:i/>
        </w:rPr>
        <w:t xml:space="preserve"> </w:t>
      </w:r>
      <w:r w:rsidR="00AD6818" w:rsidRPr="00E568C3">
        <w:rPr>
          <w:bCs/>
        </w:rPr>
        <w:t>(en anglais) :</w:t>
      </w:r>
      <w:r w:rsidR="00883AE7" w:rsidRPr="00E568C3">
        <w:rPr>
          <w:bCs/>
        </w:rPr>
        <w:t xml:space="preserve"> </w:t>
      </w:r>
      <w:hyperlink r:id="rId27" w:history="1">
        <w:r w:rsidR="00883AE7" w:rsidRPr="00E568C3">
          <w:rPr>
            <w:rStyle w:val="Hyperlink"/>
            <w:bCs/>
            <w:color w:val="auto"/>
            <w:szCs w:val="22"/>
          </w:rPr>
          <w:t>http://www.wipo.int/edocs/pubdocs/en/wipo_pub_951_5.pdf</w:t>
        </w:r>
      </w:hyperlink>
    </w:p>
    <w:p w:rsidR="00F55AA9" w:rsidRDefault="00AD6818" w:rsidP="00883AE7">
      <w:pPr>
        <w:pStyle w:val="ONUMFS"/>
        <w:numPr>
          <w:ilvl w:val="0"/>
          <w:numId w:val="10"/>
        </w:numPr>
        <w:ind w:left="1134" w:hanging="567"/>
      </w:pPr>
      <w:r w:rsidRPr="00E568C3">
        <w:rPr>
          <w:rFonts w:eastAsiaTheme="minorEastAsia"/>
          <w:lang w:eastAsia="ja-JP"/>
        </w:rPr>
        <w:lastRenderedPageBreak/>
        <w:t>Rapport sur les défis mondiaux</w:t>
      </w:r>
      <w:r w:rsidR="00883AE7" w:rsidRPr="00E568C3">
        <w:rPr>
          <w:rFonts w:eastAsiaTheme="minorEastAsia"/>
          <w:lang w:eastAsia="ja-JP"/>
        </w:rPr>
        <w:t xml:space="preserve"> </w:t>
      </w:r>
      <w:r w:rsidRPr="00E568C3">
        <w:rPr>
          <w:rFonts w:eastAsiaTheme="minorEastAsia"/>
          <w:lang w:eastAsia="ja-JP"/>
        </w:rPr>
        <w:t>par</w:t>
      </w:r>
      <w:r w:rsidR="00883AE7" w:rsidRPr="00E568C3">
        <w:rPr>
          <w:rFonts w:eastAsiaTheme="minorEastAsia"/>
          <w:lang w:eastAsia="ja-JP"/>
        </w:rPr>
        <w:t xml:space="preserve"> S.</w:t>
      </w:r>
      <w:r w:rsidRPr="00E568C3">
        <w:rPr>
          <w:rFonts w:eastAsiaTheme="minorEastAsia"/>
          <w:lang w:eastAsia="ja-JP"/>
        </w:rPr>
        <w:t> </w:t>
      </w:r>
      <w:proofErr w:type="spellStart"/>
      <w:r w:rsidR="00883AE7" w:rsidRPr="00E568C3">
        <w:rPr>
          <w:rFonts w:eastAsiaTheme="minorEastAsia"/>
          <w:lang w:eastAsia="ja-JP"/>
        </w:rPr>
        <w:t>Helm</w:t>
      </w:r>
      <w:proofErr w:type="spellEnd"/>
      <w:r w:rsidR="00883AE7" w:rsidRPr="00E568C3">
        <w:rPr>
          <w:rFonts w:eastAsiaTheme="minorEastAsia"/>
          <w:lang w:eastAsia="ja-JP"/>
        </w:rPr>
        <w:t>, Q.</w:t>
      </w:r>
      <w:r w:rsidRPr="00E568C3">
        <w:rPr>
          <w:rFonts w:eastAsiaTheme="minorEastAsia"/>
          <w:lang w:eastAsia="ja-JP"/>
        </w:rPr>
        <w:t> </w:t>
      </w:r>
      <w:proofErr w:type="spellStart"/>
      <w:r w:rsidR="00883AE7" w:rsidRPr="00E568C3">
        <w:rPr>
          <w:rFonts w:eastAsiaTheme="minorEastAsia"/>
          <w:lang w:eastAsia="ja-JP"/>
        </w:rPr>
        <w:t>Tannock</w:t>
      </w:r>
      <w:proofErr w:type="spellEnd"/>
      <w:r w:rsidR="00883AE7" w:rsidRPr="00E568C3">
        <w:rPr>
          <w:rFonts w:eastAsiaTheme="minorEastAsia"/>
          <w:lang w:eastAsia="ja-JP"/>
        </w:rPr>
        <w:t xml:space="preserve"> </w:t>
      </w:r>
      <w:r w:rsidRPr="00E568C3">
        <w:rPr>
          <w:rFonts w:eastAsiaTheme="minorEastAsia"/>
          <w:lang w:eastAsia="ja-JP"/>
        </w:rPr>
        <w:t>et</w:t>
      </w:r>
      <w:r w:rsidR="00883AE7" w:rsidRPr="00E568C3">
        <w:rPr>
          <w:rFonts w:eastAsiaTheme="minorEastAsia"/>
          <w:lang w:eastAsia="ja-JP"/>
        </w:rPr>
        <w:t xml:space="preserve"> I.</w:t>
      </w:r>
      <w:r w:rsidRPr="00E568C3">
        <w:rPr>
          <w:rFonts w:eastAsiaTheme="minorEastAsia"/>
          <w:lang w:eastAsia="ja-JP"/>
        </w:rPr>
        <w:t> </w:t>
      </w:r>
      <w:proofErr w:type="spellStart"/>
      <w:r w:rsidR="00883AE7" w:rsidRPr="00E568C3">
        <w:rPr>
          <w:rFonts w:eastAsiaTheme="minorEastAsia"/>
          <w:lang w:eastAsia="ja-JP"/>
        </w:rPr>
        <w:t>Iliev</w:t>
      </w:r>
      <w:proofErr w:type="spellEnd"/>
      <w:r w:rsidR="00883AE7" w:rsidRPr="00E568C3">
        <w:rPr>
          <w:rFonts w:eastAsiaTheme="minorEastAsia"/>
          <w:lang w:eastAsia="ja-JP"/>
        </w:rPr>
        <w:t xml:space="preserve">, 2014. 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Renewable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Energy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Technology</w:t>
      </w:r>
      <w:proofErr w:type="spellEnd"/>
      <w:r w:rsidRPr="00E568C3">
        <w:rPr>
          <w:rFonts w:eastAsiaTheme="minorEastAsia"/>
          <w:i/>
          <w:iCs/>
          <w:lang w:eastAsia="ja-JP"/>
        </w:rPr>
        <w:t> </w:t>
      </w:r>
      <w:r w:rsidR="00883AE7" w:rsidRPr="00E568C3">
        <w:rPr>
          <w:rFonts w:eastAsiaTheme="minorEastAsia"/>
          <w:i/>
          <w:iCs/>
          <w:lang w:eastAsia="ja-JP"/>
        </w:rPr>
        <w:t xml:space="preserve">: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Evolution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and Policy Implications—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Evidence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from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Patent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Literature</w:t>
      </w:r>
      <w:proofErr w:type="spellEnd"/>
      <w:r w:rsidRPr="00E568C3">
        <w:rPr>
          <w:rFonts w:eastAsiaTheme="minorEastAsia"/>
          <w:i/>
          <w:iCs/>
          <w:lang w:eastAsia="ja-JP"/>
        </w:rPr>
        <w:t> :</w:t>
      </w:r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hyperlink r:id="rId28" w:history="1">
        <w:r w:rsidR="00883AE7" w:rsidRPr="00E568C3">
          <w:rPr>
            <w:rStyle w:val="Hyperlink"/>
            <w:color w:val="auto"/>
            <w:szCs w:val="22"/>
          </w:rPr>
          <w:t>http://www.wipo.int/export/sites/www/policy/en/climate_change/pdf/ccmt_report.pdf</w:t>
        </w:r>
      </w:hyperlink>
    </w:p>
    <w:p w:rsidR="00F55AA9" w:rsidRDefault="00AD6818" w:rsidP="00883AE7">
      <w:pPr>
        <w:pStyle w:val="ONUMFS"/>
        <w:numPr>
          <w:ilvl w:val="0"/>
          <w:numId w:val="10"/>
        </w:numPr>
        <w:ind w:left="1134" w:hanging="567"/>
        <w:rPr>
          <w:rFonts w:eastAsiaTheme="minorEastAsia"/>
          <w:lang w:eastAsia="ja-JP"/>
        </w:rPr>
      </w:pPr>
      <w:r w:rsidRPr="00E568C3">
        <w:rPr>
          <w:rFonts w:eastAsiaTheme="minorEastAsia"/>
          <w:lang w:eastAsia="ja-JP"/>
        </w:rPr>
        <w:t>Rapport sur les défis mondiaux par</w:t>
      </w:r>
      <w:r w:rsidR="00883AE7" w:rsidRPr="00E568C3">
        <w:rPr>
          <w:rFonts w:eastAsiaTheme="minorEastAsia"/>
          <w:lang w:eastAsia="ja-JP"/>
        </w:rPr>
        <w:t xml:space="preserve"> Kristina</w:t>
      </w:r>
      <w:r w:rsidR="008A2E3E" w:rsidRPr="00E568C3">
        <w:rPr>
          <w:rFonts w:eastAsiaTheme="minorEastAsia"/>
          <w:lang w:eastAsia="ja-JP"/>
        </w:rPr>
        <w:t xml:space="preserve"> </w:t>
      </w:r>
      <w:r w:rsidR="00883AE7" w:rsidRPr="00E568C3">
        <w:rPr>
          <w:rFonts w:eastAsiaTheme="minorEastAsia"/>
          <w:lang w:eastAsia="ja-JP"/>
        </w:rPr>
        <w:t>M.</w:t>
      </w:r>
      <w:r w:rsidRPr="00E568C3">
        <w:rPr>
          <w:rFonts w:eastAsiaTheme="minorEastAsia"/>
          <w:lang w:eastAsia="ja-JP"/>
        </w:rPr>
        <w:t> </w:t>
      </w:r>
      <w:proofErr w:type="spellStart"/>
      <w:r w:rsidR="00883AE7" w:rsidRPr="00E568C3">
        <w:rPr>
          <w:rFonts w:eastAsiaTheme="minorEastAsia"/>
          <w:lang w:eastAsia="ja-JP"/>
        </w:rPr>
        <w:t>Lybecker</w:t>
      </w:r>
      <w:proofErr w:type="spellEnd"/>
      <w:r w:rsidR="00883AE7" w:rsidRPr="00E568C3">
        <w:rPr>
          <w:rFonts w:eastAsiaTheme="minorEastAsia"/>
          <w:lang w:eastAsia="ja-JP"/>
        </w:rPr>
        <w:t xml:space="preserve"> </w:t>
      </w:r>
      <w:r w:rsidRPr="00E568C3">
        <w:rPr>
          <w:rFonts w:eastAsiaTheme="minorEastAsia"/>
          <w:lang w:eastAsia="ja-JP"/>
        </w:rPr>
        <w:t>et</w:t>
      </w:r>
      <w:r w:rsidR="00883AE7" w:rsidRPr="00E568C3">
        <w:rPr>
          <w:rFonts w:eastAsiaTheme="minorEastAsia"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lang w:eastAsia="ja-JP"/>
        </w:rPr>
        <w:t>Sebastian</w:t>
      </w:r>
      <w:proofErr w:type="spellEnd"/>
      <w:r w:rsidRPr="00E568C3">
        <w:rPr>
          <w:rFonts w:eastAsiaTheme="minorEastAsia"/>
          <w:lang w:eastAsia="ja-JP"/>
        </w:rPr>
        <w:t> </w:t>
      </w:r>
      <w:proofErr w:type="spellStart"/>
      <w:r w:rsidR="00883AE7" w:rsidRPr="00E568C3">
        <w:rPr>
          <w:rFonts w:eastAsiaTheme="minorEastAsia"/>
          <w:lang w:eastAsia="ja-JP"/>
        </w:rPr>
        <w:t>Lohse</w:t>
      </w:r>
      <w:proofErr w:type="spellEnd"/>
      <w:r w:rsidR="00883AE7" w:rsidRPr="00E568C3">
        <w:rPr>
          <w:rFonts w:eastAsiaTheme="minorEastAsia"/>
          <w:lang w:eastAsia="ja-JP"/>
        </w:rPr>
        <w:t xml:space="preserve">, 2015.  </w:t>
      </w:r>
      <w:r w:rsidR="00883AE7" w:rsidRPr="00E568C3">
        <w:rPr>
          <w:rFonts w:eastAsiaTheme="minorEastAsia"/>
          <w:i/>
          <w:lang w:eastAsia="ja-JP"/>
        </w:rPr>
        <w:t>Innovation and Diffusion of Green Technologies</w:t>
      </w:r>
      <w:r w:rsidR="00E11092" w:rsidRPr="00E568C3">
        <w:rPr>
          <w:rFonts w:eastAsiaTheme="minorEastAsia"/>
          <w:i/>
          <w:lang w:eastAsia="ja-JP"/>
        </w:rPr>
        <w:t> </w:t>
      </w:r>
      <w:r w:rsidR="00883AE7" w:rsidRPr="00E568C3">
        <w:rPr>
          <w:rFonts w:eastAsiaTheme="minorEastAsia"/>
          <w:i/>
          <w:lang w:eastAsia="ja-JP"/>
        </w:rPr>
        <w:t xml:space="preserve">: The </w:t>
      </w:r>
      <w:proofErr w:type="spellStart"/>
      <w:r w:rsidR="00883AE7" w:rsidRPr="00E568C3">
        <w:rPr>
          <w:rFonts w:eastAsiaTheme="minorEastAsia"/>
          <w:i/>
          <w:lang w:eastAsia="ja-JP"/>
        </w:rPr>
        <w:t>Role</w:t>
      </w:r>
      <w:proofErr w:type="spellEnd"/>
      <w:r w:rsidR="00883AE7" w:rsidRPr="00E568C3">
        <w:rPr>
          <w:rFonts w:eastAsiaTheme="minorEastAsia"/>
          <w:i/>
          <w:lang w:eastAsia="ja-JP"/>
        </w:rPr>
        <w:t xml:space="preserve"> of </w:t>
      </w:r>
      <w:proofErr w:type="spellStart"/>
      <w:r w:rsidR="00883AE7" w:rsidRPr="00E568C3">
        <w:rPr>
          <w:rFonts w:eastAsiaTheme="minorEastAsia"/>
          <w:i/>
          <w:lang w:eastAsia="ja-JP"/>
        </w:rPr>
        <w:t>Intellectual</w:t>
      </w:r>
      <w:proofErr w:type="spellEnd"/>
      <w:r w:rsidR="00883AE7" w:rsidRPr="00E568C3">
        <w:rPr>
          <w:rFonts w:eastAsiaTheme="minorEastAsia"/>
          <w:i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lang w:eastAsia="ja-JP"/>
        </w:rPr>
        <w:t>Property</w:t>
      </w:r>
      <w:proofErr w:type="spellEnd"/>
      <w:r w:rsidR="00883AE7" w:rsidRPr="00E568C3">
        <w:rPr>
          <w:rFonts w:eastAsiaTheme="minorEastAsia"/>
          <w:i/>
          <w:lang w:eastAsia="ja-JP"/>
        </w:rPr>
        <w:t xml:space="preserve"> and </w:t>
      </w:r>
      <w:proofErr w:type="spellStart"/>
      <w:r w:rsidR="00883AE7" w:rsidRPr="00E568C3">
        <w:rPr>
          <w:rFonts w:eastAsiaTheme="minorEastAsia"/>
          <w:i/>
          <w:lang w:eastAsia="ja-JP"/>
        </w:rPr>
        <w:t>Other</w:t>
      </w:r>
      <w:proofErr w:type="spellEnd"/>
      <w:r w:rsidR="00883AE7" w:rsidRPr="00E568C3">
        <w:rPr>
          <w:rFonts w:eastAsiaTheme="minorEastAsia"/>
          <w:i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lang w:eastAsia="ja-JP"/>
        </w:rPr>
        <w:t>Enabling</w:t>
      </w:r>
      <w:proofErr w:type="spellEnd"/>
      <w:r w:rsidR="00883AE7" w:rsidRPr="00E568C3">
        <w:rPr>
          <w:rFonts w:eastAsiaTheme="minorEastAsia"/>
          <w:i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lang w:eastAsia="ja-JP"/>
        </w:rPr>
        <w:t>Factors</w:t>
      </w:r>
      <w:proofErr w:type="spellEnd"/>
      <w:r w:rsidR="00E11092" w:rsidRPr="00E568C3">
        <w:rPr>
          <w:rFonts w:eastAsiaTheme="minorEastAsia"/>
          <w:lang w:eastAsia="ja-JP"/>
        </w:rPr>
        <w:t xml:space="preserve"> : </w:t>
      </w:r>
      <w:hyperlink r:id="rId29" w:history="1">
        <w:r w:rsidR="00883AE7" w:rsidRPr="00E568C3">
          <w:rPr>
            <w:rStyle w:val="Hyperlink"/>
            <w:rFonts w:eastAsiaTheme="minorEastAsia"/>
            <w:color w:val="auto"/>
            <w:szCs w:val="22"/>
            <w:lang w:eastAsia="ja-JP"/>
          </w:rPr>
          <w:t>https://webaccess.wipo.int/wipogreen/en/pdf/global_challenges_report_lybecker_lohse.pdf</w:t>
        </w:r>
      </w:hyperlink>
    </w:p>
    <w:p w:rsidR="00F55AA9" w:rsidRDefault="00E11092" w:rsidP="00E11092">
      <w:pPr>
        <w:pStyle w:val="ONUMFS"/>
        <w:numPr>
          <w:ilvl w:val="0"/>
          <w:numId w:val="10"/>
        </w:numPr>
        <w:tabs>
          <w:tab w:val="clear" w:pos="567"/>
        </w:tabs>
        <w:ind w:left="1134" w:hanging="567"/>
      </w:pPr>
      <w:r w:rsidRPr="00E568C3">
        <w:t>Note d</w:t>
      </w:r>
      <w:r w:rsidR="00871730" w:rsidRPr="00E568C3">
        <w:t>’</w:t>
      </w:r>
      <w:r w:rsidRPr="00E568C3">
        <w:t>information sur les défis mondiaux </w:t>
      </w:r>
      <w:r w:rsidR="00883AE7" w:rsidRPr="00E568C3">
        <w:t>:</w:t>
      </w:r>
      <w:r w:rsidRPr="00E568C3">
        <w:t xml:space="preserve"> </w:t>
      </w:r>
      <w:r w:rsidRPr="00E568C3">
        <w:rPr>
          <w:i/>
        </w:rPr>
        <w:t>Lorsque la politique se fonde sur des faits : dans quelle direction orienter le débat sur la propriété intellectuelle, le transfert de technologie et l</w:t>
      </w:r>
      <w:r w:rsidR="00871730" w:rsidRPr="00E568C3">
        <w:rPr>
          <w:i/>
        </w:rPr>
        <w:t>’</w:t>
      </w:r>
      <w:r w:rsidRPr="00E568C3">
        <w:rPr>
          <w:i/>
        </w:rPr>
        <w:t>environnement?</w:t>
      </w:r>
      <w:r w:rsidR="00883AE7" w:rsidRPr="00E568C3">
        <w:rPr>
          <w:i/>
        </w:rPr>
        <w:t xml:space="preserve">  </w:t>
      </w:r>
      <w:hyperlink r:id="rId30" w:history="1">
        <w:r w:rsidR="00883AE7" w:rsidRPr="00E568C3">
          <w:rPr>
            <w:rStyle w:val="Hyperlink"/>
            <w:color w:val="auto"/>
            <w:szCs w:val="22"/>
          </w:rPr>
          <w:t>http://www.wipo.int/export/sites/www/policy/en/climate_change/pdf/global_challenges_brief.pdf</w:t>
        </w:r>
      </w:hyperlink>
    </w:p>
    <w:p w:rsidR="00F55AA9" w:rsidRDefault="00E11092" w:rsidP="00883AE7">
      <w:pPr>
        <w:pStyle w:val="ONUMFS"/>
        <w:numPr>
          <w:ilvl w:val="0"/>
          <w:numId w:val="10"/>
        </w:numPr>
        <w:ind w:left="1134" w:hanging="567"/>
      </w:pPr>
      <w:r w:rsidRPr="00E568C3">
        <w:rPr>
          <w:rFonts w:eastAsiaTheme="minorEastAsia"/>
          <w:lang w:eastAsia="ja-JP"/>
        </w:rPr>
        <w:t>Note d</w:t>
      </w:r>
      <w:r w:rsidR="00871730" w:rsidRPr="00E568C3">
        <w:rPr>
          <w:rFonts w:eastAsiaTheme="minorEastAsia"/>
          <w:lang w:eastAsia="ja-JP"/>
        </w:rPr>
        <w:t>’</w:t>
      </w:r>
      <w:r w:rsidRPr="00E568C3">
        <w:rPr>
          <w:rFonts w:eastAsiaTheme="minorEastAsia"/>
          <w:lang w:eastAsia="ja-JP"/>
        </w:rPr>
        <w:t>information sur les défis mondiaux </w:t>
      </w:r>
      <w:r w:rsidR="00883AE7" w:rsidRPr="00E568C3">
        <w:rPr>
          <w:rFonts w:eastAsiaTheme="minorEastAsia"/>
          <w:lang w:eastAsia="ja-JP"/>
        </w:rPr>
        <w:t xml:space="preserve">: </w:t>
      </w:r>
      <w:r w:rsidR="00883AE7" w:rsidRPr="00E568C3">
        <w:rPr>
          <w:rFonts w:eastAsiaTheme="minorEastAsia"/>
          <w:i/>
          <w:iCs/>
          <w:lang w:eastAsia="ja-JP"/>
        </w:rPr>
        <w:t xml:space="preserve">The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acceleration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of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climate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change and mitigation technologies</w:t>
      </w:r>
      <w:r w:rsidRPr="00E568C3">
        <w:rPr>
          <w:rFonts w:eastAsiaTheme="minorEastAsia"/>
          <w:i/>
          <w:iCs/>
          <w:lang w:eastAsia="ja-JP"/>
        </w:rPr>
        <w:t> </w:t>
      </w:r>
      <w:r w:rsidR="00883AE7" w:rsidRPr="00E568C3">
        <w:rPr>
          <w:rFonts w:eastAsiaTheme="minorEastAsia"/>
          <w:i/>
          <w:iCs/>
          <w:lang w:eastAsia="ja-JP"/>
        </w:rPr>
        <w:t xml:space="preserve">: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Intellectual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property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trends in the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renewable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energy</w:t>
      </w:r>
      <w:proofErr w:type="spellEnd"/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proofErr w:type="spellStart"/>
      <w:r w:rsidR="00883AE7" w:rsidRPr="00E568C3">
        <w:rPr>
          <w:rFonts w:eastAsiaTheme="minorEastAsia"/>
          <w:i/>
          <w:iCs/>
          <w:lang w:eastAsia="ja-JP"/>
        </w:rPr>
        <w:t>landscape</w:t>
      </w:r>
      <w:proofErr w:type="spellEnd"/>
      <w:r w:rsidRPr="00E568C3">
        <w:rPr>
          <w:rFonts w:eastAsiaTheme="minorEastAsia"/>
          <w:i/>
          <w:iCs/>
          <w:lang w:eastAsia="ja-JP"/>
        </w:rPr>
        <w:t> :</w:t>
      </w:r>
      <w:r w:rsidR="00883AE7" w:rsidRPr="00E568C3">
        <w:rPr>
          <w:rFonts w:eastAsiaTheme="minorEastAsia"/>
          <w:i/>
          <w:iCs/>
          <w:lang w:eastAsia="ja-JP"/>
        </w:rPr>
        <w:t xml:space="preserve"> </w:t>
      </w:r>
      <w:hyperlink r:id="rId31" w:history="1">
        <w:r w:rsidR="00883AE7" w:rsidRPr="00E568C3">
          <w:rPr>
            <w:rStyle w:val="Hyperlink"/>
            <w:color w:val="auto"/>
            <w:szCs w:val="22"/>
          </w:rPr>
          <w:t>http://www.wipo.int/export/sites/www/policy/en/climate_change/pdf/ccmt_brief.pdf</w:t>
        </w:r>
      </w:hyperlink>
    </w:p>
    <w:p w:rsidR="00F55AA9" w:rsidRDefault="00E11092" w:rsidP="00883AE7">
      <w:pPr>
        <w:pStyle w:val="ONUMFS"/>
        <w:numPr>
          <w:ilvl w:val="0"/>
          <w:numId w:val="10"/>
        </w:numPr>
        <w:ind w:left="1134" w:hanging="567"/>
      </w:pPr>
      <w:r w:rsidRPr="00E568C3">
        <w:rPr>
          <w:rFonts w:eastAsiaTheme="minorEastAsia"/>
          <w:lang w:eastAsia="ja-JP"/>
        </w:rPr>
        <w:t>Note d</w:t>
      </w:r>
      <w:r w:rsidR="00871730" w:rsidRPr="00E568C3">
        <w:rPr>
          <w:rFonts w:eastAsiaTheme="minorEastAsia"/>
          <w:lang w:eastAsia="ja-JP"/>
        </w:rPr>
        <w:t>’</w:t>
      </w:r>
      <w:r w:rsidRPr="00E568C3">
        <w:rPr>
          <w:rFonts w:eastAsiaTheme="minorEastAsia"/>
          <w:lang w:eastAsia="ja-JP"/>
        </w:rPr>
        <w:t>information sur les défis mondiaux </w:t>
      </w:r>
      <w:r w:rsidR="00883AE7" w:rsidRPr="00E568C3">
        <w:rPr>
          <w:rFonts w:eastAsiaTheme="minorEastAsia"/>
          <w:lang w:eastAsia="ja-JP"/>
        </w:rPr>
        <w:t xml:space="preserve">: </w:t>
      </w:r>
      <w:proofErr w:type="spellStart"/>
      <w:r w:rsidR="00883AE7" w:rsidRPr="00E568C3">
        <w:rPr>
          <w:i/>
        </w:rPr>
        <w:t>Incentivizing</w:t>
      </w:r>
      <w:proofErr w:type="spellEnd"/>
      <w:r w:rsidR="00883AE7" w:rsidRPr="00E568C3">
        <w:rPr>
          <w:i/>
        </w:rPr>
        <w:t xml:space="preserve"> the adoption of green </w:t>
      </w:r>
      <w:proofErr w:type="spellStart"/>
      <w:r w:rsidR="00883AE7" w:rsidRPr="00E568C3">
        <w:rPr>
          <w:i/>
        </w:rPr>
        <w:t>technology</w:t>
      </w:r>
      <w:proofErr w:type="spellEnd"/>
      <w:r w:rsidR="00883AE7" w:rsidRPr="00E568C3">
        <w:rPr>
          <w:i/>
        </w:rPr>
        <w:t xml:space="preserve"> on a global </w:t>
      </w:r>
      <w:proofErr w:type="spellStart"/>
      <w:r w:rsidR="00883AE7" w:rsidRPr="00E568C3">
        <w:rPr>
          <w:i/>
        </w:rPr>
        <w:t>scale</w:t>
      </w:r>
      <w:proofErr w:type="spellEnd"/>
      <w:r w:rsidRPr="00E568C3">
        <w:t xml:space="preserve"> : </w:t>
      </w:r>
      <w:r w:rsidR="00883AE7" w:rsidRPr="00E568C3">
        <w:rPr>
          <w:rStyle w:val="Hyperlink"/>
          <w:color w:val="auto"/>
          <w:szCs w:val="22"/>
        </w:rPr>
        <w:t>(http://www.wipo.int/export/sites/www/policy/en/climate_change/pdf/wipo_lohse_brief.pdf)</w:t>
      </w:r>
    </w:p>
    <w:p w:rsidR="00F55AA9" w:rsidRDefault="00E11092" w:rsidP="00883AE7">
      <w:pPr>
        <w:pStyle w:val="ONUMFS"/>
        <w:numPr>
          <w:ilvl w:val="0"/>
          <w:numId w:val="10"/>
        </w:numPr>
        <w:ind w:left="1134" w:hanging="567"/>
      </w:pPr>
      <w:r w:rsidRPr="00E568C3">
        <w:t xml:space="preserve">En plus des manuels </w:t>
      </w:r>
      <w:r w:rsidR="00883AE7" w:rsidRPr="00E568C3">
        <w:t>exist</w:t>
      </w:r>
      <w:r w:rsidRPr="00E568C3">
        <w:t>a</w:t>
      </w:r>
      <w:r w:rsidR="00883AE7" w:rsidRPr="00E568C3">
        <w:t>n</w:t>
      </w:r>
      <w:r w:rsidRPr="00E568C3">
        <w:t>t</w:t>
      </w:r>
      <w:r w:rsidR="00883AE7" w:rsidRPr="00E568C3">
        <w:t xml:space="preserve">s, </w:t>
      </w:r>
      <w:r w:rsidR="0064534B" w:rsidRPr="00E568C3">
        <w:t>l</w:t>
      </w:r>
      <w:r w:rsidR="00871730" w:rsidRPr="00E568C3">
        <w:t>’</w:t>
      </w:r>
      <w:r w:rsidR="0064534B" w:rsidRPr="00E568C3">
        <w:t>OMPI a mis au point</w:t>
      </w:r>
      <w:r w:rsidR="00E615C7" w:rsidRPr="00E568C3">
        <w:t>,</w:t>
      </w:r>
      <w:r w:rsidR="0064534B" w:rsidRPr="00E568C3">
        <w:t xml:space="preserve"> pour chaque programme de formation</w:t>
      </w:r>
      <w:r w:rsidR="00E615C7" w:rsidRPr="00E568C3">
        <w:t>,</w:t>
      </w:r>
      <w:r w:rsidR="0064534B" w:rsidRPr="00E568C3">
        <w:t xml:space="preserve"> des supports </w:t>
      </w:r>
      <w:r w:rsidR="00E615C7" w:rsidRPr="00E568C3">
        <w:t>personnalisés</w:t>
      </w:r>
      <w:r w:rsidR="00883AE7" w:rsidRPr="00E568C3">
        <w:t xml:space="preserve">, </w:t>
      </w:r>
      <w:r w:rsidR="0064534B" w:rsidRPr="00E568C3">
        <w:t>axés sur des études de cas locales et des exercices pratiques</w:t>
      </w:r>
      <w:r w:rsidR="00883AE7" w:rsidRPr="00E568C3">
        <w:t xml:space="preserve">, </w:t>
      </w:r>
      <w:r w:rsidR="0064534B" w:rsidRPr="00E568C3">
        <w:t>souvent traduits dans la langue du pays hôte et traitant de questions de propriété intellectuelle e</w:t>
      </w:r>
      <w:r w:rsidR="00883AE7" w:rsidRPr="00E568C3">
        <w:t xml:space="preserve">n relation </w:t>
      </w:r>
      <w:r w:rsidR="0064534B" w:rsidRPr="00E568C3">
        <w:t>avec des thèmes ou des régions spécifiques comme i</w:t>
      </w:r>
      <w:r w:rsidR="00883AE7" w:rsidRPr="00E568C3">
        <w:t>ndi</w:t>
      </w:r>
      <w:r w:rsidR="0064534B" w:rsidRPr="00E568C3">
        <w:t xml:space="preserve">qué dans les </w:t>
      </w:r>
      <w:r w:rsidR="00883AE7" w:rsidRPr="00E568C3">
        <w:t>dif</w:t>
      </w:r>
      <w:r w:rsidR="0064534B" w:rsidRPr="00E568C3">
        <w:t>fé</w:t>
      </w:r>
      <w:r w:rsidR="00883AE7" w:rsidRPr="00E568C3">
        <w:t>rent</w:t>
      </w:r>
      <w:r w:rsidR="0064534B" w:rsidRPr="00E568C3">
        <w:t>s</w:t>
      </w:r>
      <w:r w:rsidR="00883AE7" w:rsidRPr="00E568C3">
        <w:t xml:space="preserve"> program</w:t>
      </w:r>
      <w:r w:rsidR="0064534B" w:rsidRPr="00E568C3">
        <w:t>me</w:t>
      </w:r>
      <w:r w:rsidR="00883AE7" w:rsidRPr="00E568C3">
        <w:t xml:space="preserve">s – </w:t>
      </w:r>
      <w:r w:rsidR="0064534B" w:rsidRPr="00E568C3">
        <w:t>telle que la né</w:t>
      </w:r>
      <w:r w:rsidR="00883AE7" w:rsidRPr="00E568C3">
        <w:t>go</w:t>
      </w:r>
      <w:r w:rsidR="0064534B" w:rsidRPr="00E568C3">
        <w:t>c</w:t>
      </w:r>
      <w:r w:rsidR="00883AE7" w:rsidRPr="00E568C3">
        <w:t xml:space="preserve">iation </w:t>
      </w:r>
      <w:r w:rsidR="0064534B" w:rsidRPr="00E568C3">
        <w:t>d</w:t>
      </w:r>
      <w:r w:rsidR="00871730" w:rsidRPr="00E568C3">
        <w:t>’</w:t>
      </w:r>
      <w:r w:rsidR="0064534B" w:rsidRPr="00E568C3">
        <w:t>un contrat de</w:t>
      </w:r>
      <w:r w:rsidR="00883AE7" w:rsidRPr="00E568C3">
        <w:t xml:space="preserve"> licen</w:t>
      </w:r>
      <w:r w:rsidR="0064534B" w:rsidRPr="00E568C3">
        <w:t>ce</w:t>
      </w:r>
      <w:r w:rsidR="00883AE7" w:rsidRPr="00E568C3">
        <w:t xml:space="preserve"> </w:t>
      </w:r>
      <w:r w:rsidR="0064534B" w:rsidRPr="00E568C3">
        <w:t xml:space="preserve">de </w:t>
      </w:r>
      <w:r w:rsidR="00883AE7" w:rsidRPr="00E568C3">
        <w:t>technolog</w:t>
      </w:r>
      <w:r w:rsidR="0064534B" w:rsidRPr="00E568C3">
        <w:t>ie</w:t>
      </w:r>
      <w:r w:rsidR="00883AE7" w:rsidRPr="00E568C3">
        <w:t xml:space="preserve"> </w:t>
      </w:r>
      <w:r w:rsidR="0064534B" w:rsidRPr="00E568C3">
        <w:t>relative à l</w:t>
      </w:r>
      <w:r w:rsidR="00871730" w:rsidRPr="00E568C3">
        <w:t>’</w:t>
      </w:r>
      <w:r w:rsidR="00883AE7" w:rsidRPr="00E568C3">
        <w:t xml:space="preserve">application </w:t>
      </w:r>
      <w:r w:rsidR="0064534B" w:rsidRPr="00E568C3">
        <w:t>de l</w:t>
      </w:r>
      <w:r w:rsidR="00871730" w:rsidRPr="00E568C3">
        <w:t>’</w:t>
      </w:r>
      <w:r w:rsidR="0064534B" w:rsidRPr="00E568C3">
        <w:t xml:space="preserve">informatique dans le domaine des </w:t>
      </w:r>
      <w:r w:rsidR="00883AE7" w:rsidRPr="00E568C3">
        <w:t>science</w:t>
      </w:r>
      <w:r w:rsidR="0064534B" w:rsidRPr="00E568C3">
        <w:t>s de la vie</w:t>
      </w:r>
      <w:r w:rsidR="00883AE7" w:rsidRPr="00E568C3">
        <w:t>.</w:t>
      </w:r>
    </w:p>
    <w:p w:rsidR="00F55AA9" w:rsidRDefault="00883AE7" w:rsidP="00883AE7">
      <w:pPr>
        <w:pStyle w:val="Heading2"/>
      </w:pPr>
      <w:r w:rsidRPr="00E568C3">
        <w:t>VI</w:t>
      </w:r>
      <w:r w:rsidR="00C71996">
        <w:t>I</w:t>
      </w:r>
      <w:r w:rsidRPr="00E568C3">
        <w:t>.</w:t>
      </w:r>
      <w:r w:rsidRPr="00E568C3">
        <w:tab/>
      </w:r>
      <w:r w:rsidR="0064534B" w:rsidRPr="00E568C3">
        <w:t>comités permanents de l</w:t>
      </w:r>
      <w:r w:rsidR="00871730" w:rsidRPr="00E568C3">
        <w:t>’</w:t>
      </w:r>
      <w:r w:rsidR="0064534B" w:rsidRPr="00E568C3">
        <w:t xml:space="preserve">ompi qui traitent des questions de transfert de </w:t>
      </w:r>
      <w:r w:rsidRPr="00E568C3">
        <w:t>TechnologIe</w:t>
      </w:r>
    </w:p>
    <w:p w:rsidR="00F55AA9" w:rsidRDefault="00F55AA9" w:rsidP="00883AE7">
      <w:pPr>
        <w:rPr>
          <w:b/>
          <w:szCs w:val="22"/>
          <w:u w:val="single"/>
        </w:rPr>
      </w:pPr>
    </w:p>
    <w:p w:rsidR="00F55AA9" w:rsidRDefault="0064534B" w:rsidP="00883AE7">
      <w:pPr>
        <w:pStyle w:val="ONUMFS"/>
      </w:pPr>
      <w:r w:rsidRPr="00E568C3">
        <w:t>Depuis la quatorzième </w:t>
      </w:r>
      <w:r w:rsidR="00883AE7" w:rsidRPr="00E568C3">
        <w:t xml:space="preserve">session </w:t>
      </w:r>
      <w:r w:rsidRPr="00E568C3">
        <w:t>du Comité permanent du droit des brevets</w:t>
      </w:r>
      <w:r w:rsidR="00883AE7" w:rsidRPr="00E568C3">
        <w:t xml:space="preserve"> (SCP) </w:t>
      </w:r>
      <w:r w:rsidRPr="00E568C3">
        <w:t>tenue en janvier </w:t>
      </w:r>
      <w:r w:rsidR="00883AE7" w:rsidRPr="00E568C3">
        <w:t xml:space="preserve">2010, </w:t>
      </w:r>
      <w:r w:rsidRPr="00E568C3">
        <w:t xml:space="preserve">un point intitulé </w:t>
      </w:r>
      <w:r w:rsidR="00883AE7" w:rsidRPr="00E568C3">
        <w:t>“transfer</w:t>
      </w:r>
      <w:r w:rsidRPr="00E568C3">
        <w:t>t</w:t>
      </w:r>
      <w:r w:rsidR="00883AE7" w:rsidRPr="00E568C3">
        <w:t xml:space="preserve"> </w:t>
      </w:r>
      <w:r w:rsidRPr="00E568C3">
        <w:t>de</w:t>
      </w:r>
      <w:r w:rsidR="00883AE7" w:rsidRPr="00E568C3">
        <w:t xml:space="preserve"> technolog</w:t>
      </w:r>
      <w:r w:rsidRPr="00E568C3">
        <w:t>ie</w:t>
      </w:r>
      <w:r w:rsidR="00883AE7" w:rsidRPr="00E568C3">
        <w:t xml:space="preserve">” a </w:t>
      </w:r>
      <w:r w:rsidRPr="00E568C3">
        <w:t>été inscrit à l</w:t>
      </w:r>
      <w:r w:rsidR="00871730" w:rsidRPr="00E568C3">
        <w:t>’</w:t>
      </w:r>
      <w:r w:rsidRPr="00E568C3">
        <w:t>ordre du jour du comi</w:t>
      </w:r>
      <w:r w:rsidR="006A3508" w:rsidRPr="00E568C3">
        <w:t>té.  Da</w:t>
      </w:r>
      <w:r w:rsidRPr="00E568C3">
        <w:t>ns le cadre de ce point,</w:t>
      </w:r>
      <w:r w:rsidR="00883AE7" w:rsidRPr="00E568C3">
        <w:t xml:space="preserve"> </w:t>
      </w:r>
      <w:r w:rsidRPr="00E568C3">
        <w:t xml:space="preserve">des </w:t>
      </w:r>
      <w:r w:rsidR="00883AE7" w:rsidRPr="00E568C3">
        <w:t xml:space="preserve">discussions </w:t>
      </w:r>
      <w:r w:rsidRPr="00E568C3">
        <w:t>ont eu lieu concernant l</w:t>
      </w:r>
      <w:r w:rsidR="00871730" w:rsidRPr="00E568C3">
        <w:t>’</w:t>
      </w:r>
      <w:r w:rsidRPr="00E568C3">
        <w:t xml:space="preserve">étude </w:t>
      </w:r>
      <w:r w:rsidR="00883AE7" w:rsidRPr="00E568C3">
        <w:t>pr</w:t>
      </w:r>
      <w:r w:rsidRPr="00E568C3">
        <w:t>é</w:t>
      </w:r>
      <w:r w:rsidR="00883AE7" w:rsidRPr="00E568C3">
        <w:t>limina</w:t>
      </w:r>
      <w:r w:rsidRPr="00E568C3">
        <w:t>i</w:t>
      </w:r>
      <w:r w:rsidR="00883AE7" w:rsidRPr="00E568C3">
        <w:t>r</w:t>
      </w:r>
      <w:r w:rsidRPr="00E568C3">
        <w:t>e</w:t>
      </w:r>
      <w:r w:rsidR="00883AE7" w:rsidRPr="00E568C3">
        <w:t xml:space="preserve"> su</w:t>
      </w:r>
      <w:r w:rsidRPr="00E568C3">
        <w:t>r</w:t>
      </w:r>
      <w:r w:rsidR="00883AE7" w:rsidRPr="00E568C3">
        <w:t xml:space="preserve"> </w:t>
      </w:r>
      <w:r w:rsidRPr="00E568C3">
        <w:t xml:space="preserve">le </w:t>
      </w:r>
      <w:r w:rsidR="00883AE7" w:rsidRPr="00E568C3">
        <w:t>transfer</w:t>
      </w:r>
      <w:r w:rsidRPr="00E568C3">
        <w:t>t</w:t>
      </w:r>
      <w:r w:rsidR="00883AE7" w:rsidRPr="00E568C3">
        <w:t xml:space="preserve"> </w:t>
      </w:r>
      <w:r w:rsidRPr="00E568C3">
        <w:t>de</w:t>
      </w:r>
      <w:r w:rsidR="00883AE7" w:rsidRPr="00E568C3">
        <w:t xml:space="preserve"> technolog</w:t>
      </w:r>
      <w:r w:rsidRPr="00E568C3">
        <w:t>ie</w:t>
      </w:r>
      <w:r w:rsidR="00883AE7" w:rsidRPr="00E568C3">
        <w:t xml:space="preserve"> (documents SCP/14/4 </w:t>
      </w:r>
      <w:r w:rsidRPr="00E568C3">
        <w:t>et</w:t>
      </w:r>
      <w:r w:rsidR="00883AE7" w:rsidRPr="00E568C3">
        <w:t xml:space="preserve"> 4</w:t>
      </w:r>
      <w:r w:rsidR="00E615C7" w:rsidRPr="00E568C3">
        <w:t> </w:t>
      </w:r>
      <w:proofErr w:type="spellStart"/>
      <w:r w:rsidR="00883AE7" w:rsidRPr="00E568C3">
        <w:t>Rev</w:t>
      </w:r>
      <w:proofErr w:type="spellEnd"/>
      <w:r w:rsidR="00883AE7" w:rsidRPr="00E568C3">
        <w:t xml:space="preserve">.) </w:t>
      </w:r>
      <w:r w:rsidRPr="00E568C3">
        <w:t>et</w:t>
      </w:r>
      <w:r w:rsidR="00E615C7" w:rsidRPr="00E568C3">
        <w:t>,</w:t>
      </w:r>
      <w:r w:rsidRPr="00E568C3">
        <w:t xml:space="preserve"> depuis mai </w:t>
      </w:r>
      <w:r w:rsidR="00883AE7" w:rsidRPr="00E568C3">
        <w:t xml:space="preserve">2012, </w:t>
      </w:r>
      <w:r w:rsidRPr="00E568C3">
        <w:t>les États m</w:t>
      </w:r>
      <w:r w:rsidR="00883AE7" w:rsidRPr="00E568C3">
        <w:t xml:space="preserve">embres </w:t>
      </w:r>
      <w:r w:rsidRPr="00E568C3">
        <w:t>ont partagé des</w:t>
      </w:r>
      <w:r w:rsidR="00883AE7" w:rsidRPr="00E568C3">
        <w:t xml:space="preserve"> information</w:t>
      </w:r>
      <w:r w:rsidRPr="00E568C3">
        <w:t>s</w:t>
      </w:r>
      <w:r w:rsidR="00883AE7" w:rsidRPr="00E568C3">
        <w:t xml:space="preserve"> </w:t>
      </w:r>
      <w:r w:rsidRPr="00E568C3">
        <w:t xml:space="preserve">sur </w:t>
      </w:r>
      <w:r w:rsidR="00C7679D" w:rsidRPr="00E568C3">
        <w:t>d</w:t>
      </w:r>
      <w:r w:rsidRPr="00E568C3">
        <w:t xml:space="preserve">es exemples concrets </w:t>
      </w:r>
      <w:r w:rsidR="0048419F" w:rsidRPr="00E568C3">
        <w:t xml:space="preserve">et </w:t>
      </w:r>
      <w:r w:rsidR="00C7679D" w:rsidRPr="00E568C3">
        <w:t>d</w:t>
      </w:r>
      <w:r w:rsidR="0048419F" w:rsidRPr="00E568C3">
        <w:t>es données d</w:t>
      </w:r>
      <w:r w:rsidR="00871730" w:rsidRPr="00E568C3">
        <w:t>’</w:t>
      </w:r>
      <w:r w:rsidR="00883AE7" w:rsidRPr="00E568C3">
        <w:t>exp</w:t>
      </w:r>
      <w:r w:rsidR="0048419F" w:rsidRPr="00E568C3">
        <w:t>é</w:t>
      </w:r>
      <w:r w:rsidR="00883AE7" w:rsidRPr="00E568C3">
        <w:t xml:space="preserve">rience </w:t>
      </w:r>
      <w:r w:rsidR="0048419F" w:rsidRPr="00E568C3">
        <w:t>concernant les incitations dans le domaine des brevets et les obstacles au transfert de technologie</w:t>
      </w:r>
      <w:r w:rsidR="00883AE7" w:rsidRPr="00E568C3">
        <w:t>.</w:t>
      </w:r>
    </w:p>
    <w:p w:rsidR="00F55AA9" w:rsidRDefault="0048419F" w:rsidP="00883AE7">
      <w:pPr>
        <w:pStyle w:val="ONUMFS"/>
      </w:pPr>
      <w:r w:rsidRPr="00E568C3">
        <w:t>Par ailleurs</w:t>
      </w:r>
      <w:r w:rsidR="00883AE7" w:rsidRPr="00E568C3">
        <w:t xml:space="preserve">, </w:t>
      </w:r>
      <w:r w:rsidRPr="00E568C3">
        <w:t>en</w:t>
      </w:r>
      <w:r w:rsidR="00883AE7" w:rsidRPr="00E568C3">
        <w:t xml:space="preserve"> marg</w:t>
      </w:r>
      <w:r w:rsidRPr="00E568C3">
        <w:t>e de la dix</w:t>
      </w:r>
      <w:r w:rsidR="006A3508" w:rsidRPr="00E568C3">
        <w:noBreakHyphen/>
      </w:r>
      <w:r w:rsidRPr="00E568C3">
        <w:t>septième </w:t>
      </w:r>
      <w:r w:rsidR="00883AE7" w:rsidRPr="00E568C3">
        <w:t>session</w:t>
      </w:r>
      <w:r w:rsidR="00871730" w:rsidRPr="00E568C3">
        <w:t xml:space="preserve"> du SCP</w:t>
      </w:r>
      <w:r w:rsidR="00883AE7" w:rsidRPr="00E568C3">
        <w:t xml:space="preserve"> </w:t>
      </w:r>
      <w:r w:rsidRPr="00E568C3">
        <w:t>tenu</w:t>
      </w:r>
      <w:r w:rsidR="00883AE7" w:rsidRPr="00E568C3">
        <w:t xml:space="preserve">e </w:t>
      </w:r>
      <w:r w:rsidRPr="00E568C3">
        <w:t>e</w:t>
      </w:r>
      <w:r w:rsidR="00883AE7" w:rsidRPr="00E568C3">
        <w:t xml:space="preserve">n </w:t>
      </w:r>
      <w:r w:rsidRPr="00E568C3">
        <w:t>dé</w:t>
      </w:r>
      <w:r w:rsidR="00883AE7" w:rsidRPr="00E568C3">
        <w:t>cembr</w:t>
      </w:r>
      <w:r w:rsidRPr="00E568C3">
        <w:t>e </w:t>
      </w:r>
      <w:r w:rsidR="00883AE7" w:rsidRPr="00E568C3">
        <w:t xml:space="preserve">2011, </w:t>
      </w:r>
      <w:r w:rsidRPr="00E568C3">
        <w:t>un séminaire</w:t>
      </w:r>
      <w:r w:rsidR="00883AE7" w:rsidRPr="00E568C3">
        <w:t xml:space="preserve"> sp</w:t>
      </w:r>
      <w:r w:rsidRPr="00E568C3">
        <w:t>é</w:t>
      </w:r>
      <w:r w:rsidR="00883AE7" w:rsidRPr="00E568C3">
        <w:t xml:space="preserve">cial </w:t>
      </w:r>
      <w:r w:rsidRPr="00E568C3">
        <w:t xml:space="preserve">sur les brevets et le </w:t>
      </w:r>
      <w:r w:rsidR="00883AE7" w:rsidRPr="00E568C3">
        <w:t>transfer</w:t>
      </w:r>
      <w:r w:rsidRPr="00E568C3">
        <w:t>t</w:t>
      </w:r>
      <w:r w:rsidR="00883AE7" w:rsidRPr="00E568C3">
        <w:t xml:space="preserve"> </w:t>
      </w:r>
      <w:r w:rsidRPr="00E568C3">
        <w:t>de</w:t>
      </w:r>
      <w:r w:rsidR="00883AE7" w:rsidRPr="00E568C3">
        <w:t xml:space="preserve"> technolog</w:t>
      </w:r>
      <w:r w:rsidRPr="00E568C3">
        <w:t xml:space="preserve">ie a été </w:t>
      </w:r>
      <w:r w:rsidR="00883AE7" w:rsidRPr="00E568C3">
        <w:t>organi</w:t>
      </w:r>
      <w:r w:rsidRPr="00E568C3">
        <w:t>sé par l</w:t>
      </w:r>
      <w:r w:rsidR="00871730" w:rsidRPr="00E568C3">
        <w:t>’</w:t>
      </w:r>
      <w:r w:rsidRPr="00E568C3">
        <w:t>économiste en chef de l</w:t>
      </w:r>
      <w:r w:rsidR="00871730" w:rsidRPr="00E568C3">
        <w:t>’</w:t>
      </w:r>
      <w:r w:rsidRPr="00E568C3">
        <w:t>OMPI</w:t>
      </w:r>
      <w:r w:rsidR="00883AE7" w:rsidRPr="00E568C3">
        <w:t>.</w:t>
      </w:r>
    </w:p>
    <w:p w:rsidR="00F55AA9" w:rsidRDefault="00883AE7" w:rsidP="00883AE7">
      <w:pPr>
        <w:pStyle w:val="Heading2"/>
      </w:pPr>
      <w:r w:rsidRPr="00E568C3">
        <w:lastRenderedPageBreak/>
        <w:t>VII</w:t>
      </w:r>
      <w:r w:rsidR="00C71996">
        <w:t>I</w:t>
      </w:r>
      <w:r w:rsidRPr="00E568C3">
        <w:t>.</w:t>
      </w:r>
      <w:r w:rsidRPr="00E568C3">
        <w:tab/>
      </w:r>
      <w:r w:rsidR="00C7679D" w:rsidRPr="00E568C3">
        <w:t>Collaborations facilitées par l</w:t>
      </w:r>
      <w:r w:rsidR="00871730" w:rsidRPr="00E568C3">
        <w:t>’</w:t>
      </w:r>
      <w:r w:rsidR="00C7679D" w:rsidRPr="00E568C3">
        <w:t>OMPI dans certains domaines du transfert de savoir et de technologie</w:t>
      </w:r>
      <w:r w:rsidR="00C71996">
        <w:t xml:space="preserve"> – </w:t>
      </w:r>
      <w:r w:rsidR="00C71996" w:rsidRPr="00E568C3">
        <w:t>WIPO Re:Search</w:t>
      </w:r>
    </w:p>
    <w:p w:rsidR="00F55AA9" w:rsidRDefault="00F55AA9" w:rsidP="000613F6">
      <w:pPr>
        <w:keepNext/>
        <w:rPr>
          <w:szCs w:val="22"/>
          <w:u w:val="single"/>
        </w:rPr>
      </w:pPr>
    </w:p>
    <w:p w:rsidR="00F55AA9" w:rsidRDefault="00883AE7" w:rsidP="00883AE7">
      <w:pPr>
        <w:pStyle w:val="ONUMFS"/>
      </w:pPr>
      <w:r w:rsidRPr="00E568C3">
        <w:t xml:space="preserve">WIPO </w:t>
      </w:r>
      <w:proofErr w:type="spellStart"/>
      <w:r w:rsidRPr="00E568C3">
        <w:t>Re:Search</w:t>
      </w:r>
      <w:proofErr w:type="spellEnd"/>
      <w:r w:rsidRPr="00E568C3">
        <w:t xml:space="preserve"> </w:t>
      </w:r>
      <w:r w:rsidR="00E05CD4" w:rsidRPr="00E568C3">
        <w:t xml:space="preserve">a </w:t>
      </w:r>
      <w:r w:rsidR="006E1F31" w:rsidRPr="00E568C3">
        <w:t>établi</w:t>
      </w:r>
      <w:r w:rsidR="0008002E" w:rsidRPr="00E568C3">
        <w:t xml:space="preserve"> plus d</w:t>
      </w:r>
      <w:r w:rsidRPr="00E568C3">
        <w:t>e 50</w:t>
      </w:r>
      <w:r w:rsidR="0008002E" w:rsidRPr="00E568C3">
        <w:t> </w:t>
      </w:r>
      <w:r w:rsidRPr="00E568C3">
        <w:t xml:space="preserve">collaborations </w:t>
      </w:r>
      <w:r w:rsidR="0008002E" w:rsidRPr="00E568C3">
        <w:t>e</w:t>
      </w:r>
      <w:r w:rsidRPr="00E568C3">
        <w:t>n</w:t>
      </w:r>
      <w:r w:rsidR="0008002E" w:rsidRPr="00E568C3">
        <w:t> </w:t>
      </w:r>
      <w:r w:rsidRPr="00E568C3">
        <w:t xml:space="preserve">2014 </w:t>
      </w:r>
      <w:r w:rsidR="0008002E" w:rsidRPr="00E568C3">
        <w:t>et </w:t>
      </w:r>
      <w:r w:rsidRPr="00E568C3">
        <w:t xml:space="preserve">2015 </w:t>
      </w:r>
      <w:r w:rsidR="0008002E" w:rsidRPr="00E568C3">
        <w:t>qui</w:t>
      </w:r>
      <w:r w:rsidRPr="00E568C3">
        <w:t xml:space="preserve"> </w:t>
      </w:r>
      <w:r w:rsidR="00C7679D" w:rsidRPr="00E568C3">
        <w:t>prévoi</w:t>
      </w:r>
      <w:r w:rsidR="0008002E" w:rsidRPr="00E568C3">
        <w:t xml:space="preserve">ent le </w:t>
      </w:r>
      <w:r w:rsidRPr="00E568C3">
        <w:t>transfer</w:t>
      </w:r>
      <w:r w:rsidR="0008002E" w:rsidRPr="00E568C3">
        <w:t>t</w:t>
      </w:r>
      <w:r w:rsidRPr="00E568C3">
        <w:t xml:space="preserve"> </w:t>
      </w:r>
      <w:r w:rsidR="0008002E" w:rsidRPr="00E568C3">
        <w:t>de</w:t>
      </w:r>
      <w:r w:rsidRPr="00E568C3">
        <w:t xml:space="preserve"> technologies </w:t>
      </w:r>
      <w:r w:rsidR="0008002E" w:rsidRPr="00E568C3">
        <w:t>d</w:t>
      </w:r>
      <w:r w:rsidR="00871730" w:rsidRPr="00E568C3">
        <w:t>’</w:t>
      </w:r>
      <w:r w:rsidR="0008002E" w:rsidRPr="00E568C3">
        <w:t>entreprises ou d</w:t>
      </w:r>
      <w:r w:rsidR="00871730" w:rsidRPr="00E568C3">
        <w:t>’</w:t>
      </w:r>
      <w:r w:rsidRPr="00E568C3">
        <w:t>universit</w:t>
      </w:r>
      <w:r w:rsidR="0008002E" w:rsidRPr="00E568C3">
        <w:t xml:space="preserve">és pour la mise au point de médicaments, de </w:t>
      </w:r>
      <w:r w:rsidRPr="00E568C3">
        <w:t xml:space="preserve">vaccins </w:t>
      </w:r>
      <w:r w:rsidR="0008002E" w:rsidRPr="00E568C3">
        <w:t xml:space="preserve">et </w:t>
      </w:r>
      <w:r w:rsidRPr="00E568C3">
        <w:t>d</w:t>
      </w:r>
      <w:r w:rsidR="0008002E" w:rsidRPr="00E568C3">
        <w:t>e</w:t>
      </w:r>
      <w:r w:rsidRPr="00E568C3">
        <w:t xml:space="preserve"> diagnostics </w:t>
      </w:r>
      <w:r w:rsidR="0008002E" w:rsidRPr="00E568C3">
        <w:t xml:space="preserve">pour les maladies </w:t>
      </w:r>
      <w:r w:rsidRPr="00E568C3">
        <w:t>tropical</w:t>
      </w:r>
      <w:r w:rsidR="0008002E" w:rsidRPr="00E568C3">
        <w:t>es négligées</w:t>
      </w:r>
      <w:r w:rsidRPr="00E568C3">
        <w:t xml:space="preserve">, </w:t>
      </w:r>
      <w:r w:rsidR="0008002E" w:rsidRPr="00E568C3">
        <w:t>le paludisme</w:t>
      </w:r>
      <w:r w:rsidRPr="00E568C3">
        <w:t xml:space="preserve"> </w:t>
      </w:r>
      <w:r w:rsidR="0008002E" w:rsidRPr="00E568C3">
        <w:t>et l</w:t>
      </w:r>
      <w:r w:rsidRPr="00E568C3">
        <w:t>a tuberculos</w:t>
      </w:r>
      <w:r w:rsidR="0008002E" w:rsidRPr="00E568C3">
        <w:t>e</w:t>
      </w:r>
      <w:r w:rsidR="00C7679D" w:rsidRPr="00E568C3">
        <w:t>, dont u</w:t>
      </w:r>
      <w:r w:rsidR="0008002E" w:rsidRPr="00E568C3">
        <w:t>n certain nombre englobaient des établissements dans les pays en développement</w:t>
      </w:r>
      <w:r w:rsidRPr="00E568C3">
        <w:t>.</w:t>
      </w:r>
    </w:p>
    <w:p w:rsidR="00F55AA9" w:rsidRDefault="0008002E" w:rsidP="00FF11B7">
      <w:pPr>
        <w:pStyle w:val="ONUMFS"/>
      </w:pPr>
      <w:r w:rsidRPr="00E568C3">
        <w:t>Un exemple de cette</w:t>
      </w:r>
      <w:r w:rsidR="00883AE7" w:rsidRPr="00E568C3">
        <w:t xml:space="preserve"> collaboration</w:t>
      </w:r>
      <w:r w:rsidRPr="00E568C3">
        <w:t xml:space="preserve"> entre </w:t>
      </w:r>
      <w:r w:rsidR="00B22C8A" w:rsidRPr="00E568C3">
        <w:t>établissemen</w:t>
      </w:r>
      <w:r w:rsidRPr="00E568C3">
        <w:t>ts universitaires et entreprises menée dans les pays en développement et les pays développés</w:t>
      </w:r>
      <w:r w:rsidR="00883AE7" w:rsidRPr="00E568C3">
        <w:t xml:space="preserve"> </w:t>
      </w:r>
      <w:r w:rsidRPr="00E568C3">
        <w:t>est la</w:t>
      </w:r>
      <w:r w:rsidR="00883AE7" w:rsidRPr="00E568C3">
        <w:t xml:space="preserve"> coop</w:t>
      </w:r>
      <w:r w:rsidRPr="00E568C3">
        <w:t>é</w:t>
      </w:r>
      <w:r w:rsidR="00883AE7" w:rsidRPr="00E568C3">
        <w:t xml:space="preserve">ration </w:t>
      </w:r>
      <w:r w:rsidRPr="00E568C3">
        <w:t>mise en œuvre entre l</w:t>
      </w:r>
      <w:r w:rsidR="00871730" w:rsidRPr="00E568C3">
        <w:t>’</w:t>
      </w:r>
      <w:r w:rsidRPr="00E568C3">
        <w:t>Uni</w:t>
      </w:r>
      <w:r w:rsidR="00883AE7" w:rsidRPr="00E568C3">
        <w:t>versit</w:t>
      </w:r>
      <w:r w:rsidRPr="00E568C3">
        <w:t>é</w:t>
      </w:r>
      <w:r w:rsidR="00883AE7" w:rsidRPr="00E568C3">
        <w:t xml:space="preserve"> </w:t>
      </w:r>
      <w:r w:rsidRPr="00E568C3">
        <w:t>de</w:t>
      </w:r>
      <w:r w:rsidR="00883AE7" w:rsidRPr="00E568C3">
        <w:t xml:space="preserve"> Lagos </w:t>
      </w:r>
      <w:r w:rsidRPr="00E568C3">
        <w:t>et</w:t>
      </w:r>
      <w:r w:rsidR="00883AE7" w:rsidRPr="00E568C3">
        <w:t xml:space="preserve"> NIPD</w:t>
      </w:r>
      <w:r w:rsidR="00B22C8A" w:rsidRPr="00E568C3">
        <w:t> </w:t>
      </w:r>
      <w:proofErr w:type="spellStart"/>
      <w:r w:rsidR="00883AE7" w:rsidRPr="00E568C3">
        <w:t>Genetics</w:t>
      </w:r>
      <w:proofErr w:type="spellEnd"/>
      <w:r w:rsidR="00B22C8A" w:rsidRPr="00E568C3">
        <w:t> </w:t>
      </w:r>
      <w:r w:rsidR="00883AE7" w:rsidRPr="00E568C3">
        <w:t xml:space="preserve">LTD, </w:t>
      </w:r>
      <w:r w:rsidRPr="00E568C3">
        <w:t>une entreprise</w:t>
      </w:r>
      <w:r w:rsidR="00883AE7" w:rsidRPr="00E568C3">
        <w:t xml:space="preserve"> priv</w:t>
      </w:r>
      <w:r w:rsidRPr="00E568C3">
        <w:t>ée dérivée de l</w:t>
      </w:r>
      <w:r w:rsidR="00871730" w:rsidRPr="00E568C3">
        <w:t>’</w:t>
      </w:r>
      <w:r w:rsidRPr="00E568C3">
        <w:t>I</w:t>
      </w:r>
      <w:r w:rsidR="00883AE7" w:rsidRPr="00E568C3">
        <w:t>nstitut</w:t>
      </w:r>
      <w:r w:rsidRPr="00E568C3">
        <w:t xml:space="preserve"> chypriote de n</w:t>
      </w:r>
      <w:r w:rsidR="00883AE7" w:rsidRPr="00E568C3">
        <w:t>eurolog</w:t>
      </w:r>
      <w:r w:rsidRPr="00E568C3">
        <w:t>ie et génétique dans le domaine de l</w:t>
      </w:r>
      <w:r w:rsidR="00871730" w:rsidRPr="00E568C3">
        <w:t>’</w:t>
      </w:r>
      <w:r w:rsidRPr="00E568C3">
        <w:t>ADN a</w:t>
      </w:r>
      <w:r w:rsidR="00883AE7" w:rsidRPr="00E568C3">
        <w:t>cell</w:t>
      </w:r>
      <w:r w:rsidRPr="00E568C3">
        <w:t>ulair</w:t>
      </w:r>
      <w:r w:rsidR="00883AE7" w:rsidRPr="00E568C3">
        <w:t xml:space="preserve">e </w:t>
      </w:r>
      <w:r w:rsidRPr="00E568C3">
        <w:t xml:space="preserve">et du dépistage génétique </w:t>
      </w:r>
      <w:r w:rsidR="00883AE7" w:rsidRPr="00E568C3">
        <w:t>non</w:t>
      </w:r>
      <w:r w:rsidR="004F112E" w:rsidRPr="00E568C3">
        <w:t xml:space="preserve"> </w:t>
      </w:r>
      <w:r w:rsidR="00883AE7" w:rsidRPr="00E568C3">
        <w:t>invasi</w:t>
      </w:r>
      <w:r w:rsidRPr="00E568C3">
        <w:t>f</w:t>
      </w:r>
      <w:r w:rsidR="00883AE7" w:rsidRPr="00E568C3">
        <w:t xml:space="preserve">.  NIPD </w:t>
      </w:r>
      <w:r w:rsidR="00A128BD" w:rsidRPr="00E568C3">
        <w:t>accueillera des chercheurs de l</w:t>
      </w:r>
      <w:r w:rsidR="00871730" w:rsidRPr="00E568C3">
        <w:t>’</w:t>
      </w:r>
      <w:r w:rsidR="00883AE7" w:rsidRPr="00E568C3">
        <w:t>Universit</w:t>
      </w:r>
      <w:r w:rsidR="00A128BD" w:rsidRPr="00E568C3">
        <w:t>é de</w:t>
      </w:r>
      <w:r w:rsidR="00883AE7" w:rsidRPr="00E568C3">
        <w:t xml:space="preserve"> Lagos </w:t>
      </w:r>
      <w:r w:rsidR="00A128BD" w:rsidRPr="00E568C3">
        <w:t xml:space="preserve">pour </w:t>
      </w:r>
      <w:r w:rsidR="00883AE7" w:rsidRPr="00E568C3">
        <w:t>identif</w:t>
      </w:r>
      <w:r w:rsidR="00A128BD" w:rsidRPr="00E568C3">
        <w:t>ier la ré</w:t>
      </w:r>
      <w:r w:rsidR="00883AE7" w:rsidRPr="00E568C3">
        <w:t xml:space="preserve">sistance </w:t>
      </w:r>
      <w:r w:rsidR="00A128BD" w:rsidRPr="00E568C3">
        <w:t xml:space="preserve">aux médicaments </w:t>
      </w:r>
      <w:r w:rsidR="00883AE7" w:rsidRPr="00E568C3">
        <w:t>anti</w:t>
      </w:r>
      <w:r w:rsidR="00A128BD" w:rsidRPr="00E568C3">
        <w:t xml:space="preserve">paludiques en utilisant des échantillons de sang séché prélevés sur des patients nigérians </w:t>
      </w:r>
      <w:r w:rsidR="00CD7A47" w:rsidRPr="00E568C3">
        <w:t xml:space="preserve">souffrant de paludisme et </w:t>
      </w:r>
      <w:r w:rsidR="00A128BD" w:rsidRPr="00E568C3">
        <w:t xml:space="preserve">traités avec des </w:t>
      </w:r>
      <w:r w:rsidR="00883AE7" w:rsidRPr="00E568C3">
        <w:t>anti</w:t>
      </w:r>
      <w:r w:rsidR="00A128BD" w:rsidRPr="00E568C3">
        <w:t>paludiqu</w:t>
      </w:r>
      <w:r w:rsidR="006A3508" w:rsidRPr="00E568C3">
        <w:t>es.  En</w:t>
      </w:r>
      <w:r w:rsidR="00CD7A47" w:rsidRPr="00E568C3">
        <w:t>suite</w:t>
      </w:r>
      <w:r w:rsidR="00883AE7" w:rsidRPr="00E568C3">
        <w:t xml:space="preserve">, </w:t>
      </w:r>
      <w:r w:rsidR="00CD7A47" w:rsidRPr="00E568C3">
        <w:t xml:space="preserve">la </w:t>
      </w:r>
      <w:r w:rsidR="00883AE7" w:rsidRPr="00E568C3">
        <w:t xml:space="preserve">collaboration </w:t>
      </w:r>
      <w:r w:rsidR="00CD7A47" w:rsidRPr="00E568C3">
        <w:t>se poursuivra entre</w:t>
      </w:r>
      <w:r w:rsidR="00883AE7" w:rsidRPr="00E568C3">
        <w:t xml:space="preserve"> </w:t>
      </w:r>
      <w:r w:rsidR="00CD7A47" w:rsidRPr="00E568C3">
        <w:t>l</w:t>
      </w:r>
      <w:r w:rsidR="00871730" w:rsidRPr="00E568C3">
        <w:t>’</w:t>
      </w:r>
      <w:r w:rsidR="00883AE7" w:rsidRPr="00E568C3">
        <w:t>Universit</w:t>
      </w:r>
      <w:r w:rsidR="00CD7A47" w:rsidRPr="00E568C3">
        <w:t xml:space="preserve">é de </w:t>
      </w:r>
      <w:r w:rsidR="00883AE7" w:rsidRPr="00E568C3">
        <w:t xml:space="preserve">Lagos </w:t>
      </w:r>
      <w:r w:rsidR="00CD7A47" w:rsidRPr="00E568C3">
        <w:t>et</w:t>
      </w:r>
      <w:r w:rsidR="00883AE7" w:rsidRPr="00E568C3">
        <w:t xml:space="preserve"> Novartis, </w:t>
      </w:r>
      <w:r w:rsidR="00CD7A47" w:rsidRPr="00E568C3">
        <w:t>qui évaluera l</w:t>
      </w:r>
      <w:r w:rsidR="006E1F31" w:rsidRPr="00E568C3">
        <w:t>es possibilités</w:t>
      </w:r>
      <w:r w:rsidR="00CD7A47" w:rsidRPr="00E568C3">
        <w:t xml:space="preserve"> d</w:t>
      </w:r>
      <w:r w:rsidR="00871730" w:rsidRPr="00E568C3">
        <w:t>’</w:t>
      </w:r>
      <w:r w:rsidR="00CD7A47" w:rsidRPr="00E568C3">
        <w:t xml:space="preserve">utiliser des échantillons de sang séché et </w:t>
      </w:r>
      <w:r w:rsidR="006E1F31" w:rsidRPr="00E568C3">
        <w:t>le</w:t>
      </w:r>
      <w:r w:rsidR="00CD7A47" w:rsidRPr="00E568C3">
        <w:t xml:space="preserve"> séquençage de </w:t>
      </w:r>
      <w:r w:rsidR="00883AE7" w:rsidRPr="00E568C3">
        <w:t>n</w:t>
      </w:r>
      <w:r w:rsidR="00CD7A47" w:rsidRPr="00E568C3">
        <w:t>ouvell</w:t>
      </w:r>
      <w:r w:rsidR="00883AE7" w:rsidRPr="00E568C3">
        <w:t>e g</w:t>
      </w:r>
      <w:r w:rsidR="00CD7A47" w:rsidRPr="00E568C3">
        <w:t>é</w:t>
      </w:r>
      <w:r w:rsidR="00883AE7" w:rsidRPr="00E568C3">
        <w:t>n</w:t>
      </w:r>
      <w:r w:rsidR="00CD7A47" w:rsidRPr="00E568C3">
        <w:t>é</w:t>
      </w:r>
      <w:r w:rsidR="00883AE7" w:rsidRPr="00E568C3">
        <w:t xml:space="preserve">ration </w:t>
      </w:r>
      <w:r w:rsidR="00CD7A47" w:rsidRPr="00E568C3">
        <w:t xml:space="preserve">du </w:t>
      </w:r>
      <w:r w:rsidR="00883AE7" w:rsidRPr="00E568C3">
        <w:t xml:space="preserve">Plasmodium </w:t>
      </w:r>
      <w:proofErr w:type="spellStart"/>
      <w:r w:rsidR="00883AE7" w:rsidRPr="00E568C3">
        <w:t>falciparum</w:t>
      </w:r>
      <w:proofErr w:type="spellEnd"/>
      <w:r w:rsidR="00883AE7" w:rsidRPr="00E568C3">
        <w:t xml:space="preserve"> </w:t>
      </w:r>
      <w:r w:rsidR="00CD7A47" w:rsidRPr="00E568C3">
        <w:t xml:space="preserve">chez les patients atteints de paludisme au </w:t>
      </w:r>
      <w:r w:rsidR="00883AE7" w:rsidRPr="00E568C3">
        <w:t>Nig</w:t>
      </w:r>
      <w:r w:rsidR="00CD7A47" w:rsidRPr="00E568C3">
        <w:t>é</w:t>
      </w:r>
      <w:r w:rsidR="00883AE7" w:rsidRPr="00E568C3">
        <w:t>ria.</w:t>
      </w:r>
    </w:p>
    <w:p w:rsidR="000137F9" w:rsidRPr="008D4FB0" w:rsidRDefault="000137F9" w:rsidP="000137F9">
      <w:pPr>
        <w:pStyle w:val="ONUMFS"/>
      </w:pPr>
      <w:r w:rsidRPr="008D4FB0">
        <w:t>Quelques autres exemples :</w:t>
      </w:r>
    </w:p>
    <w:p w:rsidR="000137F9" w:rsidRPr="008D4FB0" w:rsidRDefault="000137F9" w:rsidP="000137F9">
      <w:pPr>
        <w:pStyle w:val="ONUMFS"/>
        <w:numPr>
          <w:ilvl w:val="1"/>
          <w:numId w:val="2"/>
        </w:numPr>
      </w:pPr>
      <w:r w:rsidRPr="008D4FB0">
        <w:rPr>
          <w:szCs w:val="22"/>
        </w:rPr>
        <w:t>une collaboration entre l’Université de la Colombie</w:t>
      </w:r>
      <w:r w:rsidRPr="008D4FB0">
        <w:rPr>
          <w:szCs w:val="22"/>
        </w:rPr>
        <w:noBreakHyphen/>
        <w:t>Britannique (Canada) et l’Université de Lagos (Nigéria).  Un chercheur de l’Université de Colombie</w:t>
      </w:r>
      <w:r w:rsidRPr="008D4FB0">
        <w:rPr>
          <w:szCs w:val="22"/>
        </w:rPr>
        <w:noBreakHyphen/>
        <w:t>Britannique (UCB) a fourni à un chercheur de l’Université de Lagos un anticorps agissant contre une protéine hôte humaine.  Le chercheur de l’</w:t>
      </w:r>
      <w:r>
        <w:rPr>
          <w:szCs w:val="22"/>
        </w:rPr>
        <w:t xml:space="preserve">Université de Lagos utilisera cet </w:t>
      </w:r>
      <w:r w:rsidRPr="008D4FB0">
        <w:rPr>
          <w:szCs w:val="22"/>
        </w:rPr>
        <w:t xml:space="preserve">anticorps pour examiner les effets de la réduction du niveau de la protéine hôte sur la gravité du paludisme.  Dans le même temps, un chercheur de l’Université de Lagos a fourni à un chercheur de l’UCB du sérum, du plasma et des échantillons d’urine de patients atteints de paludisme grave ou </w:t>
      </w:r>
      <w:r>
        <w:rPr>
          <w:szCs w:val="22"/>
        </w:rPr>
        <w:t xml:space="preserve">de paludisme </w:t>
      </w:r>
      <w:r w:rsidRPr="008D4FB0">
        <w:rPr>
          <w:szCs w:val="22"/>
        </w:rPr>
        <w:t xml:space="preserve">asymptomatique, ainsi que des échantillons provenant de sujets sains.  Le chercheur de l’UCB utilisera la </w:t>
      </w:r>
      <w:proofErr w:type="spellStart"/>
      <w:r w:rsidRPr="008D4FB0">
        <w:rPr>
          <w:szCs w:val="22"/>
        </w:rPr>
        <w:t>protéomique</w:t>
      </w:r>
      <w:proofErr w:type="spellEnd"/>
      <w:r w:rsidRPr="008D4FB0">
        <w:rPr>
          <w:szCs w:val="22"/>
        </w:rPr>
        <w:t xml:space="preserve"> pour déterminer si ces échantillons présentent des profils de protéine différents, qui pourraient être utilisés </w:t>
      </w:r>
      <w:r>
        <w:rPr>
          <w:szCs w:val="22"/>
        </w:rPr>
        <w:t xml:space="preserve">afin </w:t>
      </w:r>
      <w:r w:rsidR="000613F6">
        <w:rPr>
          <w:szCs w:val="22"/>
        </w:rPr>
        <w:t>de recenser des</w:t>
      </w:r>
      <w:r w:rsidRPr="008D4FB0">
        <w:rPr>
          <w:szCs w:val="22"/>
        </w:rPr>
        <w:t xml:space="preserve"> biomarqueurs pour le diagnostic du paludisme;</w:t>
      </w:r>
    </w:p>
    <w:p w:rsidR="000137F9" w:rsidRPr="008D4FB0" w:rsidRDefault="000137F9" w:rsidP="000137F9">
      <w:pPr>
        <w:pStyle w:val="ONUMFS"/>
        <w:numPr>
          <w:ilvl w:val="1"/>
          <w:numId w:val="2"/>
        </w:numPr>
      </w:pPr>
      <w:r w:rsidRPr="008D4FB0">
        <w:rPr>
          <w:szCs w:val="22"/>
        </w:rPr>
        <w:t xml:space="preserve">le Centre Pasteur du Cameroun a fourni à l’Université de Stanford quelque </w:t>
      </w:r>
      <w:r>
        <w:rPr>
          <w:szCs w:val="22"/>
        </w:rPr>
        <w:t>250 </w:t>
      </w:r>
      <w:r w:rsidRPr="008D4FB0">
        <w:rPr>
          <w:szCs w:val="22"/>
        </w:rPr>
        <w:t xml:space="preserve">échantillons provenant de patients </w:t>
      </w:r>
      <w:r w:rsidR="000613F6">
        <w:rPr>
          <w:szCs w:val="22"/>
        </w:rPr>
        <w:t>fiévreux</w:t>
      </w:r>
      <w:r w:rsidRPr="008D4FB0">
        <w:rPr>
          <w:szCs w:val="22"/>
        </w:rPr>
        <w:t xml:space="preserve"> non</w:t>
      </w:r>
      <w:r w:rsidR="00A06F62">
        <w:rPr>
          <w:szCs w:val="22"/>
        </w:rPr>
        <w:t> </w:t>
      </w:r>
      <w:r w:rsidRPr="008D4FB0">
        <w:rPr>
          <w:szCs w:val="22"/>
        </w:rPr>
        <w:t>impaludés du Cameroun.</w:t>
      </w:r>
      <w:r w:rsidRPr="008D4FB0">
        <w:t xml:space="preserve"> </w:t>
      </w:r>
      <w:r w:rsidRPr="008D4FB0">
        <w:rPr>
          <w:szCs w:val="22"/>
        </w:rPr>
        <w:t xml:space="preserve"> L’Université de Stanford a utilisé ces échantillons pour concevoir un diagnostic multiplex de la fièvre </w:t>
      </w:r>
      <w:r w:rsidR="000613F6">
        <w:rPr>
          <w:szCs w:val="22"/>
        </w:rPr>
        <w:t>plus</w:t>
      </w:r>
      <w:r w:rsidRPr="008D4FB0">
        <w:rPr>
          <w:szCs w:val="22"/>
        </w:rPr>
        <w:t xml:space="preserve"> adapté </w:t>
      </w:r>
      <w:r w:rsidR="000613F6">
        <w:rPr>
          <w:szCs w:val="22"/>
        </w:rPr>
        <w:t xml:space="preserve">au </w:t>
      </w:r>
      <w:r w:rsidRPr="008D4FB0">
        <w:rPr>
          <w:szCs w:val="22"/>
        </w:rPr>
        <w:t>Cameroun;  et</w:t>
      </w:r>
    </w:p>
    <w:p w:rsidR="000137F9" w:rsidRPr="008D4FB0" w:rsidRDefault="000137F9" w:rsidP="000137F9">
      <w:pPr>
        <w:pStyle w:val="ONUMFS"/>
        <w:numPr>
          <w:ilvl w:val="1"/>
          <w:numId w:val="2"/>
        </w:numPr>
      </w:pPr>
      <w:r w:rsidRPr="008D4FB0">
        <w:t>des chercheurs d’IP Tunis utiliseront le programme de services précliniques de l’Institut national de l’allergie et des maladies infectieuses (États</w:t>
      </w:r>
      <w:r w:rsidRPr="008D4FB0">
        <w:noBreakHyphen/>
        <w:t xml:space="preserve">Unis d’Amérique) pour accroître la </w:t>
      </w:r>
      <w:proofErr w:type="spellStart"/>
      <w:r w:rsidRPr="008D4FB0">
        <w:t>thermostabilité</w:t>
      </w:r>
      <w:proofErr w:type="spellEnd"/>
      <w:r w:rsidRPr="008D4FB0">
        <w:t xml:space="preserve"> du vaccin antirabique.</w:t>
      </w:r>
    </w:p>
    <w:p w:rsidR="00F55AA9" w:rsidRDefault="00CD7A47" w:rsidP="00883AE7">
      <w:pPr>
        <w:pStyle w:val="ONUMFS"/>
      </w:pPr>
      <w:r w:rsidRPr="00E568C3">
        <w:t>S</w:t>
      </w:r>
      <w:r w:rsidR="00871730" w:rsidRPr="00E568C3">
        <w:t>’</w:t>
      </w:r>
      <w:r w:rsidRPr="00E568C3">
        <w:t xml:space="preserve">agissant des questions </w:t>
      </w:r>
      <w:r w:rsidR="006E1F31" w:rsidRPr="00E568C3">
        <w:t xml:space="preserve">de </w:t>
      </w:r>
      <w:r w:rsidRPr="00E568C3">
        <w:t>propriété intellectuelle relatives aux défis mondiaux</w:t>
      </w:r>
      <w:r w:rsidR="00883AE7" w:rsidRPr="00E568C3">
        <w:t xml:space="preserve">, </w:t>
      </w:r>
      <w:r w:rsidRPr="00E568C3">
        <w:t>l</w:t>
      </w:r>
      <w:r w:rsidR="00871730" w:rsidRPr="00E568C3">
        <w:t>’</w:t>
      </w:r>
      <w:r w:rsidRPr="00E568C3">
        <w:t>OMPI s</w:t>
      </w:r>
      <w:r w:rsidR="00871730" w:rsidRPr="00E568C3">
        <w:t>’</w:t>
      </w:r>
      <w:r w:rsidRPr="00E568C3">
        <w:t xml:space="preserve">est également associée à des organismes </w:t>
      </w:r>
      <w:r w:rsidR="00883AE7" w:rsidRPr="00E568C3">
        <w:t>public</w:t>
      </w:r>
      <w:r w:rsidRPr="00E568C3">
        <w:t>s</w:t>
      </w:r>
      <w:r w:rsidR="00883AE7" w:rsidRPr="00E568C3">
        <w:t xml:space="preserve"> </w:t>
      </w:r>
      <w:r w:rsidRPr="00E568C3">
        <w:t>et</w:t>
      </w:r>
      <w:r w:rsidR="00883AE7" w:rsidRPr="00E568C3">
        <w:t xml:space="preserve"> priv</w:t>
      </w:r>
      <w:r w:rsidRPr="00E568C3">
        <w:t>é</w:t>
      </w:r>
      <w:r w:rsidR="00883AE7" w:rsidRPr="00E568C3">
        <w:t xml:space="preserve">s </w:t>
      </w:r>
      <w:r w:rsidRPr="00E568C3">
        <w:t>–</w:t>
      </w:r>
      <w:r w:rsidR="00883AE7" w:rsidRPr="00E568C3">
        <w:t xml:space="preserve"> </w:t>
      </w:r>
      <w:r w:rsidRPr="00E568C3">
        <w:t>entreprises et universités</w:t>
      </w:r>
      <w:r w:rsidR="00883AE7" w:rsidRPr="00E568C3">
        <w:t xml:space="preserve">, </w:t>
      </w:r>
      <w:r w:rsidRPr="00E568C3">
        <w:t>pour l</w:t>
      </w:r>
      <w:r w:rsidR="00871730" w:rsidRPr="00E568C3">
        <w:t>’</w:t>
      </w:r>
      <w:r w:rsidR="00883AE7" w:rsidRPr="00E568C3">
        <w:t>organi</w:t>
      </w:r>
      <w:r w:rsidRPr="00E568C3">
        <w:t>s</w:t>
      </w:r>
      <w:r w:rsidR="00883AE7" w:rsidRPr="00E568C3">
        <w:t xml:space="preserve">ation </w:t>
      </w:r>
      <w:r w:rsidRPr="00E568C3">
        <w:t>et l</w:t>
      </w:r>
      <w:r w:rsidR="00883AE7" w:rsidRPr="00E568C3">
        <w:t xml:space="preserve">a contribution </w:t>
      </w:r>
      <w:r w:rsidRPr="00E568C3">
        <w:t xml:space="preserve">aux </w:t>
      </w:r>
      <w:r w:rsidR="00883AE7" w:rsidRPr="00E568C3">
        <w:t xml:space="preserve">forums </w:t>
      </w:r>
      <w:r w:rsidRPr="00E568C3">
        <w:t>dont l</w:t>
      </w:r>
      <w:r w:rsidR="00871730" w:rsidRPr="00E568C3">
        <w:t>’</w:t>
      </w:r>
      <w:r w:rsidRPr="00E568C3">
        <w:t xml:space="preserve">objectif était de </w:t>
      </w:r>
      <w:r w:rsidR="00883AE7" w:rsidRPr="00E568C3">
        <w:t>facilit</w:t>
      </w:r>
      <w:r w:rsidRPr="00E568C3">
        <w:t>er</w:t>
      </w:r>
      <w:r w:rsidR="00883AE7" w:rsidRPr="00E568C3">
        <w:t xml:space="preserve"> </w:t>
      </w:r>
      <w:r w:rsidR="000C2D5D" w:rsidRPr="00E568C3">
        <w:t>la mise en relation des fournisseurs et des demandeurs de</w:t>
      </w:r>
      <w:r w:rsidR="00883AE7" w:rsidRPr="00E568C3">
        <w:t xml:space="preserve"> technolog</w:t>
      </w:r>
      <w:r w:rsidR="000C2D5D" w:rsidRPr="00E568C3">
        <w:t>ies</w:t>
      </w:r>
      <w:r w:rsidR="00883AE7" w:rsidRPr="00E568C3">
        <w:t xml:space="preserve">, </w:t>
      </w:r>
      <w:r w:rsidR="000C2D5D" w:rsidRPr="00E568C3">
        <w:t>e</w:t>
      </w:r>
      <w:r w:rsidR="00883AE7" w:rsidRPr="00E568C3">
        <w:t>n particul</w:t>
      </w:r>
      <w:r w:rsidR="000C2D5D" w:rsidRPr="00E568C3">
        <w:t>ie</w:t>
      </w:r>
      <w:r w:rsidR="00883AE7" w:rsidRPr="00E568C3">
        <w:t xml:space="preserve">r </w:t>
      </w:r>
      <w:r w:rsidR="000C2D5D" w:rsidRPr="00E568C3">
        <w:t xml:space="preserve">dans le domaine des </w:t>
      </w:r>
      <w:r w:rsidR="00883AE7" w:rsidRPr="00E568C3">
        <w:t>technologies</w:t>
      </w:r>
      <w:r w:rsidR="000C2D5D" w:rsidRPr="00E568C3">
        <w:t xml:space="preserve"> </w:t>
      </w:r>
      <w:r w:rsidR="006E1F31" w:rsidRPr="00E568C3">
        <w:t>non</w:t>
      </w:r>
      <w:r w:rsidR="004F112E" w:rsidRPr="00E568C3">
        <w:t xml:space="preserve"> </w:t>
      </w:r>
      <w:r w:rsidR="006E1F31" w:rsidRPr="00E568C3">
        <w:t>polluantes</w:t>
      </w:r>
      <w:r w:rsidR="00883AE7" w:rsidRPr="00E568C3">
        <w:t xml:space="preserve">, </w:t>
      </w:r>
      <w:r w:rsidR="000C2D5D" w:rsidRPr="00E568C3">
        <w:t>comme cela était l</w:t>
      </w:r>
      <w:r w:rsidR="00883AE7" w:rsidRPr="00E568C3">
        <w:t xml:space="preserve">e cas </w:t>
      </w:r>
      <w:r w:rsidR="000C2D5D" w:rsidRPr="00E568C3">
        <w:t xml:space="preserve">des </w:t>
      </w:r>
      <w:r w:rsidR="00883AE7" w:rsidRPr="00E568C3">
        <w:t>forums</w:t>
      </w:r>
      <w:r w:rsidR="000C2D5D" w:rsidRPr="00E568C3">
        <w:t xml:space="preserve"> ci</w:t>
      </w:r>
      <w:r w:rsidR="006A3508" w:rsidRPr="00E568C3">
        <w:noBreakHyphen/>
      </w:r>
      <w:r w:rsidR="000C2D5D" w:rsidRPr="00E568C3">
        <w:t>après </w:t>
      </w:r>
      <w:r w:rsidR="00883AE7" w:rsidRPr="00E568C3">
        <w:t>:</w:t>
      </w:r>
    </w:p>
    <w:p w:rsidR="00F55AA9" w:rsidRDefault="000C2D5D" w:rsidP="00883AE7">
      <w:pPr>
        <w:pStyle w:val="ONUMFS"/>
        <w:numPr>
          <w:ilvl w:val="0"/>
          <w:numId w:val="11"/>
        </w:numPr>
        <w:ind w:left="1134" w:hanging="567"/>
      </w:pPr>
      <w:r w:rsidRPr="00E568C3">
        <w:t>Quatrième salon des industries de la création et des technologies émergentes et conférences internationales sur le design,</w:t>
      </w:r>
      <w:r w:rsidR="00883AE7" w:rsidRPr="00E568C3">
        <w:t xml:space="preserve"> Istanbul</w:t>
      </w:r>
      <w:r w:rsidRPr="00E568C3">
        <w:t xml:space="preserve"> (</w:t>
      </w:r>
      <w:r w:rsidR="00883AE7" w:rsidRPr="00E568C3">
        <w:t>Tur</w:t>
      </w:r>
      <w:r w:rsidRPr="00E568C3">
        <w:t>qui</w:t>
      </w:r>
      <w:r w:rsidR="00883AE7" w:rsidRPr="00E568C3">
        <w:t>e</w:t>
      </w:r>
      <w:r w:rsidRPr="00E568C3">
        <w:t>)</w:t>
      </w:r>
      <w:r w:rsidR="00883AE7" w:rsidRPr="00E568C3">
        <w:t>, 19</w:t>
      </w:r>
      <w:r w:rsidR="00871730" w:rsidRPr="00E568C3">
        <w:t xml:space="preserve"> – </w:t>
      </w:r>
      <w:r w:rsidR="00883AE7" w:rsidRPr="00E568C3">
        <w:t>21</w:t>
      </w:r>
      <w:r w:rsidRPr="00E568C3">
        <w:t> février </w:t>
      </w:r>
      <w:r w:rsidR="00883AE7" w:rsidRPr="00E568C3">
        <w:t>2015.  200</w:t>
      </w:r>
      <w:r w:rsidRPr="00E568C3">
        <w:t> </w:t>
      </w:r>
      <w:r w:rsidR="00883AE7" w:rsidRPr="00E568C3">
        <w:t>participants</w:t>
      </w:r>
      <w:r w:rsidR="00774E16" w:rsidRPr="00E568C3">
        <w:t xml:space="preserve"> dont l</w:t>
      </w:r>
      <w:r w:rsidR="00871730" w:rsidRPr="00E568C3">
        <w:t>’</w:t>
      </w:r>
      <w:r w:rsidRPr="00E568C3">
        <w:t xml:space="preserve">OMPI </w:t>
      </w:r>
      <w:r w:rsidR="00774E16" w:rsidRPr="00E568C3">
        <w:t>qui</w:t>
      </w:r>
      <w:r w:rsidRPr="00E568C3">
        <w:t xml:space="preserve"> </w:t>
      </w:r>
      <w:r w:rsidR="00774E16" w:rsidRPr="00E568C3">
        <w:t>faisait partie d</w:t>
      </w:r>
      <w:r w:rsidRPr="00E568C3">
        <w:t xml:space="preserve">u groupe </w:t>
      </w:r>
      <w:r w:rsidR="004E36D8" w:rsidRPr="00E568C3">
        <w:rPr>
          <w:i/>
        </w:rPr>
        <w:t>Création d</w:t>
      </w:r>
      <w:r w:rsidR="00871730" w:rsidRPr="00E568C3">
        <w:rPr>
          <w:i/>
        </w:rPr>
        <w:t>’</w:t>
      </w:r>
      <w:r w:rsidR="004E36D8" w:rsidRPr="00E568C3">
        <w:rPr>
          <w:i/>
        </w:rPr>
        <w:t>en</w:t>
      </w:r>
      <w:r w:rsidR="00883AE7" w:rsidRPr="00E568C3">
        <w:rPr>
          <w:i/>
        </w:rPr>
        <w:t>trepri</w:t>
      </w:r>
      <w:r w:rsidR="004E36D8" w:rsidRPr="00E568C3">
        <w:rPr>
          <w:i/>
        </w:rPr>
        <w:t>ses et</w:t>
      </w:r>
      <w:r w:rsidR="00883AE7" w:rsidRPr="00E568C3">
        <w:rPr>
          <w:i/>
        </w:rPr>
        <w:t xml:space="preserve"> </w:t>
      </w:r>
      <w:r w:rsidR="004E36D8" w:rsidRPr="00E568C3">
        <w:rPr>
          <w:i/>
        </w:rPr>
        <w:t>i</w:t>
      </w:r>
      <w:r w:rsidR="00883AE7" w:rsidRPr="00E568C3">
        <w:rPr>
          <w:i/>
        </w:rPr>
        <w:t>nvest</w:t>
      </w:r>
      <w:r w:rsidR="004E36D8" w:rsidRPr="00E568C3">
        <w:rPr>
          <w:i/>
        </w:rPr>
        <w:t>isse</w:t>
      </w:r>
      <w:r w:rsidR="00883AE7" w:rsidRPr="00E568C3">
        <w:rPr>
          <w:i/>
        </w:rPr>
        <w:t>ment</w:t>
      </w:r>
      <w:r w:rsidR="00883AE7" w:rsidRPr="00E568C3">
        <w:t xml:space="preserve"> </w:t>
      </w:r>
      <w:r w:rsidRPr="00E568C3">
        <w:t xml:space="preserve">et </w:t>
      </w:r>
      <w:r w:rsidR="00774E16" w:rsidRPr="00E568C3">
        <w:t>tena</w:t>
      </w:r>
      <w:r w:rsidRPr="00E568C3">
        <w:t>it également un stand pou</w:t>
      </w:r>
      <w:r w:rsidR="00774E16" w:rsidRPr="00E568C3">
        <w:t>r promouvoir la base de données WIPO GREEN</w:t>
      </w:r>
      <w:r w:rsidR="009F0CC3" w:rsidRPr="00E568C3">
        <w:t>;</w:t>
      </w:r>
    </w:p>
    <w:p w:rsidR="00F55AA9" w:rsidRDefault="00774E16" w:rsidP="00883AE7">
      <w:pPr>
        <w:pStyle w:val="ONUMFS"/>
        <w:numPr>
          <w:ilvl w:val="0"/>
          <w:numId w:val="11"/>
        </w:numPr>
        <w:ind w:left="1134" w:hanging="567"/>
      </w:pPr>
      <w:r w:rsidRPr="00C71996">
        <w:lastRenderedPageBreak/>
        <w:t>Séminaire ré</w:t>
      </w:r>
      <w:r w:rsidR="00883AE7" w:rsidRPr="00C71996">
        <w:t xml:space="preserve">gional </w:t>
      </w:r>
      <w:r w:rsidRPr="00C71996">
        <w:t>et activité de mise en relation </w:t>
      </w:r>
      <w:r w:rsidR="00883AE7" w:rsidRPr="00C71996">
        <w:t xml:space="preserve">: </w:t>
      </w:r>
      <w:r w:rsidRPr="00C71996">
        <w:t>f</w:t>
      </w:r>
      <w:r w:rsidR="00883AE7" w:rsidRPr="00C71996">
        <w:t>acilit</w:t>
      </w:r>
      <w:r w:rsidRPr="00C71996">
        <w:t>er le tr</w:t>
      </w:r>
      <w:r w:rsidR="00883AE7" w:rsidRPr="00C71996">
        <w:t>ansfer</w:t>
      </w:r>
      <w:r w:rsidRPr="00C71996">
        <w:t>t</w:t>
      </w:r>
      <w:r w:rsidR="00883AE7" w:rsidRPr="00C71996">
        <w:t xml:space="preserve"> </w:t>
      </w:r>
      <w:r w:rsidRPr="00C71996">
        <w:t>et l</w:t>
      </w:r>
      <w:r w:rsidR="00883AE7" w:rsidRPr="00C71996">
        <w:t xml:space="preserve">a </w:t>
      </w:r>
      <w:r w:rsidRPr="00C71996">
        <w:t>d</w:t>
      </w:r>
      <w:r w:rsidR="00883AE7" w:rsidRPr="00C71996">
        <w:t xml:space="preserve">iffusion </w:t>
      </w:r>
      <w:r w:rsidRPr="00C71996">
        <w:t>des t</w:t>
      </w:r>
      <w:r w:rsidR="00883AE7" w:rsidRPr="00C71996">
        <w:t>echnolog</w:t>
      </w:r>
      <w:r w:rsidRPr="00C71996">
        <w:t>ies vertes </w:t>
      </w:r>
      <w:r w:rsidR="00883AE7" w:rsidRPr="00C71996">
        <w:t xml:space="preserve">: </w:t>
      </w:r>
      <w:r w:rsidRPr="00C71996">
        <w:t>o</w:t>
      </w:r>
      <w:r w:rsidR="00883AE7" w:rsidRPr="00C71996">
        <w:t>pportunit</w:t>
      </w:r>
      <w:r w:rsidRPr="00C71996">
        <w:t xml:space="preserve">és </w:t>
      </w:r>
      <w:r w:rsidR="00CA6302" w:rsidRPr="00C71996">
        <w:t>dans le cadre</w:t>
      </w:r>
      <w:r w:rsidRPr="00C71996">
        <w:t xml:space="preserve"> d</w:t>
      </w:r>
      <w:r w:rsidR="00871730" w:rsidRPr="00C71996">
        <w:t>’</w:t>
      </w:r>
      <w:r w:rsidRPr="00C71996">
        <w:t>un projet p</w:t>
      </w:r>
      <w:r w:rsidR="00883AE7" w:rsidRPr="00C71996">
        <w:t>ilot</w:t>
      </w:r>
      <w:r w:rsidRPr="00C71996">
        <w:t>e</w:t>
      </w:r>
      <w:r w:rsidR="00883AE7" w:rsidRPr="00C71996">
        <w:t xml:space="preserve"> </w:t>
      </w:r>
      <w:r w:rsidRPr="00C71996">
        <w:t>sur le traitement des eaux usées en Asie du Sud</w:t>
      </w:r>
      <w:r w:rsidR="006A3508" w:rsidRPr="00C71996">
        <w:noBreakHyphen/>
      </w:r>
      <w:r w:rsidR="00CA6302" w:rsidRPr="00C71996">
        <w:t>E</w:t>
      </w:r>
      <w:r w:rsidRPr="00C71996">
        <w:t>st,</w:t>
      </w:r>
      <w:r w:rsidR="00883AE7" w:rsidRPr="00C71996">
        <w:t xml:space="preserve"> </w:t>
      </w:r>
      <w:r w:rsidR="00883AE7" w:rsidRPr="00C71996">
        <w:rPr>
          <w:iCs/>
        </w:rPr>
        <w:t>Manil</w:t>
      </w:r>
      <w:r w:rsidRPr="00C71996">
        <w:rPr>
          <w:iCs/>
        </w:rPr>
        <w:t>le (</w:t>
      </w:r>
      <w:r w:rsidR="00883AE7" w:rsidRPr="00C71996">
        <w:rPr>
          <w:iCs/>
        </w:rPr>
        <w:t>Philippines</w:t>
      </w:r>
      <w:r w:rsidRPr="00C71996">
        <w:rPr>
          <w:iCs/>
        </w:rPr>
        <w:t>)</w:t>
      </w:r>
      <w:r w:rsidR="00883AE7" w:rsidRPr="00C71996">
        <w:t xml:space="preserve">, </w:t>
      </w:r>
      <w:r w:rsidR="00C71996">
        <w:br/>
      </w:r>
      <w:r w:rsidR="00883AE7" w:rsidRPr="00C71996">
        <w:t>23</w:t>
      </w:r>
      <w:r w:rsidR="00871730" w:rsidRPr="00C71996">
        <w:t xml:space="preserve"> – </w:t>
      </w:r>
      <w:r w:rsidR="00883AE7" w:rsidRPr="00C71996">
        <w:t>24</w:t>
      </w:r>
      <w:r w:rsidRPr="00C71996">
        <w:t> avril</w:t>
      </w:r>
      <w:r w:rsidR="00883AE7" w:rsidRPr="00C71996">
        <w:t> 2015.</w:t>
      </w:r>
      <w:r w:rsidRPr="00C71996">
        <w:t xml:space="preserve"> </w:t>
      </w:r>
      <w:r w:rsidR="00883AE7" w:rsidRPr="00C71996">
        <w:t xml:space="preserve"> 100 participan</w:t>
      </w:r>
      <w:r w:rsidR="006A3508" w:rsidRPr="00C71996">
        <w:t>ts.  Un</w:t>
      </w:r>
      <w:r w:rsidRPr="00C71996">
        <w:t xml:space="preserve">e évaluation des besoins </w:t>
      </w:r>
      <w:r w:rsidR="00CA6302" w:rsidRPr="00C71996">
        <w:t>en matière de tec</w:t>
      </w:r>
      <w:r w:rsidR="00883AE7" w:rsidRPr="00C71996">
        <w:t>hnologies</w:t>
      </w:r>
      <w:r w:rsidR="00CA6302" w:rsidRPr="00C71996">
        <w:t xml:space="preserve"> de traitement des eaux usées avait été réalisée au préalable en Indonésie, aux Philippines et au Viet</w:t>
      </w:r>
      <w:r w:rsidR="004E36D8" w:rsidRPr="00C71996">
        <w:t> </w:t>
      </w:r>
      <w:r w:rsidR="00CA6302" w:rsidRPr="00C71996">
        <w:t>N</w:t>
      </w:r>
      <w:r w:rsidR="006A3508" w:rsidRPr="00C71996">
        <w:t>am.  L’é</w:t>
      </w:r>
      <w:r w:rsidR="00CA6302" w:rsidRPr="00C71996">
        <w:t xml:space="preserve">vénement a débouché sur la signature de </w:t>
      </w:r>
      <w:r w:rsidR="00883AE7" w:rsidRPr="00C71996">
        <w:t>16</w:t>
      </w:r>
      <w:r w:rsidR="00CA6302" w:rsidRPr="00C71996">
        <w:t> </w:t>
      </w:r>
      <w:r w:rsidR="00883AE7" w:rsidRPr="00C71996">
        <w:t>lettr</w:t>
      </w:r>
      <w:r w:rsidR="00CA6302" w:rsidRPr="00C71996">
        <w:t>e</w:t>
      </w:r>
      <w:r w:rsidR="00883AE7" w:rsidRPr="00C71996">
        <w:t xml:space="preserve">s </w:t>
      </w:r>
      <w:r w:rsidR="00CA6302" w:rsidRPr="00C71996">
        <w:t>d</w:t>
      </w:r>
      <w:r w:rsidR="00871730" w:rsidRPr="00C71996">
        <w:t>’</w:t>
      </w:r>
      <w:r w:rsidR="00883AE7" w:rsidRPr="00C71996">
        <w:t>intent</w:t>
      </w:r>
      <w:r w:rsidR="00CA6302" w:rsidRPr="00C71996">
        <w:t>ion entre fournisseurs et demandeurs de t</w:t>
      </w:r>
      <w:r w:rsidR="00883AE7" w:rsidRPr="00C71996">
        <w:t>echnologie</w:t>
      </w:r>
      <w:r w:rsidR="00CA6302" w:rsidRPr="00C71996">
        <w:t>s en vue de négocier le transfert de</w:t>
      </w:r>
      <w:r w:rsidR="00883AE7" w:rsidRPr="00C71996">
        <w:t xml:space="preserve"> technolog</w:t>
      </w:r>
      <w:r w:rsidR="00CA6302" w:rsidRPr="00C71996">
        <w:t>ies</w:t>
      </w:r>
      <w:r w:rsidR="009F0CC3" w:rsidRPr="00C71996">
        <w:t>;</w:t>
      </w:r>
    </w:p>
    <w:p w:rsidR="00F55AA9" w:rsidRDefault="00CA6302" w:rsidP="00883AE7">
      <w:pPr>
        <w:pStyle w:val="ONUMFS"/>
        <w:numPr>
          <w:ilvl w:val="0"/>
          <w:numId w:val="11"/>
        </w:numPr>
        <w:ind w:left="1134" w:hanging="567"/>
      </w:pPr>
      <w:r w:rsidRPr="00E568C3">
        <w:t xml:space="preserve">Exposition </w:t>
      </w:r>
      <w:r w:rsidR="00883AE7" w:rsidRPr="00E568C3">
        <w:t>Global S</w:t>
      </w:r>
      <w:r w:rsidRPr="00E568C3">
        <w:t>outh</w:t>
      </w:r>
      <w:r w:rsidR="006A3508" w:rsidRPr="00E568C3">
        <w:noBreakHyphen/>
      </w:r>
      <w:r w:rsidRPr="00E568C3">
        <w:t xml:space="preserve">South Development (GSSD), </w:t>
      </w:r>
      <w:r w:rsidR="00883AE7" w:rsidRPr="00E568C3">
        <w:t xml:space="preserve">Washington, D.C, </w:t>
      </w:r>
      <w:r w:rsidR="00C71996">
        <w:br/>
      </w:r>
      <w:r w:rsidRPr="00E568C3">
        <w:t>17</w:t>
      </w:r>
      <w:r w:rsidR="00871730" w:rsidRPr="00E568C3">
        <w:t xml:space="preserve"> – </w:t>
      </w:r>
      <w:r w:rsidRPr="00E568C3">
        <w:t>20 n</w:t>
      </w:r>
      <w:r w:rsidR="00883AE7" w:rsidRPr="00E568C3">
        <w:t>ovembr</w:t>
      </w:r>
      <w:r w:rsidRPr="00E568C3">
        <w:t>e </w:t>
      </w:r>
      <w:r w:rsidR="00883AE7" w:rsidRPr="00E568C3">
        <w:t xml:space="preserve">2014. </w:t>
      </w:r>
      <w:r w:rsidRPr="00E568C3">
        <w:t xml:space="preserve"> </w:t>
      </w:r>
      <w:r w:rsidR="00883AE7" w:rsidRPr="00E568C3">
        <w:t>120</w:t>
      </w:r>
      <w:r w:rsidRPr="00E568C3">
        <w:t> </w:t>
      </w:r>
      <w:r w:rsidR="00883AE7" w:rsidRPr="00E568C3">
        <w:t xml:space="preserve">participants.  </w:t>
      </w:r>
      <w:r w:rsidRPr="00E568C3">
        <w:t>L</w:t>
      </w:r>
      <w:r w:rsidR="00871730" w:rsidRPr="00E568C3">
        <w:t>’</w:t>
      </w:r>
      <w:r w:rsidRPr="00E568C3">
        <w:t>OMPI a dirigé l</w:t>
      </w:r>
      <w:r w:rsidR="00871730" w:rsidRPr="00E568C3">
        <w:t>’</w:t>
      </w:r>
      <w:r w:rsidRPr="00E568C3">
        <w:t>une des huit sessions de renforcement</w:t>
      </w:r>
      <w:r w:rsidR="00883AE7" w:rsidRPr="00E568C3">
        <w:t xml:space="preserve">, </w:t>
      </w:r>
      <w:r w:rsidRPr="00E568C3">
        <w:t xml:space="preserve">qui présentait des partenariats réussis et des </w:t>
      </w:r>
      <w:r w:rsidR="00883AE7" w:rsidRPr="00E568C3">
        <w:t xml:space="preserve">solutions </w:t>
      </w:r>
      <w:r w:rsidRPr="00E568C3">
        <w:t xml:space="preserve">efficaces dans le domaine des </w:t>
      </w:r>
      <w:r w:rsidR="00883AE7" w:rsidRPr="00E568C3">
        <w:t>technologies</w:t>
      </w:r>
      <w:r w:rsidRPr="00E568C3">
        <w:t xml:space="preserve"> vertes</w:t>
      </w:r>
      <w:r w:rsidR="00883AE7" w:rsidRPr="00E568C3">
        <w:t xml:space="preserve">, </w:t>
      </w:r>
      <w:r w:rsidRPr="00E568C3">
        <w:t>avec des in</w:t>
      </w:r>
      <w:r w:rsidR="004F112E" w:rsidRPr="00E568C3">
        <w:t>tervenants issus du réseau WIPO </w:t>
      </w:r>
      <w:r w:rsidRPr="00E568C3">
        <w:t>GREEN</w:t>
      </w:r>
      <w:r w:rsidR="00883AE7" w:rsidRPr="00E568C3">
        <w:t>;</w:t>
      </w:r>
    </w:p>
    <w:p w:rsidR="00F55AA9" w:rsidRDefault="0016178B" w:rsidP="00883AE7">
      <w:pPr>
        <w:pStyle w:val="ONUMFS"/>
        <w:numPr>
          <w:ilvl w:val="0"/>
          <w:numId w:val="11"/>
        </w:numPr>
        <w:ind w:left="1134" w:hanging="567"/>
      </w:pPr>
      <w:r w:rsidRPr="00E568C3">
        <w:t>“</w:t>
      </w:r>
      <w:proofErr w:type="spellStart"/>
      <w:r w:rsidR="00883AE7" w:rsidRPr="00E568C3">
        <w:t>What</w:t>
      </w:r>
      <w:proofErr w:type="spellEnd"/>
      <w:r w:rsidR="00883AE7" w:rsidRPr="00E568C3">
        <w:t xml:space="preserve"> </w:t>
      </w:r>
      <w:proofErr w:type="spellStart"/>
      <w:r w:rsidR="00883AE7" w:rsidRPr="00E568C3">
        <w:t>is</w:t>
      </w:r>
      <w:proofErr w:type="spellEnd"/>
      <w:r w:rsidR="00883AE7" w:rsidRPr="00E568C3">
        <w:t xml:space="preserve"> </w:t>
      </w:r>
      <w:proofErr w:type="spellStart"/>
      <w:r w:rsidR="00883AE7" w:rsidRPr="00E568C3">
        <w:t>Next</w:t>
      </w:r>
      <w:proofErr w:type="spellEnd"/>
      <w:r w:rsidR="00883AE7" w:rsidRPr="00E568C3">
        <w:t xml:space="preserve"> </w:t>
      </w:r>
      <w:proofErr w:type="spellStart"/>
      <w:r w:rsidR="00883AE7" w:rsidRPr="00E568C3">
        <w:t>with</w:t>
      </w:r>
      <w:proofErr w:type="spellEnd"/>
      <w:r w:rsidR="00883AE7" w:rsidRPr="00E568C3">
        <w:t xml:space="preserve"> Public</w:t>
      </w:r>
      <w:r w:rsidR="006A3508" w:rsidRPr="00E568C3">
        <w:noBreakHyphen/>
      </w:r>
      <w:proofErr w:type="spellStart"/>
      <w:r w:rsidR="00883AE7" w:rsidRPr="00E568C3">
        <w:t>Private</w:t>
      </w:r>
      <w:proofErr w:type="spellEnd"/>
      <w:r w:rsidR="00883AE7" w:rsidRPr="00E568C3">
        <w:t xml:space="preserve"> </w:t>
      </w:r>
      <w:proofErr w:type="spellStart"/>
      <w:r w:rsidR="00883AE7" w:rsidRPr="00E568C3">
        <w:t>Partnerships</w:t>
      </w:r>
      <w:proofErr w:type="spellEnd"/>
      <w:r w:rsidR="00883AE7" w:rsidRPr="00E568C3">
        <w:t xml:space="preserve"> in Green </w:t>
      </w:r>
      <w:proofErr w:type="spellStart"/>
      <w:r w:rsidR="00883AE7" w:rsidRPr="00E568C3">
        <w:t>Technology</w:t>
      </w:r>
      <w:proofErr w:type="spellEnd"/>
      <w:r w:rsidR="00883AE7" w:rsidRPr="00E568C3">
        <w:t xml:space="preserve"> </w:t>
      </w:r>
      <w:proofErr w:type="spellStart"/>
      <w:r w:rsidR="00883AE7" w:rsidRPr="00E568C3">
        <w:t>Dissemination</w:t>
      </w:r>
      <w:proofErr w:type="spellEnd"/>
      <w:r w:rsidR="00883AE7" w:rsidRPr="00E568C3">
        <w:t>?</w:t>
      </w:r>
      <w:r w:rsidRPr="00E568C3">
        <w:t xml:space="preserve">” </w:t>
      </w:r>
      <w:r w:rsidR="00883AE7" w:rsidRPr="00E568C3">
        <w:t>Organi</w:t>
      </w:r>
      <w:r w:rsidR="009F0CC3" w:rsidRPr="00E568C3">
        <w:t>sé par l</w:t>
      </w:r>
      <w:r w:rsidR="00871730" w:rsidRPr="00E568C3">
        <w:t>’</w:t>
      </w:r>
      <w:r w:rsidR="00883AE7" w:rsidRPr="00E568C3">
        <w:t xml:space="preserve">INPI France </w:t>
      </w:r>
      <w:r w:rsidR="009F0CC3" w:rsidRPr="00E568C3">
        <w:t>e</w:t>
      </w:r>
      <w:r w:rsidR="00883AE7" w:rsidRPr="00E568C3">
        <w:t xml:space="preserve">n collaboration </w:t>
      </w:r>
      <w:r w:rsidR="009F0CC3" w:rsidRPr="00E568C3">
        <w:t>avec l</w:t>
      </w:r>
      <w:r w:rsidR="00871730" w:rsidRPr="00E568C3">
        <w:t>’</w:t>
      </w:r>
      <w:r w:rsidR="009F0CC3" w:rsidRPr="00E568C3">
        <w:t>OMPI</w:t>
      </w:r>
      <w:r w:rsidR="00883AE7" w:rsidRPr="00E568C3">
        <w:t xml:space="preserve">, </w:t>
      </w:r>
      <w:r w:rsidR="009F0CC3" w:rsidRPr="00E568C3">
        <w:t>9 dé</w:t>
      </w:r>
      <w:r w:rsidR="00883AE7" w:rsidRPr="00E568C3">
        <w:t>cembr</w:t>
      </w:r>
      <w:r w:rsidR="009F0CC3" w:rsidRPr="00E568C3">
        <w:t>e </w:t>
      </w:r>
      <w:r w:rsidR="00883AE7" w:rsidRPr="00E568C3">
        <w:t>2015.</w:t>
      </w:r>
      <w:r w:rsidR="009F0CC3" w:rsidRPr="00E568C3">
        <w:t xml:space="preserve"> </w:t>
      </w:r>
      <w:r w:rsidR="00883AE7" w:rsidRPr="00E568C3">
        <w:t xml:space="preserve"> 30</w:t>
      </w:r>
      <w:r w:rsidR="009F0CC3" w:rsidRPr="00E568C3">
        <w:t> </w:t>
      </w:r>
      <w:r w:rsidR="00883AE7" w:rsidRPr="00E568C3">
        <w:t>participan</w:t>
      </w:r>
      <w:r w:rsidR="006A3508" w:rsidRPr="00E568C3">
        <w:t>ts.  Bi</w:t>
      </w:r>
      <w:r w:rsidR="005533FA" w:rsidRPr="00E568C3">
        <w:t>en accueillie, l</w:t>
      </w:r>
      <w:r w:rsidR="009F0CC3" w:rsidRPr="00E568C3">
        <w:t>a manifestation</w:t>
      </w:r>
      <w:r w:rsidR="005533FA" w:rsidRPr="00E568C3">
        <w:t xml:space="preserve"> s</w:t>
      </w:r>
      <w:r w:rsidR="009F0CC3" w:rsidRPr="00E568C3">
        <w:t>e déroulait en marge de</w:t>
      </w:r>
      <w:r w:rsidR="00871730" w:rsidRPr="00E568C3">
        <w:t xml:space="preserve"> la COP</w:t>
      </w:r>
      <w:r w:rsidR="00883AE7" w:rsidRPr="00E568C3">
        <w:t xml:space="preserve">21 </w:t>
      </w:r>
      <w:r w:rsidR="009F0CC3" w:rsidRPr="00E568C3">
        <w:t>et réuni</w:t>
      </w:r>
      <w:r w:rsidRPr="00E568C3">
        <w:t>ssait</w:t>
      </w:r>
      <w:r w:rsidR="009F0CC3" w:rsidRPr="00E568C3">
        <w:t xml:space="preserve"> </w:t>
      </w:r>
      <w:r w:rsidR="00883AE7" w:rsidRPr="00E568C3">
        <w:t>60</w:t>
      </w:r>
      <w:r w:rsidR="009F0CC3" w:rsidRPr="00E568C3">
        <w:t> entreprise</w:t>
      </w:r>
      <w:r w:rsidR="00883AE7" w:rsidRPr="00E568C3">
        <w:t>s (30</w:t>
      </w:r>
      <w:r w:rsidR="00F31B2C" w:rsidRPr="00E568C3">
        <w:t> </w:t>
      </w:r>
      <w:r w:rsidR="009F0CC3" w:rsidRPr="00E568C3">
        <w:t>de pays en développement et</w:t>
      </w:r>
      <w:r w:rsidR="00883AE7" w:rsidRPr="00E568C3">
        <w:t xml:space="preserve"> 30</w:t>
      </w:r>
      <w:r w:rsidR="00F31B2C" w:rsidRPr="00E568C3">
        <w:t> </w:t>
      </w:r>
      <w:r w:rsidR="009F0CC3" w:rsidRPr="00E568C3">
        <w:t>de pays développés</w:t>
      </w:r>
      <w:r w:rsidR="00883AE7" w:rsidRPr="00E568C3">
        <w:t>).</w:t>
      </w:r>
    </w:p>
    <w:p w:rsidR="00F55AA9" w:rsidRDefault="00C71996" w:rsidP="00883AE7">
      <w:pPr>
        <w:pStyle w:val="Heading2"/>
      </w:pPr>
      <w:r>
        <w:t>IX</w:t>
      </w:r>
      <w:r w:rsidR="00883AE7" w:rsidRPr="00E568C3">
        <w:t>.</w:t>
      </w:r>
      <w:r w:rsidR="00883AE7" w:rsidRPr="00E568C3">
        <w:tab/>
        <w:t xml:space="preserve">Participation </w:t>
      </w:r>
      <w:r w:rsidR="00897965" w:rsidRPr="00E568C3">
        <w:t>de l</w:t>
      </w:r>
      <w:r w:rsidR="00871730" w:rsidRPr="00E568C3">
        <w:t>’</w:t>
      </w:r>
      <w:r w:rsidR="00897965" w:rsidRPr="00E568C3">
        <w:t xml:space="preserve">ompi </w:t>
      </w:r>
      <w:r w:rsidR="004B7755" w:rsidRPr="00E568C3">
        <w:t>aux instances compétente</w:t>
      </w:r>
      <w:r w:rsidR="00897965" w:rsidRPr="00E568C3">
        <w:t>S</w:t>
      </w:r>
      <w:r w:rsidR="004B7755" w:rsidRPr="00E568C3">
        <w:t xml:space="preserve"> en matière d</w:t>
      </w:r>
      <w:r w:rsidR="00897965" w:rsidRPr="00E568C3">
        <w:t xml:space="preserve">e </w:t>
      </w:r>
      <w:r w:rsidR="00883AE7" w:rsidRPr="00E568C3">
        <w:t>Transfer</w:t>
      </w:r>
      <w:r w:rsidR="00897965" w:rsidRPr="00E568C3">
        <w:t xml:space="preserve">t de </w:t>
      </w:r>
      <w:r w:rsidR="004B7755" w:rsidRPr="00E568C3">
        <w:t>sav</w:t>
      </w:r>
      <w:r w:rsidR="00897965" w:rsidRPr="00E568C3">
        <w:t>oi</w:t>
      </w:r>
      <w:r w:rsidR="004B7755" w:rsidRPr="00E568C3">
        <w:t>r</w:t>
      </w:r>
    </w:p>
    <w:p w:rsidR="00F55AA9" w:rsidRDefault="00F55AA9" w:rsidP="00883AE7">
      <w:pPr>
        <w:autoSpaceDE w:val="0"/>
        <w:autoSpaceDN w:val="0"/>
        <w:adjustRightInd w:val="0"/>
        <w:rPr>
          <w:rFonts w:eastAsia="SimSun"/>
          <w:bCs/>
          <w:szCs w:val="22"/>
          <w:u w:val="single"/>
          <w:lang w:eastAsia="zh-CN"/>
        </w:rPr>
      </w:pPr>
    </w:p>
    <w:p w:rsidR="00F55AA9" w:rsidRDefault="00897965" w:rsidP="00CA3DE0">
      <w:pPr>
        <w:pStyle w:val="ONUMFS"/>
      </w:pPr>
      <w:r w:rsidRPr="00E568C3">
        <w:t xml:space="preserve">Tous </w:t>
      </w:r>
      <w:r w:rsidR="00883AE7" w:rsidRPr="00E568C3">
        <w:t>l</w:t>
      </w:r>
      <w:r w:rsidRPr="00E568C3">
        <w:t>es</w:t>
      </w:r>
      <w:r w:rsidR="00883AE7" w:rsidRPr="00E568C3">
        <w:t xml:space="preserve"> efforts </w:t>
      </w:r>
      <w:r w:rsidRPr="00E568C3">
        <w:t>visant à recenser</w:t>
      </w:r>
      <w:r w:rsidR="00883AE7" w:rsidRPr="00E568C3">
        <w:t xml:space="preserve"> </w:t>
      </w:r>
      <w:r w:rsidRPr="00E568C3">
        <w:t>le modèle d</w:t>
      </w:r>
      <w:r w:rsidR="00871730" w:rsidRPr="00E568C3">
        <w:t>’</w:t>
      </w:r>
      <w:r w:rsidRPr="00E568C3">
        <w:t xml:space="preserve">innovation et de transfert de </w:t>
      </w:r>
      <w:r w:rsidR="005533FA" w:rsidRPr="00E568C3">
        <w:t>savoir</w:t>
      </w:r>
      <w:r w:rsidRPr="00E568C3">
        <w:t xml:space="preserve"> le plus efficace pour </w:t>
      </w:r>
      <w:r w:rsidR="009E5BAA" w:rsidRPr="00E568C3">
        <w:t>servi</w:t>
      </w:r>
      <w:r w:rsidRPr="00E568C3">
        <w:t>r les intérêts de</w:t>
      </w:r>
      <w:r w:rsidR="009E5BAA" w:rsidRPr="00E568C3">
        <w:t xml:space="preserve"> la société</w:t>
      </w:r>
      <w:r w:rsidR="00883AE7" w:rsidRPr="00E568C3">
        <w:t xml:space="preserve">, </w:t>
      </w:r>
      <w:r w:rsidR="00871730" w:rsidRPr="00E568C3">
        <w:t>y compris</w:t>
      </w:r>
      <w:r w:rsidR="00AE57B6" w:rsidRPr="00E568C3">
        <w:t xml:space="preserve"> les rapports de l</w:t>
      </w:r>
      <w:r w:rsidR="00871730" w:rsidRPr="00E568C3">
        <w:t>’</w:t>
      </w:r>
      <w:r w:rsidR="00AE57B6" w:rsidRPr="00E568C3">
        <w:t>I</w:t>
      </w:r>
      <w:r w:rsidR="009E5BAA" w:rsidRPr="00E568C3">
        <w:t>ndice mondial de l</w:t>
      </w:r>
      <w:r w:rsidR="00871730" w:rsidRPr="00E568C3">
        <w:t>’</w:t>
      </w:r>
      <w:r w:rsidR="009E5BAA" w:rsidRPr="00E568C3">
        <w:t>i</w:t>
      </w:r>
      <w:r w:rsidR="00883AE7" w:rsidRPr="00E568C3">
        <w:t xml:space="preserve">nnovation </w:t>
      </w:r>
      <w:r w:rsidR="009E5BAA" w:rsidRPr="00E568C3">
        <w:t>de l</w:t>
      </w:r>
      <w:r w:rsidR="00871730" w:rsidRPr="00E568C3">
        <w:t>’</w:t>
      </w:r>
      <w:r w:rsidR="009E5BAA" w:rsidRPr="00E568C3">
        <w:t>OMPI</w:t>
      </w:r>
      <w:r w:rsidR="00883AE7" w:rsidRPr="00E568C3">
        <w:t xml:space="preserve">, </w:t>
      </w:r>
      <w:r w:rsidR="009E5BAA" w:rsidRPr="00E568C3">
        <w:t>ont témoigné de l</w:t>
      </w:r>
      <w:r w:rsidR="00871730" w:rsidRPr="00E568C3">
        <w:t>’</w:t>
      </w:r>
      <w:r w:rsidR="00883AE7" w:rsidRPr="00E568C3">
        <w:t>importance</w:t>
      </w:r>
      <w:r w:rsidR="009E5BAA" w:rsidRPr="00E568C3">
        <w:t xml:space="preserve"> </w:t>
      </w:r>
      <w:r w:rsidR="005533FA" w:rsidRPr="00E568C3">
        <w:t>e</w:t>
      </w:r>
      <w:r w:rsidR="00C83F2E" w:rsidRPr="00E568C3">
        <w:t>t de</w:t>
      </w:r>
      <w:r w:rsidR="00342E79" w:rsidRPr="00E568C3">
        <w:t xml:space="preserve"> l</w:t>
      </w:r>
      <w:r w:rsidR="00871730" w:rsidRPr="00E568C3">
        <w:t>’</w:t>
      </w:r>
      <w:r w:rsidR="00342E79" w:rsidRPr="00E568C3">
        <w:t>incidence</w:t>
      </w:r>
      <w:r w:rsidR="00C83F2E" w:rsidRPr="00E568C3">
        <w:t xml:space="preserve"> </w:t>
      </w:r>
      <w:r w:rsidR="005533FA" w:rsidRPr="00E568C3">
        <w:t xml:space="preserve">majeures </w:t>
      </w:r>
      <w:r w:rsidR="00C83F2E" w:rsidRPr="00E568C3">
        <w:t xml:space="preserve">de </w:t>
      </w:r>
      <w:r w:rsidR="005533FA" w:rsidRPr="00E568C3">
        <w:t xml:space="preserve">la </w:t>
      </w:r>
      <w:r w:rsidR="00C83F2E" w:rsidRPr="00E568C3">
        <w:t>réuni</w:t>
      </w:r>
      <w:r w:rsidR="005533FA" w:rsidRPr="00E568C3">
        <w:t>on d</w:t>
      </w:r>
      <w:r w:rsidR="00C83F2E" w:rsidRPr="00E568C3">
        <w:t>e conditions</w:t>
      </w:r>
      <w:r w:rsidR="00883AE7" w:rsidRPr="00E568C3">
        <w:t xml:space="preserve"> </w:t>
      </w:r>
      <w:r w:rsidR="009E5BAA" w:rsidRPr="00E568C3">
        <w:t xml:space="preserve">préalables </w:t>
      </w:r>
      <w:r w:rsidR="00883AE7" w:rsidRPr="00E568C3">
        <w:t>(in</w:t>
      </w:r>
      <w:r w:rsidR="009E5BAA" w:rsidRPr="00E568C3">
        <w:t>trant</w:t>
      </w:r>
      <w:r w:rsidR="00883AE7" w:rsidRPr="00E568C3">
        <w:t xml:space="preserve">s) </w:t>
      </w:r>
      <w:r w:rsidR="00342E79" w:rsidRPr="00E568C3">
        <w:t>à différents niveaux</w:t>
      </w:r>
      <w:r w:rsidR="009E5BAA" w:rsidRPr="00E568C3">
        <w:t xml:space="preserve"> comme les</w:t>
      </w:r>
      <w:r w:rsidR="00883AE7" w:rsidRPr="00E568C3">
        <w:t xml:space="preserve"> institutions, </w:t>
      </w:r>
      <w:r w:rsidR="009E5BAA" w:rsidRPr="00E568C3">
        <w:t>l</w:t>
      </w:r>
      <w:r w:rsidR="00871730" w:rsidRPr="00E568C3">
        <w:t>’</w:t>
      </w:r>
      <w:r w:rsidR="00883AE7" w:rsidRPr="00E568C3">
        <w:t xml:space="preserve">infrastructure, </w:t>
      </w:r>
      <w:r w:rsidR="009E5BAA" w:rsidRPr="00E568C3">
        <w:t>le c</w:t>
      </w:r>
      <w:r w:rsidR="00883AE7" w:rsidRPr="00E568C3">
        <w:t>apital</w:t>
      </w:r>
      <w:r w:rsidR="009E5BAA" w:rsidRPr="00E568C3">
        <w:t xml:space="preserve"> humain</w:t>
      </w:r>
      <w:r w:rsidR="00883AE7" w:rsidRPr="00E568C3">
        <w:t xml:space="preserve">, </w:t>
      </w:r>
      <w:r w:rsidR="009E5BAA" w:rsidRPr="00E568C3">
        <w:t>la c</w:t>
      </w:r>
      <w:r w:rsidR="00883AE7" w:rsidRPr="00E568C3">
        <w:t>o</w:t>
      </w:r>
      <w:r w:rsidR="009E5BAA" w:rsidRPr="00E568C3">
        <w:t>m</w:t>
      </w:r>
      <w:r w:rsidR="00883AE7" w:rsidRPr="00E568C3">
        <w:t>p</w:t>
      </w:r>
      <w:r w:rsidR="009E5BAA" w:rsidRPr="00E568C3">
        <w:t>lexif</w:t>
      </w:r>
      <w:r w:rsidR="00883AE7" w:rsidRPr="00E568C3">
        <w:t xml:space="preserve">ication </w:t>
      </w:r>
      <w:r w:rsidR="009E5BAA" w:rsidRPr="00E568C3">
        <w:t xml:space="preserve">des entreprises et du marché, </w:t>
      </w:r>
      <w:r w:rsidR="00883AE7" w:rsidRPr="00E568C3">
        <w:t>etc</w:t>
      </w:r>
      <w:r w:rsidR="008A2E3E" w:rsidRPr="00E568C3">
        <w:t>.,</w:t>
      </w:r>
      <w:r w:rsidR="00883AE7" w:rsidRPr="00E568C3">
        <w:t xml:space="preserve"> </w:t>
      </w:r>
      <w:r w:rsidR="00342E79" w:rsidRPr="00E568C3">
        <w:t>si l</w:t>
      </w:r>
      <w:r w:rsidR="00871730" w:rsidRPr="00E568C3">
        <w:t>’</w:t>
      </w:r>
      <w:r w:rsidR="00342E79" w:rsidRPr="00E568C3">
        <w:t>on veut</w:t>
      </w:r>
      <w:r w:rsidR="00883AE7" w:rsidRPr="00E568C3">
        <w:t xml:space="preserve"> </w:t>
      </w:r>
      <w:r w:rsidR="00C83F2E" w:rsidRPr="00E568C3">
        <w:t>obtenir d</w:t>
      </w:r>
      <w:r w:rsidR="009E5BAA" w:rsidRPr="00E568C3">
        <w:t xml:space="preserve">e bons résultats </w:t>
      </w:r>
      <w:r w:rsidR="00C83F2E" w:rsidRPr="00E568C3">
        <w:t xml:space="preserve">dans </w:t>
      </w:r>
      <w:r w:rsidR="009E5BAA" w:rsidRPr="00E568C3">
        <w:t>l</w:t>
      </w:r>
      <w:r w:rsidR="00342E79" w:rsidRPr="00E568C3">
        <w:t>e domaine de l</w:t>
      </w:r>
      <w:r w:rsidR="00871730" w:rsidRPr="00E568C3">
        <w:t>’</w:t>
      </w:r>
      <w:r w:rsidR="009E5BAA" w:rsidRPr="00E568C3">
        <w:t xml:space="preserve">innovation basée sur la technologie ou </w:t>
      </w:r>
      <w:r w:rsidR="00342E79" w:rsidRPr="00E568C3">
        <w:t>d</w:t>
      </w:r>
      <w:r w:rsidR="00C83F2E" w:rsidRPr="00E568C3">
        <w:t>es</w:t>
      </w:r>
      <w:r w:rsidR="009E5BAA" w:rsidRPr="00E568C3">
        <w:t xml:space="preserve"> industries de la </w:t>
      </w:r>
      <w:r w:rsidR="00C83F2E" w:rsidRPr="00E568C3">
        <w:t>création</w:t>
      </w:r>
      <w:r w:rsidR="00883AE7" w:rsidRPr="00E568C3">
        <w:t>.</w:t>
      </w:r>
    </w:p>
    <w:p w:rsidR="00F55AA9" w:rsidRDefault="00C83F2E" w:rsidP="009E3AC9">
      <w:pPr>
        <w:pStyle w:val="ONUMFS"/>
        <w:rPr>
          <w:rFonts w:eastAsia="SimSun"/>
          <w:lang w:eastAsia="zh-CN"/>
        </w:rPr>
      </w:pPr>
      <w:r w:rsidRPr="00E568C3">
        <w:t>L</w:t>
      </w:r>
      <w:r w:rsidR="00871730" w:rsidRPr="00E568C3">
        <w:t>’</w:t>
      </w:r>
      <w:r w:rsidRPr="00E568C3">
        <w:t xml:space="preserve">OMPI a ainsi tissé un réseau de </w:t>
      </w:r>
      <w:r w:rsidR="00883AE7" w:rsidRPr="00E568C3">
        <w:t>part</w:t>
      </w:r>
      <w:r w:rsidRPr="00E568C3">
        <w:t>e</w:t>
      </w:r>
      <w:r w:rsidR="00883AE7" w:rsidRPr="00E568C3">
        <w:t>n</w:t>
      </w:r>
      <w:r w:rsidRPr="00E568C3">
        <w:t>air</w:t>
      </w:r>
      <w:r w:rsidR="00883AE7" w:rsidRPr="00E568C3">
        <w:t xml:space="preserve">es </w:t>
      </w:r>
      <w:r w:rsidRPr="00E568C3">
        <w:t>c</w:t>
      </w:r>
      <w:r w:rsidR="00883AE7" w:rsidRPr="00E568C3">
        <w:t>a</w:t>
      </w:r>
      <w:r w:rsidRPr="00E568C3">
        <w:t>pa</w:t>
      </w:r>
      <w:r w:rsidR="00883AE7" w:rsidRPr="00E568C3">
        <w:t>ble</w:t>
      </w:r>
      <w:r w:rsidRPr="00E568C3">
        <w:t>s</w:t>
      </w:r>
      <w:r w:rsidR="00883AE7" w:rsidRPr="00E568C3">
        <w:t xml:space="preserve"> </w:t>
      </w:r>
      <w:r w:rsidRPr="00E568C3">
        <w:t>de fournir des services</w:t>
      </w:r>
      <w:r w:rsidR="00883AE7" w:rsidRPr="00E568C3">
        <w:t xml:space="preserve"> compl</w:t>
      </w:r>
      <w:r w:rsidRPr="00E568C3">
        <w:t>é</w:t>
      </w:r>
      <w:r w:rsidR="00883AE7" w:rsidRPr="00E568C3">
        <w:t>menta</w:t>
      </w:r>
      <w:r w:rsidRPr="00E568C3">
        <w:t>i</w:t>
      </w:r>
      <w:r w:rsidR="00883AE7" w:rsidRPr="00E568C3">
        <w:t xml:space="preserve">res </w:t>
      </w:r>
      <w:r w:rsidRPr="00E568C3">
        <w:t>utiles pour le transfert de connaissances qui vont au</w:t>
      </w:r>
      <w:r w:rsidR="006A3508" w:rsidRPr="00E568C3">
        <w:noBreakHyphen/>
      </w:r>
      <w:r w:rsidRPr="00E568C3">
        <w:t xml:space="preserve">delà </w:t>
      </w:r>
      <w:r w:rsidR="00883AE7" w:rsidRPr="00E568C3">
        <w:t>d</w:t>
      </w:r>
      <w:r w:rsidRPr="00E568C3">
        <w:t>e</w:t>
      </w:r>
      <w:r w:rsidR="00883AE7" w:rsidRPr="00E568C3">
        <w:t xml:space="preserve"> </w:t>
      </w:r>
      <w:r w:rsidRPr="00E568C3">
        <w:t xml:space="preserve">la propriété intellectuelle, comme un réseau de </w:t>
      </w:r>
      <w:r w:rsidR="00883AE7" w:rsidRPr="00E568C3">
        <w:t>part</w:t>
      </w:r>
      <w:r w:rsidRPr="00E568C3">
        <w:t>e</w:t>
      </w:r>
      <w:r w:rsidR="00883AE7" w:rsidRPr="00E568C3">
        <w:t>n</w:t>
      </w:r>
      <w:r w:rsidRPr="00E568C3">
        <w:t>a</w:t>
      </w:r>
      <w:r w:rsidR="00883AE7" w:rsidRPr="00E568C3">
        <w:t>ri</w:t>
      </w:r>
      <w:r w:rsidRPr="00E568C3">
        <w:t>at</w:t>
      </w:r>
      <w:r w:rsidR="00883AE7" w:rsidRPr="00E568C3">
        <w:t xml:space="preserve">s </w:t>
      </w:r>
      <w:r w:rsidRPr="00E568C3">
        <w:t xml:space="preserve">avec les </w:t>
      </w:r>
      <w:r w:rsidR="00342E79" w:rsidRPr="00E568C3">
        <w:t>institu</w:t>
      </w:r>
      <w:r w:rsidRPr="00E568C3">
        <w:t xml:space="preserve">tions du système des </w:t>
      </w:r>
      <w:r w:rsidR="00871730" w:rsidRPr="00E568C3">
        <w:t>Nations Unies</w:t>
      </w:r>
      <w:r w:rsidRPr="00E568C3">
        <w:t xml:space="preserve"> et d</w:t>
      </w:r>
      <w:r w:rsidR="00871730" w:rsidRPr="00E568C3">
        <w:t>’</w:t>
      </w:r>
      <w:r w:rsidRPr="00E568C3">
        <w:t>autres organisations gouvernementales</w:t>
      </w:r>
      <w:r w:rsidR="00883AE7" w:rsidRPr="00E568C3">
        <w:t xml:space="preserve"> international</w:t>
      </w:r>
      <w:r w:rsidRPr="00E568C3">
        <w:t>es</w:t>
      </w:r>
      <w:r w:rsidR="00883AE7" w:rsidRPr="00E568C3">
        <w:t xml:space="preserve"> </w:t>
      </w:r>
      <w:r w:rsidRPr="00E568C3">
        <w:t>et</w:t>
      </w:r>
      <w:r w:rsidR="00883AE7" w:rsidRPr="00E568C3">
        <w:t xml:space="preserve"> r</w:t>
      </w:r>
      <w:r w:rsidRPr="00E568C3">
        <w:t>é</w:t>
      </w:r>
      <w:r w:rsidR="00883AE7" w:rsidRPr="00E568C3">
        <w:t>gional</w:t>
      </w:r>
      <w:r w:rsidRPr="00E568C3">
        <w:t>es</w:t>
      </w:r>
      <w:r w:rsidR="00883AE7" w:rsidRPr="00E568C3">
        <w:t xml:space="preserve"> (</w:t>
      </w:r>
      <w:r w:rsidRPr="00E568C3">
        <w:t xml:space="preserve">notamment </w:t>
      </w:r>
      <w:r w:rsidR="00A70C26">
        <w:t>la Commission économique des Nations Unies pour l’Europe (</w:t>
      </w:r>
      <w:r w:rsidRPr="00E568C3">
        <w:t>CEE</w:t>
      </w:r>
      <w:r w:rsidR="00A70C26">
        <w:noBreakHyphen/>
      </w:r>
      <w:r w:rsidRPr="00E568C3">
        <w:t>ONU</w:t>
      </w:r>
      <w:r w:rsidR="00A70C26">
        <w:t>)</w:t>
      </w:r>
      <w:r w:rsidR="00883AE7" w:rsidRPr="00E568C3">
        <w:t xml:space="preserve">, </w:t>
      </w:r>
      <w:r w:rsidR="00A70C26">
        <w:t>la Conférence des Nations Unies sur le commerce et le développement (CNUCED)</w:t>
      </w:r>
      <w:r w:rsidR="00883AE7" w:rsidRPr="00E568C3">
        <w:t xml:space="preserve">, </w:t>
      </w:r>
      <w:r w:rsidR="00A70C26" w:rsidRPr="00A70C26">
        <w:t>la Convention-cadre des Nations Unies sur les changements climatiques (CCNUCC)</w:t>
      </w:r>
      <w:r w:rsidR="00883AE7" w:rsidRPr="00E568C3">
        <w:t xml:space="preserve">, </w:t>
      </w:r>
      <w:r w:rsidR="009E3AC9">
        <w:t>l’</w:t>
      </w:r>
      <w:r w:rsidR="009E3AC9" w:rsidRPr="009E3AC9">
        <w:t>Organisation européenne pour la recherche nucléaire</w:t>
      </w:r>
      <w:r w:rsidR="009E3AC9">
        <w:t xml:space="preserve"> (</w:t>
      </w:r>
      <w:r w:rsidR="00883AE7" w:rsidRPr="00E568C3">
        <w:t>CERN</w:t>
      </w:r>
      <w:r w:rsidR="009E3AC9">
        <w:t>)</w:t>
      </w:r>
      <w:r w:rsidR="00883AE7" w:rsidRPr="00E568C3">
        <w:t xml:space="preserve">, </w:t>
      </w:r>
      <w:r w:rsidR="009E3AC9">
        <w:t xml:space="preserve">la </w:t>
      </w:r>
      <w:r w:rsidR="00883AE7" w:rsidRPr="00E568C3">
        <w:t>Ban</w:t>
      </w:r>
      <w:r w:rsidRPr="00E568C3">
        <w:t>que mondiale</w:t>
      </w:r>
      <w:r w:rsidR="00883AE7" w:rsidRPr="00E568C3">
        <w:t xml:space="preserve">, </w:t>
      </w:r>
      <w:r w:rsidR="009E3AC9">
        <w:t xml:space="preserve">le </w:t>
      </w:r>
      <w:r w:rsidRPr="00E568C3">
        <w:t>Centre commun de recherche (CCR) de la Commission européenne</w:t>
      </w:r>
      <w:r w:rsidR="00883AE7" w:rsidRPr="00E568C3">
        <w:t xml:space="preserve">, </w:t>
      </w:r>
      <w:r w:rsidR="009E3AC9">
        <w:t>l’Agence internationale de l’énergie atomique (AIEA)</w:t>
      </w:r>
      <w:r w:rsidRPr="00E568C3">
        <w:t>,</w:t>
      </w:r>
      <w:r w:rsidR="00883AE7" w:rsidRPr="00E568C3">
        <w:t xml:space="preserve"> etc.), associations </w:t>
      </w:r>
      <w:r w:rsidRPr="00E568C3">
        <w:t xml:space="preserve">professionnelles </w:t>
      </w:r>
      <w:r w:rsidR="00883AE7" w:rsidRPr="00E568C3">
        <w:t>(</w:t>
      </w:r>
      <w:proofErr w:type="spellStart"/>
      <w:r w:rsidR="009E3AC9" w:rsidRPr="009E3AC9">
        <w:t>Licensing</w:t>
      </w:r>
      <w:proofErr w:type="spellEnd"/>
      <w:r w:rsidR="009E3AC9" w:rsidRPr="009E3AC9">
        <w:t xml:space="preserve"> </w:t>
      </w:r>
      <w:proofErr w:type="spellStart"/>
      <w:r w:rsidR="009E3AC9" w:rsidRPr="009E3AC9">
        <w:t>Executives</w:t>
      </w:r>
      <w:proofErr w:type="spellEnd"/>
      <w:r w:rsidR="009E3AC9" w:rsidRPr="009E3AC9">
        <w:t xml:space="preserve"> Society (International) (LES)</w:t>
      </w:r>
      <w:r w:rsidR="00883AE7" w:rsidRPr="00E568C3">
        <w:t xml:space="preserve">, </w:t>
      </w:r>
      <w:r w:rsidR="009E3AC9" w:rsidRPr="009E3AC9">
        <w:t xml:space="preserve">Association of </w:t>
      </w:r>
      <w:proofErr w:type="spellStart"/>
      <w:r w:rsidR="009E3AC9" w:rsidRPr="009E3AC9">
        <w:t>University</w:t>
      </w:r>
      <w:proofErr w:type="spellEnd"/>
      <w:r w:rsidR="009E3AC9" w:rsidRPr="009E3AC9">
        <w:t xml:space="preserve"> </w:t>
      </w:r>
      <w:proofErr w:type="spellStart"/>
      <w:r w:rsidR="009E3AC9" w:rsidRPr="009E3AC9">
        <w:t>Technology</w:t>
      </w:r>
      <w:proofErr w:type="spellEnd"/>
      <w:r w:rsidR="009E3AC9" w:rsidRPr="009E3AC9">
        <w:t xml:space="preserve"> Managers (AUTM</w:t>
      </w:r>
      <w:r w:rsidR="009E3AC9">
        <w:t>)</w:t>
      </w:r>
      <w:r w:rsidR="00883AE7" w:rsidRPr="00E568C3">
        <w:t xml:space="preserve">, ASTP, </w:t>
      </w:r>
      <w:r w:rsidR="009E3AC9" w:rsidRPr="009E3AC9">
        <w:t xml:space="preserve">ASTPPROTON </w:t>
      </w:r>
      <w:proofErr w:type="spellStart"/>
      <w:r w:rsidR="009E3AC9" w:rsidRPr="009E3AC9">
        <w:t>Knowledge</w:t>
      </w:r>
      <w:proofErr w:type="spellEnd"/>
      <w:r w:rsidR="009E3AC9" w:rsidRPr="009E3AC9">
        <w:t xml:space="preserve"> Transfer Europe</w:t>
      </w:r>
      <w:r w:rsidR="00883AE7" w:rsidRPr="00E568C3">
        <w:t xml:space="preserve">) </w:t>
      </w:r>
      <w:r w:rsidRPr="00E568C3">
        <w:t>et établissements universitaires</w:t>
      </w:r>
      <w:r w:rsidR="00883AE7" w:rsidRPr="00E568C3">
        <w:t xml:space="preserve"> </w:t>
      </w:r>
      <w:r w:rsidRPr="00E568C3">
        <w:t>dans les pays en développement et les pays développés</w:t>
      </w:r>
      <w:r w:rsidR="00883AE7" w:rsidRPr="00E568C3">
        <w:t xml:space="preserve"> (Center for </w:t>
      </w:r>
      <w:proofErr w:type="spellStart"/>
      <w:r w:rsidR="00883AE7" w:rsidRPr="00E568C3">
        <w:t>Intellectual</w:t>
      </w:r>
      <w:proofErr w:type="spellEnd"/>
      <w:r w:rsidR="00883AE7" w:rsidRPr="00E568C3">
        <w:t xml:space="preserve"> </w:t>
      </w:r>
      <w:proofErr w:type="spellStart"/>
      <w:r w:rsidR="00883AE7" w:rsidRPr="00E568C3">
        <w:t>Property</w:t>
      </w:r>
      <w:proofErr w:type="spellEnd"/>
      <w:r w:rsidR="00883AE7" w:rsidRPr="00E568C3">
        <w:t xml:space="preserve"> (CIP) </w:t>
      </w:r>
      <w:r w:rsidR="000A4726" w:rsidRPr="00E568C3">
        <w:t>de l</w:t>
      </w:r>
      <w:r w:rsidR="00871730" w:rsidRPr="00E568C3">
        <w:t>’</w:t>
      </w:r>
      <w:r w:rsidR="000A4726" w:rsidRPr="00E568C3">
        <w:t>Université</w:t>
      </w:r>
      <w:r w:rsidR="00883AE7" w:rsidRPr="00E568C3">
        <w:t xml:space="preserve"> </w:t>
      </w:r>
      <w:proofErr w:type="spellStart"/>
      <w:r w:rsidR="00883AE7" w:rsidRPr="00E568C3">
        <w:t>Chalmers</w:t>
      </w:r>
      <w:proofErr w:type="spellEnd"/>
      <w:r w:rsidR="000A4726" w:rsidRPr="00E568C3">
        <w:t>,</w:t>
      </w:r>
      <w:r w:rsidR="00883AE7" w:rsidRPr="00E568C3">
        <w:t xml:space="preserve"> </w:t>
      </w:r>
      <w:r w:rsidR="000A4726" w:rsidRPr="00E568C3">
        <w:t>Centre d</w:t>
      </w:r>
      <w:r w:rsidR="00871730" w:rsidRPr="00E568C3">
        <w:t>’</w:t>
      </w:r>
      <w:r w:rsidR="000A4726" w:rsidRPr="00E568C3">
        <w:t>études internationales de la propriété intellectuelle</w:t>
      </w:r>
      <w:r w:rsidR="00883AE7" w:rsidRPr="00E568C3">
        <w:rPr>
          <w:rFonts w:eastAsia="SimSun"/>
          <w:lang w:eastAsia="zh-CN"/>
        </w:rPr>
        <w:t xml:space="preserve"> (CEIPI) </w:t>
      </w:r>
      <w:r w:rsidR="000A4726" w:rsidRPr="00E568C3">
        <w:rPr>
          <w:rFonts w:eastAsia="SimSun"/>
          <w:lang w:eastAsia="zh-CN"/>
        </w:rPr>
        <w:t>à</w:t>
      </w:r>
      <w:r w:rsidR="00883AE7" w:rsidRPr="00E568C3">
        <w:rPr>
          <w:rFonts w:eastAsia="SimSun"/>
          <w:lang w:eastAsia="zh-CN"/>
        </w:rPr>
        <w:t xml:space="preserve"> Strasb</w:t>
      </w:r>
      <w:r w:rsidR="000A4726" w:rsidRPr="00E568C3">
        <w:rPr>
          <w:rFonts w:eastAsia="SimSun"/>
          <w:lang w:eastAsia="zh-CN"/>
        </w:rPr>
        <w:t>o</w:t>
      </w:r>
      <w:r w:rsidR="00883AE7" w:rsidRPr="00E568C3">
        <w:rPr>
          <w:rFonts w:eastAsia="SimSun"/>
          <w:lang w:eastAsia="zh-CN"/>
        </w:rPr>
        <w:t>urg,</w:t>
      </w:r>
      <w:r w:rsidR="00883AE7" w:rsidRPr="00E568C3">
        <w:t xml:space="preserve"> </w:t>
      </w:r>
      <w:r w:rsidR="000A4726" w:rsidRPr="00E568C3">
        <w:t xml:space="preserve">Université </w:t>
      </w:r>
      <w:proofErr w:type="spellStart"/>
      <w:r w:rsidR="00883AE7" w:rsidRPr="00E568C3">
        <w:rPr>
          <w:rFonts w:eastAsia="SimSun"/>
          <w:lang w:eastAsia="zh-CN"/>
        </w:rPr>
        <w:t>Bogaziçi</w:t>
      </w:r>
      <w:proofErr w:type="spellEnd"/>
      <w:r w:rsidR="00883AE7" w:rsidRPr="00E568C3">
        <w:rPr>
          <w:rFonts w:eastAsia="SimSun"/>
          <w:lang w:eastAsia="zh-CN"/>
        </w:rPr>
        <w:t xml:space="preserve"> </w:t>
      </w:r>
      <w:r w:rsidR="000A4726" w:rsidRPr="00E568C3">
        <w:rPr>
          <w:rFonts w:eastAsia="SimSun"/>
          <w:lang w:eastAsia="zh-CN"/>
        </w:rPr>
        <w:t>à</w:t>
      </w:r>
      <w:r w:rsidR="00883AE7" w:rsidRPr="00E568C3">
        <w:rPr>
          <w:rFonts w:eastAsia="SimSun"/>
          <w:lang w:eastAsia="zh-CN"/>
        </w:rPr>
        <w:t xml:space="preserve"> Istanbul</w:t>
      </w:r>
      <w:r w:rsidR="000A4726" w:rsidRPr="00E568C3">
        <w:rPr>
          <w:rFonts w:eastAsia="SimSun"/>
          <w:lang w:eastAsia="zh-CN"/>
        </w:rPr>
        <w:t xml:space="preserve"> (</w:t>
      </w:r>
      <w:r w:rsidR="00883AE7" w:rsidRPr="00E568C3">
        <w:rPr>
          <w:rFonts w:eastAsia="SimSun"/>
          <w:lang w:eastAsia="zh-CN"/>
        </w:rPr>
        <w:t>Tur</w:t>
      </w:r>
      <w:r w:rsidR="000A4726" w:rsidRPr="00E568C3">
        <w:rPr>
          <w:rFonts w:eastAsia="SimSun"/>
          <w:lang w:eastAsia="zh-CN"/>
        </w:rPr>
        <w:t>quie)</w:t>
      </w:r>
      <w:r w:rsidR="009E3AC9">
        <w:rPr>
          <w:rFonts w:eastAsia="SimSun"/>
          <w:lang w:eastAsia="zh-CN"/>
        </w:rPr>
        <w:t>)</w:t>
      </w:r>
      <w:r w:rsidR="00883AE7" w:rsidRPr="00E568C3">
        <w:rPr>
          <w:rFonts w:eastAsia="SimSun"/>
          <w:lang w:eastAsia="zh-CN"/>
        </w:rPr>
        <w:t>.</w:t>
      </w:r>
    </w:p>
    <w:p w:rsidR="00F55AA9" w:rsidRDefault="000A4726" w:rsidP="00883AE7">
      <w:pPr>
        <w:pStyle w:val="ONUMFS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 xml:space="preserve">OMPI a également </w:t>
      </w:r>
      <w:r w:rsidR="00883AE7" w:rsidRPr="00E568C3">
        <w:rPr>
          <w:rFonts w:eastAsia="SimSun"/>
          <w:lang w:eastAsia="zh-CN"/>
        </w:rPr>
        <w:t>particip</w:t>
      </w:r>
      <w:r w:rsidRPr="00E568C3">
        <w:rPr>
          <w:rFonts w:eastAsia="SimSun"/>
          <w:lang w:eastAsia="zh-CN"/>
        </w:rPr>
        <w:t>é à un certain nombre de réunions</w:t>
      </w:r>
      <w:r w:rsidR="00883AE7" w:rsidRPr="00E568C3">
        <w:rPr>
          <w:rFonts w:eastAsia="SimSun"/>
          <w:lang w:eastAsia="zh-CN"/>
        </w:rPr>
        <w:t xml:space="preserve"> international</w:t>
      </w:r>
      <w:r w:rsidRPr="00E568C3">
        <w:rPr>
          <w:rFonts w:eastAsia="SimSun"/>
          <w:lang w:eastAsia="zh-CN"/>
        </w:rPr>
        <w:t>es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et</w:t>
      </w:r>
      <w:r w:rsidR="00883AE7" w:rsidRPr="00E568C3">
        <w:rPr>
          <w:rFonts w:eastAsia="SimSun"/>
          <w:lang w:eastAsia="zh-CN"/>
        </w:rPr>
        <w:t xml:space="preserve"> r</w:t>
      </w:r>
      <w:r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gional</w:t>
      </w:r>
      <w:r w:rsidRPr="00E568C3">
        <w:rPr>
          <w:rFonts w:eastAsia="SimSun"/>
          <w:lang w:eastAsia="zh-CN"/>
        </w:rPr>
        <w:t>es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universit</w:t>
      </w:r>
      <w:r w:rsidRPr="00E568C3">
        <w:rPr>
          <w:rFonts w:eastAsia="SimSun"/>
          <w:lang w:eastAsia="zh-CN"/>
        </w:rPr>
        <w:t>és et de leurs associations de gestion de la</w:t>
      </w:r>
      <w:r w:rsidR="00883AE7" w:rsidRPr="00E568C3">
        <w:rPr>
          <w:rFonts w:eastAsia="SimSun"/>
          <w:lang w:eastAsia="zh-CN"/>
        </w:rPr>
        <w:t xml:space="preserve"> technolog</w:t>
      </w:r>
      <w:r w:rsidRPr="00E568C3">
        <w:rPr>
          <w:rFonts w:eastAsia="SimSun"/>
          <w:lang w:eastAsia="zh-CN"/>
        </w:rPr>
        <w:t>ie, telles que </w:t>
      </w:r>
      <w:r w:rsidR="00883AE7" w:rsidRPr="00E568C3">
        <w:rPr>
          <w:rFonts w:eastAsia="SimSun"/>
          <w:lang w:eastAsia="zh-CN"/>
        </w:rPr>
        <w:t>:</w:t>
      </w:r>
    </w:p>
    <w:p w:rsidR="00F55AA9" w:rsidRDefault="000A4726" w:rsidP="00CA3DE0">
      <w:pPr>
        <w:pStyle w:val="ONUMFS"/>
        <w:numPr>
          <w:ilvl w:val="0"/>
          <w:numId w:val="13"/>
        </w:numPr>
        <w:tabs>
          <w:tab w:val="left" w:pos="567"/>
        </w:tabs>
        <w:ind w:left="1134" w:hanging="567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R</w:t>
      </w:r>
      <w:r w:rsidR="00341F23" w:rsidRPr="00E568C3">
        <w:rPr>
          <w:rFonts w:eastAsia="SimSun"/>
          <w:lang w:eastAsia="zh-CN"/>
        </w:rPr>
        <w:t>é</w:t>
      </w:r>
      <w:r w:rsidRPr="00E568C3">
        <w:rPr>
          <w:rFonts w:eastAsia="SimSun"/>
          <w:lang w:eastAsia="zh-CN"/>
        </w:rPr>
        <w:t>unions a</w:t>
      </w:r>
      <w:r w:rsidR="00883AE7" w:rsidRPr="00E568C3">
        <w:rPr>
          <w:rFonts w:eastAsia="SimSun"/>
          <w:lang w:eastAsia="zh-CN"/>
        </w:rPr>
        <w:t>nnu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l</w:t>
      </w:r>
      <w:r w:rsidRPr="00E568C3">
        <w:rPr>
          <w:rFonts w:eastAsia="SimSun"/>
          <w:lang w:eastAsia="zh-CN"/>
        </w:rPr>
        <w:t xml:space="preserve">les du </w:t>
      </w:r>
      <w:r w:rsidR="00883AE7" w:rsidRPr="00E568C3">
        <w:rPr>
          <w:rFonts w:eastAsia="SimSun"/>
          <w:lang w:eastAsia="zh-CN"/>
        </w:rPr>
        <w:t>“</w:t>
      </w:r>
      <w:r w:rsidR="00341F23" w:rsidRPr="00E568C3">
        <w:rPr>
          <w:rFonts w:eastAsia="SimSun"/>
          <w:lang w:eastAsia="zh-CN"/>
        </w:rPr>
        <w:t>cercle de bureaux de transfert de technologie</w:t>
      </w:r>
      <w:r w:rsidR="00883AE7" w:rsidRPr="00E568C3">
        <w:rPr>
          <w:rFonts w:eastAsia="SimSun"/>
          <w:lang w:eastAsia="zh-CN"/>
        </w:rPr>
        <w:t xml:space="preserve">”, </w:t>
      </w:r>
      <w:r w:rsidRPr="00E568C3">
        <w:rPr>
          <w:rFonts w:eastAsia="SimSun"/>
          <w:lang w:eastAsia="zh-CN"/>
        </w:rPr>
        <w:t>un réseau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 xml:space="preserve">entités </w:t>
      </w:r>
      <w:r w:rsidR="00341F23" w:rsidRPr="00E568C3">
        <w:rPr>
          <w:rFonts w:eastAsia="SimSun"/>
          <w:lang w:eastAsia="zh-CN"/>
        </w:rPr>
        <w:t xml:space="preserve">chargées de la </w:t>
      </w:r>
      <w:r w:rsidRPr="00E568C3">
        <w:rPr>
          <w:rFonts w:eastAsia="SimSun"/>
          <w:lang w:eastAsia="zh-CN"/>
        </w:rPr>
        <w:t>gesti</w:t>
      </w:r>
      <w:r w:rsidR="00341F23" w:rsidRPr="00E568C3">
        <w:rPr>
          <w:rFonts w:eastAsia="SimSun"/>
          <w:lang w:eastAsia="zh-CN"/>
        </w:rPr>
        <w:t>o</w:t>
      </w:r>
      <w:r w:rsidRPr="00E568C3">
        <w:rPr>
          <w:rFonts w:eastAsia="SimSun"/>
          <w:lang w:eastAsia="zh-CN"/>
        </w:rPr>
        <w:t xml:space="preserve">n de la </w:t>
      </w:r>
      <w:r w:rsidR="00883AE7" w:rsidRPr="00E568C3">
        <w:rPr>
          <w:rFonts w:eastAsia="SimSun"/>
          <w:lang w:eastAsia="zh-CN"/>
        </w:rPr>
        <w:t>technolog</w:t>
      </w:r>
      <w:r w:rsidRPr="00E568C3">
        <w:rPr>
          <w:rFonts w:eastAsia="SimSun"/>
          <w:lang w:eastAsia="zh-CN"/>
        </w:rPr>
        <w:t>ie d</w:t>
      </w:r>
      <w:r w:rsidR="00CA3DE0" w:rsidRPr="00E568C3">
        <w:rPr>
          <w:rFonts w:eastAsia="SimSun"/>
          <w:lang w:eastAsia="zh-CN"/>
        </w:rPr>
        <w:t>ans l</w:t>
      </w:r>
      <w:r w:rsidRPr="00E568C3">
        <w:rPr>
          <w:rFonts w:eastAsia="SimSun"/>
          <w:lang w:eastAsia="zh-CN"/>
        </w:rPr>
        <w:t>es</w:t>
      </w:r>
      <w:r w:rsidR="00883AE7" w:rsidRPr="00E568C3">
        <w:rPr>
          <w:rFonts w:eastAsia="SimSun"/>
          <w:lang w:eastAsia="zh-CN"/>
        </w:rPr>
        <w:t xml:space="preserve"> 25</w:t>
      </w:r>
      <w:r w:rsidR="00341F23" w:rsidRPr="00E568C3">
        <w:rPr>
          <w:rFonts w:eastAsia="SimSun"/>
          <w:lang w:eastAsia="zh-CN"/>
        </w:rPr>
        <w:t> </w:t>
      </w:r>
      <w:r w:rsidRPr="00E568C3">
        <w:rPr>
          <w:rFonts w:eastAsia="SimSun"/>
          <w:lang w:eastAsia="zh-CN"/>
        </w:rPr>
        <w:t>principaux instituts de recherche</w:t>
      </w:r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e</w:t>
      </w:r>
      <w:r w:rsidR="00883AE7" w:rsidRPr="00E568C3">
        <w:rPr>
          <w:rFonts w:eastAsia="SimSun"/>
          <w:lang w:eastAsia="zh-CN"/>
        </w:rPr>
        <w:t>n Europe, organi</w:t>
      </w:r>
      <w:r w:rsidRPr="00E568C3">
        <w:rPr>
          <w:rFonts w:eastAsia="SimSun"/>
          <w:lang w:eastAsia="zh-CN"/>
        </w:rPr>
        <w:t>sées par</w:t>
      </w:r>
      <w:r w:rsidR="00871730" w:rsidRPr="00E568C3">
        <w:rPr>
          <w:rFonts w:eastAsia="SimSun"/>
          <w:lang w:eastAsia="zh-CN"/>
        </w:rPr>
        <w:t xml:space="preserve"> le CCR</w:t>
      </w:r>
      <w:r w:rsidR="00341F23" w:rsidRPr="00E568C3">
        <w:rPr>
          <w:rFonts w:eastAsia="SimSun"/>
          <w:lang w:eastAsia="zh-CN"/>
        </w:rPr>
        <w:t xml:space="preserve"> de la Commission européenne </w:t>
      </w:r>
      <w:r w:rsidRPr="00E568C3">
        <w:rPr>
          <w:rFonts w:eastAsia="SimSun"/>
          <w:lang w:eastAsia="zh-CN"/>
        </w:rPr>
        <w:t xml:space="preserve">pour </w:t>
      </w:r>
      <w:r w:rsidRPr="00E568C3">
        <w:rPr>
          <w:rFonts w:eastAsia="SimSun"/>
          <w:lang w:eastAsia="zh-CN"/>
        </w:rPr>
        <w:lastRenderedPageBreak/>
        <w:t>évaluer l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 xml:space="preserve">impact </w:t>
      </w:r>
      <w:r w:rsidRPr="00E568C3">
        <w:rPr>
          <w:rFonts w:eastAsia="SimSun"/>
          <w:lang w:eastAsia="zh-CN"/>
        </w:rPr>
        <w:t>sur les politiques e</w:t>
      </w:r>
      <w:r w:rsidR="00883AE7" w:rsidRPr="00E568C3">
        <w:rPr>
          <w:rFonts w:eastAsia="SimSun"/>
          <w:lang w:eastAsia="zh-CN"/>
        </w:rPr>
        <w:t>urop</w:t>
      </w:r>
      <w:r w:rsidRPr="00E568C3">
        <w:rPr>
          <w:rFonts w:eastAsia="SimSun"/>
          <w:lang w:eastAsia="zh-CN"/>
        </w:rPr>
        <w:t>é</w:t>
      </w:r>
      <w:r w:rsidR="00883AE7" w:rsidRPr="00E568C3">
        <w:rPr>
          <w:rFonts w:eastAsia="SimSun"/>
          <w:lang w:eastAsia="zh-CN"/>
        </w:rPr>
        <w:t>en</w:t>
      </w:r>
      <w:r w:rsidRPr="00E568C3">
        <w:rPr>
          <w:rFonts w:eastAsia="SimSun"/>
          <w:lang w:eastAsia="zh-CN"/>
        </w:rPr>
        <w:t>n</w:t>
      </w:r>
      <w:r w:rsidR="00883AE7" w:rsidRPr="00E568C3">
        <w:rPr>
          <w:rFonts w:eastAsia="SimSun"/>
          <w:lang w:eastAsia="zh-CN"/>
        </w:rPr>
        <w:t>es (</w:t>
      </w:r>
      <w:r w:rsidRPr="00E568C3">
        <w:rPr>
          <w:rFonts w:eastAsia="SimSun"/>
          <w:lang w:eastAsia="zh-CN"/>
        </w:rPr>
        <w:t>20</w:t>
      </w:r>
      <w:r w:rsidR="00342E79" w:rsidRPr="00E568C3">
        <w:rPr>
          <w:rFonts w:eastAsia="SimSun"/>
          <w:lang w:eastAsia="zh-CN"/>
        </w:rPr>
        <w:t> </w:t>
      </w:r>
      <w:r w:rsidR="006A3508" w:rsidRPr="00E568C3">
        <w:rPr>
          <w:rFonts w:eastAsia="SimSun"/>
          <w:lang w:eastAsia="zh-CN"/>
        </w:rPr>
        <w:noBreakHyphen/>
      </w:r>
      <w:r w:rsidRPr="00E568C3">
        <w:rPr>
          <w:rFonts w:eastAsia="SimSun"/>
          <w:lang w:eastAsia="zh-CN"/>
        </w:rPr>
        <w:t>21 janvier </w:t>
      </w:r>
      <w:r w:rsidR="00883AE7" w:rsidRPr="00E568C3">
        <w:rPr>
          <w:rFonts w:eastAsia="SimSun"/>
          <w:lang w:eastAsia="zh-CN"/>
        </w:rPr>
        <w:t xml:space="preserve">2014, Rehovot </w:t>
      </w:r>
      <w:r w:rsidRPr="00E568C3">
        <w:rPr>
          <w:rFonts w:eastAsia="SimSun"/>
          <w:lang w:eastAsia="zh-CN"/>
        </w:rPr>
        <w:t>(</w:t>
      </w:r>
      <w:r w:rsidR="00883AE7" w:rsidRPr="00E568C3">
        <w:rPr>
          <w:rFonts w:eastAsia="SimSun"/>
          <w:lang w:eastAsia="zh-CN"/>
        </w:rPr>
        <w:t>Isra</w:t>
      </w:r>
      <w:r w:rsidRPr="00E568C3">
        <w:rPr>
          <w:rFonts w:eastAsia="SimSun"/>
          <w:lang w:eastAsia="zh-CN"/>
        </w:rPr>
        <w:t>ë</w:t>
      </w:r>
      <w:r w:rsidR="00883AE7" w:rsidRPr="00E568C3">
        <w:rPr>
          <w:rFonts w:eastAsia="SimSun"/>
          <w:lang w:eastAsia="zh-CN"/>
        </w:rPr>
        <w:t>l)</w:t>
      </w:r>
      <w:r w:rsidR="00341F23" w:rsidRPr="00E568C3">
        <w:rPr>
          <w:rFonts w:eastAsia="SimSun"/>
          <w:lang w:eastAsia="zh-CN"/>
        </w:rPr>
        <w:t>)</w:t>
      </w:r>
      <w:r w:rsidR="00883AE7" w:rsidRPr="00E568C3">
        <w:rPr>
          <w:rFonts w:eastAsia="SimSun"/>
          <w:lang w:eastAsia="zh-CN"/>
        </w:rPr>
        <w:t>;</w:t>
      </w:r>
    </w:p>
    <w:p w:rsidR="00F55AA9" w:rsidRDefault="00CA3DE0" w:rsidP="00883AE7">
      <w:pPr>
        <w:pStyle w:val="ONUMFS"/>
        <w:numPr>
          <w:ilvl w:val="0"/>
          <w:numId w:val="13"/>
        </w:numPr>
        <w:ind w:left="1134" w:hanging="567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Conférence international</w:t>
      </w:r>
      <w:r w:rsidR="00883AE7" w:rsidRPr="00E568C3">
        <w:rPr>
          <w:rFonts w:eastAsia="SimSun"/>
          <w:lang w:eastAsia="zh-CN"/>
        </w:rPr>
        <w:t xml:space="preserve">e </w:t>
      </w:r>
      <w:r w:rsidRPr="00E568C3">
        <w:rPr>
          <w:rFonts w:eastAsia="SimSun"/>
          <w:lang w:eastAsia="zh-CN"/>
        </w:rPr>
        <w:t>sur le thème</w:t>
      </w:r>
      <w:r w:rsidR="008A2E3E" w:rsidRPr="00E568C3">
        <w:rPr>
          <w:rFonts w:eastAsia="SimSun"/>
          <w:lang w:eastAsia="zh-CN"/>
        </w:rPr>
        <w:t> </w:t>
      </w:r>
      <w:proofErr w:type="spellStart"/>
      <w:r w:rsidR="00883AE7" w:rsidRPr="00E568C3">
        <w:rPr>
          <w:rFonts w:eastAsia="SimSun"/>
          <w:lang w:eastAsia="zh-CN"/>
        </w:rPr>
        <w:t>IP@University</w:t>
      </w:r>
      <w:proofErr w:type="spellEnd"/>
      <w:r w:rsidR="00883AE7" w:rsidRPr="00E568C3">
        <w:rPr>
          <w:rFonts w:eastAsia="SimSun"/>
          <w:lang w:eastAsia="zh-CN"/>
        </w:rPr>
        <w:t>, organi</w:t>
      </w:r>
      <w:r w:rsidRPr="00E568C3">
        <w:rPr>
          <w:rFonts w:eastAsia="SimSun"/>
          <w:lang w:eastAsia="zh-CN"/>
        </w:rPr>
        <w:t>sée par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Université</w:t>
      </w:r>
      <w:r w:rsidR="00883AE7" w:rsidRPr="00E568C3">
        <w:rPr>
          <w:rFonts w:eastAsia="SimSun"/>
          <w:lang w:eastAsia="zh-CN"/>
        </w:rPr>
        <w:t xml:space="preserve"> </w:t>
      </w:r>
      <w:proofErr w:type="spellStart"/>
      <w:r w:rsidR="00883AE7" w:rsidRPr="00E568C3">
        <w:rPr>
          <w:rFonts w:eastAsia="SimSun"/>
          <w:lang w:eastAsia="zh-CN"/>
        </w:rPr>
        <w:t>Bogaziçi</w:t>
      </w:r>
      <w:proofErr w:type="spellEnd"/>
      <w:r w:rsidR="00883AE7" w:rsidRPr="00E568C3">
        <w:rPr>
          <w:rFonts w:eastAsia="SimSun"/>
          <w:lang w:eastAsia="zh-CN"/>
        </w:rPr>
        <w:t xml:space="preserve"> </w:t>
      </w:r>
      <w:r w:rsidRPr="00E568C3">
        <w:rPr>
          <w:rFonts w:eastAsia="SimSun"/>
          <w:lang w:eastAsia="zh-CN"/>
        </w:rPr>
        <w:t>d</w:t>
      </w:r>
      <w:r w:rsidR="00871730" w:rsidRPr="00E568C3">
        <w:rPr>
          <w:rFonts w:eastAsia="SimSun"/>
          <w:lang w:eastAsia="zh-CN"/>
        </w:rPr>
        <w:t>’</w:t>
      </w:r>
      <w:r w:rsidR="00883AE7" w:rsidRPr="00E568C3">
        <w:rPr>
          <w:rFonts w:eastAsia="SimSun"/>
          <w:lang w:eastAsia="zh-CN"/>
        </w:rPr>
        <w:t>Istanbul</w:t>
      </w:r>
      <w:r w:rsidRPr="00E568C3">
        <w:rPr>
          <w:rFonts w:eastAsia="SimSun"/>
          <w:lang w:eastAsia="zh-CN"/>
        </w:rPr>
        <w:t xml:space="preserve"> (</w:t>
      </w:r>
      <w:r w:rsidR="00883AE7" w:rsidRPr="00E568C3">
        <w:rPr>
          <w:rFonts w:eastAsia="SimSun"/>
          <w:lang w:eastAsia="zh-CN"/>
        </w:rPr>
        <w:t>Tur</w:t>
      </w:r>
      <w:r w:rsidRPr="00E568C3">
        <w:rPr>
          <w:rFonts w:eastAsia="SimSun"/>
          <w:lang w:eastAsia="zh-CN"/>
        </w:rPr>
        <w:t>qui</w:t>
      </w:r>
      <w:r w:rsidR="00883AE7" w:rsidRPr="00E568C3">
        <w:rPr>
          <w:rFonts w:eastAsia="SimSun"/>
          <w:lang w:eastAsia="zh-CN"/>
        </w:rPr>
        <w:t>e</w:t>
      </w:r>
      <w:r w:rsidRPr="00E568C3">
        <w:rPr>
          <w:rFonts w:eastAsia="SimSun"/>
          <w:lang w:eastAsia="zh-CN"/>
        </w:rPr>
        <w:t>)</w:t>
      </w:r>
      <w:r w:rsidR="00883AE7" w:rsidRPr="00E568C3">
        <w:rPr>
          <w:rFonts w:eastAsia="SimSun"/>
          <w:lang w:eastAsia="zh-CN"/>
        </w:rPr>
        <w:t xml:space="preserve"> (2014</w:t>
      </w:r>
      <w:r w:rsidR="00342E79" w:rsidRPr="00E568C3">
        <w:rPr>
          <w:rFonts w:eastAsia="SimSun"/>
          <w:lang w:eastAsia="zh-CN"/>
        </w:rPr>
        <w:t> </w:t>
      </w:r>
      <w:r w:rsidRPr="00E568C3">
        <w:rPr>
          <w:rFonts w:eastAsia="SimSun"/>
          <w:lang w:eastAsia="zh-CN"/>
        </w:rPr>
        <w:t>et</w:t>
      </w:r>
      <w:r w:rsidR="00342E79" w:rsidRPr="00E568C3">
        <w:rPr>
          <w:rFonts w:eastAsia="SimSun"/>
          <w:lang w:eastAsia="zh-CN"/>
        </w:rPr>
        <w:t> </w:t>
      </w:r>
      <w:r w:rsidR="00883AE7" w:rsidRPr="00E568C3">
        <w:rPr>
          <w:rFonts w:eastAsia="SimSun"/>
          <w:lang w:eastAsia="zh-CN"/>
        </w:rPr>
        <w:t>2015);</w:t>
      </w:r>
    </w:p>
    <w:p w:rsidR="00F55AA9" w:rsidRDefault="00883AE7" w:rsidP="00883AE7">
      <w:pPr>
        <w:pStyle w:val="ONUMFS"/>
        <w:numPr>
          <w:ilvl w:val="0"/>
          <w:numId w:val="13"/>
        </w:numPr>
        <w:ind w:left="1134" w:hanging="567"/>
        <w:rPr>
          <w:rFonts w:eastAsia="SimSun"/>
          <w:lang w:eastAsia="zh-CN"/>
        </w:rPr>
      </w:pPr>
      <w:r w:rsidRPr="00E568C3">
        <w:rPr>
          <w:rFonts w:eastAsia="SimSun"/>
          <w:lang w:eastAsia="zh-CN"/>
        </w:rPr>
        <w:t>T</w:t>
      </w:r>
      <w:r w:rsidR="00CA3DE0" w:rsidRPr="00E568C3">
        <w:rPr>
          <w:rFonts w:eastAsia="SimSun"/>
          <w:lang w:eastAsia="zh-CN"/>
        </w:rPr>
        <w:t>roisième </w:t>
      </w:r>
      <w:r w:rsidRPr="00E568C3">
        <w:rPr>
          <w:rFonts w:eastAsia="SimSun"/>
          <w:lang w:eastAsia="zh-CN"/>
        </w:rPr>
        <w:t>Congr</w:t>
      </w:r>
      <w:r w:rsidR="00CA3DE0" w:rsidRPr="00E568C3">
        <w:rPr>
          <w:rFonts w:eastAsia="SimSun"/>
          <w:lang w:eastAsia="zh-CN"/>
        </w:rPr>
        <w:t>ès du réseau de bureaux de transfert de t</w:t>
      </w:r>
      <w:r w:rsidRPr="00E568C3">
        <w:rPr>
          <w:rFonts w:eastAsia="SimSun"/>
          <w:lang w:eastAsia="zh-CN"/>
        </w:rPr>
        <w:t>echnolog</w:t>
      </w:r>
      <w:r w:rsidR="00CA3DE0" w:rsidRPr="00E568C3">
        <w:rPr>
          <w:rFonts w:eastAsia="SimSun"/>
          <w:lang w:eastAsia="zh-CN"/>
        </w:rPr>
        <w:t>ie du Mexique</w:t>
      </w:r>
      <w:r w:rsidRPr="00E568C3">
        <w:rPr>
          <w:rFonts w:eastAsia="SimSun"/>
          <w:lang w:eastAsia="zh-CN"/>
        </w:rPr>
        <w:t xml:space="preserve"> (</w:t>
      </w:r>
      <w:proofErr w:type="spellStart"/>
      <w:r w:rsidRPr="00E568C3">
        <w:rPr>
          <w:rFonts w:eastAsia="SimSun"/>
          <w:lang w:eastAsia="zh-CN"/>
        </w:rPr>
        <w:t>Red</w:t>
      </w:r>
      <w:proofErr w:type="spellEnd"/>
      <w:r w:rsidRPr="00E568C3">
        <w:rPr>
          <w:rFonts w:eastAsia="SimSun"/>
          <w:lang w:eastAsia="zh-CN"/>
        </w:rPr>
        <w:t xml:space="preserve"> OTT), </w:t>
      </w:r>
      <w:r w:rsidR="00CA3DE0" w:rsidRPr="00E568C3">
        <w:rPr>
          <w:rFonts w:eastAsia="SimSun"/>
          <w:lang w:eastAsia="zh-CN"/>
        </w:rPr>
        <w:t>les 26</w:t>
      </w:r>
      <w:r w:rsidR="00871730" w:rsidRPr="00E568C3">
        <w:rPr>
          <w:rFonts w:eastAsia="SimSun"/>
          <w:lang w:eastAsia="zh-CN"/>
        </w:rPr>
        <w:t xml:space="preserve"> – </w:t>
      </w:r>
      <w:r w:rsidR="00CA3DE0" w:rsidRPr="00E568C3">
        <w:rPr>
          <w:rFonts w:eastAsia="SimSun"/>
          <w:lang w:eastAsia="zh-CN"/>
        </w:rPr>
        <w:t>27 </w:t>
      </w:r>
      <w:r w:rsidRPr="00E568C3">
        <w:rPr>
          <w:rFonts w:eastAsia="SimSun"/>
          <w:lang w:eastAsia="zh-CN"/>
        </w:rPr>
        <w:t>novembr</w:t>
      </w:r>
      <w:r w:rsidR="00CA3DE0" w:rsidRPr="00E568C3">
        <w:rPr>
          <w:rFonts w:eastAsia="SimSun"/>
          <w:lang w:eastAsia="zh-CN"/>
        </w:rPr>
        <w:t>e </w:t>
      </w:r>
      <w:r w:rsidRPr="00E568C3">
        <w:rPr>
          <w:rFonts w:eastAsia="SimSun"/>
          <w:lang w:eastAsia="zh-CN"/>
        </w:rPr>
        <w:t xml:space="preserve">2014 </w:t>
      </w:r>
      <w:r w:rsidR="00CA3DE0" w:rsidRPr="00E568C3">
        <w:rPr>
          <w:rFonts w:eastAsia="SimSun"/>
          <w:lang w:eastAsia="zh-CN"/>
        </w:rPr>
        <w:t>à</w:t>
      </w:r>
      <w:r w:rsidRPr="00E568C3">
        <w:rPr>
          <w:rFonts w:eastAsia="SimSun"/>
          <w:lang w:eastAsia="zh-CN"/>
        </w:rPr>
        <w:t xml:space="preserve"> Querétaro</w:t>
      </w:r>
      <w:r w:rsidR="00CA3DE0" w:rsidRPr="00E568C3">
        <w:rPr>
          <w:rFonts w:eastAsia="SimSun"/>
          <w:lang w:eastAsia="zh-CN"/>
        </w:rPr>
        <w:t xml:space="preserve"> (Mexique)</w:t>
      </w:r>
      <w:r w:rsidRPr="00E568C3">
        <w:rPr>
          <w:rFonts w:eastAsia="SimSun"/>
          <w:lang w:eastAsia="zh-CN"/>
        </w:rPr>
        <w:t>;</w:t>
      </w:r>
    </w:p>
    <w:p w:rsidR="00F55AA9" w:rsidRDefault="00CA3DE0" w:rsidP="00883AE7">
      <w:pPr>
        <w:pStyle w:val="ONUMFS"/>
        <w:numPr>
          <w:ilvl w:val="0"/>
          <w:numId w:val="13"/>
        </w:numPr>
        <w:ind w:left="1134" w:hanging="567"/>
        <w:rPr>
          <w:bCs/>
        </w:rPr>
      </w:pPr>
      <w:r w:rsidRPr="00E568C3">
        <w:rPr>
          <w:bCs/>
        </w:rPr>
        <w:t>Séminaire sur les défis mondiaux</w:t>
      </w:r>
      <w:r w:rsidR="00FF11B7" w:rsidRPr="00E568C3">
        <w:rPr>
          <w:bCs/>
        </w:rPr>
        <w:t xml:space="preserve"> à l</w:t>
      </w:r>
      <w:r w:rsidR="00871730" w:rsidRPr="00E568C3">
        <w:rPr>
          <w:bCs/>
        </w:rPr>
        <w:t>’</w:t>
      </w:r>
      <w:r w:rsidR="00FF11B7" w:rsidRPr="00E568C3">
        <w:rPr>
          <w:bCs/>
        </w:rPr>
        <w:t>occasion du lancement de</w:t>
      </w:r>
      <w:r w:rsidRPr="00E568C3">
        <w:rPr>
          <w:bCs/>
        </w:rPr>
        <w:t xml:space="preserve"> la note d</w:t>
      </w:r>
      <w:r w:rsidR="00871730" w:rsidRPr="00E568C3">
        <w:rPr>
          <w:bCs/>
        </w:rPr>
        <w:t>’</w:t>
      </w:r>
      <w:r w:rsidRPr="00E568C3">
        <w:rPr>
          <w:bCs/>
        </w:rPr>
        <w:t xml:space="preserve">information et </w:t>
      </w:r>
      <w:r w:rsidR="00FF11B7" w:rsidRPr="00E568C3">
        <w:rPr>
          <w:bCs/>
        </w:rPr>
        <w:t>du</w:t>
      </w:r>
      <w:r w:rsidRPr="00E568C3">
        <w:rPr>
          <w:bCs/>
        </w:rPr>
        <w:t xml:space="preserve"> rapport sur les défis mondiaux </w:t>
      </w:r>
      <w:r w:rsidR="00FF11B7" w:rsidRPr="00E568C3">
        <w:rPr>
          <w:bCs/>
        </w:rPr>
        <w:t>de</w:t>
      </w:r>
      <w:r w:rsidR="00883AE7" w:rsidRPr="00E568C3">
        <w:rPr>
          <w:bCs/>
        </w:rPr>
        <w:t xml:space="preserve"> </w:t>
      </w:r>
      <w:proofErr w:type="spellStart"/>
      <w:r w:rsidR="00883AE7" w:rsidRPr="00E568C3">
        <w:rPr>
          <w:bCs/>
        </w:rPr>
        <w:t>CambridgeIP</w:t>
      </w:r>
      <w:proofErr w:type="spellEnd"/>
      <w:r w:rsidR="00883AE7" w:rsidRPr="00E568C3">
        <w:rPr>
          <w:bCs/>
        </w:rPr>
        <w:t xml:space="preserve"> </w:t>
      </w:r>
      <w:r w:rsidR="00FF11B7" w:rsidRPr="00E568C3">
        <w:rPr>
          <w:bCs/>
        </w:rPr>
        <w:t>portant sur les tendances de la propriété i</w:t>
      </w:r>
      <w:r w:rsidR="00883AE7" w:rsidRPr="00E568C3">
        <w:rPr>
          <w:bCs/>
        </w:rPr>
        <w:t>ntellectu</w:t>
      </w:r>
      <w:r w:rsidR="00FF11B7" w:rsidRPr="00E568C3">
        <w:rPr>
          <w:bCs/>
        </w:rPr>
        <w:t>e</w:t>
      </w:r>
      <w:r w:rsidR="00883AE7" w:rsidRPr="00E568C3">
        <w:rPr>
          <w:bCs/>
        </w:rPr>
        <w:t>l</w:t>
      </w:r>
      <w:r w:rsidR="00FF11B7" w:rsidRPr="00E568C3">
        <w:rPr>
          <w:bCs/>
        </w:rPr>
        <w:t>le dans le domaine des énergies renouvelables</w:t>
      </w:r>
      <w:r w:rsidR="00883AE7" w:rsidRPr="00E568C3">
        <w:rPr>
          <w:bCs/>
        </w:rPr>
        <w:t xml:space="preserve"> (</w:t>
      </w:r>
      <w:r w:rsidR="00FF11B7" w:rsidRPr="00E568C3">
        <w:rPr>
          <w:bCs/>
        </w:rPr>
        <w:t>11 jui</w:t>
      </w:r>
      <w:r w:rsidR="00883AE7" w:rsidRPr="00E568C3">
        <w:rPr>
          <w:bCs/>
        </w:rPr>
        <w:t>n</w:t>
      </w:r>
      <w:r w:rsidR="00FF11B7" w:rsidRPr="00E568C3">
        <w:rPr>
          <w:bCs/>
        </w:rPr>
        <w:t> </w:t>
      </w:r>
      <w:r w:rsidR="00883AE7" w:rsidRPr="00E568C3">
        <w:rPr>
          <w:bCs/>
        </w:rPr>
        <w:t xml:space="preserve">2014);  </w:t>
      </w:r>
      <w:r w:rsidR="00FF11B7" w:rsidRPr="00E568C3">
        <w:rPr>
          <w:bCs/>
        </w:rPr>
        <w:t>et</w:t>
      </w:r>
    </w:p>
    <w:p w:rsidR="00F55AA9" w:rsidRDefault="00FF11B7" w:rsidP="00342E79">
      <w:pPr>
        <w:pStyle w:val="ONUMFS"/>
        <w:numPr>
          <w:ilvl w:val="0"/>
          <w:numId w:val="13"/>
        </w:numPr>
        <w:ind w:left="1134" w:hanging="567"/>
      </w:pPr>
      <w:r w:rsidRPr="00E568C3">
        <w:rPr>
          <w:rFonts w:eastAsia="SimSun"/>
          <w:lang w:eastAsia="zh-CN"/>
        </w:rPr>
        <w:t>Cours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été du programme d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>initiative du Danube</w:t>
      </w:r>
      <w:r w:rsidR="00883AE7" w:rsidRPr="00E568C3">
        <w:rPr>
          <w:rFonts w:eastAsia="SimSun"/>
          <w:lang w:eastAsia="zh-CN"/>
        </w:rPr>
        <w:t>, organi</w:t>
      </w:r>
      <w:r w:rsidRPr="00E568C3">
        <w:rPr>
          <w:rFonts w:eastAsia="SimSun"/>
          <w:lang w:eastAsia="zh-CN"/>
        </w:rPr>
        <w:t>sés par</w:t>
      </w:r>
      <w:r w:rsidR="00871730" w:rsidRPr="00E568C3">
        <w:rPr>
          <w:rFonts w:eastAsia="SimSun"/>
          <w:lang w:eastAsia="zh-CN"/>
        </w:rPr>
        <w:t xml:space="preserve"> le CCR</w:t>
      </w:r>
      <w:r w:rsidRPr="00E568C3">
        <w:rPr>
          <w:rFonts w:eastAsia="SimSun"/>
          <w:lang w:eastAsia="zh-CN"/>
        </w:rPr>
        <w:t xml:space="preserve"> et l</w:t>
      </w:r>
      <w:r w:rsidR="00871730" w:rsidRPr="00E568C3">
        <w:rPr>
          <w:rFonts w:eastAsia="SimSun"/>
          <w:lang w:eastAsia="zh-CN"/>
        </w:rPr>
        <w:t>’</w:t>
      </w:r>
      <w:r w:rsidRPr="00E568C3">
        <w:rPr>
          <w:rFonts w:eastAsia="SimSun"/>
          <w:lang w:eastAsia="zh-CN"/>
        </w:rPr>
        <w:t xml:space="preserve">OMPI pour les responsables des </w:t>
      </w:r>
      <w:r w:rsidR="00883AE7" w:rsidRPr="00E568C3">
        <w:rPr>
          <w:rFonts w:eastAsia="SimSun"/>
          <w:lang w:eastAsia="zh-CN"/>
        </w:rPr>
        <w:t>technolog</w:t>
      </w:r>
      <w:r w:rsidRPr="00E568C3">
        <w:rPr>
          <w:rFonts w:eastAsia="SimSun"/>
          <w:lang w:eastAsia="zh-CN"/>
        </w:rPr>
        <w:t xml:space="preserve">ies des pays de la région du </w:t>
      </w:r>
      <w:r w:rsidR="00883AE7" w:rsidRPr="00E568C3">
        <w:rPr>
          <w:rFonts w:eastAsia="SimSun"/>
          <w:lang w:eastAsia="zh-CN"/>
        </w:rPr>
        <w:t>Danube (Belgrade</w:t>
      </w:r>
      <w:r w:rsidRPr="00E568C3">
        <w:rPr>
          <w:rFonts w:eastAsia="SimSun"/>
          <w:lang w:eastAsia="zh-CN"/>
        </w:rPr>
        <w:t xml:space="preserve"> en </w:t>
      </w:r>
      <w:r w:rsidR="00883AE7" w:rsidRPr="00E568C3">
        <w:rPr>
          <w:rFonts w:eastAsia="SimSun"/>
          <w:lang w:eastAsia="zh-CN"/>
        </w:rPr>
        <w:t xml:space="preserve">2014 </w:t>
      </w:r>
      <w:r w:rsidRPr="00E568C3">
        <w:rPr>
          <w:rFonts w:eastAsia="SimSun"/>
          <w:lang w:eastAsia="zh-CN"/>
        </w:rPr>
        <w:t>et</w:t>
      </w:r>
      <w:r w:rsidR="00883AE7" w:rsidRPr="00E568C3">
        <w:rPr>
          <w:rFonts w:eastAsia="SimSun"/>
          <w:lang w:eastAsia="zh-CN"/>
        </w:rPr>
        <w:t xml:space="preserve"> Budapest</w:t>
      </w:r>
      <w:r w:rsidRPr="00E568C3">
        <w:rPr>
          <w:rFonts w:eastAsia="SimSun"/>
          <w:lang w:eastAsia="zh-CN"/>
        </w:rPr>
        <w:t xml:space="preserve"> en </w:t>
      </w:r>
      <w:r w:rsidR="00883AE7" w:rsidRPr="00E568C3">
        <w:rPr>
          <w:rFonts w:eastAsia="SimSun"/>
          <w:lang w:eastAsia="zh-CN"/>
        </w:rPr>
        <w:t>2015)</w:t>
      </w:r>
      <w:r w:rsidR="00883AE7" w:rsidRPr="00E568C3">
        <w:t>.</w:t>
      </w:r>
    </w:p>
    <w:p w:rsidR="00F55AA9" w:rsidRDefault="00FF11B7" w:rsidP="00883AE7">
      <w:pPr>
        <w:pStyle w:val="ONUMFS"/>
      </w:pPr>
      <w:r w:rsidRPr="00E568C3">
        <w:t>De plus</w:t>
      </w:r>
      <w:r w:rsidR="00883AE7" w:rsidRPr="00E568C3">
        <w:t xml:space="preserve">, </w:t>
      </w:r>
      <w:r w:rsidRPr="00E568C3">
        <w:t>par le biais d</w:t>
      </w:r>
      <w:r w:rsidR="001F5EFB" w:rsidRPr="00E568C3">
        <w:t xml:space="preserve">es </w:t>
      </w:r>
      <w:r w:rsidR="00883AE7" w:rsidRPr="00E568C3">
        <w:t>activit</w:t>
      </w:r>
      <w:r w:rsidRPr="00E568C3">
        <w:t>é</w:t>
      </w:r>
      <w:r w:rsidR="00883AE7" w:rsidRPr="00E568C3">
        <w:t xml:space="preserve">s </w:t>
      </w:r>
      <w:r w:rsidRPr="00E568C3">
        <w:t>de</w:t>
      </w:r>
      <w:r w:rsidR="00883AE7" w:rsidRPr="00E568C3">
        <w:t xml:space="preserve"> </w:t>
      </w:r>
      <w:r w:rsidRPr="00E568C3">
        <w:t>r</w:t>
      </w:r>
      <w:r w:rsidR="00883AE7" w:rsidRPr="00E568C3">
        <w:t>elations</w:t>
      </w:r>
      <w:r w:rsidRPr="00E568C3">
        <w:t xml:space="preserve"> extérieures, l</w:t>
      </w:r>
      <w:r w:rsidR="00871730" w:rsidRPr="00E568C3">
        <w:t>’</w:t>
      </w:r>
      <w:r w:rsidRPr="00E568C3">
        <w:t>OMPI a apporté sa</w:t>
      </w:r>
      <w:r w:rsidR="00883AE7" w:rsidRPr="00E568C3">
        <w:t xml:space="preserve"> contribution o</w:t>
      </w:r>
      <w:r w:rsidRPr="00E568C3">
        <w:t>u</w:t>
      </w:r>
      <w:r w:rsidR="00883AE7" w:rsidRPr="00E568C3">
        <w:t xml:space="preserve"> particip</w:t>
      </w:r>
      <w:r w:rsidRPr="00E568C3">
        <w:t>é à de nombreuses réunions</w:t>
      </w:r>
      <w:r w:rsidR="00883AE7" w:rsidRPr="00E568C3">
        <w:t xml:space="preserve"> </w:t>
      </w:r>
      <w:r w:rsidRPr="00E568C3">
        <w:t>d</w:t>
      </w:r>
      <w:r w:rsidR="00871730" w:rsidRPr="00E568C3">
        <w:t>’</w:t>
      </w:r>
      <w:r w:rsidRPr="00E568C3">
        <w:t>autres organisations</w:t>
      </w:r>
      <w:r w:rsidR="00883AE7" w:rsidRPr="00E568C3">
        <w:t xml:space="preserve"> go</w:t>
      </w:r>
      <w:r w:rsidRPr="00E568C3">
        <w:t>u</w:t>
      </w:r>
      <w:r w:rsidR="00883AE7" w:rsidRPr="00E568C3">
        <w:t>vern</w:t>
      </w:r>
      <w:r w:rsidRPr="00E568C3">
        <w:t>e</w:t>
      </w:r>
      <w:r w:rsidR="00883AE7" w:rsidRPr="00E568C3">
        <w:t>mental</w:t>
      </w:r>
      <w:r w:rsidRPr="00E568C3">
        <w:t>es</w:t>
      </w:r>
      <w:r w:rsidR="00883AE7" w:rsidRPr="00E568C3">
        <w:t xml:space="preserve"> </w:t>
      </w:r>
      <w:r w:rsidRPr="00E568C3">
        <w:t>et</w:t>
      </w:r>
      <w:r w:rsidR="00883AE7" w:rsidRPr="00E568C3">
        <w:t xml:space="preserve"> non</w:t>
      </w:r>
      <w:r w:rsidR="004F112E" w:rsidRPr="00E568C3">
        <w:t xml:space="preserve"> </w:t>
      </w:r>
      <w:r w:rsidR="00883AE7" w:rsidRPr="00E568C3">
        <w:t>go</w:t>
      </w:r>
      <w:r w:rsidRPr="00E568C3">
        <w:t>u</w:t>
      </w:r>
      <w:r w:rsidR="00883AE7" w:rsidRPr="00E568C3">
        <w:t>vern</w:t>
      </w:r>
      <w:r w:rsidRPr="00E568C3">
        <w:t>e</w:t>
      </w:r>
      <w:r w:rsidR="00883AE7" w:rsidRPr="00E568C3">
        <w:t>mental</w:t>
      </w:r>
      <w:r w:rsidRPr="00E568C3">
        <w:t>e</w:t>
      </w:r>
      <w:r w:rsidR="00883AE7" w:rsidRPr="00E568C3">
        <w:t>s</w:t>
      </w:r>
      <w:r w:rsidRPr="00E568C3">
        <w:t>, notamment </w:t>
      </w:r>
      <w:r w:rsidR="00883AE7" w:rsidRPr="00E568C3">
        <w:t>:</w:t>
      </w:r>
    </w:p>
    <w:p w:rsidR="00F55AA9" w:rsidRDefault="001F5EFB" w:rsidP="00883AE7">
      <w:pPr>
        <w:pStyle w:val="ONUMFS"/>
        <w:numPr>
          <w:ilvl w:val="0"/>
          <w:numId w:val="14"/>
        </w:numPr>
        <w:ind w:left="1134" w:hanging="567"/>
      </w:pPr>
      <w:r w:rsidRPr="00E568C3">
        <w:t>Manifestation conjointe organisée en marge de la c</w:t>
      </w:r>
      <w:r w:rsidR="00FF11B7" w:rsidRPr="00E568C3">
        <w:t>inquième</w:t>
      </w:r>
      <w:r w:rsidR="008D7E11" w:rsidRPr="00E568C3">
        <w:t> </w:t>
      </w:r>
      <w:r w:rsidR="00FF11B7" w:rsidRPr="00E568C3">
        <w:t xml:space="preserve">assemblée </w:t>
      </w:r>
      <w:r w:rsidR="00287EB5" w:rsidRPr="00E568C3">
        <w:t>d</w:t>
      </w:r>
      <w:r w:rsidR="008D7E11" w:rsidRPr="00E568C3">
        <w:t>u Fon</w:t>
      </w:r>
      <w:r w:rsidRPr="00E568C3">
        <w:t>ds pour l</w:t>
      </w:r>
      <w:r w:rsidR="00871730" w:rsidRPr="00E568C3">
        <w:t>’</w:t>
      </w:r>
      <w:r w:rsidRPr="00E568C3">
        <w:t>environnement mondial sur</w:t>
      </w:r>
      <w:r w:rsidR="00287EB5" w:rsidRPr="00E568C3">
        <w:t xml:space="preserve"> le changement climatique et la te</w:t>
      </w:r>
      <w:r w:rsidR="00883AE7" w:rsidRPr="00E568C3">
        <w:t>chnolog</w:t>
      </w:r>
      <w:r w:rsidR="00287EB5" w:rsidRPr="00E568C3">
        <w:t>ie</w:t>
      </w:r>
      <w:r w:rsidR="008D7E11" w:rsidRPr="00E568C3">
        <w:t>, 27 mai </w:t>
      </w:r>
      <w:r w:rsidR="00883AE7" w:rsidRPr="00E568C3">
        <w:t>2014;</w:t>
      </w:r>
    </w:p>
    <w:p w:rsidR="00F55AA9" w:rsidRDefault="008D7E11" w:rsidP="00883AE7">
      <w:pPr>
        <w:pStyle w:val="ONUMFS"/>
        <w:numPr>
          <w:ilvl w:val="0"/>
          <w:numId w:val="14"/>
        </w:numPr>
        <w:ind w:left="1134" w:hanging="567"/>
      </w:pPr>
      <w:r w:rsidRPr="00E568C3">
        <w:t>Vingt</w:t>
      </w:r>
      <w:r w:rsidR="006A3508" w:rsidRPr="00E568C3">
        <w:t> et un</w:t>
      </w:r>
      <w:r w:rsidRPr="00E568C3">
        <w:t>ième </w:t>
      </w:r>
      <w:r w:rsidR="00883AE7" w:rsidRPr="00E568C3">
        <w:t xml:space="preserve">session </w:t>
      </w:r>
      <w:r w:rsidRPr="00E568C3">
        <w:t>du Conseil i</w:t>
      </w:r>
      <w:r w:rsidR="00883AE7" w:rsidRPr="00E568C3">
        <w:t>ntergo</w:t>
      </w:r>
      <w:r w:rsidRPr="00E568C3">
        <w:t>u</w:t>
      </w:r>
      <w:r w:rsidR="00883AE7" w:rsidRPr="00E568C3">
        <w:t>vern</w:t>
      </w:r>
      <w:r w:rsidRPr="00E568C3">
        <w:t>e</w:t>
      </w:r>
      <w:r w:rsidR="00883AE7" w:rsidRPr="00E568C3">
        <w:t xml:space="preserve">mental </w:t>
      </w:r>
      <w:r w:rsidRPr="00E568C3">
        <w:t>du Programme hydrologique i</w:t>
      </w:r>
      <w:r w:rsidR="00883AE7" w:rsidRPr="00E568C3">
        <w:t xml:space="preserve">nternational </w:t>
      </w:r>
      <w:r w:rsidRPr="00E568C3">
        <w:t>(P</w:t>
      </w:r>
      <w:r w:rsidR="00883AE7" w:rsidRPr="00E568C3">
        <w:t>H</w:t>
      </w:r>
      <w:r w:rsidRPr="00E568C3">
        <w:t>I</w:t>
      </w:r>
      <w:r w:rsidR="00883AE7" w:rsidRPr="00E568C3">
        <w:t xml:space="preserve">), UNESCO, Paris, </w:t>
      </w:r>
      <w:r w:rsidRPr="00E568C3">
        <w:t>18</w:t>
      </w:r>
      <w:r w:rsidR="00871730" w:rsidRPr="00E568C3">
        <w:t xml:space="preserve"> – </w:t>
      </w:r>
      <w:r w:rsidRPr="00E568C3">
        <w:t>20 juin </w:t>
      </w:r>
      <w:r w:rsidR="00883AE7" w:rsidRPr="00E568C3">
        <w:t>2014;</w:t>
      </w:r>
    </w:p>
    <w:p w:rsidR="00F55AA9" w:rsidRDefault="008D7E11" w:rsidP="008D7E11">
      <w:pPr>
        <w:pStyle w:val="ONUMFS"/>
        <w:numPr>
          <w:ilvl w:val="0"/>
          <w:numId w:val="14"/>
        </w:numPr>
        <w:tabs>
          <w:tab w:val="left" w:pos="567"/>
        </w:tabs>
        <w:ind w:left="1134" w:hanging="567"/>
      </w:pPr>
      <w:r w:rsidRPr="00E568C3">
        <w:t>Troisième conférence internationale</w:t>
      </w:r>
      <w:r w:rsidR="00883AE7" w:rsidRPr="00E568C3">
        <w:t xml:space="preserve"> </w:t>
      </w:r>
      <w:r w:rsidRPr="00E568C3">
        <w:t>sur les ressources en eau et la gestion de l</w:t>
      </w:r>
      <w:r w:rsidR="00871730" w:rsidRPr="00E568C3">
        <w:t>’</w:t>
      </w:r>
      <w:r w:rsidRPr="00E568C3">
        <w:t>environnement</w:t>
      </w:r>
      <w:r w:rsidR="00883AE7" w:rsidRPr="00E568C3">
        <w:t xml:space="preserve"> (ICWRE</w:t>
      </w:r>
      <w:r w:rsidR="006A3508" w:rsidRPr="00E568C3">
        <w:noBreakHyphen/>
      </w:r>
      <w:r w:rsidR="00883AE7" w:rsidRPr="00E568C3">
        <w:t xml:space="preserve">2014), Antalya, </w:t>
      </w:r>
      <w:r w:rsidRPr="00E568C3">
        <w:t>13</w:t>
      </w:r>
      <w:r w:rsidR="00871730" w:rsidRPr="00E568C3">
        <w:t xml:space="preserve"> – </w:t>
      </w:r>
      <w:r w:rsidRPr="00E568C3">
        <w:t>15 mai </w:t>
      </w:r>
      <w:r w:rsidR="00883AE7" w:rsidRPr="00E568C3">
        <w:t>2014;</w:t>
      </w:r>
    </w:p>
    <w:p w:rsidR="00F55AA9" w:rsidRDefault="000B0A2B" w:rsidP="00883AE7">
      <w:pPr>
        <w:pStyle w:val="ONUMFS"/>
        <w:numPr>
          <w:ilvl w:val="0"/>
          <w:numId w:val="14"/>
        </w:numPr>
        <w:ind w:left="1134" w:hanging="567"/>
      </w:pPr>
      <w:r w:rsidRPr="00E568C3">
        <w:t>Réunion</w:t>
      </w:r>
      <w:r w:rsidR="008D7E11" w:rsidRPr="00E568C3">
        <w:t xml:space="preserve"> organisé</w:t>
      </w:r>
      <w:r w:rsidRPr="00E568C3">
        <w:t>e</w:t>
      </w:r>
      <w:r w:rsidR="008D7E11" w:rsidRPr="00E568C3">
        <w:t xml:space="preserve"> par l</w:t>
      </w:r>
      <w:r w:rsidR="00871730" w:rsidRPr="00E568C3">
        <w:t>’</w:t>
      </w:r>
      <w:r w:rsidR="008D7E11" w:rsidRPr="00E568C3">
        <w:t>OMPI et</w:t>
      </w:r>
      <w:r w:rsidR="00871730" w:rsidRPr="00E568C3">
        <w:t xml:space="preserve"> le PHI</w:t>
      </w:r>
      <w:r w:rsidR="00883AE7" w:rsidRPr="00E568C3">
        <w:t xml:space="preserve"> UNESCO </w:t>
      </w:r>
      <w:r w:rsidR="008D7E11" w:rsidRPr="00E568C3">
        <w:t>en marge de la</w:t>
      </w:r>
      <w:r w:rsidR="00883AE7" w:rsidRPr="00E568C3">
        <w:t xml:space="preserve"> </w:t>
      </w:r>
      <w:r w:rsidR="008D7E11" w:rsidRPr="00E568C3">
        <w:rPr>
          <w:i/>
          <w:iCs/>
        </w:rPr>
        <w:t>Semaine mondiale de l</w:t>
      </w:r>
      <w:r w:rsidR="00871730" w:rsidRPr="00E568C3">
        <w:rPr>
          <w:i/>
          <w:iCs/>
        </w:rPr>
        <w:t>’</w:t>
      </w:r>
      <w:r w:rsidR="008D7E11" w:rsidRPr="00E568C3">
        <w:rPr>
          <w:i/>
          <w:iCs/>
        </w:rPr>
        <w:t>eau</w:t>
      </w:r>
      <w:r w:rsidR="00883AE7" w:rsidRPr="00E568C3">
        <w:t xml:space="preserve">, Stockholm, </w:t>
      </w:r>
      <w:r w:rsidR="008D7E11" w:rsidRPr="00E568C3">
        <w:t>31 août</w:t>
      </w:r>
      <w:r w:rsidR="00871730" w:rsidRPr="00E568C3">
        <w:t xml:space="preserve"> – </w:t>
      </w:r>
      <w:r w:rsidR="008D7E11" w:rsidRPr="00E568C3">
        <w:t>6 s</w:t>
      </w:r>
      <w:r w:rsidR="00883AE7" w:rsidRPr="00E568C3">
        <w:t>eptembr</w:t>
      </w:r>
      <w:r w:rsidR="008D7E11" w:rsidRPr="00E568C3">
        <w:t>e </w:t>
      </w:r>
      <w:r w:rsidR="00883AE7" w:rsidRPr="00E568C3">
        <w:t>2014;</w:t>
      </w:r>
    </w:p>
    <w:p w:rsidR="00F55AA9" w:rsidRDefault="004F112E" w:rsidP="00883AE7">
      <w:pPr>
        <w:pStyle w:val="ONUMFS"/>
        <w:numPr>
          <w:ilvl w:val="0"/>
          <w:numId w:val="14"/>
        </w:numPr>
        <w:ind w:left="1134" w:hanging="567"/>
      </w:pPr>
      <w:r w:rsidRPr="00E568C3">
        <w:t>É</w:t>
      </w:r>
      <w:r w:rsidR="006C4261" w:rsidRPr="00E568C3">
        <w:t>vénement de la Convention de Bâle organisé conjointement par l</w:t>
      </w:r>
      <w:r w:rsidR="00871730" w:rsidRPr="00E568C3">
        <w:t>’</w:t>
      </w:r>
      <w:r w:rsidR="00883AE7" w:rsidRPr="00E568C3">
        <w:t>UNU</w:t>
      </w:r>
      <w:r w:rsidR="006C4261" w:rsidRPr="00E568C3">
        <w:t>, l</w:t>
      </w:r>
      <w:r w:rsidR="00871730" w:rsidRPr="00E568C3">
        <w:t>’</w:t>
      </w:r>
      <w:r w:rsidR="00883AE7" w:rsidRPr="00E568C3">
        <w:t>U</w:t>
      </w:r>
      <w:r w:rsidR="006C4261" w:rsidRPr="00E568C3">
        <w:t>IT, l</w:t>
      </w:r>
      <w:r w:rsidR="00871730" w:rsidRPr="00E568C3">
        <w:t>’</w:t>
      </w:r>
      <w:r w:rsidR="006C4261" w:rsidRPr="00E568C3">
        <w:t>ONU</w:t>
      </w:r>
      <w:r w:rsidR="00883AE7" w:rsidRPr="00E568C3">
        <w:t>D</w:t>
      </w:r>
      <w:r w:rsidR="006C4261" w:rsidRPr="00E568C3">
        <w:t>I,</w:t>
      </w:r>
      <w:r w:rsidR="00871730" w:rsidRPr="00E568C3">
        <w:t xml:space="preserve"> la CEP</w:t>
      </w:r>
      <w:r w:rsidR="006C4261" w:rsidRPr="00E568C3">
        <w:t>A</w:t>
      </w:r>
      <w:r w:rsidR="00883AE7" w:rsidRPr="00E568C3">
        <w:t>LC</w:t>
      </w:r>
      <w:r w:rsidR="006C4261" w:rsidRPr="00E568C3">
        <w:t>, l</w:t>
      </w:r>
      <w:r w:rsidR="00871730" w:rsidRPr="00E568C3">
        <w:t>’</w:t>
      </w:r>
      <w:r w:rsidR="006C4261" w:rsidRPr="00E568C3">
        <w:t>OMPI et</w:t>
      </w:r>
      <w:r w:rsidR="00871730" w:rsidRPr="00E568C3">
        <w:t xml:space="preserve"> le PNU</w:t>
      </w:r>
      <w:r w:rsidR="006C4261" w:rsidRPr="00E568C3">
        <w:t>E</w:t>
      </w:r>
      <w:r w:rsidR="001F5EFB" w:rsidRPr="00E568C3">
        <w:t>,</w:t>
      </w:r>
      <w:r w:rsidR="00883AE7" w:rsidRPr="00E568C3">
        <w:t xml:space="preserve"> </w:t>
      </w:r>
      <w:r w:rsidR="008717AF" w:rsidRPr="00E568C3">
        <w:t>sur le thème</w:t>
      </w:r>
      <w:r w:rsidR="00883AE7" w:rsidRPr="00E568C3">
        <w:t xml:space="preserve"> </w:t>
      </w:r>
      <w:r w:rsidR="001F5EFB" w:rsidRPr="00E568C3">
        <w:rPr>
          <w:rFonts w:eastAsia="SimSun"/>
          <w:lang w:eastAsia="zh-CN"/>
        </w:rPr>
        <w:t>“</w:t>
      </w:r>
      <w:r w:rsidR="008717AF" w:rsidRPr="00E568C3">
        <w:rPr>
          <w:rFonts w:eastAsia="SimSun"/>
          <w:lang w:eastAsia="zh-CN"/>
        </w:rPr>
        <w:t>P</w:t>
      </w:r>
      <w:r w:rsidR="00876829" w:rsidRPr="00E568C3">
        <w:rPr>
          <w:rFonts w:eastAsia="SimSun"/>
          <w:lang w:eastAsia="zh-CN"/>
        </w:rPr>
        <w:t>remier mécanisme de suivi des déchets électroniques</w:t>
      </w:r>
      <w:r w:rsidR="008717AF" w:rsidRPr="00E568C3">
        <w:rPr>
          <w:rFonts w:eastAsia="SimSun"/>
          <w:lang w:eastAsia="zh-CN"/>
        </w:rPr>
        <w:t xml:space="preserve"> et la </w:t>
      </w:r>
      <w:r w:rsidR="00876829" w:rsidRPr="00E568C3">
        <w:rPr>
          <w:rFonts w:eastAsia="SimSun"/>
          <w:lang w:eastAsia="zh-CN"/>
        </w:rPr>
        <w:t>situation particulière de l</w:t>
      </w:r>
      <w:r w:rsidR="00871730" w:rsidRPr="00E568C3">
        <w:rPr>
          <w:rFonts w:eastAsia="SimSun"/>
          <w:lang w:eastAsia="zh-CN"/>
        </w:rPr>
        <w:t>’</w:t>
      </w:r>
      <w:r w:rsidR="00876829" w:rsidRPr="00E568C3">
        <w:rPr>
          <w:rFonts w:eastAsia="SimSun"/>
          <w:lang w:eastAsia="zh-CN"/>
        </w:rPr>
        <w:t>Amérique latine</w:t>
      </w:r>
      <w:r w:rsidR="001F5EFB" w:rsidRPr="00E568C3">
        <w:t xml:space="preserve">”, </w:t>
      </w:r>
      <w:r w:rsidR="006C4261" w:rsidRPr="00E568C3">
        <w:t xml:space="preserve">tenu à </w:t>
      </w:r>
      <w:r w:rsidR="00883AE7" w:rsidRPr="00E568C3">
        <w:t>Gen</w:t>
      </w:r>
      <w:r w:rsidR="006C4261" w:rsidRPr="00E568C3">
        <w:t>ève le 11 m</w:t>
      </w:r>
      <w:r w:rsidR="00883AE7" w:rsidRPr="00E568C3">
        <w:t>a</w:t>
      </w:r>
      <w:r w:rsidR="006C4261" w:rsidRPr="00E568C3">
        <w:t>i</w:t>
      </w:r>
      <w:r w:rsidR="00883AE7" w:rsidRPr="00E568C3">
        <w:t> 2015</w:t>
      </w:r>
      <w:r w:rsidR="00A64E2E" w:rsidRPr="00E568C3">
        <w:t xml:space="preserve"> dans le cadre d</w:t>
      </w:r>
      <w:r w:rsidR="006C4261" w:rsidRPr="00E568C3">
        <w:t>es réunions</w:t>
      </w:r>
      <w:r w:rsidR="00883AE7" w:rsidRPr="00E568C3">
        <w:t xml:space="preserve"> </w:t>
      </w:r>
      <w:r w:rsidR="006C4261" w:rsidRPr="00E568C3">
        <w:t>des</w:t>
      </w:r>
      <w:r w:rsidR="00883AE7" w:rsidRPr="00E568C3">
        <w:t xml:space="preserve"> Conf</w:t>
      </w:r>
      <w:r w:rsidR="006C4261" w:rsidRPr="00E568C3">
        <w:t>é</w:t>
      </w:r>
      <w:r w:rsidR="00883AE7" w:rsidRPr="00E568C3">
        <w:t xml:space="preserve">rences </w:t>
      </w:r>
      <w:r w:rsidR="006C4261" w:rsidRPr="00E568C3">
        <w:t>des</w:t>
      </w:r>
      <w:r w:rsidR="00883AE7" w:rsidRPr="00E568C3">
        <w:t xml:space="preserve"> </w:t>
      </w:r>
      <w:r w:rsidR="00A64E2E" w:rsidRPr="00E568C3">
        <w:t>P</w:t>
      </w:r>
      <w:r w:rsidR="00883AE7" w:rsidRPr="00E568C3">
        <w:t xml:space="preserve">arties </w:t>
      </w:r>
      <w:r w:rsidR="006C4261" w:rsidRPr="00E568C3">
        <w:t>aux Conventions de</w:t>
      </w:r>
      <w:r w:rsidR="00883AE7" w:rsidRPr="00E568C3">
        <w:t xml:space="preserve"> B</w:t>
      </w:r>
      <w:r w:rsidR="006C4261" w:rsidRPr="00E568C3">
        <w:t>âle</w:t>
      </w:r>
      <w:r w:rsidR="00883AE7" w:rsidRPr="00E568C3">
        <w:t xml:space="preserve">, </w:t>
      </w:r>
      <w:r w:rsidR="00A64E2E" w:rsidRPr="00E568C3">
        <w:t xml:space="preserve">de </w:t>
      </w:r>
      <w:r w:rsidR="00883AE7" w:rsidRPr="00E568C3">
        <w:t xml:space="preserve">Rotterdam </w:t>
      </w:r>
      <w:r w:rsidR="006C4261" w:rsidRPr="00E568C3">
        <w:t>et</w:t>
      </w:r>
      <w:r w:rsidR="00A64E2E" w:rsidRPr="00E568C3">
        <w:t xml:space="preserve"> de Stockholm </w:t>
      </w:r>
      <w:r w:rsidR="00883AE7" w:rsidRPr="00E568C3">
        <w:t>(BC</w:t>
      </w:r>
      <w:r w:rsidR="00876829" w:rsidRPr="00E568C3">
        <w:t> </w:t>
      </w:r>
      <w:r w:rsidR="00883AE7" w:rsidRPr="00E568C3">
        <w:t>COP12, RC</w:t>
      </w:r>
      <w:r w:rsidR="00876829" w:rsidRPr="00E568C3">
        <w:t> </w:t>
      </w:r>
      <w:r w:rsidR="00883AE7" w:rsidRPr="00E568C3">
        <w:t>COP7, SC</w:t>
      </w:r>
      <w:r w:rsidR="00876829" w:rsidRPr="00E568C3">
        <w:t> </w:t>
      </w:r>
      <w:r w:rsidR="00883AE7" w:rsidRPr="00E568C3">
        <w:t>COP7).</w:t>
      </w:r>
    </w:p>
    <w:p w:rsidR="00F55AA9" w:rsidRDefault="000B0A2B" w:rsidP="00883AE7">
      <w:pPr>
        <w:pStyle w:val="ONUMFS"/>
        <w:numPr>
          <w:ilvl w:val="0"/>
          <w:numId w:val="14"/>
        </w:numPr>
        <w:ind w:left="1134" w:hanging="567"/>
      </w:pPr>
      <w:r w:rsidRPr="00E568C3">
        <w:t>R</w:t>
      </w:r>
      <w:r w:rsidR="00A64E2E" w:rsidRPr="00E568C3">
        <w:t>é</w:t>
      </w:r>
      <w:r w:rsidRPr="00E568C3">
        <w:t>u</w:t>
      </w:r>
      <w:r w:rsidR="00A64E2E" w:rsidRPr="00E568C3">
        <w:t>n</w:t>
      </w:r>
      <w:r w:rsidRPr="00E568C3">
        <w:t>io</w:t>
      </w:r>
      <w:r w:rsidR="00A64E2E" w:rsidRPr="00E568C3">
        <w:t>n de l</w:t>
      </w:r>
      <w:r w:rsidR="00871730" w:rsidRPr="00E568C3">
        <w:t>’</w:t>
      </w:r>
      <w:r w:rsidR="00A64E2E" w:rsidRPr="00E568C3">
        <w:t>OMPI organisé</w:t>
      </w:r>
      <w:r w:rsidRPr="00E568C3">
        <w:t>e</w:t>
      </w:r>
      <w:r w:rsidR="00A64E2E" w:rsidRPr="00E568C3">
        <w:t xml:space="preserve"> en marge de la Conférence sur le changement climatique de</w:t>
      </w:r>
      <w:r w:rsidR="00871730" w:rsidRPr="00E568C3">
        <w:t xml:space="preserve"> la CCN</w:t>
      </w:r>
      <w:r w:rsidR="00A64E2E" w:rsidRPr="00E568C3">
        <w:t xml:space="preserve">UCC </w:t>
      </w:r>
      <w:r w:rsidR="001F5EFB" w:rsidRPr="00E568C3">
        <w:t xml:space="preserve">à Bonn, </w:t>
      </w:r>
      <w:r w:rsidRPr="00E568C3">
        <w:t xml:space="preserve">sur le thème </w:t>
      </w:r>
      <w:r w:rsidRPr="00E568C3">
        <w:rPr>
          <w:rFonts w:eastAsia="SimSun"/>
          <w:lang w:eastAsia="zh-CN"/>
        </w:rPr>
        <w:t>“</w:t>
      </w:r>
      <w:r w:rsidR="00883AE7" w:rsidRPr="00E568C3">
        <w:t>Poli</w:t>
      </w:r>
      <w:r w:rsidR="008D6820" w:rsidRPr="00E568C3">
        <w:t>t</w:t>
      </w:r>
      <w:r w:rsidR="00883AE7" w:rsidRPr="00E568C3">
        <w:t>i</w:t>
      </w:r>
      <w:r w:rsidR="008D6820" w:rsidRPr="00E568C3">
        <w:t>qu</w:t>
      </w:r>
      <w:r w:rsidR="00883AE7" w:rsidRPr="00E568C3">
        <w:t xml:space="preserve">es </w:t>
      </w:r>
      <w:r w:rsidR="008D6820" w:rsidRPr="00E568C3">
        <w:t>et éléments à l</w:t>
      </w:r>
      <w:r w:rsidR="00871730" w:rsidRPr="00E568C3">
        <w:t>’</w:t>
      </w:r>
      <w:r w:rsidR="008D6820" w:rsidRPr="00E568C3">
        <w:t>appui du changement climatique, du transfert de t</w:t>
      </w:r>
      <w:r w:rsidR="00883AE7" w:rsidRPr="00E568C3">
        <w:t>echnolog</w:t>
      </w:r>
      <w:r w:rsidR="008D6820" w:rsidRPr="00E568C3">
        <w:t>ie et de l</w:t>
      </w:r>
      <w:r w:rsidR="00871730" w:rsidRPr="00E568C3">
        <w:t>’</w:t>
      </w:r>
      <w:r w:rsidR="008D6820" w:rsidRPr="00E568C3">
        <w:t>i</w:t>
      </w:r>
      <w:r w:rsidR="00883AE7" w:rsidRPr="00E568C3">
        <w:t>nnovation</w:t>
      </w:r>
      <w:r w:rsidRPr="00E568C3">
        <w:t>”</w:t>
      </w:r>
      <w:r w:rsidR="00DC57EC" w:rsidRPr="00E568C3">
        <w:t>, 8 juin </w:t>
      </w:r>
      <w:r w:rsidR="00883AE7" w:rsidRPr="00E568C3">
        <w:t>2015;</w:t>
      </w:r>
    </w:p>
    <w:p w:rsidR="00F55AA9" w:rsidRDefault="005B11E6" w:rsidP="00883AE7">
      <w:pPr>
        <w:pStyle w:val="ONUMFS"/>
        <w:numPr>
          <w:ilvl w:val="0"/>
          <w:numId w:val="14"/>
        </w:numPr>
        <w:ind w:left="1134" w:hanging="567"/>
      </w:pPr>
      <w:r w:rsidRPr="00E568C3">
        <w:t>P</w:t>
      </w:r>
      <w:r w:rsidR="00883AE7" w:rsidRPr="00E568C3">
        <w:t xml:space="preserve">articipation </w:t>
      </w:r>
      <w:r w:rsidRPr="00E568C3">
        <w:t>de l</w:t>
      </w:r>
      <w:r w:rsidR="00871730" w:rsidRPr="00E568C3">
        <w:t>’</w:t>
      </w:r>
      <w:r w:rsidRPr="00E568C3">
        <w:t>OMPI à l</w:t>
      </w:r>
      <w:r w:rsidR="00871730" w:rsidRPr="00E568C3">
        <w:t>’</w:t>
      </w:r>
      <w:r w:rsidRPr="00E568C3">
        <w:t>événement de l</w:t>
      </w:r>
      <w:r w:rsidR="00871730" w:rsidRPr="00E568C3">
        <w:t>’</w:t>
      </w:r>
      <w:r w:rsidR="00883AE7" w:rsidRPr="00E568C3">
        <w:t xml:space="preserve">IRENA </w:t>
      </w:r>
      <w:r w:rsidRPr="00E568C3">
        <w:t>organisé en marge de la Conférence sur le changement climatique de</w:t>
      </w:r>
      <w:r w:rsidR="00871730" w:rsidRPr="00E568C3">
        <w:t xml:space="preserve"> la CCN</w:t>
      </w:r>
      <w:r w:rsidRPr="00E568C3">
        <w:t xml:space="preserve">UCC </w:t>
      </w:r>
      <w:r w:rsidR="000B0A2B" w:rsidRPr="00E568C3">
        <w:t xml:space="preserve">à Bonn </w:t>
      </w:r>
      <w:r w:rsidRPr="00E568C3">
        <w:t>sur l</w:t>
      </w:r>
      <w:r w:rsidR="00871730" w:rsidRPr="00E568C3">
        <w:t>’</w:t>
      </w:r>
      <w:r w:rsidRPr="00E568C3">
        <w:t xml:space="preserve">outil interactif sur le Web </w:t>
      </w:r>
      <w:r w:rsidR="00BA1ADA" w:rsidRPr="00E568C3">
        <w:t>élaboré par</w:t>
      </w:r>
      <w:r w:rsidRPr="00E568C3">
        <w:t xml:space="preserve"> l</w:t>
      </w:r>
      <w:r w:rsidR="00871730" w:rsidRPr="00E568C3">
        <w:t>’</w:t>
      </w:r>
      <w:r w:rsidRPr="00E568C3">
        <w:t>IRENA sur les normes et brevets internationaux dans le domaine des énergies renouvelables, 5 juin </w:t>
      </w:r>
      <w:r w:rsidR="00883AE7" w:rsidRPr="00E568C3">
        <w:t>2015;</w:t>
      </w:r>
    </w:p>
    <w:p w:rsidR="00F55AA9" w:rsidRDefault="005B11E6" w:rsidP="00883AE7">
      <w:pPr>
        <w:pStyle w:val="ONUMFS"/>
        <w:numPr>
          <w:ilvl w:val="0"/>
          <w:numId w:val="14"/>
        </w:numPr>
        <w:ind w:left="1134" w:hanging="567"/>
      </w:pPr>
      <w:r w:rsidRPr="00E568C3">
        <w:t>P</w:t>
      </w:r>
      <w:r w:rsidR="00883AE7" w:rsidRPr="00E568C3">
        <w:t xml:space="preserve">articipation </w:t>
      </w:r>
      <w:r w:rsidRPr="00E568C3">
        <w:t>de l</w:t>
      </w:r>
      <w:r w:rsidR="00871730" w:rsidRPr="00E568C3">
        <w:t>’</w:t>
      </w:r>
      <w:r w:rsidRPr="00E568C3">
        <w:t>OMPI à l</w:t>
      </w:r>
      <w:r w:rsidR="00871730" w:rsidRPr="00E568C3">
        <w:t>’</w:t>
      </w:r>
      <w:r w:rsidRPr="00E568C3">
        <w:t xml:space="preserve">atelier sur le </w:t>
      </w:r>
      <w:r w:rsidR="00883AE7" w:rsidRPr="00E568C3">
        <w:t>“</w:t>
      </w:r>
      <w:r w:rsidRPr="00E568C3">
        <w:t>Renforcement des systèmes</w:t>
      </w:r>
      <w:r w:rsidR="00883AE7" w:rsidRPr="00E568C3">
        <w:t xml:space="preserve"> nationa</w:t>
      </w:r>
      <w:r w:rsidRPr="00E568C3">
        <w:t>ux d</w:t>
      </w:r>
      <w:r w:rsidR="00871730" w:rsidRPr="00E568C3">
        <w:t>’</w:t>
      </w:r>
      <w:r w:rsidR="00883AE7" w:rsidRPr="00E568C3">
        <w:t xml:space="preserve">innovation </w:t>
      </w:r>
      <w:r w:rsidRPr="00E568C3">
        <w:t>dans les pays en développement</w:t>
      </w:r>
      <w:r w:rsidR="00883AE7" w:rsidRPr="00E568C3">
        <w:t>, co</w:t>
      </w:r>
      <w:r w:rsidRPr="00E568C3">
        <w:t>u</w:t>
      </w:r>
      <w:r w:rsidR="00883AE7" w:rsidRPr="00E568C3">
        <w:t>v</w:t>
      </w:r>
      <w:r w:rsidRPr="00E568C3">
        <w:t xml:space="preserve">rant </w:t>
      </w:r>
      <w:r w:rsidR="00BA1ADA" w:rsidRPr="00E568C3">
        <w:t>tout le</w:t>
      </w:r>
      <w:r w:rsidRPr="00E568C3">
        <w:t xml:space="preserve"> cycle </w:t>
      </w:r>
      <w:r w:rsidR="00883AE7" w:rsidRPr="00E568C3">
        <w:t>technolog</w:t>
      </w:r>
      <w:r w:rsidRPr="00E568C3">
        <w:t>i</w:t>
      </w:r>
      <w:r w:rsidR="00BA1ADA" w:rsidRPr="00E568C3">
        <w:t>qu</w:t>
      </w:r>
      <w:r w:rsidRPr="00E568C3">
        <w:t xml:space="preserve">e </w:t>
      </w:r>
      <w:r w:rsidR="00BA1ADA" w:rsidRPr="00E568C3">
        <w:t>concernant</w:t>
      </w:r>
      <w:r w:rsidRPr="00E568C3">
        <w:t xml:space="preserve"> les </w:t>
      </w:r>
      <w:r w:rsidR="00883AE7" w:rsidRPr="00E568C3">
        <w:t>technolog</w:t>
      </w:r>
      <w:r w:rsidRPr="00E568C3">
        <w:t>ies climatiques</w:t>
      </w:r>
      <w:r w:rsidR="00883AE7" w:rsidRPr="00E568C3">
        <w:t xml:space="preserve">” </w:t>
      </w:r>
      <w:r w:rsidRPr="00E568C3">
        <w:t>–</w:t>
      </w:r>
      <w:r w:rsidR="00883AE7" w:rsidRPr="00E568C3">
        <w:t xml:space="preserve"> </w:t>
      </w:r>
      <w:r w:rsidRPr="00E568C3">
        <w:t>Atelier CC</w:t>
      </w:r>
      <w:r w:rsidR="00883AE7" w:rsidRPr="00E568C3">
        <w:t>N</w:t>
      </w:r>
      <w:r w:rsidRPr="00E568C3">
        <w:t>U</w:t>
      </w:r>
      <w:r w:rsidR="00883AE7" w:rsidRPr="00E568C3">
        <w:t>CC</w:t>
      </w:r>
      <w:r w:rsidR="00BA1ADA" w:rsidRPr="00E568C3">
        <w:t> </w:t>
      </w:r>
      <w:r w:rsidR="00883AE7" w:rsidRPr="00E568C3">
        <w:t xml:space="preserve">TEC, </w:t>
      </w:r>
      <w:r w:rsidR="009E3AC9">
        <w:br/>
      </w:r>
      <w:r w:rsidRPr="00E568C3">
        <w:t>13</w:t>
      </w:r>
      <w:r w:rsidR="00871730" w:rsidRPr="00E568C3">
        <w:t xml:space="preserve"> – </w:t>
      </w:r>
      <w:r w:rsidRPr="00E568C3">
        <w:t>14 o</w:t>
      </w:r>
      <w:r w:rsidR="00883AE7" w:rsidRPr="00E568C3">
        <w:t>ctobr</w:t>
      </w:r>
      <w:r w:rsidRPr="00E568C3">
        <w:t>e </w:t>
      </w:r>
      <w:r w:rsidR="00883AE7" w:rsidRPr="00E568C3">
        <w:t>2014;</w:t>
      </w:r>
    </w:p>
    <w:p w:rsidR="00F55AA9" w:rsidRDefault="00AB22EE" w:rsidP="00883AE7">
      <w:pPr>
        <w:pStyle w:val="ONUMFS"/>
        <w:numPr>
          <w:ilvl w:val="0"/>
          <w:numId w:val="14"/>
        </w:numPr>
        <w:ind w:left="1134" w:hanging="567"/>
      </w:pPr>
      <w:r w:rsidRPr="00E568C3">
        <w:lastRenderedPageBreak/>
        <w:t>Événement organisé conjointement par l</w:t>
      </w:r>
      <w:r w:rsidR="00871730" w:rsidRPr="00E568C3">
        <w:t>’</w:t>
      </w:r>
      <w:r w:rsidRPr="00E568C3">
        <w:t>OMPI et l</w:t>
      </w:r>
      <w:r w:rsidR="00871730" w:rsidRPr="00E568C3">
        <w:t>’</w:t>
      </w:r>
      <w:r w:rsidRPr="00E568C3">
        <w:t>IRENA en marge de la Conférence sur le changement climatique de</w:t>
      </w:r>
      <w:r w:rsidR="00871730" w:rsidRPr="00E568C3">
        <w:t xml:space="preserve"> la CCN</w:t>
      </w:r>
      <w:r w:rsidRPr="00E568C3">
        <w:t xml:space="preserve">UCC </w:t>
      </w:r>
      <w:r w:rsidR="008D6820" w:rsidRPr="00E568C3">
        <w:t xml:space="preserve">à Bonn </w:t>
      </w:r>
      <w:r w:rsidRPr="00E568C3">
        <w:t xml:space="preserve">sur </w:t>
      </w:r>
      <w:r w:rsidR="008D6820" w:rsidRPr="00E568C3">
        <w:t xml:space="preserve">le thème </w:t>
      </w:r>
      <w:r w:rsidR="00876829" w:rsidRPr="00E568C3">
        <w:rPr>
          <w:rFonts w:eastAsia="SimSun"/>
          <w:lang w:eastAsia="zh-CN"/>
        </w:rPr>
        <w:t>“T</w:t>
      </w:r>
      <w:r w:rsidRPr="00E568C3">
        <w:t>echnologies relatives aux énergies renouvelables </w:t>
      </w:r>
      <w:r w:rsidR="00883AE7" w:rsidRPr="00E568C3">
        <w:t xml:space="preserve">: </w:t>
      </w:r>
      <w:r w:rsidRPr="00E568C3">
        <w:t>tendances t</w:t>
      </w:r>
      <w:r w:rsidR="00883AE7" w:rsidRPr="00E568C3">
        <w:t>echnolog</w:t>
      </w:r>
      <w:r w:rsidRPr="00E568C3">
        <w:t>iques, brevets et i</w:t>
      </w:r>
      <w:r w:rsidR="00876829" w:rsidRPr="00E568C3">
        <w:t xml:space="preserve">ncidences </w:t>
      </w:r>
      <w:r w:rsidRPr="00E568C3">
        <w:t>politique</w:t>
      </w:r>
      <w:r w:rsidR="00876829" w:rsidRPr="00E568C3">
        <w:t>s”</w:t>
      </w:r>
      <w:r w:rsidRPr="00E568C3">
        <w:t>, 13 juin </w:t>
      </w:r>
      <w:r w:rsidR="00883AE7" w:rsidRPr="00E568C3">
        <w:t>2014.</w:t>
      </w:r>
    </w:p>
    <w:p w:rsidR="00F55AA9" w:rsidRDefault="00883AE7" w:rsidP="00883AE7">
      <w:pPr>
        <w:pStyle w:val="Heading2"/>
      </w:pPr>
      <w:r w:rsidRPr="00E568C3">
        <w:t>X.</w:t>
      </w:r>
      <w:r w:rsidRPr="00E568C3">
        <w:tab/>
      </w:r>
      <w:r w:rsidR="00AB22EE" w:rsidRPr="00E568C3">
        <w:t>recherche é</w:t>
      </w:r>
      <w:r w:rsidRPr="00E568C3">
        <w:t>conomi</w:t>
      </w:r>
      <w:r w:rsidR="00AB22EE" w:rsidRPr="00E568C3">
        <w:t>que et é</w:t>
      </w:r>
      <w:r w:rsidRPr="00E568C3">
        <w:t xml:space="preserve">tudes </w:t>
      </w:r>
      <w:r w:rsidR="00AB22EE" w:rsidRPr="00E568C3">
        <w:t>sur les</w:t>
      </w:r>
      <w:r w:rsidRPr="00E568C3">
        <w:t xml:space="preserve"> Poli</w:t>
      </w:r>
      <w:r w:rsidR="00AB22EE" w:rsidRPr="00E568C3">
        <w:t>t</w:t>
      </w:r>
      <w:r w:rsidRPr="00E568C3">
        <w:t>i</w:t>
      </w:r>
      <w:r w:rsidR="00AB22EE" w:rsidRPr="00E568C3">
        <w:t>que</w:t>
      </w:r>
      <w:r w:rsidRPr="00E568C3">
        <w:t xml:space="preserve">s </w:t>
      </w:r>
      <w:r w:rsidR="00AB22EE" w:rsidRPr="00E568C3">
        <w:t xml:space="preserve">et les résultats en matière de transfert </w:t>
      </w:r>
      <w:r w:rsidRPr="00E568C3">
        <w:t>de Technolog</w:t>
      </w:r>
      <w:r w:rsidR="00AB22EE" w:rsidRPr="00E568C3">
        <w:t>i</w:t>
      </w:r>
      <w:r w:rsidRPr="00E568C3">
        <w:t>e</w:t>
      </w:r>
    </w:p>
    <w:p w:rsidR="00F55AA9" w:rsidRDefault="00F55AA9" w:rsidP="00883AE7">
      <w:pPr>
        <w:rPr>
          <w:b/>
          <w:szCs w:val="22"/>
        </w:rPr>
      </w:pPr>
    </w:p>
    <w:p w:rsidR="00F55AA9" w:rsidRDefault="00AB22EE" w:rsidP="006A3508">
      <w:pPr>
        <w:pStyle w:val="ONUMFS"/>
        <w:spacing w:after="0"/>
        <w:rPr>
          <w:sz w:val="20"/>
        </w:rPr>
      </w:pPr>
      <w:r w:rsidRPr="00E568C3">
        <w:t>Dans le cadre de ses publications é</w:t>
      </w:r>
      <w:r w:rsidR="00883AE7" w:rsidRPr="00E568C3">
        <w:t>conomi</w:t>
      </w:r>
      <w:r w:rsidR="00AE57B6" w:rsidRPr="00E568C3">
        <w:t>ques phare comme l</w:t>
      </w:r>
      <w:r w:rsidR="00871730" w:rsidRPr="00E568C3">
        <w:t>’</w:t>
      </w:r>
      <w:r w:rsidR="00AE57B6" w:rsidRPr="00E568C3">
        <w:t>I</w:t>
      </w:r>
      <w:r w:rsidRPr="00E568C3">
        <w:t>ndice mondial de l</w:t>
      </w:r>
      <w:r w:rsidR="00871730" w:rsidRPr="00E568C3">
        <w:t>’</w:t>
      </w:r>
      <w:r w:rsidRPr="00E568C3">
        <w:t>i</w:t>
      </w:r>
      <w:r w:rsidR="00883AE7" w:rsidRPr="00E568C3">
        <w:t xml:space="preserve">nnovation </w:t>
      </w:r>
      <w:r w:rsidRPr="00E568C3">
        <w:t xml:space="preserve">ou le </w:t>
      </w:r>
      <w:r w:rsidR="00AE57B6" w:rsidRPr="00E568C3">
        <w:t>R</w:t>
      </w:r>
      <w:r w:rsidRPr="00E568C3">
        <w:t>apport sur la propriété intellectuelle dans le monde</w:t>
      </w:r>
      <w:r w:rsidR="00883AE7" w:rsidRPr="00E568C3">
        <w:t xml:space="preserve">, </w:t>
      </w:r>
      <w:r w:rsidRPr="00E568C3">
        <w:t>la Division de l</w:t>
      </w:r>
      <w:r w:rsidR="00871730" w:rsidRPr="00E568C3">
        <w:t>’</w:t>
      </w:r>
      <w:r w:rsidRPr="00E568C3">
        <w:t>é</w:t>
      </w:r>
      <w:r w:rsidR="00883AE7" w:rsidRPr="00E568C3">
        <w:t>conomi</w:t>
      </w:r>
      <w:r w:rsidRPr="00E568C3">
        <w:t>e et des</w:t>
      </w:r>
      <w:r w:rsidR="00883AE7" w:rsidRPr="00E568C3">
        <w:t xml:space="preserve"> </w:t>
      </w:r>
      <w:r w:rsidRPr="00E568C3">
        <w:t>s</w:t>
      </w:r>
      <w:r w:rsidR="00883AE7" w:rsidRPr="00E568C3">
        <w:t>tatisti</w:t>
      </w:r>
      <w:r w:rsidRPr="00E568C3">
        <w:t>que</w:t>
      </w:r>
      <w:r w:rsidR="00883AE7" w:rsidRPr="00E568C3">
        <w:t xml:space="preserve">s </w:t>
      </w:r>
      <w:r w:rsidRPr="00E568C3">
        <w:t>est amenée à étudier la portée et les résultats des activités et des politiques en matière de transfert de connaissanc</w:t>
      </w:r>
      <w:r w:rsidR="006A3508" w:rsidRPr="00E568C3">
        <w:t>es.  En</w:t>
      </w:r>
      <w:r w:rsidRPr="00E568C3">
        <w:t> </w:t>
      </w:r>
      <w:r w:rsidR="00883AE7" w:rsidRPr="00E568C3">
        <w:t xml:space="preserve">2011, </w:t>
      </w:r>
      <w:r w:rsidRPr="00E568C3">
        <w:t>le c</w:t>
      </w:r>
      <w:r w:rsidR="00883AE7" w:rsidRPr="00E568C3">
        <w:t>hap</w:t>
      </w:r>
      <w:r w:rsidRPr="00E568C3">
        <w:t>itre </w:t>
      </w:r>
      <w:r w:rsidR="00883AE7" w:rsidRPr="00E568C3">
        <w:t xml:space="preserve">4 </w:t>
      </w:r>
      <w:r w:rsidRPr="00E568C3">
        <w:t xml:space="preserve">du </w:t>
      </w:r>
      <w:r w:rsidR="00AE57B6" w:rsidRPr="00E568C3">
        <w:t>R</w:t>
      </w:r>
      <w:r w:rsidRPr="00E568C3">
        <w:t>apport sur la propriété intellectuelle dans le monde était entièrement consacré à ce suj</w:t>
      </w:r>
      <w:r w:rsidR="006A3508" w:rsidRPr="00E568C3">
        <w:t>et.  Ch</w:t>
      </w:r>
      <w:r w:rsidRPr="00E568C3">
        <w:t>aque année</w:t>
      </w:r>
      <w:r w:rsidR="00883AE7" w:rsidRPr="00E568C3">
        <w:t xml:space="preserve">, </w:t>
      </w:r>
      <w:r w:rsidRPr="00E568C3">
        <w:t>l</w:t>
      </w:r>
      <w:r w:rsidR="00871730" w:rsidRPr="00E568C3">
        <w:t>’</w:t>
      </w:r>
      <w:r w:rsidR="00AE57B6" w:rsidRPr="00E568C3">
        <w:t>I</w:t>
      </w:r>
      <w:r w:rsidRPr="00E568C3">
        <w:t>ndice mondial de l</w:t>
      </w:r>
      <w:r w:rsidR="00871730" w:rsidRPr="00E568C3">
        <w:t>’</w:t>
      </w:r>
      <w:r w:rsidRPr="00E568C3">
        <w:t>i</w:t>
      </w:r>
      <w:r w:rsidR="00883AE7" w:rsidRPr="00E568C3">
        <w:t xml:space="preserve">nnovation </w:t>
      </w:r>
      <w:r w:rsidRPr="00E568C3">
        <w:t>évalue la portée et l</w:t>
      </w:r>
      <w:r w:rsidR="00871730" w:rsidRPr="00E568C3">
        <w:t>’</w:t>
      </w:r>
      <w:r w:rsidR="00883AE7" w:rsidRPr="00E568C3">
        <w:t xml:space="preserve">importance </w:t>
      </w:r>
      <w:r w:rsidRPr="00E568C3">
        <w:t>d</w:t>
      </w:r>
      <w:r w:rsidR="00AE57B6" w:rsidRPr="00E568C3">
        <w:t>e l</w:t>
      </w:r>
      <w:r w:rsidR="00871730" w:rsidRPr="00E568C3">
        <w:t>’</w:t>
      </w:r>
      <w:r w:rsidRPr="00E568C3">
        <w:t>établi</w:t>
      </w:r>
      <w:r w:rsidR="00AE57B6" w:rsidRPr="00E568C3">
        <w:t xml:space="preserve">ssement </w:t>
      </w:r>
      <w:r w:rsidRPr="00E568C3">
        <w:t>de liens dans le processus d</w:t>
      </w:r>
      <w:r w:rsidR="00871730" w:rsidRPr="00E568C3">
        <w:t>’</w:t>
      </w:r>
      <w:r w:rsidRPr="00E568C3">
        <w:t xml:space="preserve">innovation </w:t>
      </w:r>
      <w:r w:rsidR="00843B18" w:rsidRPr="00E568C3">
        <w:t>concernant l</w:t>
      </w:r>
      <w:r w:rsidR="00871730" w:rsidRPr="00E568C3">
        <w:t>’</w:t>
      </w:r>
      <w:r w:rsidR="00883AE7" w:rsidRPr="00E568C3">
        <w:t xml:space="preserve">innovation </w:t>
      </w:r>
      <w:r w:rsidR="00843B18" w:rsidRPr="00E568C3">
        <w:t>dans l</w:t>
      </w:r>
      <w:r w:rsidR="00871730" w:rsidRPr="00E568C3">
        <w:t>’</w:t>
      </w:r>
      <w:r w:rsidR="00843B18" w:rsidRPr="00E568C3">
        <w:t>un de</w:t>
      </w:r>
      <w:r w:rsidR="00AE57B6" w:rsidRPr="00E568C3">
        <w:t xml:space="preserve"> se</w:t>
      </w:r>
      <w:r w:rsidR="00843B18" w:rsidRPr="00E568C3">
        <w:t>s pilie</w:t>
      </w:r>
      <w:r w:rsidR="006A3508" w:rsidRPr="00E568C3">
        <w:t>rs.  Po</w:t>
      </w:r>
      <w:r w:rsidR="00843B18" w:rsidRPr="00E568C3">
        <w:t>ur l</w:t>
      </w:r>
      <w:r w:rsidR="00871730" w:rsidRPr="00E568C3">
        <w:t>’</w:t>
      </w:r>
      <w:r w:rsidR="00843B18" w:rsidRPr="00E568C3">
        <w:t>exercice biennal</w:t>
      </w:r>
      <w:r w:rsidR="008A2E3E" w:rsidRPr="00E568C3">
        <w:t> </w:t>
      </w:r>
      <w:r w:rsidR="00883AE7" w:rsidRPr="00E568C3">
        <w:t>2016</w:t>
      </w:r>
      <w:r w:rsidR="006A3508" w:rsidRPr="00E568C3">
        <w:noBreakHyphen/>
      </w:r>
      <w:r w:rsidR="00843B18" w:rsidRPr="00E568C3">
        <w:t>20</w:t>
      </w:r>
      <w:r w:rsidR="00883AE7" w:rsidRPr="00E568C3">
        <w:t>17</w:t>
      </w:r>
      <w:r w:rsidR="00843B18" w:rsidRPr="00E568C3">
        <w:t xml:space="preserve">, il a été demandé à la Division de mener un projet de recherche </w:t>
      </w:r>
      <w:r w:rsidR="00883AE7" w:rsidRPr="00E568C3">
        <w:t xml:space="preserve">comparative </w:t>
      </w:r>
      <w:r w:rsidR="00843B18" w:rsidRPr="00E568C3">
        <w:t xml:space="preserve">dans </w:t>
      </w:r>
      <w:r w:rsidR="00883AE7" w:rsidRPr="00E568C3">
        <w:t>six</w:t>
      </w:r>
      <w:r w:rsidR="00843B18" w:rsidRPr="00E568C3">
        <w:t> pay</w:t>
      </w:r>
      <w:r w:rsidR="00883AE7" w:rsidRPr="00E568C3">
        <w:t xml:space="preserve">s </w:t>
      </w:r>
      <w:r w:rsidR="00843B18" w:rsidRPr="00E568C3">
        <w:t>pour évaluer les politiques et les résultats en matière de tr</w:t>
      </w:r>
      <w:r w:rsidR="00883AE7" w:rsidRPr="00E568C3">
        <w:t>ansfer</w:t>
      </w:r>
      <w:r w:rsidR="00843B18" w:rsidRPr="00E568C3">
        <w:t>t de connaissanc</w:t>
      </w:r>
      <w:r w:rsidR="006A3508" w:rsidRPr="00E568C3">
        <w:t>es.  Un</w:t>
      </w:r>
      <w:r w:rsidR="00843B18" w:rsidRPr="00E568C3">
        <w:t xml:space="preserve">e partie intégrante de ce </w:t>
      </w:r>
      <w:r w:rsidR="00883AE7" w:rsidRPr="00E568C3">
        <w:t xml:space="preserve">projet </w:t>
      </w:r>
      <w:r w:rsidR="00843B18" w:rsidRPr="00E568C3">
        <w:t>consiste à définir un ensemble d</w:t>
      </w:r>
      <w:r w:rsidR="00871730" w:rsidRPr="00E568C3">
        <w:t>’</w:t>
      </w:r>
      <w:r w:rsidR="00843B18" w:rsidRPr="00E568C3">
        <w:t>indicateurs clé</w:t>
      </w:r>
      <w:r w:rsidR="00883AE7" w:rsidRPr="00E568C3">
        <w:t xml:space="preserve">s </w:t>
      </w:r>
      <w:r w:rsidR="00843B18" w:rsidRPr="00E568C3">
        <w:t xml:space="preserve">et </w:t>
      </w:r>
      <w:r w:rsidR="00883AE7" w:rsidRPr="00E568C3">
        <w:t>d</w:t>
      </w:r>
      <w:r w:rsidR="00843B18" w:rsidRPr="00E568C3">
        <w:t>e</w:t>
      </w:r>
      <w:r w:rsidR="00883AE7" w:rsidRPr="00E568C3">
        <w:t xml:space="preserve"> </w:t>
      </w:r>
      <w:r w:rsidR="00843B18" w:rsidRPr="00E568C3">
        <w:t>modèles d</w:t>
      </w:r>
      <w:r w:rsidR="00871730" w:rsidRPr="00E568C3">
        <w:t>’</w:t>
      </w:r>
      <w:r w:rsidR="00843B18" w:rsidRPr="00E568C3">
        <w:t>enquête</w:t>
      </w:r>
      <w:r w:rsidR="00883AE7" w:rsidRPr="00E568C3">
        <w:t xml:space="preserve"> </w:t>
      </w:r>
      <w:r w:rsidR="00843B18" w:rsidRPr="00E568C3">
        <w:t xml:space="preserve">qui pourraient être utilisés par les pays pour suivre les </w:t>
      </w:r>
      <w:r w:rsidR="00883AE7" w:rsidRPr="00E568C3">
        <w:t>activit</w:t>
      </w:r>
      <w:r w:rsidR="00843B18" w:rsidRPr="00E568C3">
        <w:t>és et les résultat</w:t>
      </w:r>
      <w:r w:rsidR="00883AE7" w:rsidRPr="00E568C3">
        <w:t xml:space="preserve">s </w:t>
      </w:r>
      <w:r w:rsidR="00843B18" w:rsidRPr="00E568C3">
        <w:t>dans ce domaine</w:t>
      </w:r>
      <w:r w:rsidR="00883AE7" w:rsidRPr="00E568C3">
        <w:t>.</w:t>
      </w:r>
    </w:p>
    <w:p w:rsidR="00F55AA9" w:rsidRDefault="00F55AA9" w:rsidP="006A3508">
      <w:pPr>
        <w:pStyle w:val="ONUMFS"/>
        <w:numPr>
          <w:ilvl w:val="0"/>
          <w:numId w:val="0"/>
        </w:numPr>
        <w:spacing w:after="0"/>
        <w:rPr>
          <w:sz w:val="20"/>
        </w:rPr>
      </w:pPr>
    </w:p>
    <w:p w:rsidR="00F55AA9" w:rsidRDefault="00F55AA9" w:rsidP="006A3508">
      <w:pPr>
        <w:pStyle w:val="ONUMFS"/>
        <w:numPr>
          <w:ilvl w:val="0"/>
          <w:numId w:val="0"/>
        </w:numPr>
        <w:spacing w:after="0"/>
        <w:rPr>
          <w:sz w:val="20"/>
        </w:rPr>
      </w:pPr>
    </w:p>
    <w:p w:rsidR="00F55AA9" w:rsidRDefault="00F55AA9" w:rsidP="006A3508">
      <w:pPr>
        <w:pStyle w:val="ONUMFS"/>
        <w:numPr>
          <w:ilvl w:val="0"/>
          <w:numId w:val="0"/>
        </w:numPr>
        <w:spacing w:after="0"/>
        <w:rPr>
          <w:sz w:val="20"/>
        </w:rPr>
      </w:pPr>
    </w:p>
    <w:p w:rsidR="00F55AA9" w:rsidRDefault="00B823CB" w:rsidP="006A3508">
      <w:pPr>
        <w:pStyle w:val="Endofdocument-Annex"/>
      </w:pPr>
      <w:r w:rsidRPr="00E568C3">
        <w:t>[Fin de l</w:t>
      </w:r>
      <w:r w:rsidR="00871730" w:rsidRPr="00E568C3">
        <w:t>’</w:t>
      </w:r>
      <w:r w:rsidRPr="00E568C3">
        <w:t>annexe et du document]</w:t>
      </w:r>
    </w:p>
    <w:p w:rsidR="00B823CB" w:rsidRPr="00E568C3" w:rsidRDefault="00B823CB" w:rsidP="006A3508">
      <w:pPr>
        <w:pStyle w:val="Endofdocument-Annex"/>
      </w:pPr>
    </w:p>
    <w:sectPr w:rsidR="00B823CB" w:rsidRPr="00E568C3" w:rsidSect="006A3508">
      <w:headerReference w:type="default" r:id="rId32"/>
      <w:footerReference w:type="default" r:id="rId33"/>
      <w:headerReference w:type="first" r:id="rId34"/>
      <w:footerReference w:type="first" r:id="rId35"/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08" w:rsidRDefault="006A3508" w:rsidP="00DE0D63">
      <w:r>
        <w:separator/>
      </w:r>
    </w:p>
  </w:endnote>
  <w:endnote w:type="continuationSeparator" w:id="0">
    <w:p w:rsidR="006A3508" w:rsidRDefault="006A3508" w:rsidP="00DE0D63">
      <w:r>
        <w:continuationSeparator/>
      </w:r>
    </w:p>
  </w:endnote>
  <w:endnote w:type="continuationNotice" w:id="1">
    <w:p w:rsidR="006A3508" w:rsidRDefault="006A3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Pr="006A3508" w:rsidRDefault="006A3508" w:rsidP="006A350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Pr="00A06F62" w:rsidRDefault="006A3508" w:rsidP="00A06F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Default="006A3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08" w:rsidRDefault="006A3508" w:rsidP="00DE0D63">
      <w:r>
        <w:separator/>
      </w:r>
    </w:p>
  </w:footnote>
  <w:footnote w:type="continuationSeparator" w:id="0">
    <w:p w:rsidR="006A3508" w:rsidRDefault="006A3508" w:rsidP="00DE0D63">
      <w:r>
        <w:continuationSeparator/>
      </w:r>
    </w:p>
  </w:footnote>
  <w:footnote w:type="continuationNotice" w:id="1">
    <w:p w:rsidR="006A3508" w:rsidRDefault="006A35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Default="006A3508" w:rsidP="0039510D">
    <w:pPr>
      <w:jc w:val="right"/>
    </w:pPr>
    <w:r>
      <w:t>CDIP/17/…</w:t>
    </w:r>
  </w:p>
  <w:p w:rsidR="006A3508" w:rsidRDefault="006A3508" w:rsidP="0039510D">
    <w:pP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12E">
      <w:rPr>
        <w:rStyle w:val="PageNumber"/>
        <w:noProof/>
      </w:rPr>
      <w:t>1</w:t>
    </w:r>
    <w:r>
      <w:rPr>
        <w:rStyle w:val="PageNumber"/>
      </w:rPr>
      <w:fldChar w:fldCharType="end"/>
    </w:r>
  </w:p>
  <w:p w:rsidR="006A3508" w:rsidRDefault="006A3508" w:rsidP="0039510D">
    <w:pPr>
      <w:jc w:val="right"/>
    </w:pPr>
  </w:p>
  <w:p w:rsidR="006A3508" w:rsidRDefault="006A3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Default="006A3508" w:rsidP="0039510D">
    <w:pPr>
      <w:jc w:val="right"/>
    </w:pPr>
    <w:r>
      <w:t>CDIP/17/9</w:t>
    </w:r>
  </w:p>
  <w:p w:rsidR="006A3508" w:rsidRDefault="006A3508" w:rsidP="008E1059">
    <w:pPr>
      <w:jc w:val="right"/>
    </w:pPr>
    <w:r>
      <w:t xml:space="preserve">Annexe,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1F84">
      <w:rPr>
        <w:rStyle w:val="PageNumber"/>
        <w:noProof/>
      </w:rPr>
      <w:t>16</w:t>
    </w:r>
    <w:r>
      <w:rPr>
        <w:rStyle w:val="PageNumber"/>
      </w:rPr>
      <w:fldChar w:fldCharType="end"/>
    </w:r>
  </w:p>
  <w:p w:rsidR="006A3508" w:rsidRDefault="006A3508" w:rsidP="0039510D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508" w:rsidRDefault="006A3508" w:rsidP="003145EF">
    <w:pPr>
      <w:pStyle w:val="Header"/>
      <w:jc w:val="right"/>
    </w:pPr>
    <w:r>
      <w:t>CDIP/17/9</w:t>
    </w:r>
  </w:p>
  <w:p w:rsidR="006A3508" w:rsidRDefault="006A3508" w:rsidP="003145EF">
    <w:pPr>
      <w:pStyle w:val="Header"/>
      <w:jc w:val="right"/>
    </w:pPr>
    <w:r>
      <w:t>ANNEXE</w:t>
    </w:r>
  </w:p>
  <w:p w:rsidR="006A3508" w:rsidRDefault="006A3508" w:rsidP="003145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26BD"/>
    <w:multiLevelType w:val="hybridMultilevel"/>
    <w:tmpl w:val="FF68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5A61"/>
    <w:multiLevelType w:val="hybridMultilevel"/>
    <w:tmpl w:val="558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6212E"/>
    <w:multiLevelType w:val="multilevel"/>
    <w:tmpl w:val="E33ADE2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43927234"/>
    <w:multiLevelType w:val="multilevel"/>
    <w:tmpl w:val="ED94DA8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7A21D0"/>
    <w:multiLevelType w:val="multilevel"/>
    <w:tmpl w:val="BFEC72DC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5FEF214E"/>
    <w:multiLevelType w:val="hybridMultilevel"/>
    <w:tmpl w:val="EDF6AC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A36EA"/>
    <w:multiLevelType w:val="multilevel"/>
    <w:tmpl w:val="DB46A1E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83516AF"/>
    <w:multiLevelType w:val="hybridMultilevel"/>
    <w:tmpl w:val="D05CD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8645E"/>
    <w:multiLevelType w:val="multilevel"/>
    <w:tmpl w:val="77FC86C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sz w:val="22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  <w:lang w:val="fr-CH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  <w:rPr>
        <w:lang w:val="fr-CH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07F19C4"/>
    <w:multiLevelType w:val="hybridMultilevel"/>
    <w:tmpl w:val="586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B0235"/>
    <w:multiLevelType w:val="multilevel"/>
    <w:tmpl w:val="B2388FF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lang w:val="fr-CH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WO_CC|TextBase TMs\WorkspaceFTS\EN-FR\WO_GA|TextBase TMs\WorkspaceFTS\EN-FR\WO_PBC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Budget and Finance\Meetings|TextBase TMs\Budget and Finance\Other|TextBase TMs\Budget and Finance\Publications|TextBase TMs\Administrative\Meetings|TextBase TMs\Administrative\Other|TextBase TMs\Administrative\Publications"/>
    <w:docVar w:name="TextBaseURL" w:val="empty"/>
    <w:docVar w:name="UILng" w:val="en"/>
  </w:docVars>
  <w:rsids>
    <w:rsidRoot w:val="00025A9C"/>
    <w:rsid w:val="00002D2F"/>
    <w:rsid w:val="00005133"/>
    <w:rsid w:val="0001026A"/>
    <w:rsid w:val="000137F9"/>
    <w:rsid w:val="00025A9C"/>
    <w:rsid w:val="00026622"/>
    <w:rsid w:val="00027A23"/>
    <w:rsid w:val="0004600E"/>
    <w:rsid w:val="000472E6"/>
    <w:rsid w:val="000510AB"/>
    <w:rsid w:val="00053BBC"/>
    <w:rsid w:val="000556BB"/>
    <w:rsid w:val="000613F6"/>
    <w:rsid w:val="0006276B"/>
    <w:rsid w:val="00063946"/>
    <w:rsid w:val="0006453A"/>
    <w:rsid w:val="00065258"/>
    <w:rsid w:val="00076566"/>
    <w:rsid w:val="0008002E"/>
    <w:rsid w:val="00081EB5"/>
    <w:rsid w:val="000844A4"/>
    <w:rsid w:val="000A3098"/>
    <w:rsid w:val="000A4726"/>
    <w:rsid w:val="000A64AD"/>
    <w:rsid w:val="000B0A2B"/>
    <w:rsid w:val="000B14AE"/>
    <w:rsid w:val="000B55CB"/>
    <w:rsid w:val="000C2D5D"/>
    <w:rsid w:val="000C5E97"/>
    <w:rsid w:val="000D629D"/>
    <w:rsid w:val="000D6402"/>
    <w:rsid w:val="000D7E6F"/>
    <w:rsid w:val="000E112F"/>
    <w:rsid w:val="000E2239"/>
    <w:rsid w:val="000E75CA"/>
    <w:rsid w:val="000F36B9"/>
    <w:rsid w:val="000F3E68"/>
    <w:rsid w:val="000F5E56"/>
    <w:rsid w:val="00105D3F"/>
    <w:rsid w:val="00106348"/>
    <w:rsid w:val="00125C85"/>
    <w:rsid w:val="00131E8F"/>
    <w:rsid w:val="00134D3E"/>
    <w:rsid w:val="00137392"/>
    <w:rsid w:val="00142902"/>
    <w:rsid w:val="00147E27"/>
    <w:rsid w:val="001512B0"/>
    <w:rsid w:val="0015609D"/>
    <w:rsid w:val="00160265"/>
    <w:rsid w:val="0016178B"/>
    <w:rsid w:val="00165515"/>
    <w:rsid w:val="00183EEE"/>
    <w:rsid w:val="00190917"/>
    <w:rsid w:val="00190AE8"/>
    <w:rsid w:val="001C0AFF"/>
    <w:rsid w:val="001F14F4"/>
    <w:rsid w:val="001F5EFB"/>
    <w:rsid w:val="001F6918"/>
    <w:rsid w:val="00221507"/>
    <w:rsid w:val="00221EF2"/>
    <w:rsid w:val="00224A87"/>
    <w:rsid w:val="0023529C"/>
    <w:rsid w:val="002446C7"/>
    <w:rsid w:val="00256CC6"/>
    <w:rsid w:val="00270A5B"/>
    <w:rsid w:val="00270E3E"/>
    <w:rsid w:val="0027580C"/>
    <w:rsid w:val="002760D8"/>
    <w:rsid w:val="002779E6"/>
    <w:rsid w:val="00280654"/>
    <w:rsid w:val="00287EB5"/>
    <w:rsid w:val="00290CFB"/>
    <w:rsid w:val="00294C78"/>
    <w:rsid w:val="002A5CE7"/>
    <w:rsid w:val="002A6D8F"/>
    <w:rsid w:val="002B6C69"/>
    <w:rsid w:val="002C1392"/>
    <w:rsid w:val="002C40D5"/>
    <w:rsid w:val="002D5BC9"/>
    <w:rsid w:val="002D72BF"/>
    <w:rsid w:val="002E3A0E"/>
    <w:rsid w:val="002E4176"/>
    <w:rsid w:val="002E7F4C"/>
    <w:rsid w:val="002F6F8B"/>
    <w:rsid w:val="00301499"/>
    <w:rsid w:val="00311A4F"/>
    <w:rsid w:val="00311ADF"/>
    <w:rsid w:val="003145EF"/>
    <w:rsid w:val="00317308"/>
    <w:rsid w:val="00322868"/>
    <w:rsid w:val="003242C1"/>
    <w:rsid w:val="0032776B"/>
    <w:rsid w:val="00333382"/>
    <w:rsid w:val="00337DC3"/>
    <w:rsid w:val="00341F23"/>
    <w:rsid w:val="00342E79"/>
    <w:rsid w:val="003469C1"/>
    <w:rsid w:val="003548F7"/>
    <w:rsid w:val="0036545B"/>
    <w:rsid w:val="00365BD5"/>
    <w:rsid w:val="0039510D"/>
    <w:rsid w:val="00397A8A"/>
    <w:rsid w:val="003A517A"/>
    <w:rsid w:val="003C3CE1"/>
    <w:rsid w:val="003E393E"/>
    <w:rsid w:val="003E474B"/>
    <w:rsid w:val="003E545B"/>
    <w:rsid w:val="003F22F0"/>
    <w:rsid w:val="003F44B2"/>
    <w:rsid w:val="004071EC"/>
    <w:rsid w:val="004136CD"/>
    <w:rsid w:val="0042075B"/>
    <w:rsid w:val="00421572"/>
    <w:rsid w:val="004244B8"/>
    <w:rsid w:val="00427B6D"/>
    <w:rsid w:val="00431118"/>
    <w:rsid w:val="00436E20"/>
    <w:rsid w:val="0044184C"/>
    <w:rsid w:val="00443598"/>
    <w:rsid w:val="00450B3B"/>
    <w:rsid w:val="004801F3"/>
    <w:rsid w:val="0048419F"/>
    <w:rsid w:val="0049399A"/>
    <w:rsid w:val="0049617B"/>
    <w:rsid w:val="004B7755"/>
    <w:rsid w:val="004C0F9B"/>
    <w:rsid w:val="004D1EC0"/>
    <w:rsid w:val="004D6179"/>
    <w:rsid w:val="004D6FA9"/>
    <w:rsid w:val="004E171C"/>
    <w:rsid w:val="004E36D8"/>
    <w:rsid w:val="004E7F2F"/>
    <w:rsid w:val="004F112E"/>
    <w:rsid w:val="00505805"/>
    <w:rsid w:val="00505CC2"/>
    <w:rsid w:val="0051362C"/>
    <w:rsid w:val="0051717C"/>
    <w:rsid w:val="005339B4"/>
    <w:rsid w:val="00546377"/>
    <w:rsid w:val="00551284"/>
    <w:rsid w:val="00553011"/>
    <w:rsid w:val="005533FA"/>
    <w:rsid w:val="00554246"/>
    <w:rsid w:val="005547DB"/>
    <w:rsid w:val="005647FF"/>
    <w:rsid w:val="005673ED"/>
    <w:rsid w:val="005722D6"/>
    <w:rsid w:val="00572D98"/>
    <w:rsid w:val="00573898"/>
    <w:rsid w:val="00596382"/>
    <w:rsid w:val="005A2381"/>
    <w:rsid w:val="005A3F22"/>
    <w:rsid w:val="005A4DD1"/>
    <w:rsid w:val="005A63E9"/>
    <w:rsid w:val="005A6B08"/>
    <w:rsid w:val="005B11E6"/>
    <w:rsid w:val="005B240B"/>
    <w:rsid w:val="005B7CE3"/>
    <w:rsid w:val="005C7880"/>
    <w:rsid w:val="005D363C"/>
    <w:rsid w:val="005F0817"/>
    <w:rsid w:val="005F0955"/>
    <w:rsid w:val="00607EF3"/>
    <w:rsid w:val="00612DF8"/>
    <w:rsid w:val="0061576A"/>
    <w:rsid w:val="00620983"/>
    <w:rsid w:val="0062431B"/>
    <w:rsid w:val="00626CE2"/>
    <w:rsid w:val="00630764"/>
    <w:rsid w:val="00635847"/>
    <w:rsid w:val="006358E6"/>
    <w:rsid w:val="00637A0F"/>
    <w:rsid w:val="00641B2F"/>
    <w:rsid w:val="0064534B"/>
    <w:rsid w:val="00647F98"/>
    <w:rsid w:val="00653B4E"/>
    <w:rsid w:val="006A3508"/>
    <w:rsid w:val="006A5291"/>
    <w:rsid w:val="006B2440"/>
    <w:rsid w:val="006B30EF"/>
    <w:rsid w:val="006C1B50"/>
    <w:rsid w:val="006C4199"/>
    <w:rsid w:val="006C4261"/>
    <w:rsid w:val="006C6C96"/>
    <w:rsid w:val="006E1258"/>
    <w:rsid w:val="006E1F31"/>
    <w:rsid w:val="006E40E9"/>
    <w:rsid w:val="006F33AF"/>
    <w:rsid w:val="006F6951"/>
    <w:rsid w:val="007049E4"/>
    <w:rsid w:val="007105FD"/>
    <w:rsid w:val="00713F93"/>
    <w:rsid w:val="0072189C"/>
    <w:rsid w:val="00726863"/>
    <w:rsid w:val="007269E0"/>
    <w:rsid w:val="00730497"/>
    <w:rsid w:val="00733B70"/>
    <w:rsid w:val="007423D1"/>
    <w:rsid w:val="007454EB"/>
    <w:rsid w:val="00763B27"/>
    <w:rsid w:val="007746C2"/>
    <w:rsid w:val="00774E16"/>
    <w:rsid w:val="007756EC"/>
    <w:rsid w:val="0077697C"/>
    <w:rsid w:val="007870AB"/>
    <w:rsid w:val="00792922"/>
    <w:rsid w:val="007A2808"/>
    <w:rsid w:val="007B240C"/>
    <w:rsid w:val="007B445D"/>
    <w:rsid w:val="007C1147"/>
    <w:rsid w:val="007D53C7"/>
    <w:rsid w:val="007D5F82"/>
    <w:rsid w:val="007F2D2F"/>
    <w:rsid w:val="007F5D7A"/>
    <w:rsid w:val="00800391"/>
    <w:rsid w:val="00800D44"/>
    <w:rsid w:val="00801C13"/>
    <w:rsid w:val="00801F62"/>
    <w:rsid w:val="00804DB7"/>
    <w:rsid w:val="0081670F"/>
    <w:rsid w:val="00820D87"/>
    <w:rsid w:val="00840968"/>
    <w:rsid w:val="008425FD"/>
    <w:rsid w:val="008437AC"/>
    <w:rsid w:val="00843968"/>
    <w:rsid w:val="00843B18"/>
    <w:rsid w:val="00851E8C"/>
    <w:rsid w:val="008539A0"/>
    <w:rsid w:val="00871730"/>
    <w:rsid w:val="008717AF"/>
    <w:rsid w:val="00873F8D"/>
    <w:rsid w:val="00876829"/>
    <w:rsid w:val="008801FB"/>
    <w:rsid w:val="00883AE7"/>
    <w:rsid w:val="00891EE3"/>
    <w:rsid w:val="00896377"/>
    <w:rsid w:val="00897965"/>
    <w:rsid w:val="00897D08"/>
    <w:rsid w:val="008A047E"/>
    <w:rsid w:val="008A2E3E"/>
    <w:rsid w:val="008B26B5"/>
    <w:rsid w:val="008C2D25"/>
    <w:rsid w:val="008D21FC"/>
    <w:rsid w:val="008D3227"/>
    <w:rsid w:val="008D5BD8"/>
    <w:rsid w:val="008D6820"/>
    <w:rsid w:val="008D7E11"/>
    <w:rsid w:val="008E1059"/>
    <w:rsid w:val="008E3970"/>
    <w:rsid w:val="008F2D63"/>
    <w:rsid w:val="00903154"/>
    <w:rsid w:val="009204D5"/>
    <w:rsid w:val="0093324F"/>
    <w:rsid w:val="00933FFC"/>
    <w:rsid w:val="009417FF"/>
    <w:rsid w:val="00945D41"/>
    <w:rsid w:val="009505EE"/>
    <w:rsid w:val="009535CF"/>
    <w:rsid w:val="00964CE5"/>
    <w:rsid w:val="0096576C"/>
    <w:rsid w:val="00977E68"/>
    <w:rsid w:val="00977EAF"/>
    <w:rsid w:val="0098066E"/>
    <w:rsid w:val="009872A9"/>
    <w:rsid w:val="009B4E3F"/>
    <w:rsid w:val="009C62E8"/>
    <w:rsid w:val="009D4FEC"/>
    <w:rsid w:val="009E3AC9"/>
    <w:rsid w:val="009E5BAA"/>
    <w:rsid w:val="009E5F9C"/>
    <w:rsid w:val="009F0CC3"/>
    <w:rsid w:val="009F6A03"/>
    <w:rsid w:val="00A0259C"/>
    <w:rsid w:val="00A06F62"/>
    <w:rsid w:val="00A128BD"/>
    <w:rsid w:val="00A1691F"/>
    <w:rsid w:val="00A17052"/>
    <w:rsid w:val="00A17161"/>
    <w:rsid w:val="00A20873"/>
    <w:rsid w:val="00A30C87"/>
    <w:rsid w:val="00A323F7"/>
    <w:rsid w:val="00A336E5"/>
    <w:rsid w:val="00A35811"/>
    <w:rsid w:val="00A41269"/>
    <w:rsid w:val="00A41C34"/>
    <w:rsid w:val="00A43604"/>
    <w:rsid w:val="00A44CE0"/>
    <w:rsid w:val="00A4550C"/>
    <w:rsid w:val="00A518AF"/>
    <w:rsid w:val="00A519C9"/>
    <w:rsid w:val="00A60808"/>
    <w:rsid w:val="00A64E2E"/>
    <w:rsid w:val="00A65F47"/>
    <w:rsid w:val="00A70C26"/>
    <w:rsid w:val="00A727B5"/>
    <w:rsid w:val="00A72DFD"/>
    <w:rsid w:val="00A74ED6"/>
    <w:rsid w:val="00A77E93"/>
    <w:rsid w:val="00A813EE"/>
    <w:rsid w:val="00A81A5D"/>
    <w:rsid w:val="00A8340A"/>
    <w:rsid w:val="00A9612E"/>
    <w:rsid w:val="00A96CA3"/>
    <w:rsid w:val="00AA0015"/>
    <w:rsid w:val="00AA2A7C"/>
    <w:rsid w:val="00AA4C6E"/>
    <w:rsid w:val="00AA665D"/>
    <w:rsid w:val="00AB22EE"/>
    <w:rsid w:val="00AC4E3A"/>
    <w:rsid w:val="00AD032A"/>
    <w:rsid w:val="00AD6091"/>
    <w:rsid w:val="00AD6818"/>
    <w:rsid w:val="00AE0C56"/>
    <w:rsid w:val="00AE3109"/>
    <w:rsid w:val="00AE3120"/>
    <w:rsid w:val="00AE57B6"/>
    <w:rsid w:val="00AF2790"/>
    <w:rsid w:val="00AF3D88"/>
    <w:rsid w:val="00AF6C06"/>
    <w:rsid w:val="00B00341"/>
    <w:rsid w:val="00B04EF3"/>
    <w:rsid w:val="00B079AF"/>
    <w:rsid w:val="00B07C05"/>
    <w:rsid w:val="00B22C8A"/>
    <w:rsid w:val="00B257DE"/>
    <w:rsid w:val="00B279F1"/>
    <w:rsid w:val="00B423F4"/>
    <w:rsid w:val="00B47487"/>
    <w:rsid w:val="00B678A7"/>
    <w:rsid w:val="00B723C3"/>
    <w:rsid w:val="00B73CC9"/>
    <w:rsid w:val="00B74945"/>
    <w:rsid w:val="00B80EA9"/>
    <w:rsid w:val="00B823CB"/>
    <w:rsid w:val="00B94303"/>
    <w:rsid w:val="00BA1ADA"/>
    <w:rsid w:val="00BA33D6"/>
    <w:rsid w:val="00BA7D7B"/>
    <w:rsid w:val="00BB23CD"/>
    <w:rsid w:val="00BB6A4F"/>
    <w:rsid w:val="00BD0ACB"/>
    <w:rsid w:val="00BD5720"/>
    <w:rsid w:val="00BE2F82"/>
    <w:rsid w:val="00BF178A"/>
    <w:rsid w:val="00C1176D"/>
    <w:rsid w:val="00C12EC2"/>
    <w:rsid w:val="00C216F9"/>
    <w:rsid w:val="00C2453D"/>
    <w:rsid w:val="00C25966"/>
    <w:rsid w:val="00C369F7"/>
    <w:rsid w:val="00C441DA"/>
    <w:rsid w:val="00C459C2"/>
    <w:rsid w:val="00C5120B"/>
    <w:rsid w:val="00C554EC"/>
    <w:rsid w:val="00C71996"/>
    <w:rsid w:val="00C7679D"/>
    <w:rsid w:val="00C83F2E"/>
    <w:rsid w:val="00C84C70"/>
    <w:rsid w:val="00C92EE6"/>
    <w:rsid w:val="00C95F13"/>
    <w:rsid w:val="00C968A2"/>
    <w:rsid w:val="00CA1534"/>
    <w:rsid w:val="00CA2CF0"/>
    <w:rsid w:val="00CA31BC"/>
    <w:rsid w:val="00CA3DE0"/>
    <w:rsid w:val="00CA52AD"/>
    <w:rsid w:val="00CA6302"/>
    <w:rsid w:val="00CA7CFF"/>
    <w:rsid w:val="00CB1181"/>
    <w:rsid w:val="00CB3CFF"/>
    <w:rsid w:val="00CB4829"/>
    <w:rsid w:val="00CB53F9"/>
    <w:rsid w:val="00CB7ADA"/>
    <w:rsid w:val="00CD25BF"/>
    <w:rsid w:val="00CD7A47"/>
    <w:rsid w:val="00CD7D32"/>
    <w:rsid w:val="00CE3E16"/>
    <w:rsid w:val="00CE46D6"/>
    <w:rsid w:val="00CF2C73"/>
    <w:rsid w:val="00CF6C1A"/>
    <w:rsid w:val="00D02786"/>
    <w:rsid w:val="00D42B75"/>
    <w:rsid w:val="00D4746A"/>
    <w:rsid w:val="00D50766"/>
    <w:rsid w:val="00D52953"/>
    <w:rsid w:val="00D56AD0"/>
    <w:rsid w:val="00D65B01"/>
    <w:rsid w:val="00D71738"/>
    <w:rsid w:val="00D83D2B"/>
    <w:rsid w:val="00D96723"/>
    <w:rsid w:val="00DB34E8"/>
    <w:rsid w:val="00DB52D0"/>
    <w:rsid w:val="00DB64AC"/>
    <w:rsid w:val="00DC20E6"/>
    <w:rsid w:val="00DC57EC"/>
    <w:rsid w:val="00DC7992"/>
    <w:rsid w:val="00DD1725"/>
    <w:rsid w:val="00DE0D63"/>
    <w:rsid w:val="00DE1591"/>
    <w:rsid w:val="00DE1C29"/>
    <w:rsid w:val="00DF2AAB"/>
    <w:rsid w:val="00E044AB"/>
    <w:rsid w:val="00E04548"/>
    <w:rsid w:val="00E05CD4"/>
    <w:rsid w:val="00E11092"/>
    <w:rsid w:val="00E14402"/>
    <w:rsid w:val="00E152B3"/>
    <w:rsid w:val="00E17D9D"/>
    <w:rsid w:val="00E2006F"/>
    <w:rsid w:val="00E20867"/>
    <w:rsid w:val="00E23EA6"/>
    <w:rsid w:val="00E25828"/>
    <w:rsid w:val="00E2699A"/>
    <w:rsid w:val="00E2699E"/>
    <w:rsid w:val="00E32B38"/>
    <w:rsid w:val="00E36FBC"/>
    <w:rsid w:val="00E42C79"/>
    <w:rsid w:val="00E44BFC"/>
    <w:rsid w:val="00E568C3"/>
    <w:rsid w:val="00E568E0"/>
    <w:rsid w:val="00E56DC0"/>
    <w:rsid w:val="00E615C7"/>
    <w:rsid w:val="00E62607"/>
    <w:rsid w:val="00E71F84"/>
    <w:rsid w:val="00E720B6"/>
    <w:rsid w:val="00E742A5"/>
    <w:rsid w:val="00E812E1"/>
    <w:rsid w:val="00E81531"/>
    <w:rsid w:val="00E870E5"/>
    <w:rsid w:val="00E97EF7"/>
    <w:rsid w:val="00EA0E5E"/>
    <w:rsid w:val="00EC01BC"/>
    <w:rsid w:val="00EC49E9"/>
    <w:rsid w:val="00ED63EE"/>
    <w:rsid w:val="00ED6771"/>
    <w:rsid w:val="00ED7DF7"/>
    <w:rsid w:val="00EE019B"/>
    <w:rsid w:val="00EE02EB"/>
    <w:rsid w:val="00EE792B"/>
    <w:rsid w:val="00EF5FA4"/>
    <w:rsid w:val="00EF7920"/>
    <w:rsid w:val="00F02289"/>
    <w:rsid w:val="00F0470A"/>
    <w:rsid w:val="00F20443"/>
    <w:rsid w:val="00F31B2C"/>
    <w:rsid w:val="00F40223"/>
    <w:rsid w:val="00F55AA9"/>
    <w:rsid w:val="00F6040F"/>
    <w:rsid w:val="00F62CBD"/>
    <w:rsid w:val="00F72343"/>
    <w:rsid w:val="00F90FCA"/>
    <w:rsid w:val="00F91088"/>
    <w:rsid w:val="00FA03FC"/>
    <w:rsid w:val="00FA3222"/>
    <w:rsid w:val="00FA6E8A"/>
    <w:rsid w:val="00FE10D3"/>
    <w:rsid w:val="00FE357A"/>
    <w:rsid w:val="00FF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EF"/>
    <w:rPr>
      <w:rFonts w:ascii="Arial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145EF"/>
    <w:pPr>
      <w:keepNext/>
      <w:spacing w:before="240" w:after="60"/>
      <w:ind w:left="567" w:hanging="567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paragraph" w:customStyle="1" w:styleId="Endofdocument-Annex">
    <w:name w:val="[End of document - Annex]"/>
    <w:basedOn w:val="Normal"/>
    <w:rsid w:val="003145EF"/>
    <w:pPr>
      <w:ind w:left="5534"/>
    </w:pPr>
    <w:rPr>
      <w:rFonts w:eastAsia="SimSu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F6918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E742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5EF"/>
    <w:rPr>
      <w:rFonts w:ascii="Arial" w:hAnsi="Arial" w:cs="Arial"/>
      <w:sz w:val="22"/>
      <w:lang w:val="fr-FR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145EF"/>
    <w:pPr>
      <w:keepNext/>
      <w:spacing w:before="240" w:after="60"/>
      <w:ind w:left="567" w:hanging="567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fault">
    <w:name w:val="Default"/>
    <w:rsid w:val="00025A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A9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0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2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E0D63"/>
    <w:rPr>
      <w:rFonts w:ascii="Arial" w:hAnsi="Arial" w:cs="Arial"/>
      <w:sz w:val="22"/>
    </w:rPr>
  </w:style>
  <w:style w:type="character" w:styleId="Hyperlink">
    <w:name w:val="Hyperlink"/>
    <w:basedOn w:val="DefaultParagraphFont"/>
    <w:rsid w:val="00D5076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39510D"/>
  </w:style>
  <w:style w:type="paragraph" w:customStyle="1" w:styleId="Endofdocument-Annex">
    <w:name w:val="[End of document - Annex]"/>
    <w:basedOn w:val="Normal"/>
    <w:rsid w:val="003145EF"/>
    <w:pPr>
      <w:ind w:left="5534"/>
    </w:pPr>
    <w:rPr>
      <w:rFonts w:eastAsia="SimSun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F6918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E74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301">
          <w:marLeft w:val="44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isc" TargetMode="External"/><Relationship Id="rId18" Type="http://schemas.openxmlformats.org/officeDocument/2006/relationships/hyperlink" Target="http://www.itu.int/dms_pub/itu-t/oth/0b/11/T0B110000273301PDFS.pdf" TargetMode="External"/><Relationship Id="rId26" Type="http://schemas.openxmlformats.org/officeDocument/2006/relationships/hyperlink" Target="http://www.wipo.int/edocs/pubdocs/en/wipo_pub_951_6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ipo.int/edocs/pubdocs/fr/patents/867/wipo_pub_867.pdf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www.wipo.int/ipstrategies/fr/" TargetMode="External"/><Relationship Id="rId17" Type="http://schemas.openxmlformats.org/officeDocument/2006/relationships/hyperlink" Target="http://www.wipo.int/patentscope/fr/programs/patent_landscapes/index.html" TargetMode="External"/><Relationship Id="rId25" Type="http://schemas.openxmlformats.org/officeDocument/2006/relationships/hyperlink" Target="http://www.wipo.int/export/sites/www/sme/fr/documents/pdf/technology_licensing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wipo.int/aspi" TargetMode="External"/><Relationship Id="rId20" Type="http://schemas.openxmlformats.org/officeDocument/2006/relationships/hyperlink" Target="http://www.wipo.int/patentscope/fr/programs/patent_landscapes/index.html" TargetMode="External"/><Relationship Id="rId29" Type="http://schemas.openxmlformats.org/officeDocument/2006/relationships/hyperlink" Target="https://webaccess.wipo.int/wipogreen/en/pdf/global_challenges_report_lybecker_lohs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wipo.int/edocs/pubdocs/en/intproperty/896/wipo_pub_896.pdf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wipo.int/ardi" TargetMode="External"/><Relationship Id="rId23" Type="http://schemas.openxmlformats.org/officeDocument/2006/relationships/hyperlink" Target="http://www.wipo.int/edocs/pubdocs/en/intproperty/927/wipo_pub_927.pdf" TargetMode="External"/><Relationship Id="rId28" Type="http://schemas.openxmlformats.org/officeDocument/2006/relationships/hyperlink" Target="http://www.wipo.int/export/sites/www/policy/en/climate_change/pdf/ccmt_report.pdf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wipo.int/edocs/pubdocs/fr/wipo_pub_946.pdf" TargetMode="External"/><Relationship Id="rId31" Type="http://schemas.openxmlformats.org/officeDocument/2006/relationships/hyperlink" Target="http://www.wipo.int/export/sites/www/policy/en/climate_change/pdf/ccmt_brief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tisc.wipo.org" TargetMode="External"/><Relationship Id="rId22" Type="http://schemas.openxmlformats.org/officeDocument/2006/relationships/hyperlink" Target="http://www.wipo.int/edocs/pubdocs/en/licensing/903/wipo_pub_903.pdf" TargetMode="External"/><Relationship Id="rId27" Type="http://schemas.openxmlformats.org/officeDocument/2006/relationships/hyperlink" Target="http://www.wipo.int/edocs/pubdocs/en/wipo_pub_951_5.pdf" TargetMode="External"/><Relationship Id="rId30" Type="http://schemas.openxmlformats.org/officeDocument/2006/relationships/hyperlink" Target="http://www.wipo.int/export/sites/www/policy/en/climate_change/pdf/global_challenges_brief.pdf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6CB5-C5CA-477C-8D49-B7252CAD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8659</Words>
  <Characters>49357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57901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SPASIC Olga</dc:creator>
  <cp:keywords>CB/mhf</cp:keywords>
  <cp:lastModifiedBy>BRACI Biljana</cp:lastModifiedBy>
  <cp:revision>2</cp:revision>
  <cp:lastPrinted>2016-02-25T12:57:00Z</cp:lastPrinted>
  <dcterms:created xsi:type="dcterms:W3CDTF">2016-03-17T16:37:00Z</dcterms:created>
  <dcterms:modified xsi:type="dcterms:W3CDTF">2016-03-17T16:37:00Z</dcterms:modified>
</cp:coreProperties>
</file>