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A2E73" w:rsidRPr="004F1F23" w14:paraId="06DD4FF5" w14:textId="77777777" w:rsidTr="00BA47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A1F596" w14:textId="77777777" w:rsidR="00F66614" w:rsidRPr="004F1F23" w:rsidRDefault="00F66614" w:rsidP="00BA47D8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5750FC" w14:textId="77777777" w:rsidR="00F66614" w:rsidRPr="004F1F23" w:rsidRDefault="00F66614" w:rsidP="00BA47D8">
            <w:pPr>
              <w:rPr>
                <w:lang w:val="fr-FR"/>
              </w:rPr>
            </w:pPr>
            <w:r w:rsidRPr="004F1F23">
              <w:rPr>
                <w:noProof/>
                <w:lang w:eastAsia="en-US"/>
              </w:rPr>
              <w:drawing>
                <wp:inline distT="0" distB="0" distL="0" distR="0" wp14:anchorId="6A7397A6" wp14:editId="6F8DA88C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CAB70E" w14:textId="77777777" w:rsidR="00F66614" w:rsidRPr="004F1F23" w:rsidRDefault="00F66614" w:rsidP="00BA47D8">
            <w:pPr>
              <w:jc w:val="right"/>
              <w:rPr>
                <w:lang w:val="fr-FR"/>
              </w:rPr>
            </w:pPr>
            <w:r w:rsidRPr="004F1F2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A2E73" w:rsidRPr="004F1F23" w14:paraId="0AA560B2" w14:textId="77777777" w:rsidTr="00BA47D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351227F" w14:textId="77777777" w:rsidR="00F66614" w:rsidRPr="004F1F23" w:rsidRDefault="00F66614" w:rsidP="00BA47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F1F23">
              <w:rPr>
                <w:rFonts w:ascii="Arial Black" w:hAnsi="Arial Black"/>
                <w:caps/>
                <w:sz w:val="15"/>
                <w:lang w:val="fr-FR"/>
              </w:rPr>
              <w:t>CDIP/20/</w:t>
            </w:r>
            <w:bookmarkStart w:id="2" w:name="Code"/>
            <w:bookmarkEnd w:id="2"/>
            <w:r w:rsidRPr="004F1F23">
              <w:rPr>
                <w:rFonts w:ascii="Arial Black" w:hAnsi="Arial Black"/>
                <w:caps/>
                <w:sz w:val="15"/>
                <w:lang w:val="fr-FR"/>
              </w:rPr>
              <w:t>4</w:t>
            </w:r>
          </w:p>
        </w:tc>
      </w:tr>
      <w:tr w:rsidR="00AA2E73" w:rsidRPr="004F1F23" w14:paraId="6327C475" w14:textId="77777777" w:rsidTr="00BA47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57B3834" w14:textId="3B6AC995" w:rsidR="00F66614" w:rsidRPr="004F1F23" w:rsidRDefault="00F66614" w:rsidP="00BA47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F1F2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F1C73" w:rsidRPr="004F1F2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F1F2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4F1F2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66614" w:rsidRPr="004F1F23" w14:paraId="6BC466CF" w14:textId="77777777" w:rsidTr="00BA47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7A8A4BC" w14:textId="24F8195A" w:rsidR="00F66614" w:rsidRPr="004F1F23" w:rsidRDefault="00F66614" w:rsidP="00BA47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F1F2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F1C73" w:rsidRPr="004F1F2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F1F2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Pr="004F1F23">
              <w:rPr>
                <w:rFonts w:ascii="Arial Black" w:hAnsi="Arial Black"/>
                <w:caps/>
                <w:sz w:val="15"/>
                <w:lang w:val="fr-FR"/>
              </w:rPr>
              <w:t>27 septembre 2017</w:t>
            </w:r>
          </w:p>
        </w:tc>
      </w:tr>
    </w:tbl>
    <w:p w14:paraId="18AF776C" w14:textId="77777777" w:rsidR="00601CE4" w:rsidRPr="004F1F23" w:rsidRDefault="00601CE4" w:rsidP="00F66614">
      <w:pPr>
        <w:rPr>
          <w:lang w:val="fr-FR"/>
        </w:rPr>
      </w:pPr>
    </w:p>
    <w:p w14:paraId="1E852608" w14:textId="77777777" w:rsidR="00601CE4" w:rsidRPr="004F1F23" w:rsidRDefault="00601CE4" w:rsidP="00F66614">
      <w:pPr>
        <w:rPr>
          <w:lang w:val="fr-FR"/>
        </w:rPr>
      </w:pPr>
    </w:p>
    <w:p w14:paraId="7405A4B2" w14:textId="77777777" w:rsidR="00F66614" w:rsidRPr="004F1F23" w:rsidRDefault="00F66614" w:rsidP="00F66614">
      <w:pPr>
        <w:rPr>
          <w:lang w:val="fr-FR"/>
        </w:rPr>
      </w:pPr>
    </w:p>
    <w:p w14:paraId="121D0B9A" w14:textId="77777777" w:rsidR="001738B7" w:rsidRPr="004F1F23" w:rsidRDefault="001738B7" w:rsidP="00F66614">
      <w:pPr>
        <w:rPr>
          <w:lang w:val="fr-FR"/>
        </w:rPr>
      </w:pPr>
    </w:p>
    <w:p w14:paraId="7F52DF12" w14:textId="77777777" w:rsidR="001738B7" w:rsidRPr="004F1F23" w:rsidRDefault="001738B7" w:rsidP="00F66614">
      <w:pPr>
        <w:rPr>
          <w:lang w:val="fr-FR"/>
        </w:rPr>
      </w:pPr>
    </w:p>
    <w:p w14:paraId="1C9A28A3" w14:textId="77777777" w:rsidR="00601CE4" w:rsidRPr="004F1F23" w:rsidRDefault="00F66614" w:rsidP="00F66614">
      <w:pPr>
        <w:rPr>
          <w:b/>
          <w:sz w:val="28"/>
          <w:szCs w:val="28"/>
          <w:lang w:val="fr-FR"/>
        </w:rPr>
      </w:pPr>
      <w:r w:rsidRPr="004F1F23">
        <w:rPr>
          <w:b/>
          <w:sz w:val="28"/>
          <w:szCs w:val="28"/>
          <w:lang w:val="fr-FR"/>
        </w:rPr>
        <w:t>Comité du développement et de la propriété intellectuelle (CDIP)</w:t>
      </w:r>
    </w:p>
    <w:p w14:paraId="346CF8F3" w14:textId="7510B26E" w:rsidR="00F66614" w:rsidRPr="004F1F23" w:rsidRDefault="00F66614" w:rsidP="00F66614">
      <w:pPr>
        <w:rPr>
          <w:lang w:val="fr-FR"/>
        </w:rPr>
      </w:pPr>
    </w:p>
    <w:p w14:paraId="2944A45C" w14:textId="77777777" w:rsidR="001738B7" w:rsidRPr="004F1F23" w:rsidRDefault="001738B7" w:rsidP="00F66614">
      <w:pPr>
        <w:rPr>
          <w:lang w:val="fr-FR"/>
        </w:rPr>
      </w:pPr>
    </w:p>
    <w:p w14:paraId="539754EC" w14:textId="18BCF122" w:rsidR="00F66614" w:rsidRPr="004F1F23" w:rsidRDefault="00F66614" w:rsidP="00F66614">
      <w:pPr>
        <w:rPr>
          <w:b/>
          <w:sz w:val="24"/>
          <w:szCs w:val="24"/>
          <w:lang w:val="fr-FR"/>
        </w:rPr>
      </w:pPr>
      <w:r w:rsidRPr="004F1F23">
        <w:rPr>
          <w:b/>
          <w:sz w:val="24"/>
          <w:szCs w:val="24"/>
          <w:lang w:val="fr-FR"/>
        </w:rPr>
        <w:t>Vingt</w:t>
      </w:r>
      <w:r w:rsidR="004F1C73" w:rsidRPr="004F1F23">
        <w:rPr>
          <w:b/>
          <w:sz w:val="24"/>
          <w:szCs w:val="24"/>
          <w:lang w:val="fr-FR"/>
        </w:rPr>
        <w:t>ième session</w:t>
      </w:r>
    </w:p>
    <w:p w14:paraId="1B732C3F" w14:textId="77777777" w:rsidR="00601CE4" w:rsidRPr="004F1F23" w:rsidRDefault="00F66614" w:rsidP="00F66614">
      <w:pPr>
        <w:rPr>
          <w:b/>
          <w:sz w:val="24"/>
          <w:szCs w:val="24"/>
          <w:lang w:val="fr-FR"/>
        </w:rPr>
      </w:pPr>
      <w:r w:rsidRPr="004F1F23">
        <w:rPr>
          <w:b/>
          <w:sz w:val="24"/>
          <w:szCs w:val="24"/>
          <w:lang w:val="fr-FR"/>
        </w:rPr>
        <w:t>Genève, 2</w:t>
      </w:r>
      <w:r w:rsidR="002E5FB0" w:rsidRPr="004F1F23">
        <w:rPr>
          <w:b/>
          <w:sz w:val="24"/>
          <w:szCs w:val="24"/>
          <w:lang w:val="fr-FR"/>
        </w:rPr>
        <w:t>7 novembre –</w:t>
      </w:r>
      <w:r w:rsidR="004F1C73" w:rsidRPr="004F1F23">
        <w:rPr>
          <w:b/>
          <w:sz w:val="24"/>
          <w:szCs w:val="24"/>
          <w:lang w:val="fr-FR"/>
        </w:rPr>
        <w:t xml:space="preserve"> 1</w:t>
      </w:r>
      <w:r w:rsidR="004F1C73" w:rsidRPr="004F1F23">
        <w:rPr>
          <w:b/>
          <w:sz w:val="24"/>
          <w:szCs w:val="24"/>
          <w:vertAlign w:val="superscript"/>
          <w:lang w:val="fr-FR"/>
        </w:rPr>
        <w:t>er</w:t>
      </w:r>
      <w:r w:rsidR="004F1C73" w:rsidRPr="004F1F23">
        <w:rPr>
          <w:b/>
          <w:sz w:val="24"/>
          <w:szCs w:val="24"/>
          <w:lang w:val="fr-FR"/>
        </w:rPr>
        <w:t> </w:t>
      </w:r>
      <w:r w:rsidR="002E5FB0" w:rsidRPr="004F1F23">
        <w:rPr>
          <w:b/>
          <w:sz w:val="24"/>
          <w:szCs w:val="24"/>
          <w:lang w:val="fr-FR"/>
        </w:rPr>
        <w:t>décembre 20</w:t>
      </w:r>
      <w:r w:rsidRPr="004F1F23">
        <w:rPr>
          <w:b/>
          <w:sz w:val="24"/>
          <w:szCs w:val="24"/>
          <w:lang w:val="fr-FR"/>
        </w:rPr>
        <w:t>17</w:t>
      </w:r>
    </w:p>
    <w:p w14:paraId="2C75211D" w14:textId="77777777" w:rsidR="00601CE4" w:rsidRPr="004F1F23" w:rsidRDefault="00601CE4" w:rsidP="00F66614">
      <w:pPr>
        <w:rPr>
          <w:lang w:val="fr-FR"/>
        </w:rPr>
      </w:pPr>
    </w:p>
    <w:p w14:paraId="496229C6" w14:textId="77777777" w:rsidR="001738B7" w:rsidRPr="004F1F23" w:rsidRDefault="001738B7" w:rsidP="00F66614">
      <w:pPr>
        <w:rPr>
          <w:lang w:val="fr-FR"/>
        </w:rPr>
      </w:pPr>
    </w:p>
    <w:p w14:paraId="55E96E4A" w14:textId="77777777" w:rsidR="001738B7" w:rsidRPr="004F1F23" w:rsidRDefault="001738B7" w:rsidP="00F66614">
      <w:pPr>
        <w:rPr>
          <w:lang w:val="fr-FR"/>
        </w:rPr>
      </w:pPr>
    </w:p>
    <w:p w14:paraId="7BD2C1CC" w14:textId="77777777" w:rsidR="00601CE4" w:rsidRPr="004F1F23" w:rsidRDefault="006F6B20" w:rsidP="00AA2E73">
      <w:pPr>
        <w:rPr>
          <w:caps/>
          <w:sz w:val="24"/>
          <w:lang w:val="fr-FR"/>
        </w:rPr>
      </w:pPr>
      <w:r w:rsidRPr="004F1F23">
        <w:rPr>
          <w:caps/>
          <w:sz w:val="24"/>
          <w:lang w:val="fr-FR"/>
        </w:rPr>
        <w:t>S</w:t>
      </w:r>
      <w:r w:rsidR="00985204" w:rsidRPr="004F1F23">
        <w:rPr>
          <w:caps/>
          <w:sz w:val="24"/>
          <w:lang w:val="fr-FR"/>
        </w:rPr>
        <w:t xml:space="preserve">uivi du </w:t>
      </w:r>
      <w:r w:rsidRPr="004F1F23">
        <w:rPr>
          <w:caps/>
          <w:sz w:val="24"/>
          <w:lang w:val="fr-FR"/>
        </w:rPr>
        <w:t>p</w:t>
      </w:r>
      <w:r w:rsidR="00985204" w:rsidRPr="004F1F23">
        <w:rPr>
          <w:caps/>
          <w:sz w:val="24"/>
          <w:lang w:val="fr-FR"/>
        </w:rPr>
        <w:t>rojet pilote sur la propriété intellectuelle et la gestion des dessins et modèles pour le développement des entreprises dans les pays en développement et les pays les moins avancés (PMA)</w:t>
      </w:r>
    </w:p>
    <w:p w14:paraId="7738F328" w14:textId="77777777" w:rsidR="001738B7" w:rsidRPr="004F1F23" w:rsidRDefault="001738B7" w:rsidP="00AA2E73">
      <w:pPr>
        <w:rPr>
          <w:caps/>
          <w:sz w:val="24"/>
          <w:lang w:val="fr-FR"/>
        </w:rPr>
      </w:pPr>
    </w:p>
    <w:p w14:paraId="40618F77" w14:textId="77777777" w:rsidR="00601CE4" w:rsidRPr="004F1F23" w:rsidRDefault="00985204" w:rsidP="00AA2E73">
      <w:pPr>
        <w:rPr>
          <w:i/>
          <w:lang w:val="fr-FR"/>
        </w:rPr>
      </w:pPr>
      <w:bookmarkStart w:id="5" w:name="Prepared"/>
      <w:bookmarkEnd w:id="5"/>
      <w:proofErr w:type="gramStart"/>
      <w:r w:rsidRPr="004F1F23">
        <w:rPr>
          <w:i/>
          <w:lang w:val="fr-FR"/>
        </w:rPr>
        <w:t>établi</w:t>
      </w:r>
      <w:proofErr w:type="gramEnd"/>
      <w:r w:rsidRPr="004F1F23">
        <w:rPr>
          <w:i/>
          <w:lang w:val="fr-FR"/>
        </w:rPr>
        <w:t xml:space="preserve"> par le Secrétariat</w:t>
      </w:r>
    </w:p>
    <w:p w14:paraId="79C993E8" w14:textId="77777777" w:rsidR="00601CE4" w:rsidRPr="004F1F23" w:rsidRDefault="00601CE4" w:rsidP="00AA2E73">
      <w:pPr>
        <w:rPr>
          <w:lang w:val="fr-FR"/>
        </w:rPr>
      </w:pPr>
    </w:p>
    <w:p w14:paraId="5ED54369" w14:textId="77777777" w:rsidR="001738B7" w:rsidRPr="004F1F23" w:rsidRDefault="001738B7" w:rsidP="00AA2E73">
      <w:pPr>
        <w:rPr>
          <w:lang w:val="fr-FR"/>
        </w:rPr>
      </w:pPr>
    </w:p>
    <w:p w14:paraId="188146E0" w14:textId="77777777" w:rsidR="001738B7" w:rsidRPr="004F1F23" w:rsidRDefault="001738B7" w:rsidP="00AA2E73">
      <w:pPr>
        <w:rPr>
          <w:lang w:val="fr-FR"/>
        </w:rPr>
      </w:pPr>
    </w:p>
    <w:p w14:paraId="2D3DE9BF" w14:textId="77777777" w:rsidR="00601CE4" w:rsidRPr="004F1F23" w:rsidRDefault="00AA2E73" w:rsidP="00AA2E73">
      <w:pPr>
        <w:pStyle w:val="Heading2"/>
        <w:rPr>
          <w:lang w:val="fr-FR"/>
        </w:rPr>
      </w:pPr>
      <w:r w:rsidRPr="004F1F23">
        <w:rPr>
          <w:lang w:val="fr-FR"/>
        </w:rPr>
        <w:t>Informati</w:t>
      </w:r>
      <w:r w:rsidR="00BD3E06" w:rsidRPr="004F1F23">
        <w:rPr>
          <w:lang w:val="fr-FR"/>
        </w:rPr>
        <w:t>ons générales</w:t>
      </w:r>
    </w:p>
    <w:p w14:paraId="3288C1FD" w14:textId="77777777" w:rsidR="001738B7" w:rsidRPr="004F1F23" w:rsidRDefault="001738B7" w:rsidP="001738B7">
      <w:pPr>
        <w:rPr>
          <w:lang w:val="fr-FR"/>
        </w:rPr>
      </w:pPr>
    </w:p>
    <w:p w14:paraId="4A41AFA3" w14:textId="453C16A7" w:rsidR="00AA2E73" w:rsidRPr="004F1F23" w:rsidRDefault="00826E20" w:rsidP="00AA2E73">
      <w:pPr>
        <w:pStyle w:val="ONUMFS"/>
        <w:rPr>
          <w:lang w:val="fr-FR"/>
        </w:rPr>
      </w:pPr>
      <w:r w:rsidRPr="004F1F23">
        <w:rPr>
          <w:lang w:val="fr-FR"/>
        </w:rPr>
        <w:t>Il est rappelé que, suite à une proposition de la République de Corée présentée à la onz</w:t>
      </w:r>
      <w:r w:rsidR="004F1C73" w:rsidRPr="004F1F23">
        <w:rPr>
          <w:lang w:val="fr-FR"/>
        </w:rPr>
        <w:t>ième session</w:t>
      </w:r>
      <w:r w:rsidR="002E5FB0" w:rsidRPr="004F1F23">
        <w:rPr>
          <w:lang w:val="fr-FR"/>
        </w:rPr>
        <w:t xml:space="preserve"> du CDI</w:t>
      </w:r>
      <w:r w:rsidRPr="004F1F23">
        <w:rPr>
          <w:lang w:val="fr-FR"/>
        </w:rPr>
        <w:t>P tenue du 13 au 1</w:t>
      </w:r>
      <w:r w:rsidR="002E5FB0" w:rsidRPr="004F1F23">
        <w:rPr>
          <w:lang w:val="fr-FR"/>
        </w:rPr>
        <w:t>7 mai 20</w:t>
      </w:r>
      <w:r w:rsidRPr="004F1F23">
        <w:rPr>
          <w:lang w:val="fr-FR"/>
        </w:rPr>
        <w:t>13</w:t>
      </w:r>
      <w:r w:rsidRPr="004F1F23">
        <w:rPr>
          <w:rStyle w:val="FootnoteReference"/>
          <w:lang w:val="fr-FR"/>
        </w:rPr>
        <w:footnoteReference w:id="2"/>
      </w:r>
      <w:r w:rsidRPr="004F1F23">
        <w:rPr>
          <w:lang w:val="fr-FR"/>
        </w:rPr>
        <w:t>, le comité a approuvé, à sa douz</w:t>
      </w:r>
      <w:r w:rsidR="004F1C73" w:rsidRPr="004F1F23">
        <w:rPr>
          <w:lang w:val="fr-FR"/>
        </w:rPr>
        <w:t>ième session</w:t>
      </w:r>
      <w:r w:rsidRPr="004F1F23">
        <w:rPr>
          <w:lang w:val="fr-FR"/>
        </w:rPr>
        <w:t xml:space="preserve"> tenue du 18 au 2</w:t>
      </w:r>
      <w:r w:rsidR="002E5FB0" w:rsidRPr="004F1F23">
        <w:rPr>
          <w:lang w:val="fr-FR"/>
        </w:rPr>
        <w:t>1 novembre 20</w:t>
      </w:r>
      <w:r w:rsidRPr="004F1F23">
        <w:rPr>
          <w:lang w:val="fr-FR"/>
        </w:rPr>
        <w:t>13, le “Projet pilote sur la propriété intellectuelle et la gestion des dessins et modèles pour le développement des entreprises dans les pays en développement et les pays les moins avancés (PMA)”</w:t>
      </w:r>
      <w:r w:rsidRPr="004F1F23">
        <w:rPr>
          <w:rStyle w:val="FootnoteReference"/>
          <w:lang w:val="fr-FR"/>
        </w:rPr>
        <w:footnoteReference w:id="3"/>
      </w:r>
      <w:r w:rsidRPr="004F1F23">
        <w:rPr>
          <w:lang w:val="fr-FR"/>
        </w:rPr>
        <w:t>.</w:t>
      </w:r>
      <w:r w:rsidR="007E4D19" w:rsidRPr="004F1F23">
        <w:rPr>
          <w:lang w:val="fr-FR"/>
        </w:rPr>
        <w:t xml:space="preserve">  </w:t>
      </w:r>
      <w:r w:rsidRPr="004F1F23">
        <w:rPr>
          <w:lang w:val="fr-FR"/>
        </w:rPr>
        <w:t xml:space="preserve">Le projet a été lancé en </w:t>
      </w:r>
      <w:r w:rsidR="002E5FB0" w:rsidRPr="004F1F23">
        <w:rPr>
          <w:lang w:val="fr-FR"/>
        </w:rPr>
        <w:t>janvier 20</w:t>
      </w:r>
      <w:r w:rsidRPr="004F1F23">
        <w:rPr>
          <w:lang w:val="fr-FR"/>
        </w:rPr>
        <w:t>14 et, après des activités préparatoires et des consultations avec les États membres, l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Argentine et le Maroc ont été choisis comme pays bénéficiair</w:t>
      </w:r>
      <w:r w:rsidR="006F6B20" w:rsidRPr="004F1F23">
        <w:rPr>
          <w:lang w:val="fr-FR"/>
        </w:rPr>
        <w:t>es.  Un</w:t>
      </w:r>
      <w:r w:rsidR="007770F3" w:rsidRPr="004F1F23">
        <w:rPr>
          <w:lang w:val="fr-FR"/>
        </w:rPr>
        <w:t xml:space="preserve">e assistance technique a été apportée </w:t>
      </w:r>
      <w:r w:rsidR="007E7105" w:rsidRPr="004F1F23">
        <w:rPr>
          <w:lang w:val="fr-FR"/>
        </w:rPr>
        <w:t>à des</w:t>
      </w:r>
      <w:r w:rsidR="007770F3" w:rsidRPr="004F1F23">
        <w:rPr>
          <w:lang w:val="fr-FR"/>
        </w:rPr>
        <w:t xml:space="preserve"> entreprises de ces deux</w:t>
      </w:r>
      <w:r w:rsidR="0013560F" w:rsidRPr="004F1F23">
        <w:rPr>
          <w:lang w:val="fr-FR"/>
        </w:rPr>
        <w:t> </w:t>
      </w:r>
      <w:r w:rsidR="007770F3" w:rsidRPr="004F1F23">
        <w:rPr>
          <w:lang w:val="fr-FR"/>
        </w:rPr>
        <w:t xml:space="preserve">pays entre la fin </w:t>
      </w:r>
      <w:r w:rsidR="002E5FB0" w:rsidRPr="004F1F23">
        <w:rPr>
          <w:lang w:val="fr-FR"/>
        </w:rPr>
        <w:t>de 2014</w:t>
      </w:r>
      <w:r w:rsidR="007770F3" w:rsidRPr="004F1F23">
        <w:rPr>
          <w:lang w:val="fr-FR"/>
        </w:rPr>
        <w:t xml:space="preserve"> et </w:t>
      </w:r>
      <w:r w:rsidR="002E5FB0" w:rsidRPr="004F1F23">
        <w:rPr>
          <w:lang w:val="fr-FR"/>
        </w:rPr>
        <w:t>décembre 20</w:t>
      </w:r>
      <w:r w:rsidR="007770F3" w:rsidRPr="004F1F23">
        <w:rPr>
          <w:lang w:val="fr-FR"/>
        </w:rPr>
        <w:t>16.</w:t>
      </w:r>
    </w:p>
    <w:p w14:paraId="5FC8FBA6" w14:textId="6067110A" w:rsidR="00AA2E73" w:rsidRPr="004F1F23" w:rsidRDefault="007770F3" w:rsidP="00AA2E73">
      <w:pPr>
        <w:pStyle w:val="ONUMFS"/>
        <w:rPr>
          <w:lang w:val="fr-FR"/>
        </w:rPr>
      </w:pPr>
      <w:r w:rsidRPr="004F1F23">
        <w:rPr>
          <w:lang w:val="fr-FR"/>
        </w:rPr>
        <w:t>Un rapport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évaluation du projet a été examiné par</w:t>
      </w:r>
      <w:r w:rsidR="002E5FB0" w:rsidRPr="004F1F23">
        <w:rPr>
          <w:lang w:val="fr-FR"/>
        </w:rPr>
        <w:t xml:space="preserve"> le CDI</w:t>
      </w:r>
      <w:r w:rsidRPr="004F1F23">
        <w:rPr>
          <w:lang w:val="fr-FR"/>
        </w:rPr>
        <w:t>P à sa dix</w:t>
      </w:r>
      <w:r w:rsidR="006F6B20" w:rsidRPr="004F1F23">
        <w:rPr>
          <w:lang w:val="fr-FR"/>
        </w:rPr>
        <w:noBreakHyphen/>
      </w:r>
      <w:r w:rsidRPr="004F1F23">
        <w:rPr>
          <w:lang w:val="fr-FR"/>
        </w:rPr>
        <w:t>neuv</w:t>
      </w:r>
      <w:r w:rsidR="004F1C73" w:rsidRPr="004F1F23">
        <w:rPr>
          <w:lang w:val="fr-FR"/>
        </w:rPr>
        <w:t>ième session</w:t>
      </w:r>
      <w:r w:rsidRPr="004F1F23">
        <w:rPr>
          <w:lang w:val="fr-FR"/>
        </w:rPr>
        <w:t xml:space="preserve"> tenue du 15 au 1</w:t>
      </w:r>
      <w:r w:rsidR="002E5FB0" w:rsidRPr="004F1F23">
        <w:rPr>
          <w:lang w:val="fr-FR"/>
        </w:rPr>
        <w:t>9 mai 20</w:t>
      </w:r>
      <w:r w:rsidRPr="004F1F23">
        <w:rPr>
          <w:lang w:val="fr-FR"/>
        </w:rPr>
        <w:t>17</w:t>
      </w:r>
      <w:r w:rsidRPr="004F1F23">
        <w:rPr>
          <w:rStyle w:val="FootnoteReference"/>
          <w:lang w:val="fr-FR"/>
        </w:rPr>
        <w:footnoteReference w:id="4"/>
      </w:r>
      <w:r w:rsidRPr="004F1F23">
        <w:rPr>
          <w:lang w:val="fr-FR"/>
        </w:rPr>
        <w:t>.</w:t>
      </w:r>
      <w:r w:rsidR="008621C0" w:rsidRPr="004F1F23">
        <w:rPr>
          <w:lang w:val="fr-FR"/>
        </w:rPr>
        <w:t xml:space="preserve">  </w:t>
      </w:r>
      <w:r w:rsidRPr="004F1F23">
        <w:rPr>
          <w:lang w:val="fr-FR"/>
        </w:rPr>
        <w:t>L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évaluation a été réalisée par M.</w:t>
      </w:r>
      <w:r w:rsidR="0013560F" w:rsidRPr="004F1F23">
        <w:rPr>
          <w:lang w:val="fr-FR"/>
        </w:rPr>
        <w:t> </w:t>
      </w:r>
      <w:r w:rsidRPr="004F1F23">
        <w:rPr>
          <w:lang w:val="fr-FR"/>
        </w:rPr>
        <w:t>Daniel</w:t>
      </w:r>
      <w:r w:rsidR="004F1C73" w:rsidRPr="004F1F23">
        <w:rPr>
          <w:lang w:val="fr-FR"/>
        </w:rPr>
        <w:t> </w:t>
      </w:r>
      <w:r w:rsidRPr="004F1F23">
        <w:rPr>
          <w:lang w:val="fr-FR"/>
        </w:rPr>
        <w:t xml:space="preserve">Keller, consultant pour </w:t>
      </w:r>
      <w:proofErr w:type="spellStart"/>
      <w:r w:rsidRPr="004F1F23">
        <w:rPr>
          <w:lang w:val="fr-FR"/>
        </w:rPr>
        <w:t>EvalCo</w:t>
      </w:r>
      <w:proofErr w:type="spellEnd"/>
      <w:r w:rsidRPr="004F1F23">
        <w:rPr>
          <w:lang w:val="fr-FR"/>
        </w:rPr>
        <w:t xml:space="preserve"> </w:t>
      </w:r>
      <w:proofErr w:type="spellStart"/>
      <w:r w:rsidRPr="004F1F23">
        <w:rPr>
          <w:lang w:val="fr-FR"/>
        </w:rPr>
        <w:t>Sàrl</w:t>
      </w:r>
      <w:proofErr w:type="spellEnd"/>
      <w:r w:rsidRPr="004F1F23">
        <w:rPr>
          <w:lang w:val="fr-FR"/>
        </w:rPr>
        <w:t xml:space="preserve"> à </w:t>
      </w:r>
      <w:proofErr w:type="spellStart"/>
      <w:r w:rsidRPr="004F1F23">
        <w:rPr>
          <w:lang w:val="fr-FR"/>
        </w:rPr>
        <w:t>Évilard</w:t>
      </w:r>
      <w:proofErr w:type="spellEnd"/>
      <w:r w:rsidRPr="004F1F23">
        <w:rPr>
          <w:lang w:val="fr-FR"/>
        </w:rPr>
        <w:t xml:space="preserve"> (Suis</w:t>
      </w:r>
      <w:r w:rsidR="006F6B20" w:rsidRPr="004F1F23">
        <w:rPr>
          <w:lang w:val="fr-FR"/>
        </w:rPr>
        <w:t>se).  Le</w:t>
      </w:r>
      <w:r w:rsidR="00FE19B0" w:rsidRPr="004F1F23">
        <w:rPr>
          <w:lang w:val="fr-FR"/>
        </w:rPr>
        <w:t xml:space="preserve"> rapport cont</w:t>
      </w:r>
      <w:r w:rsidR="004C3647" w:rsidRPr="004F1F23">
        <w:rPr>
          <w:lang w:val="fr-FR"/>
        </w:rPr>
        <w:t xml:space="preserve">enait </w:t>
      </w:r>
      <w:r w:rsidR="00FE19B0" w:rsidRPr="004F1F23">
        <w:rPr>
          <w:lang w:val="fr-FR"/>
        </w:rPr>
        <w:t>des conclusions et une évaluation concernant les aspects suivants du projet</w:t>
      </w:r>
      <w:r w:rsidR="004F1C73" w:rsidRPr="004F1F23">
        <w:rPr>
          <w:lang w:val="fr-FR"/>
        </w:rPr>
        <w:t> :</w:t>
      </w:r>
      <w:r w:rsidR="00FE19B0" w:rsidRPr="004F1F23">
        <w:rPr>
          <w:lang w:val="fr-FR"/>
        </w:rPr>
        <w:t xml:space="preserve"> a)</w:t>
      </w:r>
      <w:r w:rsidR="0013560F" w:rsidRPr="004F1F23">
        <w:rPr>
          <w:lang w:val="fr-FR"/>
        </w:rPr>
        <w:t> </w:t>
      </w:r>
      <w:r w:rsidR="00FE19B0" w:rsidRPr="004F1F23">
        <w:rPr>
          <w:lang w:val="fr-FR"/>
        </w:rPr>
        <w:t>préparation et gestion du projet;  b)</w:t>
      </w:r>
      <w:r w:rsidR="0013560F" w:rsidRPr="004F1F23">
        <w:rPr>
          <w:lang w:val="fr-FR"/>
        </w:rPr>
        <w:t> </w:t>
      </w:r>
      <w:r w:rsidR="00FE19B0" w:rsidRPr="004F1F23">
        <w:rPr>
          <w:lang w:val="fr-FR"/>
        </w:rPr>
        <w:t>pertinence;  c)</w:t>
      </w:r>
      <w:r w:rsidR="0013560F" w:rsidRPr="004F1F23">
        <w:rPr>
          <w:lang w:val="fr-FR"/>
        </w:rPr>
        <w:t> </w:t>
      </w:r>
      <w:r w:rsidR="00FE19B0" w:rsidRPr="004F1F23">
        <w:rPr>
          <w:lang w:val="fr-FR"/>
        </w:rPr>
        <w:t>efficacité;  d)</w:t>
      </w:r>
      <w:r w:rsidR="0013560F" w:rsidRPr="004F1F23">
        <w:rPr>
          <w:lang w:val="fr-FR"/>
        </w:rPr>
        <w:t> </w:t>
      </w:r>
      <w:r w:rsidR="00FE19B0" w:rsidRPr="004F1F23">
        <w:rPr>
          <w:lang w:val="fr-FR"/>
        </w:rPr>
        <w:t>efficience;  e)</w:t>
      </w:r>
      <w:r w:rsidR="0013560F" w:rsidRPr="004F1F23">
        <w:rPr>
          <w:lang w:val="fr-FR"/>
        </w:rPr>
        <w:t> </w:t>
      </w:r>
      <w:r w:rsidR="00FE19B0" w:rsidRPr="004F1F23">
        <w:rPr>
          <w:lang w:val="fr-FR"/>
        </w:rPr>
        <w:t>degré de viabilité des résultats;  et</w:t>
      </w:r>
      <w:r w:rsidR="006F6B20" w:rsidRPr="004F1F23">
        <w:rPr>
          <w:lang w:val="fr-FR"/>
        </w:rPr>
        <w:t> </w:t>
      </w:r>
      <w:r w:rsidR="00FE19B0" w:rsidRPr="004F1F23">
        <w:rPr>
          <w:lang w:val="fr-FR"/>
        </w:rPr>
        <w:t>f) égalité hommes</w:t>
      </w:r>
      <w:r w:rsidR="006F6B20" w:rsidRPr="004F1F23">
        <w:rPr>
          <w:lang w:val="fr-FR"/>
        </w:rPr>
        <w:noBreakHyphen/>
      </w:r>
      <w:r w:rsidR="00FE19B0" w:rsidRPr="004F1F23">
        <w:rPr>
          <w:lang w:val="fr-FR"/>
        </w:rPr>
        <w:t>femm</w:t>
      </w:r>
      <w:r w:rsidR="006F6B20" w:rsidRPr="004F1F23">
        <w:rPr>
          <w:lang w:val="fr-FR"/>
        </w:rPr>
        <w:t>es.  Il</w:t>
      </w:r>
      <w:r w:rsidR="004F1F23" w:rsidRPr="004F1F23">
        <w:rPr>
          <w:lang w:val="fr-FR"/>
        </w:rPr>
        <w:t> </w:t>
      </w:r>
      <w:r w:rsidR="004C3647" w:rsidRPr="004F1F23">
        <w:rPr>
          <w:lang w:val="fr-FR"/>
        </w:rPr>
        <w:t xml:space="preserve">présentait </w:t>
      </w:r>
      <w:r w:rsidR="00895D99" w:rsidRPr="004F1F23">
        <w:rPr>
          <w:lang w:val="fr-FR"/>
        </w:rPr>
        <w:t>également plusieurs conclusions et recommandations.</w:t>
      </w:r>
    </w:p>
    <w:p w14:paraId="6F4DA1C7" w14:textId="43449FD3" w:rsidR="00AA2E73" w:rsidRPr="004F1F23" w:rsidRDefault="00895D99" w:rsidP="00AA2E73">
      <w:pPr>
        <w:pStyle w:val="ONUMFS"/>
        <w:rPr>
          <w:lang w:val="fr-FR"/>
        </w:rPr>
      </w:pPr>
      <w:r w:rsidRPr="004F1F23">
        <w:rPr>
          <w:lang w:val="fr-FR"/>
        </w:rPr>
        <w:lastRenderedPageBreak/>
        <w:t>Après examen du rapport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évaluation par</w:t>
      </w:r>
      <w:r w:rsidR="002E5FB0" w:rsidRPr="004F1F23">
        <w:rPr>
          <w:lang w:val="fr-FR"/>
        </w:rPr>
        <w:t xml:space="preserve"> le CDI</w:t>
      </w:r>
      <w:r w:rsidRPr="004F1F23">
        <w:rPr>
          <w:lang w:val="fr-FR"/>
        </w:rPr>
        <w:t>P, le président du comité a adopté la conclusion suivante dans son résumé</w:t>
      </w:r>
      <w:r w:rsidR="004F1C73" w:rsidRPr="004F1F23">
        <w:rPr>
          <w:lang w:val="fr-FR"/>
        </w:rPr>
        <w:t> :</w:t>
      </w:r>
    </w:p>
    <w:p w14:paraId="286E0417" w14:textId="77777777" w:rsidR="00AA2E73" w:rsidRPr="004F1F23" w:rsidRDefault="004F1C73" w:rsidP="00D964FD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F1F23">
        <w:rPr>
          <w:lang w:val="fr-FR"/>
        </w:rPr>
        <w:t>“</w:t>
      </w:r>
      <w:r w:rsidR="00895D99" w:rsidRPr="004F1F23">
        <w:rPr>
          <w:lang w:val="fr-FR"/>
        </w:rPr>
        <w:t>Le comité a pris note du [rapport d</w:t>
      </w:r>
      <w:r w:rsidRPr="004F1F23">
        <w:rPr>
          <w:lang w:val="fr-FR"/>
        </w:rPr>
        <w:t>’</w:t>
      </w:r>
      <w:r w:rsidR="00895D99" w:rsidRPr="004F1F23">
        <w:rPr>
          <w:lang w:val="fr-FR"/>
        </w:rPr>
        <w:t>évaluation].</w:t>
      </w:r>
      <w:r w:rsidR="007E4D19" w:rsidRPr="004F1F23">
        <w:rPr>
          <w:lang w:val="fr-FR"/>
        </w:rPr>
        <w:t xml:space="preserve">  </w:t>
      </w:r>
      <w:r w:rsidR="00895D99" w:rsidRPr="004F1F23">
        <w:rPr>
          <w:lang w:val="fr-FR"/>
        </w:rPr>
        <w:t>Le comité a recommandé une phase</w:t>
      </w:r>
      <w:r w:rsidRPr="004F1F23">
        <w:rPr>
          <w:lang w:val="fr-FR"/>
        </w:rPr>
        <w:t> </w:t>
      </w:r>
      <w:r w:rsidR="00895D99" w:rsidRPr="004F1F23">
        <w:rPr>
          <w:lang w:val="fr-FR"/>
        </w:rPr>
        <w:t>II pour le proj</w:t>
      </w:r>
      <w:r w:rsidR="006F6B20" w:rsidRPr="004F1F23">
        <w:rPr>
          <w:lang w:val="fr-FR"/>
        </w:rPr>
        <w:t>et.  Le</w:t>
      </w:r>
      <w:r w:rsidR="00895D99" w:rsidRPr="004F1F23">
        <w:rPr>
          <w:lang w:val="fr-FR"/>
        </w:rPr>
        <w:t xml:space="preserve"> Secrétariat bénéficiait d</w:t>
      </w:r>
      <w:r w:rsidRPr="004F1F23">
        <w:rPr>
          <w:lang w:val="fr-FR"/>
        </w:rPr>
        <w:t>’</w:t>
      </w:r>
      <w:r w:rsidR="00895D99" w:rsidRPr="004F1F23">
        <w:rPr>
          <w:lang w:val="fr-FR"/>
        </w:rPr>
        <w:t>une marge de manœuvre s</w:t>
      </w:r>
      <w:r w:rsidRPr="004F1F23">
        <w:rPr>
          <w:lang w:val="fr-FR"/>
        </w:rPr>
        <w:t>’</w:t>
      </w:r>
      <w:r w:rsidR="00895D99" w:rsidRPr="004F1F23">
        <w:rPr>
          <w:lang w:val="fr-FR"/>
        </w:rPr>
        <w:t>agissant d</w:t>
      </w:r>
      <w:r w:rsidRPr="004F1F23">
        <w:rPr>
          <w:lang w:val="fr-FR"/>
        </w:rPr>
        <w:t>’</w:t>
      </w:r>
      <w:r w:rsidR="00895D99" w:rsidRPr="004F1F23">
        <w:rPr>
          <w:lang w:val="fr-FR"/>
        </w:rPr>
        <w:t>évaluer la faisabilité de la mise en œuvre des activités dans le cadre soit d</w:t>
      </w:r>
      <w:r w:rsidRPr="004F1F23">
        <w:rPr>
          <w:lang w:val="fr-FR"/>
        </w:rPr>
        <w:t>’</w:t>
      </w:r>
      <w:r w:rsidR="00895D99" w:rsidRPr="004F1F23">
        <w:rPr>
          <w:lang w:val="fr-FR"/>
        </w:rPr>
        <w:t>une phase</w:t>
      </w:r>
      <w:r w:rsidRPr="004F1F23">
        <w:rPr>
          <w:lang w:val="fr-FR"/>
        </w:rPr>
        <w:t> </w:t>
      </w:r>
      <w:r w:rsidR="00895D99" w:rsidRPr="004F1F23">
        <w:rPr>
          <w:lang w:val="fr-FR"/>
        </w:rPr>
        <w:t>II du projet soit des activités ordinaires de l</w:t>
      </w:r>
      <w:r w:rsidRPr="004F1F23">
        <w:rPr>
          <w:lang w:val="fr-FR"/>
        </w:rPr>
        <w:t>’</w:t>
      </w:r>
      <w:r w:rsidR="00895D99" w:rsidRPr="004F1F23">
        <w:rPr>
          <w:lang w:val="fr-FR"/>
        </w:rPr>
        <w:t>Organisati</w:t>
      </w:r>
      <w:r w:rsidR="006F6B20" w:rsidRPr="004F1F23">
        <w:rPr>
          <w:lang w:val="fr-FR"/>
        </w:rPr>
        <w:t>on.  Le</w:t>
      </w:r>
      <w:r w:rsidR="00895D99" w:rsidRPr="004F1F23">
        <w:rPr>
          <w:lang w:val="fr-FR"/>
        </w:rPr>
        <w:t xml:space="preserve"> comité a prié le Secrétariat de présenter à sa prochaine session un rapport concernant sa décision de mettre en œuvre la phase</w:t>
      </w:r>
      <w:r w:rsidRPr="004F1F23">
        <w:rPr>
          <w:lang w:val="fr-FR"/>
        </w:rPr>
        <w:t> </w:t>
      </w:r>
      <w:r w:rsidR="00895D99" w:rsidRPr="004F1F23">
        <w:rPr>
          <w:lang w:val="fr-FR"/>
        </w:rPr>
        <w:t>II.</w:t>
      </w:r>
      <w:r w:rsidRPr="004F1F23">
        <w:rPr>
          <w:lang w:val="fr-FR"/>
        </w:rPr>
        <w:t>”</w:t>
      </w:r>
      <w:r w:rsidR="00895D99" w:rsidRPr="004F1F23">
        <w:rPr>
          <w:rStyle w:val="FootnoteReference"/>
          <w:lang w:val="fr-FR"/>
        </w:rPr>
        <w:footnoteReference w:id="5"/>
      </w:r>
    </w:p>
    <w:p w14:paraId="32EE468B" w14:textId="77777777" w:rsidR="00601CE4" w:rsidRPr="004F1F23" w:rsidRDefault="0060085C" w:rsidP="00AA2E73">
      <w:pPr>
        <w:pStyle w:val="ONUMFS"/>
        <w:rPr>
          <w:lang w:val="fr-FR"/>
        </w:rPr>
      </w:pPr>
      <w:r w:rsidRPr="004F1F23">
        <w:rPr>
          <w:lang w:val="fr-FR"/>
        </w:rPr>
        <w:t>Le présent document constitue le rapport du Secrétariat demandé par le comité.</w:t>
      </w:r>
    </w:p>
    <w:p w14:paraId="17DB762F" w14:textId="4420B984" w:rsidR="00601CE4" w:rsidRPr="004F1F23" w:rsidRDefault="00385AB1" w:rsidP="00385AB1">
      <w:pPr>
        <w:pStyle w:val="Heading2"/>
        <w:rPr>
          <w:lang w:val="fr-FR"/>
        </w:rPr>
      </w:pPr>
      <w:r w:rsidRPr="004F1F23">
        <w:rPr>
          <w:lang w:val="fr-FR"/>
        </w:rPr>
        <w:t>Principes directeurs</w:t>
      </w:r>
    </w:p>
    <w:p w14:paraId="4386CCBE" w14:textId="77777777" w:rsidR="001738B7" w:rsidRPr="004F1F23" w:rsidRDefault="001738B7" w:rsidP="001738B7">
      <w:pPr>
        <w:rPr>
          <w:lang w:val="fr-FR"/>
        </w:rPr>
      </w:pPr>
    </w:p>
    <w:p w14:paraId="45D192C0" w14:textId="7A15228D" w:rsidR="00AA2E73" w:rsidRPr="004F1F23" w:rsidRDefault="00183C31" w:rsidP="00AA2E73">
      <w:pPr>
        <w:pStyle w:val="ONUMFS"/>
        <w:rPr>
          <w:lang w:val="fr-FR"/>
        </w:rPr>
      </w:pPr>
      <w:r w:rsidRPr="004F1F23">
        <w:rPr>
          <w:lang w:val="fr-FR"/>
        </w:rPr>
        <w:t>Pour le suivi du projet, le Secrétariat s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 xml:space="preserve">est </w:t>
      </w:r>
      <w:r w:rsidR="007E7105" w:rsidRPr="004F1F23">
        <w:rPr>
          <w:lang w:val="fr-FR"/>
        </w:rPr>
        <w:t>appuyé sur les</w:t>
      </w:r>
      <w:r w:rsidRPr="004F1F23">
        <w:rPr>
          <w:lang w:val="fr-FR"/>
        </w:rPr>
        <w:t xml:space="preserve"> trois</w:t>
      </w:r>
      <w:r w:rsidR="0013560F" w:rsidRPr="004F1F23">
        <w:rPr>
          <w:lang w:val="fr-FR"/>
        </w:rPr>
        <w:t> </w:t>
      </w:r>
      <w:r w:rsidRPr="004F1F23">
        <w:rPr>
          <w:lang w:val="fr-FR"/>
        </w:rPr>
        <w:t>principes suivants</w:t>
      </w:r>
      <w:r w:rsidR="004F1C73" w:rsidRPr="004F1F23">
        <w:rPr>
          <w:lang w:val="fr-FR"/>
        </w:rPr>
        <w:t> :</w:t>
      </w:r>
    </w:p>
    <w:p w14:paraId="1E20C3D1" w14:textId="77777777" w:rsidR="00AA2E73" w:rsidRPr="004F1F23" w:rsidRDefault="004C3647" w:rsidP="00D964FD">
      <w:pPr>
        <w:pStyle w:val="ONUMFS"/>
        <w:numPr>
          <w:ilvl w:val="1"/>
          <w:numId w:val="6"/>
        </w:numPr>
        <w:rPr>
          <w:lang w:val="fr-FR"/>
        </w:rPr>
      </w:pPr>
      <w:r w:rsidRPr="004F1F23">
        <w:rPr>
          <w:lang w:val="fr-FR"/>
        </w:rPr>
        <w:t xml:space="preserve">la </w:t>
      </w:r>
      <w:r w:rsidR="007E7105" w:rsidRPr="004F1F23">
        <w:rPr>
          <w:lang w:val="fr-FR"/>
        </w:rPr>
        <w:t>nécessité d</w:t>
      </w:r>
      <w:r w:rsidR="004F1C73" w:rsidRPr="004F1F23">
        <w:rPr>
          <w:lang w:val="fr-FR"/>
        </w:rPr>
        <w:t>’</w:t>
      </w:r>
      <w:r w:rsidR="007E7105" w:rsidRPr="004F1F23">
        <w:rPr>
          <w:lang w:val="fr-FR"/>
        </w:rPr>
        <w:t>évaluer</w:t>
      </w:r>
      <w:r w:rsidR="00183C31" w:rsidRPr="004F1F23">
        <w:rPr>
          <w:lang w:val="fr-FR"/>
        </w:rPr>
        <w:t xml:space="preserve"> les incidences à long terme du projet;</w:t>
      </w:r>
    </w:p>
    <w:p w14:paraId="58A4C049" w14:textId="77777777" w:rsidR="00AA2E73" w:rsidRPr="004F1F23" w:rsidRDefault="004C3647" w:rsidP="00D964FD">
      <w:pPr>
        <w:pStyle w:val="ONUMFS"/>
        <w:numPr>
          <w:ilvl w:val="1"/>
          <w:numId w:val="6"/>
        </w:numPr>
        <w:rPr>
          <w:lang w:val="fr-FR"/>
        </w:rPr>
      </w:pPr>
      <w:r w:rsidRPr="004F1F23">
        <w:rPr>
          <w:lang w:val="fr-FR"/>
        </w:rPr>
        <w:t xml:space="preserve">la </w:t>
      </w:r>
      <w:r w:rsidR="00183C31" w:rsidRPr="004F1F23">
        <w:rPr>
          <w:lang w:val="fr-FR"/>
        </w:rPr>
        <w:t>nécessité de tirer parti de l</w:t>
      </w:r>
      <w:r w:rsidR="004F1C73" w:rsidRPr="004F1F23">
        <w:rPr>
          <w:lang w:val="fr-FR"/>
        </w:rPr>
        <w:t>’</w:t>
      </w:r>
      <w:r w:rsidR="00183C31" w:rsidRPr="004F1F23">
        <w:rPr>
          <w:lang w:val="fr-FR"/>
        </w:rPr>
        <w:t xml:space="preserve">expérience acquise </w:t>
      </w:r>
      <w:r w:rsidRPr="004F1F23">
        <w:rPr>
          <w:lang w:val="fr-FR"/>
        </w:rPr>
        <w:t>en rapport avec le</w:t>
      </w:r>
      <w:r w:rsidR="00183C31" w:rsidRPr="004F1F23">
        <w:rPr>
          <w:lang w:val="fr-FR"/>
        </w:rPr>
        <w:t xml:space="preserve"> projet;  et</w:t>
      </w:r>
    </w:p>
    <w:p w14:paraId="2B5CD9FB" w14:textId="77777777" w:rsidR="00601CE4" w:rsidRPr="004F1F23" w:rsidRDefault="004C3647" w:rsidP="00D964FD">
      <w:pPr>
        <w:pStyle w:val="ONUMFS"/>
        <w:numPr>
          <w:ilvl w:val="1"/>
          <w:numId w:val="6"/>
        </w:numPr>
        <w:rPr>
          <w:lang w:val="fr-FR"/>
        </w:rPr>
      </w:pPr>
      <w:r w:rsidRPr="004F1F23">
        <w:rPr>
          <w:lang w:val="fr-FR"/>
        </w:rPr>
        <w:t xml:space="preserve">la </w:t>
      </w:r>
      <w:r w:rsidR="00183C31" w:rsidRPr="004F1F23">
        <w:rPr>
          <w:lang w:val="fr-FR"/>
        </w:rPr>
        <w:t>nécessité de s</w:t>
      </w:r>
      <w:r w:rsidR="004F1C73" w:rsidRPr="004F1F23">
        <w:rPr>
          <w:lang w:val="fr-FR"/>
        </w:rPr>
        <w:t>’</w:t>
      </w:r>
      <w:r w:rsidR="00183C31" w:rsidRPr="004F1F23">
        <w:rPr>
          <w:lang w:val="fr-FR"/>
        </w:rPr>
        <w:t>assurer que toute ex</w:t>
      </w:r>
      <w:r w:rsidR="00BD3E06" w:rsidRPr="004F1F23">
        <w:rPr>
          <w:lang w:val="fr-FR"/>
        </w:rPr>
        <w:t>tension</w:t>
      </w:r>
      <w:r w:rsidR="00183C31" w:rsidRPr="004F1F23">
        <w:rPr>
          <w:lang w:val="fr-FR"/>
        </w:rPr>
        <w:t xml:space="preserve"> du projet peut être </w:t>
      </w:r>
      <w:r w:rsidR="00E64992" w:rsidRPr="004F1F23">
        <w:rPr>
          <w:lang w:val="fr-FR"/>
        </w:rPr>
        <w:t>réalisée</w:t>
      </w:r>
      <w:r w:rsidRPr="004F1F23">
        <w:rPr>
          <w:lang w:val="fr-FR"/>
        </w:rPr>
        <w:t xml:space="preserve"> </w:t>
      </w:r>
      <w:r w:rsidR="00C95146" w:rsidRPr="004F1F23">
        <w:rPr>
          <w:lang w:val="fr-FR"/>
        </w:rPr>
        <w:t>en pratique</w:t>
      </w:r>
      <w:r w:rsidR="00183C31" w:rsidRPr="004F1F23">
        <w:rPr>
          <w:lang w:val="fr-FR"/>
        </w:rPr>
        <w:t>.</w:t>
      </w:r>
    </w:p>
    <w:p w14:paraId="789E5A0E" w14:textId="77777777" w:rsidR="00601CE4" w:rsidRPr="004F1F23" w:rsidRDefault="007E7105" w:rsidP="00D964FD">
      <w:pPr>
        <w:pStyle w:val="Heading3"/>
        <w:rPr>
          <w:lang w:val="fr-FR"/>
        </w:rPr>
      </w:pPr>
      <w:r w:rsidRPr="004F1F23">
        <w:rPr>
          <w:lang w:val="fr-FR"/>
        </w:rPr>
        <w:t xml:space="preserve">Évaluation </w:t>
      </w:r>
      <w:r w:rsidR="00183C31" w:rsidRPr="004F1F23">
        <w:rPr>
          <w:lang w:val="fr-FR"/>
        </w:rPr>
        <w:t>des incidences à long terme</w:t>
      </w:r>
    </w:p>
    <w:p w14:paraId="256979F4" w14:textId="77777777" w:rsidR="001738B7" w:rsidRPr="004F1F23" w:rsidRDefault="001738B7" w:rsidP="001738B7">
      <w:pPr>
        <w:rPr>
          <w:lang w:val="fr-FR"/>
        </w:rPr>
      </w:pPr>
    </w:p>
    <w:p w14:paraId="45E9EA3E" w14:textId="2423486E" w:rsidR="00AA2E73" w:rsidRPr="004F1F23" w:rsidRDefault="00183C31" w:rsidP="00AA2E73">
      <w:pPr>
        <w:pStyle w:val="ONUMFS"/>
        <w:rPr>
          <w:lang w:val="fr-FR"/>
        </w:rPr>
      </w:pPr>
      <w:r w:rsidRPr="004F1F23">
        <w:rPr>
          <w:lang w:val="fr-FR"/>
        </w:rPr>
        <w:t>Concernant l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efficacité, le rapport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évaluation indique ce qui suit</w:t>
      </w:r>
      <w:r w:rsidR="004F1C73" w:rsidRPr="004F1F23">
        <w:rPr>
          <w:lang w:val="fr-FR"/>
        </w:rPr>
        <w:t> :</w:t>
      </w:r>
    </w:p>
    <w:p w14:paraId="70E55E0F" w14:textId="77777777" w:rsidR="00601CE4" w:rsidRPr="004F1F23" w:rsidRDefault="004F1C73" w:rsidP="00D964FD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F1F23">
        <w:rPr>
          <w:lang w:val="fr-FR"/>
        </w:rPr>
        <w:t>“</w:t>
      </w:r>
      <w:r w:rsidR="00183C31" w:rsidRPr="004F1F23">
        <w:rPr>
          <w:lang w:val="fr-FR"/>
        </w:rPr>
        <w:t>L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expérience montre qu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il faut du temps avant que le renforcement des capacités des bénéficiaires n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ait des effets mesurabl</w:t>
      </w:r>
      <w:r w:rsidR="006F6B20" w:rsidRPr="004F1F23">
        <w:rPr>
          <w:lang w:val="fr-FR"/>
        </w:rPr>
        <w:t>es.  Ai</w:t>
      </w:r>
      <w:r w:rsidR="00183C31" w:rsidRPr="004F1F23">
        <w:rPr>
          <w:lang w:val="fr-FR"/>
        </w:rPr>
        <w:t>nsi, il peut s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écouler plus d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un an entre la fourniture d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une assistance dans le cadre du projet et l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enregistrement d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un dessin ou modèle industri</w:t>
      </w:r>
      <w:r w:rsidR="006F6B20" w:rsidRPr="004F1F23">
        <w:rPr>
          <w:lang w:val="fr-FR"/>
        </w:rPr>
        <w:t>el.  Il</w:t>
      </w:r>
      <w:r w:rsidR="00183C31" w:rsidRPr="004F1F23">
        <w:rPr>
          <w:lang w:val="fr-FR"/>
        </w:rPr>
        <w:t xml:space="preserve"> n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est donc pas encore possible de mesurer les effets des enregistrements de dessins ou modèles sur la performance d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une entrepri</w:t>
      </w:r>
      <w:r w:rsidR="006F6B20" w:rsidRPr="004F1F23">
        <w:rPr>
          <w:lang w:val="fr-FR"/>
        </w:rPr>
        <w:t>se.  Il</w:t>
      </w:r>
      <w:r w:rsidR="00183C31" w:rsidRPr="004F1F23">
        <w:rPr>
          <w:lang w:val="fr-FR"/>
        </w:rPr>
        <w:t xml:space="preserve"> serait encore moins réaliste d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affirmer qu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il existe un lien de causalité entre les tâches à exécuter et services à fournir au titre du projet et les changements socioéconomiques observés dans les deux</w:t>
      </w:r>
      <w:r w:rsidR="0013560F" w:rsidRPr="004F1F23">
        <w:rPr>
          <w:lang w:val="fr-FR"/>
        </w:rPr>
        <w:t> </w:t>
      </w:r>
      <w:r w:rsidR="00183C31" w:rsidRPr="004F1F23">
        <w:rPr>
          <w:lang w:val="fr-FR"/>
        </w:rPr>
        <w:t>pays bénéficiaires, voire au</w:t>
      </w:r>
      <w:r w:rsidR="006F6B20" w:rsidRPr="004F1F23">
        <w:rPr>
          <w:lang w:val="fr-FR"/>
        </w:rPr>
        <w:noBreakHyphen/>
      </w:r>
      <w:r w:rsidR="00183C31" w:rsidRPr="004F1F23">
        <w:rPr>
          <w:lang w:val="fr-FR"/>
        </w:rPr>
        <w:t>de</w:t>
      </w:r>
      <w:r w:rsidR="006F6B20" w:rsidRPr="004F1F23">
        <w:rPr>
          <w:lang w:val="fr-FR"/>
        </w:rPr>
        <w:t>là.  Il</w:t>
      </w:r>
      <w:r w:rsidR="00183C31" w:rsidRPr="004F1F23">
        <w:rPr>
          <w:lang w:val="fr-FR"/>
        </w:rPr>
        <w:t xml:space="preserve"> serait donc prématuré d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essayer d</w:t>
      </w:r>
      <w:r w:rsidRPr="004F1F23">
        <w:rPr>
          <w:lang w:val="fr-FR"/>
        </w:rPr>
        <w:t>’</w:t>
      </w:r>
      <w:r w:rsidR="00183C31" w:rsidRPr="004F1F23">
        <w:rPr>
          <w:lang w:val="fr-FR"/>
        </w:rPr>
        <w:t>évaluer les résultats obtenus dans leur ensemble ou leur impa</w:t>
      </w:r>
      <w:r w:rsidR="006F6B20" w:rsidRPr="004F1F23">
        <w:rPr>
          <w:lang w:val="fr-FR"/>
        </w:rPr>
        <w:t>ct.  L’é</w:t>
      </w:r>
      <w:r w:rsidR="00183C31" w:rsidRPr="004F1F23">
        <w:rPr>
          <w:lang w:val="fr-FR"/>
        </w:rPr>
        <w:t>valuation a toutefois examiné les résultats plus directs auxquels le projet a contribué.</w:t>
      </w:r>
      <w:r w:rsidR="006F6B20" w:rsidRPr="004F1F23">
        <w:rPr>
          <w:lang w:val="fr-FR"/>
        </w:rPr>
        <w:t>”</w:t>
      </w:r>
      <w:r w:rsidR="00183C31" w:rsidRPr="004F1F23">
        <w:rPr>
          <w:rStyle w:val="FootnoteReference"/>
          <w:lang w:val="fr-FR"/>
        </w:rPr>
        <w:footnoteReference w:id="6"/>
      </w:r>
    </w:p>
    <w:p w14:paraId="141115A6" w14:textId="6DF1D0D5" w:rsidR="00AA2E73" w:rsidRPr="004F1F23" w:rsidRDefault="007174DF" w:rsidP="00AA2E73">
      <w:pPr>
        <w:pStyle w:val="ONUMFS"/>
        <w:rPr>
          <w:lang w:val="fr-FR"/>
        </w:rPr>
      </w:pPr>
      <w:r w:rsidRPr="004F1F23">
        <w:rPr>
          <w:lang w:val="fr-FR"/>
        </w:rPr>
        <w:t>Un budget de 487 00</w:t>
      </w:r>
      <w:r w:rsidR="002E5FB0" w:rsidRPr="004F1F23">
        <w:rPr>
          <w:lang w:val="fr-FR"/>
        </w:rPr>
        <w:t>0 franc</w:t>
      </w:r>
      <w:r w:rsidRPr="004F1F23">
        <w:rPr>
          <w:lang w:val="fr-FR"/>
        </w:rPr>
        <w:t xml:space="preserve">s suisses a été prévu au niveau du Secrétariat et des efforts considérables ont été déployés </w:t>
      </w:r>
      <w:r w:rsidR="007E7105" w:rsidRPr="004F1F23">
        <w:rPr>
          <w:lang w:val="fr-FR"/>
        </w:rPr>
        <w:t>dans chacun des pays bénéficiaires pour mettre en œuvre le proj</w:t>
      </w:r>
      <w:r w:rsidR="006F6B20" w:rsidRPr="004F1F23">
        <w:rPr>
          <w:lang w:val="fr-FR"/>
        </w:rPr>
        <w:t>et.  Po</w:t>
      </w:r>
      <w:r w:rsidR="004900DC" w:rsidRPr="004F1F23">
        <w:rPr>
          <w:lang w:val="fr-FR"/>
        </w:rPr>
        <w:t>ur fonder ses décisions concernant l</w:t>
      </w:r>
      <w:r w:rsidR="004F1C73" w:rsidRPr="004F1F23">
        <w:rPr>
          <w:lang w:val="fr-FR"/>
        </w:rPr>
        <w:t>’</w:t>
      </w:r>
      <w:r w:rsidR="004900DC" w:rsidRPr="004F1F23">
        <w:rPr>
          <w:lang w:val="fr-FR"/>
        </w:rPr>
        <w:t>évolution future et la viabilité du projet, le Secrétariat estime nécessaire d</w:t>
      </w:r>
      <w:r w:rsidR="004F1C73" w:rsidRPr="004F1F23">
        <w:rPr>
          <w:lang w:val="fr-FR"/>
        </w:rPr>
        <w:t>’</w:t>
      </w:r>
      <w:r w:rsidR="007E7105" w:rsidRPr="004F1F23">
        <w:rPr>
          <w:lang w:val="fr-FR"/>
        </w:rPr>
        <w:t xml:space="preserve">évaluer </w:t>
      </w:r>
      <w:r w:rsidR="004900DC" w:rsidRPr="004F1F23">
        <w:rPr>
          <w:lang w:val="fr-FR"/>
        </w:rPr>
        <w:t>les incidences sur une période</w:t>
      </w:r>
      <w:r w:rsidR="007E7105" w:rsidRPr="004F1F23">
        <w:rPr>
          <w:lang w:val="fr-FR"/>
        </w:rPr>
        <w:t xml:space="preserve"> plus longue</w:t>
      </w:r>
      <w:r w:rsidR="004900DC" w:rsidRPr="004F1F23">
        <w:rPr>
          <w:lang w:val="fr-FR"/>
        </w:rPr>
        <w:t>,</w:t>
      </w:r>
      <w:r w:rsidR="007E7105" w:rsidRPr="004F1F23">
        <w:rPr>
          <w:lang w:val="fr-FR"/>
        </w:rPr>
        <w:t xml:space="preserve"> </w:t>
      </w:r>
      <w:r w:rsidR="00BD3E06" w:rsidRPr="004F1F23">
        <w:rPr>
          <w:lang w:val="fr-FR"/>
        </w:rPr>
        <w:t xml:space="preserve">ainsi que </w:t>
      </w:r>
      <w:r w:rsidR="007E7105" w:rsidRPr="004F1F23">
        <w:rPr>
          <w:lang w:val="fr-FR"/>
        </w:rPr>
        <w:t xml:space="preserve">le </w:t>
      </w:r>
      <w:r w:rsidR="004900DC" w:rsidRPr="004F1F23">
        <w:rPr>
          <w:lang w:val="fr-FR"/>
        </w:rPr>
        <w:t xml:space="preserve">degré de réussite de la stratégie de </w:t>
      </w:r>
      <w:r w:rsidR="005A4E5C" w:rsidRPr="004F1F23">
        <w:rPr>
          <w:lang w:val="fr-FR"/>
        </w:rPr>
        <w:t>retrait</w:t>
      </w:r>
      <w:r w:rsidR="004900DC" w:rsidRPr="004F1F23">
        <w:rPr>
          <w:lang w:val="fr-FR"/>
        </w:rPr>
        <w:t xml:space="preserve"> et la mesure dans laquelle les progrès accomplis dans ces pays peuvent être </w:t>
      </w:r>
      <w:r w:rsidR="007E7105" w:rsidRPr="004F1F23">
        <w:rPr>
          <w:lang w:val="fr-FR"/>
        </w:rPr>
        <w:t xml:space="preserve">durables </w:t>
      </w:r>
      <w:r w:rsidR="004C3647" w:rsidRPr="004F1F23">
        <w:rPr>
          <w:lang w:val="fr-FR"/>
        </w:rPr>
        <w:t>à l</w:t>
      </w:r>
      <w:r w:rsidR="004F1C73" w:rsidRPr="004F1F23">
        <w:rPr>
          <w:lang w:val="fr-FR"/>
        </w:rPr>
        <w:t>’</w:t>
      </w:r>
      <w:r w:rsidR="004C3647" w:rsidRPr="004F1F23">
        <w:rPr>
          <w:lang w:val="fr-FR"/>
        </w:rPr>
        <w:t>échelle du pays et</w:t>
      </w:r>
      <w:r w:rsidR="004900DC" w:rsidRPr="004F1F23">
        <w:rPr>
          <w:lang w:val="fr-FR"/>
        </w:rPr>
        <w:t xml:space="preserve"> des entreprises.</w:t>
      </w:r>
    </w:p>
    <w:p w14:paraId="4B0E7CE3" w14:textId="77777777" w:rsidR="00601CE4" w:rsidRPr="004F1F23" w:rsidRDefault="007E7105" w:rsidP="00AA2E73">
      <w:pPr>
        <w:pStyle w:val="ONUMFS"/>
        <w:rPr>
          <w:lang w:val="fr-FR"/>
        </w:rPr>
      </w:pPr>
      <w:r w:rsidRPr="004F1F23">
        <w:rPr>
          <w:lang w:val="fr-FR"/>
        </w:rPr>
        <w:t xml:space="preserve">À cet effet, </w:t>
      </w:r>
      <w:r w:rsidR="000C3932" w:rsidRPr="004F1F23">
        <w:rPr>
          <w:lang w:val="fr-FR"/>
        </w:rPr>
        <w:t>le Secrétariat élaborera, sous réserve de l</w:t>
      </w:r>
      <w:r w:rsidR="004F1C73" w:rsidRPr="004F1F23">
        <w:rPr>
          <w:lang w:val="fr-FR"/>
        </w:rPr>
        <w:t>’</w:t>
      </w:r>
      <w:r w:rsidR="000C3932" w:rsidRPr="004F1F23">
        <w:rPr>
          <w:lang w:val="fr-FR"/>
        </w:rPr>
        <w:t>accord des pays bénéficiaires et de leur coopération</w:t>
      </w:r>
      <w:r w:rsidR="00BD3E06" w:rsidRPr="004F1F23">
        <w:rPr>
          <w:lang w:val="fr-FR"/>
        </w:rPr>
        <w:t>,</w:t>
      </w:r>
      <w:r w:rsidR="000C3932" w:rsidRPr="004F1F23">
        <w:rPr>
          <w:lang w:val="fr-FR"/>
        </w:rPr>
        <w:t xml:space="preserve"> et compte tenu des travaux déjà effectués </w:t>
      </w:r>
      <w:r w:rsidR="004C3647" w:rsidRPr="004F1F23">
        <w:rPr>
          <w:lang w:val="fr-FR"/>
        </w:rPr>
        <w:t xml:space="preserve">au titre </w:t>
      </w:r>
      <w:r w:rsidR="000C3932" w:rsidRPr="004F1F23">
        <w:rPr>
          <w:lang w:val="fr-FR"/>
        </w:rPr>
        <w:t>du projet, un cadre d</w:t>
      </w:r>
      <w:r w:rsidR="004F1C73" w:rsidRPr="004F1F23">
        <w:rPr>
          <w:lang w:val="fr-FR"/>
        </w:rPr>
        <w:t>’</w:t>
      </w:r>
      <w:r w:rsidR="000C3932" w:rsidRPr="004F1F23">
        <w:rPr>
          <w:lang w:val="fr-FR"/>
        </w:rPr>
        <w:t xml:space="preserve">évaluation spécialement </w:t>
      </w:r>
      <w:r w:rsidR="004C3647" w:rsidRPr="004F1F23">
        <w:rPr>
          <w:lang w:val="fr-FR"/>
        </w:rPr>
        <w:t xml:space="preserve">conçu </w:t>
      </w:r>
      <w:r w:rsidR="000C3932" w:rsidRPr="004F1F23">
        <w:rPr>
          <w:lang w:val="fr-FR"/>
        </w:rPr>
        <w:t>pour évaluer les incidences à long terme du proj</w:t>
      </w:r>
      <w:r w:rsidR="006F6B20" w:rsidRPr="004F1F23">
        <w:rPr>
          <w:lang w:val="fr-FR"/>
        </w:rPr>
        <w:t>et.  Ou</w:t>
      </w:r>
      <w:r w:rsidR="000C3932" w:rsidRPr="004F1F23">
        <w:rPr>
          <w:lang w:val="fr-FR"/>
        </w:rPr>
        <w:t xml:space="preserve">tre sa pertinence </w:t>
      </w:r>
      <w:r w:rsidRPr="004F1F23">
        <w:rPr>
          <w:lang w:val="fr-FR"/>
        </w:rPr>
        <w:t xml:space="preserve">directe </w:t>
      </w:r>
      <w:r w:rsidR="004C3647" w:rsidRPr="004F1F23">
        <w:rPr>
          <w:lang w:val="fr-FR"/>
        </w:rPr>
        <w:t xml:space="preserve">au regard du </w:t>
      </w:r>
      <w:r w:rsidR="000C3932" w:rsidRPr="004F1F23">
        <w:rPr>
          <w:lang w:val="fr-FR"/>
        </w:rPr>
        <w:t>projet lui</w:t>
      </w:r>
      <w:r w:rsidR="006F6B20" w:rsidRPr="004F1F23">
        <w:rPr>
          <w:lang w:val="fr-FR"/>
        </w:rPr>
        <w:noBreakHyphen/>
      </w:r>
      <w:r w:rsidR="000C3932" w:rsidRPr="004F1F23">
        <w:rPr>
          <w:lang w:val="fr-FR"/>
        </w:rPr>
        <w:t>même, ce cadre d</w:t>
      </w:r>
      <w:r w:rsidR="004F1C73" w:rsidRPr="004F1F23">
        <w:rPr>
          <w:lang w:val="fr-FR"/>
        </w:rPr>
        <w:t>’</w:t>
      </w:r>
      <w:r w:rsidR="000C3932" w:rsidRPr="004F1F23">
        <w:rPr>
          <w:lang w:val="fr-FR"/>
        </w:rPr>
        <w:t xml:space="preserve">évaluation axé sur les incidences </w:t>
      </w:r>
      <w:r w:rsidR="000C3932" w:rsidRPr="004F1F23">
        <w:rPr>
          <w:lang w:val="fr-FR"/>
        </w:rPr>
        <w:lastRenderedPageBreak/>
        <w:t>pourrait également trouver une application dans d</w:t>
      </w:r>
      <w:r w:rsidR="004F1C73" w:rsidRPr="004F1F23">
        <w:rPr>
          <w:lang w:val="fr-FR"/>
        </w:rPr>
        <w:t>’</w:t>
      </w:r>
      <w:r w:rsidR="000C3932" w:rsidRPr="004F1F23">
        <w:rPr>
          <w:lang w:val="fr-FR"/>
        </w:rPr>
        <w:t>autres activité</w:t>
      </w:r>
      <w:r w:rsidRPr="004F1F23">
        <w:rPr>
          <w:lang w:val="fr-FR"/>
        </w:rPr>
        <w:t>s</w:t>
      </w:r>
      <w:r w:rsidR="000C3932" w:rsidRPr="004F1F23">
        <w:rPr>
          <w:lang w:val="fr-FR"/>
        </w:rPr>
        <w:t xml:space="preserve"> d</w:t>
      </w:r>
      <w:r w:rsidR="004F1C73" w:rsidRPr="004F1F23">
        <w:rPr>
          <w:lang w:val="fr-FR"/>
        </w:rPr>
        <w:t>’</w:t>
      </w:r>
      <w:r w:rsidR="000C3932" w:rsidRPr="004F1F23">
        <w:rPr>
          <w:lang w:val="fr-FR"/>
        </w:rPr>
        <w:t>assistance technique et de renforcement des capacités</w:t>
      </w:r>
      <w:r w:rsidRPr="004F1F23">
        <w:rPr>
          <w:lang w:val="fr-FR"/>
        </w:rPr>
        <w:t xml:space="preserve"> menées par l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OMPI</w:t>
      </w:r>
      <w:r w:rsidR="000C3932" w:rsidRPr="004F1F23">
        <w:rPr>
          <w:lang w:val="fr-FR"/>
        </w:rPr>
        <w:t>.</w:t>
      </w:r>
    </w:p>
    <w:p w14:paraId="138E690E" w14:textId="77777777" w:rsidR="00601CE4" w:rsidRPr="004F1F23" w:rsidRDefault="007E7105" w:rsidP="00D964FD">
      <w:pPr>
        <w:pStyle w:val="Heading3"/>
        <w:rPr>
          <w:lang w:val="fr-FR"/>
        </w:rPr>
      </w:pPr>
      <w:r w:rsidRPr="004F1F23">
        <w:rPr>
          <w:lang w:val="fr-FR"/>
        </w:rPr>
        <w:t xml:space="preserve">Enseignements tirés </w:t>
      </w:r>
      <w:r w:rsidR="00366686" w:rsidRPr="004F1F23">
        <w:rPr>
          <w:lang w:val="fr-FR"/>
        </w:rPr>
        <w:t>de l</w:t>
      </w:r>
      <w:r w:rsidR="004F1C73" w:rsidRPr="004F1F23">
        <w:rPr>
          <w:lang w:val="fr-FR"/>
        </w:rPr>
        <w:t>’</w:t>
      </w:r>
      <w:r w:rsidR="00366686" w:rsidRPr="004F1F23">
        <w:rPr>
          <w:lang w:val="fr-FR"/>
        </w:rPr>
        <w:t>expérience acquise</w:t>
      </w:r>
    </w:p>
    <w:p w14:paraId="5A7852D1" w14:textId="77777777" w:rsidR="001738B7" w:rsidRPr="004F1F23" w:rsidRDefault="001738B7" w:rsidP="001738B7">
      <w:pPr>
        <w:rPr>
          <w:lang w:val="fr-FR"/>
        </w:rPr>
      </w:pPr>
    </w:p>
    <w:p w14:paraId="78258736" w14:textId="77777777" w:rsidR="00601CE4" w:rsidRPr="004F1F23" w:rsidRDefault="00366686" w:rsidP="00D964FD">
      <w:pPr>
        <w:pStyle w:val="ONUMFS"/>
        <w:rPr>
          <w:lang w:val="fr-FR"/>
        </w:rPr>
      </w:pPr>
      <w:r w:rsidRPr="004F1F23">
        <w:rPr>
          <w:lang w:val="fr-FR"/>
        </w:rPr>
        <w:t>Dans le cadre du projet, des méthodes claires ont été établies et adoptées, et un grand nombre de documents utiles ont été établ</w:t>
      </w:r>
      <w:r w:rsidR="006F6B20" w:rsidRPr="004F1F23">
        <w:rPr>
          <w:lang w:val="fr-FR"/>
        </w:rPr>
        <w:t xml:space="preserve">is.  À </w:t>
      </w:r>
      <w:r w:rsidR="00646B77" w:rsidRPr="004F1F23">
        <w:rPr>
          <w:lang w:val="fr-FR"/>
        </w:rPr>
        <w:t>cet égard, le rapport d</w:t>
      </w:r>
      <w:r w:rsidR="004F1C73" w:rsidRPr="004F1F23">
        <w:rPr>
          <w:lang w:val="fr-FR"/>
        </w:rPr>
        <w:t>’</w:t>
      </w:r>
      <w:r w:rsidR="00646B77" w:rsidRPr="004F1F23">
        <w:rPr>
          <w:lang w:val="fr-FR"/>
        </w:rPr>
        <w:t xml:space="preserve">évaluation conclut que </w:t>
      </w:r>
      <w:r w:rsidR="00D00220" w:rsidRPr="004F1F23">
        <w:rPr>
          <w:lang w:val="fr-FR"/>
        </w:rPr>
        <w:t>“</w:t>
      </w:r>
      <w:r w:rsidR="00646B77" w:rsidRPr="004F1F23">
        <w:rPr>
          <w:lang w:val="fr-FR"/>
        </w:rPr>
        <w:t>la gestion du projet a été extrêmement satisfaisante</w:t>
      </w:r>
      <w:r w:rsidR="00D00220" w:rsidRPr="004F1F23">
        <w:rPr>
          <w:lang w:val="fr-FR"/>
        </w:rPr>
        <w:t xml:space="preserve">” </w:t>
      </w:r>
      <w:r w:rsidR="00646B77" w:rsidRPr="004F1F23">
        <w:rPr>
          <w:lang w:val="fr-FR"/>
        </w:rPr>
        <w:t xml:space="preserve">et suggère en particulier que </w:t>
      </w:r>
      <w:r w:rsidR="00D00220" w:rsidRPr="004F1F23">
        <w:rPr>
          <w:lang w:val="fr-FR"/>
        </w:rPr>
        <w:t>“</w:t>
      </w:r>
      <w:r w:rsidR="00646B77" w:rsidRPr="004F1F23">
        <w:rPr>
          <w:lang w:val="fr-FR"/>
        </w:rPr>
        <w:t>[l]es avantages liés aux investissements considérables consentis dans la mise au point de méthodes et d</w:t>
      </w:r>
      <w:r w:rsidR="004F1C73" w:rsidRPr="004F1F23">
        <w:rPr>
          <w:lang w:val="fr-FR"/>
        </w:rPr>
        <w:t>’</w:t>
      </w:r>
      <w:r w:rsidR="00646B77" w:rsidRPr="004F1F23">
        <w:rPr>
          <w:lang w:val="fr-FR"/>
        </w:rPr>
        <w:t>outils ne [soient] plus limités à deux</w:t>
      </w:r>
      <w:r w:rsidR="0013560F" w:rsidRPr="004F1F23">
        <w:rPr>
          <w:lang w:val="fr-FR"/>
        </w:rPr>
        <w:t> </w:t>
      </w:r>
      <w:r w:rsidR="00646B77" w:rsidRPr="004F1F23">
        <w:rPr>
          <w:lang w:val="fr-FR"/>
        </w:rPr>
        <w:t>pays seulement</w:t>
      </w:r>
      <w:r w:rsidR="00D00220" w:rsidRPr="004F1F23">
        <w:rPr>
          <w:lang w:val="fr-FR"/>
        </w:rPr>
        <w:t>”</w:t>
      </w:r>
      <w:r w:rsidR="00646B77" w:rsidRPr="004F1F23">
        <w:rPr>
          <w:lang w:val="fr-FR"/>
        </w:rPr>
        <w:t>.</w:t>
      </w:r>
    </w:p>
    <w:p w14:paraId="3F04F730" w14:textId="5960F861" w:rsidR="00AA2E73" w:rsidRPr="004F1F23" w:rsidRDefault="0066227F" w:rsidP="00AA2E73">
      <w:pPr>
        <w:pStyle w:val="ONUMFS"/>
        <w:rPr>
          <w:lang w:val="fr-FR"/>
        </w:rPr>
      </w:pPr>
      <w:r w:rsidRPr="004F1F23">
        <w:rPr>
          <w:lang w:val="fr-FR"/>
        </w:rPr>
        <w:t xml:space="preserve">Conformément à la suggestion </w:t>
      </w:r>
      <w:r w:rsidR="001D75D5" w:rsidRPr="004F1F23">
        <w:rPr>
          <w:lang w:val="fr-FR"/>
        </w:rPr>
        <w:t>faite</w:t>
      </w:r>
      <w:r w:rsidRPr="004F1F23">
        <w:rPr>
          <w:lang w:val="fr-FR"/>
        </w:rPr>
        <w:t xml:space="preserve"> dans le rapport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évaluation</w:t>
      </w:r>
      <w:r w:rsidR="00BD3E06" w:rsidRPr="004F1F23">
        <w:rPr>
          <w:lang w:val="fr-FR"/>
        </w:rPr>
        <w:t>,</w:t>
      </w:r>
      <w:r w:rsidRPr="004F1F23">
        <w:rPr>
          <w:lang w:val="fr-FR"/>
        </w:rPr>
        <w:t xml:space="preserve"> et </w:t>
      </w:r>
      <w:r w:rsidR="00BD3E06" w:rsidRPr="004F1F23">
        <w:rPr>
          <w:lang w:val="fr-FR"/>
        </w:rPr>
        <w:t>en vue de</w:t>
      </w:r>
      <w:r w:rsidR="001D75D5" w:rsidRPr="004F1F23">
        <w:rPr>
          <w:lang w:val="fr-FR"/>
        </w:rPr>
        <w:t xml:space="preserve"> </w:t>
      </w:r>
      <w:r w:rsidRPr="004F1F23">
        <w:rPr>
          <w:lang w:val="fr-FR"/>
        </w:rPr>
        <w:t xml:space="preserve">renforcer la probabilité que les investissements effectués </w:t>
      </w:r>
      <w:r w:rsidR="004C3647" w:rsidRPr="004F1F23">
        <w:rPr>
          <w:lang w:val="fr-FR"/>
        </w:rPr>
        <w:t xml:space="preserve">au titre </w:t>
      </w:r>
      <w:r w:rsidRPr="004F1F23">
        <w:rPr>
          <w:lang w:val="fr-FR"/>
        </w:rPr>
        <w:t>du projet en faveur des deux</w:t>
      </w:r>
      <w:r w:rsidR="0013560F" w:rsidRPr="004F1F23">
        <w:rPr>
          <w:lang w:val="fr-FR"/>
        </w:rPr>
        <w:t> </w:t>
      </w:r>
      <w:r w:rsidRPr="004F1F23">
        <w:rPr>
          <w:lang w:val="fr-FR"/>
        </w:rPr>
        <w:t xml:space="preserve">pays </w:t>
      </w:r>
      <w:r w:rsidR="00BD3E06" w:rsidRPr="004F1F23">
        <w:rPr>
          <w:lang w:val="fr-FR"/>
        </w:rPr>
        <w:t>sélection</w:t>
      </w:r>
      <w:r w:rsidRPr="004F1F23">
        <w:rPr>
          <w:lang w:val="fr-FR"/>
        </w:rPr>
        <w:t xml:space="preserve">nés </w:t>
      </w:r>
      <w:r w:rsidR="001D75D5" w:rsidRPr="004F1F23">
        <w:rPr>
          <w:lang w:val="fr-FR"/>
        </w:rPr>
        <w:t>bénéficient également dans l</w:t>
      </w:r>
      <w:r w:rsidR="004F1C73" w:rsidRPr="004F1F23">
        <w:rPr>
          <w:lang w:val="fr-FR"/>
        </w:rPr>
        <w:t>’</w:t>
      </w:r>
      <w:r w:rsidR="001D75D5" w:rsidRPr="004F1F23">
        <w:rPr>
          <w:lang w:val="fr-FR"/>
        </w:rPr>
        <w:t>avenir à d</w:t>
      </w:r>
      <w:r w:rsidR="004F1C73" w:rsidRPr="004F1F23">
        <w:rPr>
          <w:lang w:val="fr-FR"/>
        </w:rPr>
        <w:t>’</w:t>
      </w:r>
      <w:r w:rsidR="001D75D5" w:rsidRPr="004F1F23">
        <w:rPr>
          <w:lang w:val="fr-FR"/>
        </w:rPr>
        <w:t xml:space="preserve">autres pays et parties prenantes, le Secrétariat </w:t>
      </w:r>
      <w:r w:rsidR="00BD3E06" w:rsidRPr="004F1F23">
        <w:rPr>
          <w:lang w:val="fr-FR"/>
        </w:rPr>
        <w:t>regroup</w:t>
      </w:r>
      <w:r w:rsidR="001D75D5" w:rsidRPr="004F1F23">
        <w:rPr>
          <w:lang w:val="fr-FR"/>
        </w:rPr>
        <w:t>erait les méthodes, outils, documents et autres éléments pertinents créés durant la mise en œuvre du projet en un</w:t>
      </w:r>
      <w:r w:rsidR="004C3647" w:rsidRPr="004F1F23">
        <w:rPr>
          <w:lang w:val="fr-FR"/>
        </w:rPr>
        <w:t xml:space="preserve"> bouquet </w:t>
      </w:r>
      <w:r w:rsidR="001D75D5" w:rsidRPr="004F1F23">
        <w:rPr>
          <w:lang w:val="fr-FR"/>
        </w:rPr>
        <w:t>de ressources types facilement accessibl</w:t>
      </w:r>
      <w:r w:rsidR="006F6B20" w:rsidRPr="004F1F23">
        <w:rPr>
          <w:lang w:val="fr-FR"/>
        </w:rPr>
        <w:t>e.  Ce</w:t>
      </w:r>
      <w:r w:rsidR="004C3647" w:rsidRPr="004F1F23">
        <w:rPr>
          <w:lang w:val="fr-FR"/>
        </w:rPr>
        <w:t xml:space="preserve"> jeu </w:t>
      </w:r>
      <w:r w:rsidR="001D75D5" w:rsidRPr="004F1F23">
        <w:rPr>
          <w:lang w:val="fr-FR"/>
        </w:rPr>
        <w:t xml:space="preserve">de ressources pourrait ensuite </w:t>
      </w:r>
      <w:r w:rsidR="00F10C8A" w:rsidRPr="004F1F23">
        <w:rPr>
          <w:lang w:val="fr-FR"/>
        </w:rPr>
        <w:t xml:space="preserve">être utilisé par </w:t>
      </w:r>
      <w:r w:rsidR="001D75D5" w:rsidRPr="004F1F23">
        <w:rPr>
          <w:lang w:val="fr-FR"/>
        </w:rPr>
        <w:t xml:space="preserve">toute partie intéressée par la </w:t>
      </w:r>
      <w:r w:rsidR="004C3647" w:rsidRPr="004F1F23">
        <w:rPr>
          <w:lang w:val="fr-FR"/>
        </w:rPr>
        <w:t xml:space="preserve">reproduction </w:t>
      </w:r>
      <w:r w:rsidR="001D75D5" w:rsidRPr="004F1F23">
        <w:rPr>
          <w:lang w:val="fr-FR"/>
        </w:rPr>
        <w:t>du projet ou de parties de celui</w:t>
      </w:r>
      <w:r w:rsidR="006F6B20" w:rsidRPr="004F1F23">
        <w:rPr>
          <w:lang w:val="fr-FR"/>
        </w:rPr>
        <w:noBreakHyphen/>
      </w:r>
      <w:r w:rsidR="001D75D5" w:rsidRPr="004F1F23">
        <w:rPr>
          <w:lang w:val="fr-FR"/>
        </w:rPr>
        <w:t>ci dans d</w:t>
      </w:r>
      <w:r w:rsidR="004F1C73" w:rsidRPr="004F1F23">
        <w:rPr>
          <w:lang w:val="fr-FR"/>
        </w:rPr>
        <w:t>’</w:t>
      </w:r>
      <w:r w:rsidR="001D75D5" w:rsidRPr="004F1F23">
        <w:rPr>
          <w:lang w:val="fr-FR"/>
        </w:rPr>
        <w:t>autres pays ou context</w:t>
      </w:r>
      <w:r w:rsidR="006F6B20" w:rsidRPr="004F1F23">
        <w:rPr>
          <w:lang w:val="fr-FR"/>
        </w:rPr>
        <w:t>es.  Le</w:t>
      </w:r>
      <w:r w:rsidR="004C3647" w:rsidRPr="004F1F23">
        <w:rPr>
          <w:lang w:val="fr-FR"/>
        </w:rPr>
        <w:t xml:space="preserve"> bouquet de ressources types prévu </w:t>
      </w:r>
      <w:r w:rsidR="007E3328" w:rsidRPr="004F1F23">
        <w:rPr>
          <w:lang w:val="fr-FR"/>
        </w:rPr>
        <w:t>contiendrait des éléments d</w:t>
      </w:r>
      <w:r w:rsidR="004F1C73" w:rsidRPr="004F1F23">
        <w:rPr>
          <w:lang w:val="fr-FR"/>
        </w:rPr>
        <w:t>’</w:t>
      </w:r>
      <w:r w:rsidR="007E3328" w:rsidRPr="004F1F23">
        <w:rPr>
          <w:lang w:val="fr-FR"/>
        </w:rPr>
        <w:t>orientation et de référence sur la manière de gérer notamment les aspects suivants du projet</w:t>
      </w:r>
      <w:r w:rsidR="004F1C73" w:rsidRPr="004F1F23">
        <w:rPr>
          <w:lang w:val="fr-FR"/>
        </w:rPr>
        <w:t> :</w:t>
      </w:r>
    </w:p>
    <w:p w14:paraId="7E0EC567" w14:textId="0ECC8A1F" w:rsidR="00A16540" w:rsidRPr="004F1F23" w:rsidRDefault="00A16540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Suivi et évaluation du projet;</w:t>
      </w:r>
    </w:p>
    <w:p w14:paraId="06BDBF61" w14:textId="79719079" w:rsidR="00A16540" w:rsidRPr="004F1F23" w:rsidRDefault="00A16540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Gestion du changement;</w:t>
      </w:r>
    </w:p>
    <w:p w14:paraId="5EF6380B" w14:textId="14C07084" w:rsidR="00A16540" w:rsidRPr="004F1F23" w:rsidRDefault="00A16540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Énoncés relatifs au contenu du projet;</w:t>
      </w:r>
    </w:p>
    <w:p w14:paraId="34F7DE49" w14:textId="35A9237D" w:rsidR="00A16540" w:rsidRPr="004F1F23" w:rsidRDefault="00A16540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Structures de gouvernance du projet, notamment</w:t>
      </w:r>
      <w:r w:rsidR="004F1C73" w:rsidRPr="004F1F23">
        <w:rPr>
          <w:lang w:val="fr-FR"/>
        </w:rPr>
        <w:t> :</w:t>
      </w:r>
    </w:p>
    <w:p w14:paraId="318EF2FC" w14:textId="34C33A58" w:rsidR="00A16540" w:rsidRPr="004F1F23" w:rsidRDefault="00A16540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Institutions principales;</w:t>
      </w:r>
    </w:p>
    <w:p w14:paraId="13A87B40" w14:textId="40A203D5" w:rsidR="002E5FB0" w:rsidRPr="004F1F23" w:rsidRDefault="00A16540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Comités de direction et plateformes de partenariat public</w:t>
      </w:r>
      <w:r w:rsidR="006F6B20" w:rsidRPr="004F1F23">
        <w:rPr>
          <w:lang w:val="fr-FR"/>
        </w:rPr>
        <w:noBreakHyphen/>
      </w:r>
      <w:r w:rsidRPr="004F1F23">
        <w:rPr>
          <w:lang w:val="fr-FR"/>
        </w:rPr>
        <w:t>privé (</w:t>
      </w:r>
      <w:r w:rsidR="004F1C73" w:rsidRPr="004F1F23">
        <w:rPr>
          <w:lang w:val="fr-FR"/>
        </w:rPr>
        <w:t>y compris</w:t>
      </w:r>
      <w:r w:rsidR="004C3647" w:rsidRPr="004F1F23">
        <w:rPr>
          <w:lang w:val="fr-FR"/>
        </w:rPr>
        <w:t xml:space="preserve"> avec</w:t>
      </w:r>
      <w:r w:rsidRPr="004F1F23">
        <w:rPr>
          <w:lang w:val="fr-FR"/>
        </w:rPr>
        <w:t xml:space="preserve"> des gouvernements, des associations, des chambres de commerce et des universités);</w:t>
      </w:r>
    </w:p>
    <w:p w14:paraId="77BC98E1" w14:textId="2279CF42" w:rsidR="00A16540" w:rsidRPr="004F1F23" w:rsidRDefault="00A16540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Coordonnateurs nationaux du projet;  et</w:t>
      </w:r>
    </w:p>
    <w:p w14:paraId="12CC94A6" w14:textId="3610D864" w:rsidR="00A16540" w:rsidRPr="004F1F23" w:rsidRDefault="00A16540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Experts nationaux.</w:t>
      </w:r>
    </w:p>
    <w:p w14:paraId="41DB1899" w14:textId="3F4A3DC2" w:rsidR="00A16540" w:rsidRPr="004F1F23" w:rsidRDefault="00DC470C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Stratégies nationales relatives aux marques, aux dessins et modèles industriels ou aux indications géographiques;</w:t>
      </w:r>
    </w:p>
    <w:p w14:paraId="245B844C" w14:textId="1E30159E" w:rsidR="00A16540" w:rsidRPr="004F1F23" w:rsidRDefault="00DC470C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Plans de communication;</w:t>
      </w:r>
    </w:p>
    <w:p w14:paraId="2052281A" w14:textId="35BA1595" w:rsidR="00A16540" w:rsidRPr="004F1F23" w:rsidRDefault="00DC470C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Études de faisabilité et enquêtes;</w:t>
      </w:r>
    </w:p>
    <w:p w14:paraId="4C097345" w14:textId="6AE316C0" w:rsidR="00A16540" w:rsidRPr="004F1F23" w:rsidRDefault="00DC470C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Stratégies de retrait;</w:t>
      </w:r>
    </w:p>
    <w:p w14:paraId="5E44EE7F" w14:textId="3EDABE09" w:rsidR="00A16540" w:rsidRPr="004F1F23" w:rsidRDefault="005A4E5C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Critères de sélection des entreprises et méthodes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évaluation;</w:t>
      </w:r>
    </w:p>
    <w:p w14:paraId="2AB446FC" w14:textId="68B92EFE" w:rsidR="00A16540" w:rsidRPr="004F1F23" w:rsidRDefault="005A4E5C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Activités de promotion et de sensibilisation, notamment</w:t>
      </w:r>
      <w:r w:rsidR="004F1C73" w:rsidRPr="004F1F23">
        <w:rPr>
          <w:lang w:val="fr-FR"/>
        </w:rPr>
        <w:t> :</w:t>
      </w:r>
    </w:p>
    <w:p w14:paraId="5861CE02" w14:textId="17238251" w:rsidR="00A16540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Noms des programmes;</w:t>
      </w:r>
    </w:p>
    <w:p w14:paraId="2F11F0FA" w14:textId="250FEBC9" w:rsidR="00A16540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Brochures promotionnelles;</w:t>
      </w:r>
    </w:p>
    <w:p w14:paraId="36CC4DFE" w14:textId="4F2FD8C5" w:rsidR="00A16540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Logos et slogans;</w:t>
      </w:r>
    </w:p>
    <w:p w14:paraId="561B28E9" w14:textId="02A3C0DB" w:rsidR="00A16540" w:rsidRPr="004F1F23" w:rsidRDefault="002E5FB0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Pages W</w:t>
      </w:r>
      <w:r w:rsidR="005A4E5C" w:rsidRPr="004F1F23">
        <w:rPr>
          <w:lang w:val="fr-FR"/>
        </w:rPr>
        <w:t>eb;</w:t>
      </w:r>
    </w:p>
    <w:p w14:paraId="123B24EC" w14:textId="6FB87ED1" w:rsidR="00A16540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Vidéos;  et</w:t>
      </w:r>
    </w:p>
    <w:p w14:paraId="73062671" w14:textId="43BF52FB" w:rsidR="00A16540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Engagements envers les médias.</w:t>
      </w:r>
    </w:p>
    <w:p w14:paraId="1AD0C99A" w14:textId="3ECAE7C4" w:rsidR="00A16540" w:rsidRPr="004F1F23" w:rsidRDefault="005A4E5C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Outils et méthodes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experts couvrant les domaines suivants</w:t>
      </w:r>
      <w:r w:rsidR="004F1C73" w:rsidRPr="004F1F23">
        <w:rPr>
          <w:lang w:val="fr-FR"/>
        </w:rPr>
        <w:t> :</w:t>
      </w:r>
    </w:p>
    <w:p w14:paraId="701E7B39" w14:textId="34CE8A88" w:rsidR="00A16540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Informations de base sur les dessins et modèles industriels;</w:t>
      </w:r>
    </w:p>
    <w:p w14:paraId="6FE3AC58" w14:textId="72A563FC" w:rsidR="00A16540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Stratégies commerciales des entreprises;</w:t>
      </w:r>
    </w:p>
    <w:p w14:paraId="173BEAC7" w14:textId="4DF9BFEB" w:rsidR="00A16540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Portef</w:t>
      </w:r>
      <w:r w:rsidR="004C3647" w:rsidRPr="004F1F23">
        <w:rPr>
          <w:lang w:val="fr-FR"/>
        </w:rPr>
        <w:t>e</w:t>
      </w:r>
      <w:r w:rsidRPr="004F1F23">
        <w:rPr>
          <w:lang w:val="fr-FR"/>
        </w:rPr>
        <w:t>uilles de dessins et modèles industriels des entreprises;</w:t>
      </w:r>
    </w:p>
    <w:p w14:paraId="581C0E44" w14:textId="01448081" w:rsidR="00A16540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Stratégie de propriété intellectuelle des entreprises pour les dessins et modèles industriels;</w:t>
      </w:r>
    </w:p>
    <w:p w14:paraId="34E10C5F" w14:textId="3C027815" w:rsidR="00D964FD" w:rsidRPr="004F1F23" w:rsidRDefault="005A4E5C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Liens avec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autres domaines de la propriété intellectuelle, notamment les marques et les indications géographiques;  et</w:t>
      </w:r>
    </w:p>
    <w:p w14:paraId="251B9362" w14:textId="330B222A" w:rsidR="004F1F23" w:rsidRPr="004F1F23" w:rsidRDefault="005A4E5C" w:rsidP="004F1F2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Fourniture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une assistance technique aux entreprises par des experts nationaux.</w:t>
      </w:r>
      <w:r w:rsidR="004F1F23" w:rsidRPr="004F1F23">
        <w:rPr>
          <w:lang w:val="fr-FR"/>
        </w:rPr>
        <w:br w:type="page"/>
      </w:r>
    </w:p>
    <w:p w14:paraId="2B078CA0" w14:textId="24ECA250" w:rsidR="00A16540" w:rsidRPr="004F1F23" w:rsidRDefault="00525FF2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lastRenderedPageBreak/>
        <w:t>Renforcement des capacités</w:t>
      </w:r>
    </w:p>
    <w:p w14:paraId="3C6CFC94" w14:textId="4D8C9DEA" w:rsidR="00A16540" w:rsidRPr="004F1F23" w:rsidRDefault="00525FF2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Partage des connaissances</w:t>
      </w:r>
      <w:r w:rsidR="004F1C73" w:rsidRPr="004F1F23">
        <w:rPr>
          <w:lang w:val="fr-FR"/>
        </w:rPr>
        <w:t> :</w:t>
      </w:r>
    </w:p>
    <w:p w14:paraId="140FC3CC" w14:textId="2692F8A5" w:rsidR="00A16540" w:rsidRPr="004F1F23" w:rsidRDefault="00525FF2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Au niveau national et international;  et</w:t>
      </w:r>
    </w:p>
    <w:p w14:paraId="462B7B45" w14:textId="6F599539" w:rsidR="00A16540" w:rsidRPr="004F1F23" w:rsidRDefault="00525FF2" w:rsidP="003E7833">
      <w:pPr>
        <w:pStyle w:val="ONUMFS"/>
        <w:numPr>
          <w:ilvl w:val="2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Au niveau intersectoriel.</w:t>
      </w:r>
    </w:p>
    <w:p w14:paraId="579AF5DD" w14:textId="5ABEB041" w:rsidR="00601CE4" w:rsidRPr="004F1F23" w:rsidRDefault="00525FF2" w:rsidP="003E7833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4F1F23">
        <w:rPr>
          <w:lang w:val="fr-FR"/>
        </w:rPr>
        <w:t>Questions concernant l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égalité hommes</w:t>
      </w:r>
      <w:r w:rsidR="006F6B20" w:rsidRPr="004F1F23">
        <w:rPr>
          <w:lang w:val="fr-FR"/>
        </w:rPr>
        <w:noBreakHyphen/>
      </w:r>
      <w:r w:rsidRPr="004F1F23">
        <w:rPr>
          <w:lang w:val="fr-FR"/>
        </w:rPr>
        <w:t>femmes et la diversité.</w:t>
      </w:r>
    </w:p>
    <w:p w14:paraId="367AF287" w14:textId="77777777" w:rsidR="003E7833" w:rsidRPr="004F1F23" w:rsidRDefault="003E7833" w:rsidP="004F1F23">
      <w:pPr>
        <w:pStyle w:val="ONUMFS"/>
        <w:numPr>
          <w:ilvl w:val="0"/>
          <w:numId w:val="0"/>
        </w:numPr>
        <w:contextualSpacing/>
        <w:rPr>
          <w:lang w:val="fr-FR"/>
        </w:rPr>
      </w:pPr>
    </w:p>
    <w:p w14:paraId="1EC1BA31" w14:textId="45A6B380" w:rsidR="00A50E7F" w:rsidRPr="004F1F23" w:rsidRDefault="004C3647" w:rsidP="00A50E7F">
      <w:pPr>
        <w:pStyle w:val="ONUMFS"/>
        <w:rPr>
          <w:lang w:val="fr-FR"/>
        </w:rPr>
      </w:pPr>
      <w:r w:rsidRPr="004F1F23">
        <w:rPr>
          <w:lang w:val="fr-FR"/>
        </w:rPr>
        <w:t xml:space="preserve">Le bouquet </w:t>
      </w:r>
      <w:r w:rsidR="00525FF2" w:rsidRPr="004F1F23">
        <w:rPr>
          <w:lang w:val="fr-FR"/>
        </w:rPr>
        <w:t>de ressources pourrait prendre la forme d</w:t>
      </w:r>
      <w:r w:rsidR="004F1C73" w:rsidRPr="004F1F23">
        <w:rPr>
          <w:lang w:val="fr-FR"/>
        </w:rPr>
        <w:t>’</w:t>
      </w:r>
      <w:r w:rsidR="00525FF2" w:rsidRPr="004F1F23">
        <w:rPr>
          <w:lang w:val="fr-FR"/>
        </w:rPr>
        <w:t>un manuel ou d</w:t>
      </w:r>
      <w:r w:rsidR="004F1C73" w:rsidRPr="004F1F23">
        <w:rPr>
          <w:lang w:val="fr-FR"/>
        </w:rPr>
        <w:t>’</w:t>
      </w:r>
      <w:r w:rsidR="00525FF2" w:rsidRPr="004F1F23">
        <w:rPr>
          <w:lang w:val="fr-FR"/>
        </w:rPr>
        <w:t>un</w:t>
      </w:r>
      <w:r w:rsidR="00BD3E06" w:rsidRPr="004F1F23">
        <w:rPr>
          <w:lang w:val="fr-FR"/>
        </w:rPr>
        <w:t>e série</w:t>
      </w:r>
      <w:r w:rsidR="00525FF2" w:rsidRPr="004F1F23">
        <w:rPr>
          <w:lang w:val="fr-FR"/>
        </w:rPr>
        <w:t xml:space="preserve"> de </w:t>
      </w:r>
      <w:r w:rsidR="002E5FB0" w:rsidRPr="004F1F23">
        <w:rPr>
          <w:lang w:val="fr-FR"/>
        </w:rPr>
        <w:t>pages W</w:t>
      </w:r>
      <w:r w:rsidR="00525FF2" w:rsidRPr="004F1F23">
        <w:rPr>
          <w:lang w:val="fr-FR"/>
        </w:rPr>
        <w:t xml:space="preserve">eb dédiées (avec des documents interactifs, </w:t>
      </w:r>
      <w:r w:rsidRPr="004F1F23">
        <w:rPr>
          <w:lang w:val="fr-FR"/>
        </w:rPr>
        <w:t xml:space="preserve">par exemple des </w:t>
      </w:r>
      <w:r w:rsidR="00525FF2" w:rsidRPr="004F1F23">
        <w:rPr>
          <w:lang w:val="fr-FR"/>
        </w:rPr>
        <w:t>vidéo</w:t>
      </w:r>
      <w:r w:rsidRPr="004F1F23">
        <w:rPr>
          <w:lang w:val="fr-FR"/>
        </w:rPr>
        <w:t>s</w:t>
      </w:r>
      <w:r w:rsidR="00525FF2" w:rsidRPr="004F1F23">
        <w:rPr>
          <w:lang w:val="fr-FR"/>
        </w:rPr>
        <w:t xml:space="preserve"> ou </w:t>
      </w:r>
      <w:r w:rsidRPr="004F1F23">
        <w:rPr>
          <w:lang w:val="fr-FR"/>
        </w:rPr>
        <w:t xml:space="preserve">un </w:t>
      </w:r>
      <w:r w:rsidR="00525FF2" w:rsidRPr="004F1F23">
        <w:rPr>
          <w:lang w:val="fr-FR"/>
        </w:rPr>
        <w:t>enseignement à distance).</w:t>
      </w:r>
    </w:p>
    <w:p w14:paraId="2004C618" w14:textId="77777777" w:rsidR="00601CE4" w:rsidRPr="004F1F23" w:rsidRDefault="00984FD6" w:rsidP="00601CE4">
      <w:pPr>
        <w:pStyle w:val="Heading3"/>
        <w:rPr>
          <w:lang w:val="fr-FR"/>
        </w:rPr>
      </w:pPr>
      <w:r w:rsidRPr="004F1F23">
        <w:rPr>
          <w:lang w:val="fr-FR"/>
        </w:rPr>
        <w:t>Extensibilité et intégration</w:t>
      </w:r>
    </w:p>
    <w:p w14:paraId="550DF936" w14:textId="77777777" w:rsidR="001738B7" w:rsidRPr="004F1F23" w:rsidRDefault="001738B7" w:rsidP="001738B7">
      <w:pPr>
        <w:rPr>
          <w:lang w:val="fr-FR"/>
        </w:rPr>
      </w:pPr>
    </w:p>
    <w:p w14:paraId="4A46F214" w14:textId="230DDD59" w:rsidR="00A50E7F" w:rsidRPr="004F1F23" w:rsidRDefault="00984FD6" w:rsidP="00A50E7F">
      <w:pPr>
        <w:pStyle w:val="ONUMFS"/>
        <w:rPr>
          <w:lang w:val="fr-FR"/>
        </w:rPr>
      </w:pPr>
      <w:r w:rsidRPr="004F1F23">
        <w:rPr>
          <w:lang w:val="fr-FR"/>
        </w:rPr>
        <w:t>L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une des conditions de la reproduction réussie du projet dans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 xml:space="preserve">autres pays et contextes </w:t>
      </w:r>
      <w:r w:rsidR="00BD3E06" w:rsidRPr="004F1F23">
        <w:rPr>
          <w:lang w:val="fr-FR"/>
        </w:rPr>
        <w:t>es</w:t>
      </w:r>
      <w:r w:rsidR="00F10C8A" w:rsidRPr="004F1F23">
        <w:rPr>
          <w:lang w:val="fr-FR"/>
        </w:rPr>
        <w:t>t qu</w:t>
      </w:r>
      <w:r w:rsidR="004F1C73" w:rsidRPr="004F1F23">
        <w:rPr>
          <w:lang w:val="fr-FR"/>
        </w:rPr>
        <w:t>’</w:t>
      </w:r>
      <w:r w:rsidR="00F10C8A" w:rsidRPr="004F1F23">
        <w:rPr>
          <w:lang w:val="fr-FR"/>
        </w:rPr>
        <w:t xml:space="preserve">il soit conçu de </w:t>
      </w:r>
      <w:r w:rsidR="00BD3E06" w:rsidRPr="004F1F23">
        <w:rPr>
          <w:lang w:val="fr-FR"/>
        </w:rPr>
        <w:t>façon</w:t>
      </w:r>
      <w:r w:rsidR="00F10C8A" w:rsidRPr="004F1F23">
        <w:rPr>
          <w:lang w:val="fr-FR"/>
        </w:rPr>
        <w:t xml:space="preserve"> à pouvoir être étendu en pratique à d</w:t>
      </w:r>
      <w:r w:rsidR="004F1C73" w:rsidRPr="004F1F23">
        <w:rPr>
          <w:lang w:val="fr-FR"/>
        </w:rPr>
        <w:t>’</w:t>
      </w:r>
      <w:r w:rsidR="00F10C8A" w:rsidRPr="004F1F23">
        <w:rPr>
          <w:lang w:val="fr-FR"/>
        </w:rPr>
        <w:t>autres territoir</w:t>
      </w:r>
      <w:r w:rsidR="006F6B20" w:rsidRPr="004F1F23">
        <w:rPr>
          <w:lang w:val="fr-FR"/>
        </w:rPr>
        <w:t>es.  Le</w:t>
      </w:r>
      <w:r w:rsidRPr="004F1F23">
        <w:rPr>
          <w:lang w:val="fr-FR"/>
        </w:rPr>
        <w:t xml:space="preserve"> Secrétariat aurait </w:t>
      </w:r>
      <w:r w:rsidR="004A0721" w:rsidRPr="004F1F23">
        <w:rPr>
          <w:lang w:val="fr-FR"/>
        </w:rPr>
        <w:t xml:space="preserve">peine </w:t>
      </w:r>
      <w:r w:rsidRPr="004F1F23">
        <w:rPr>
          <w:lang w:val="fr-FR"/>
        </w:rPr>
        <w:t xml:space="preserve">à reproduire exactement le même format de projet dans un nombre croissant de pays, </w:t>
      </w:r>
      <w:r w:rsidR="00E64992" w:rsidRPr="004F1F23">
        <w:rPr>
          <w:lang w:val="fr-FR"/>
        </w:rPr>
        <w:t>en raison</w:t>
      </w:r>
      <w:r w:rsidRPr="004F1F23">
        <w:rPr>
          <w:lang w:val="fr-FR"/>
        </w:rPr>
        <w:t xml:space="preserve"> du niveau de ressources et de </w:t>
      </w:r>
      <w:r w:rsidR="004A0721" w:rsidRPr="004F1F23">
        <w:rPr>
          <w:lang w:val="fr-FR"/>
        </w:rPr>
        <w:t xml:space="preserve">la </w:t>
      </w:r>
      <w:r w:rsidRPr="004F1F23">
        <w:rPr>
          <w:lang w:val="fr-FR"/>
        </w:rPr>
        <w:t>charge de travail que cela impliquera</w:t>
      </w:r>
      <w:r w:rsidR="006F6B20" w:rsidRPr="004F1F23">
        <w:rPr>
          <w:lang w:val="fr-FR"/>
        </w:rPr>
        <w:t>it.  Co</w:t>
      </w:r>
      <w:r w:rsidR="00C0249F" w:rsidRPr="004F1F23">
        <w:rPr>
          <w:lang w:val="fr-FR"/>
        </w:rPr>
        <w:t>mpte tenu de l</w:t>
      </w:r>
      <w:r w:rsidR="004F1C73" w:rsidRPr="004F1F23">
        <w:rPr>
          <w:lang w:val="fr-FR"/>
        </w:rPr>
        <w:t>’</w:t>
      </w:r>
      <w:r w:rsidR="00C0249F" w:rsidRPr="004F1F23">
        <w:rPr>
          <w:lang w:val="fr-FR"/>
        </w:rPr>
        <w:t>évaluation positive des différents aspects du projet dans le rapport, il semblerait logique d</w:t>
      </w:r>
      <w:r w:rsidR="004A0721" w:rsidRPr="004F1F23">
        <w:rPr>
          <w:lang w:val="fr-FR"/>
        </w:rPr>
        <w:t xml:space="preserve">e les </w:t>
      </w:r>
      <w:r w:rsidR="00C0249F" w:rsidRPr="004F1F23">
        <w:rPr>
          <w:lang w:val="fr-FR"/>
        </w:rPr>
        <w:t xml:space="preserve">intégrer dans les activités </w:t>
      </w:r>
      <w:r w:rsidR="004A0721" w:rsidRPr="004F1F23">
        <w:rPr>
          <w:lang w:val="fr-FR"/>
        </w:rPr>
        <w:t xml:space="preserve">ordinaires </w:t>
      </w:r>
      <w:r w:rsidR="00C0249F" w:rsidRPr="004F1F23">
        <w:rPr>
          <w:lang w:val="fr-FR"/>
        </w:rPr>
        <w:t>de renforcement des capacités et d</w:t>
      </w:r>
      <w:r w:rsidR="004F1C73" w:rsidRPr="004F1F23">
        <w:rPr>
          <w:lang w:val="fr-FR"/>
        </w:rPr>
        <w:t>’</w:t>
      </w:r>
      <w:r w:rsidR="00C0249F" w:rsidRPr="004F1F23">
        <w:rPr>
          <w:lang w:val="fr-FR"/>
        </w:rPr>
        <w:t>assistance technique du Secrétari</w:t>
      </w:r>
      <w:r w:rsidR="006F6B20" w:rsidRPr="004F1F23">
        <w:rPr>
          <w:lang w:val="fr-FR"/>
        </w:rPr>
        <w:t>at.  La</w:t>
      </w:r>
      <w:r w:rsidR="00A64776" w:rsidRPr="004F1F23">
        <w:rPr>
          <w:lang w:val="fr-FR"/>
        </w:rPr>
        <w:t xml:space="preserve"> mise au point d</w:t>
      </w:r>
      <w:r w:rsidR="00C95146" w:rsidRPr="004F1F23">
        <w:rPr>
          <w:lang w:val="fr-FR"/>
        </w:rPr>
        <w:t xml:space="preserve">u bouquet de </w:t>
      </w:r>
      <w:r w:rsidR="00A64776" w:rsidRPr="004F1F23">
        <w:rPr>
          <w:lang w:val="fr-FR"/>
        </w:rPr>
        <w:t xml:space="preserve">ressources </w:t>
      </w:r>
      <w:r w:rsidR="00C95146" w:rsidRPr="004F1F23">
        <w:rPr>
          <w:lang w:val="fr-FR"/>
        </w:rPr>
        <w:t xml:space="preserve">types </w:t>
      </w:r>
      <w:r w:rsidR="00E64992" w:rsidRPr="004F1F23">
        <w:rPr>
          <w:lang w:val="fr-FR"/>
        </w:rPr>
        <w:t>issu</w:t>
      </w:r>
      <w:r w:rsidR="00A64776" w:rsidRPr="004F1F23">
        <w:rPr>
          <w:lang w:val="fr-FR"/>
        </w:rPr>
        <w:t xml:space="preserve"> de</w:t>
      </w:r>
      <w:r w:rsidR="004A0721" w:rsidRPr="004F1F23">
        <w:rPr>
          <w:lang w:val="fr-FR"/>
        </w:rPr>
        <w:t xml:space="preserve">s documents relatifs </w:t>
      </w:r>
      <w:r w:rsidR="00A64776" w:rsidRPr="004F1F23">
        <w:rPr>
          <w:lang w:val="fr-FR"/>
        </w:rPr>
        <w:t>au projet, comme indiqué ci</w:t>
      </w:r>
      <w:r w:rsidR="006F6B20" w:rsidRPr="004F1F23">
        <w:rPr>
          <w:lang w:val="fr-FR"/>
        </w:rPr>
        <w:noBreakHyphen/>
      </w:r>
      <w:r w:rsidR="00A64776" w:rsidRPr="004F1F23">
        <w:rPr>
          <w:lang w:val="fr-FR"/>
        </w:rPr>
        <w:t xml:space="preserve">dessus, faciliterait grandement </w:t>
      </w:r>
      <w:r w:rsidR="00E64992" w:rsidRPr="004F1F23">
        <w:rPr>
          <w:lang w:val="fr-FR"/>
        </w:rPr>
        <w:t>la</w:t>
      </w:r>
      <w:r w:rsidR="00C95146" w:rsidRPr="004F1F23">
        <w:rPr>
          <w:lang w:val="fr-FR"/>
        </w:rPr>
        <w:t xml:space="preserve"> </w:t>
      </w:r>
      <w:r w:rsidR="00A64776" w:rsidRPr="004F1F23">
        <w:rPr>
          <w:lang w:val="fr-FR"/>
        </w:rPr>
        <w:t>tâc</w:t>
      </w:r>
      <w:r w:rsidR="006F6B20" w:rsidRPr="004F1F23">
        <w:rPr>
          <w:lang w:val="fr-FR"/>
        </w:rPr>
        <w:t>he.  Le</w:t>
      </w:r>
      <w:r w:rsidR="001942B1" w:rsidRPr="004F1F23">
        <w:rPr>
          <w:lang w:val="fr-FR"/>
        </w:rPr>
        <w:t>s pays souhaitant reproduire le projet (ou des parties de celui</w:t>
      </w:r>
      <w:r w:rsidR="006F6B20" w:rsidRPr="004F1F23">
        <w:rPr>
          <w:lang w:val="fr-FR"/>
        </w:rPr>
        <w:noBreakHyphen/>
      </w:r>
      <w:r w:rsidR="001942B1" w:rsidRPr="004F1F23">
        <w:rPr>
          <w:lang w:val="fr-FR"/>
        </w:rPr>
        <w:t xml:space="preserve">ci) sur leur territoire feront part de leur intérêt au Secrétariat, </w:t>
      </w:r>
      <w:r w:rsidR="0074331B" w:rsidRPr="004F1F23">
        <w:rPr>
          <w:lang w:val="fr-FR"/>
        </w:rPr>
        <w:t xml:space="preserve">qui établira un ordre de priorité et </w:t>
      </w:r>
      <w:r w:rsidR="004A0721" w:rsidRPr="004F1F23">
        <w:rPr>
          <w:lang w:val="fr-FR"/>
        </w:rPr>
        <w:t>un plan pour le</w:t>
      </w:r>
      <w:r w:rsidR="0074331B" w:rsidRPr="004F1F23">
        <w:rPr>
          <w:lang w:val="fr-FR"/>
        </w:rPr>
        <w:t xml:space="preserve"> suivi des demandes dans le cadre de </w:t>
      </w:r>
      <w:r w:rsidR="004A0721" w:rsidRPr="004F1F23">
        <w:rPr>
          <w:lang w:val="fr-FR"/>
        </w:rPr>
        <w:t>ses tâches courant</w:t>
      </w:r>
      <w:r w:rsidR="006F6B20" w:rsidRPr="004F1F23">
        <w:rPr>
          <w:lang w:val="fr-FR"/>
        </w:rPr>
        <w:t>es.  S’i</w:t>
      </w:r>
      <w:r w:rsidR="0074331B" w:rsidRPr="004F1F23">
        <w:rPr>
          <w:lang w:val="fr-FR"/>
        </w:rPr>
        <w:t>l est décidé d</w:t>
      </w:r>
      <w:r w:rsidR="004F1C73" w:rsidRPr="004F1F23">
        <w:rPr>
          <w:lang w:val="fr-FR"/>
        </w:rPr>
        <w:t>’</w:t>
      </w:r>
      <w:r w:rsidR="0074331B" w:rsidRPr="004F1F23">
        <w:rPr>
          <w:lang w:val="fr-FR"/>
        </w:rPr>
        <w:t xml:space="preserve">avancer dans un domaine particulier, un plan </w:t>
      </w:r>
      <w:r w:rsidR="00C95146" w:rsidRPr="004F1F23">
        <w:rPr>
          <w:lang w:val="fr-FR"/>
        </w:rPr>
        <w:t xml:space="preserve">sera </w:t>
      </w:r>
      <w:r w:rsidR="0074331B" w:rsidRPr="004F1F23">
        <w:rPr>
          <w:lang w:val="fr-FR"/>
        </w:rPr>
        <w:t>établi sur le modèle du bouquet de ressources types et mis en œuvre sur une période de temps limitée.</w:t>
      </w:r>
    </w:p>
    <w:p w14:paraId="2EA117AF" w14:textId="34B1A5F5" w:rsidR="00601CE4" w:rsidRPr="004F1F23" w:rsidRDefault="00385AB1" w:rsidP="00385AB1">
      <w:pPr>
        <w:pStyle w:val="Heading2"/>
        <w:rPr>
          <w:lang w:val="fr-FR"/>
        </w:rPr>
      </w:pPr>
      <w:r w:rsidRPr="004F1F23">
        <w:rPr>
          <w:lang w:val="fr-FR"/>
        </w:rPr>
        <w:t>Éléments de mise en œuvre</w:t>
      </w:r>
    </w:p>
    <w:p w14:paraId="141E6BEE" w14:textId="77777777" w:rsidR="001738B7" w:rsidRPr="004F1F23" w:rsidRDefault="001738B7" w:rsidP="001738B7">
      <w:pPr>
        <w:rPr>
          <w:lang w:val="fr-FR"/>
        </w:rPr>
      </w:pPr>
    </w:p>
    <w:p w14:paraId="676E631D" w14:textId="5E1389FA" w:rsidR="00AA2E73" w:rsidRPr="004F1F23" w:rsidRDefault="005007C7" w:rsidP="00AA2E73">
      <w:pPr>
        <w:pStyle w:val="ONUMFS"/>
        <w:rPr>
          <w:lang w:val="fr-FR"/>
        </w:rPr>
      </w:pPr>
      <w:r w:rsidRPr="004F1F23">
        <w:rPr>
          <w:lang w:val="fr-FR"/>
        </w:rPr>
        <w:t>Compte tenu de ce qui précède, les trois</w:t>
      </w:r>
      <w:r w:rsidR="0013560F" w:rsidRPr="004F1F23">
        <w:rPr>
          <w:lang w:val="fr-FR"/>
        </w:rPr>
        <w:t> </w:t>
      </w:r>
      <w:r w:rsidR="004A0721" w:rsidRPr="004F1F23">
        <w:rPr>
          <w:lang w:val="fr-FR"/>
        </w:rPr>
        <w:t>éléments</w:t>
      </w:r>
      <w:r w:rsidRPr="004F1F23">
        <w:rPr>
          <w:lang w:val="fr-FR"/>
        </w:rPr>
        <w:t xml:space="preserve"> distincts suivants seront mis en œuvre</w:t>
      </w:r>
      <w:r w:rsidR="004F1C73" w:rsidRPr="004F1F23">
        <w:rPr>
          <w:lang w:val="fr-FR"/>
        </w:rPr>
        <w:t> :</w:t>
      </w:r>
    </w:p>
    <w:p w14:paraId="76D07E9C" w14:textId="77777777" w:rsidR="00601CE4" w:rsidRPr="004F1F23" w:rsidRDefault="00C95146" w:rsidP="00601CE4">
      <w:pPr>
        <w:pStyle w:val="ONUMFS"/>
        <w:numPr>
          <w:ilvl w:val="1"/>
          <w:numId w:val="6"/>
        </w:numPr>
        <w:rPr>
          <w:lang w:val="fr-FR"/>
        </w:rPr>
      </w:pPr>
      <w:r w:rsidRPr="004F1F23">
        <w:rPr>
          <w:lang w:val="fr-FR"/>
        </w:rPr>
        <w:t xml:space="preserve">évaluation </w:t>
      </w:r>
      <w:r w:rsidR="00AA5101" w:rsidRPr="004F1F23">
        <w:rPr>
          <w:lang w:val="fr-FR"/>
        </w:rPr>
        <w:t>des incidences à long terme du projet dans les deux</w:t>
      </w:r>
      <w:r w:rsidR="0013560F" w:rsidRPr="004F1F23">
        <w:rPr>
          <w:lang w:val="fr-FR"/>
        </w:rPr>
        <w:t> </w:t>
      </w:r>
      <w:r w:rsidR="00AA5101" w:rsidRPr="004F1F23">
        <w:rPr>
          <w:lang w:val="fr-FR"/>
        </w:rPr>
        <w:t>pays bénéficiaires sur la base d</w:t>
      </w:r>
      <w:r w:rsidR="004F1C73" w:rsidRPr="004F1F23">
        <w:rPr>
          <w:lang w:val="fr-FR"/>
        </w:rPr>
        <w:t>’</w:t>
      </w:r>
      <w:r w:rsidR="00AA5101" w:rsidRPr="004F1F23">
        <w:rPr>
          <w:lang w:val="fr-FR"/>
        </w:rPr>
        <w:t>un cadre d</w:t>
      </w:r>
      <w:r w:rsidR="004F1C73" w:rsidRPr="004F1F23">
        <w:rPr>
          <w:lang w:val="fr-FR"/>
        </w:rPr>
        <w:t>’</w:t>
      </w:r>
      <w:r w:rsidR="00AA5101" w:rsidRPr="004F1F23">
        <w:rPr>
          <w:lang w:val="fr-FR"/>
        </w:rPr>
        <w:t xml:space="preserve">évaluation des incidences spécialement </w:t>
      </w:r>
      <w:r w:rsidR="004A0721" w:rsidRPr="004F1F23">
        <w:rPr>
          <w:lang w:val="fr-FR"/>
        </w:rPr>
        <w:t xml:space="preserve">établi </w:t>
      </w:r>
      <w:r w:rsidR="00AA5101" w:rsidRPr="004F1F23">
        <w:rPr>
          <w:lang w:val="fr-FR"/>
        </w:rPr>
        <w:t>à cette fin</w:t>
      </w:r>
      <w:r w:rsidR="00E1254C" w:rsidRPr="004F1F23">
        <w:rPr>
          <w:lang w:val="fr-FR"/>
        </w:rPr>
        <w:t>;</w:t>
      </w:r>
    </w:p>
    <w:p w14:paraId="484FAE20" w14:textId="75166292" w:rsidR="00AA2E73" w:rsidRPr="004F1F23" w:rsidRDefault="00AA5101" w:rsidP="00601CE4">
      <w:pPr>
        <w:pStyle w:val="ONUMFS"/>
        <w:numPr>
          <w:ilvl w:val="1"/>
          <w:numId w:val="6"/>
        </w:numPr>
        <w:rPr>
          <w:lang w:val="fr-FR"/>
        </w:rPr>
      </w:pPr>
      <w:r w:rsidRPr="004F1F23">
        <w:rPr>
          <w:lang w:val="fr-FR"/>
        </w:rPr>
        <w:t xml:space="preserve">création et mise à disposition du bouquet de ressources types </w:t>
      </w:r>
      <w:r w:rsidR="004A0721" w:rsidRPr="004F1F23">
        <w:rPr>
          <w:lang w:val="fr-FR"/>
        </w:rPr>
        <w:t>visé</w:t>
      </w:r>
      <w:r w:rsidRPr="004F1F23">
        <w:rPr>
          <w:lang w:val="fr-FR"/>
        </w:rPr>
        <w:t xml:space="preserve"> aux </w:t>
      </w:r>
      <w:r w:rsidR="002E5FB0" w:rsidRPr="004F1F23">
        <w:rPr>
          <w:lang w:val="fr-FR"/>
        </w:rPr>
        <w:t>paragraphes 8</w:t>
      </w:r>
      <w:r w:rsidRPr="004F1F23">
        <w:rPr>
          <w:lang w:val="fr-FR"/>
        </w:rPr>
        <w:t xml:space="preserve"> à 10</w:t>
      </w:r>
      <w:r w:rsidR="00E1254C" w:rsidRPr="004F1F23">
        <w:rPr>
          <w:lang w:val="fr-FR"/>
        </w:rPr>
        <w:t>;</w:t>
      </w:r>
      <w:r w:rsidR="007266BF" w:rsidRPr="004F1F23">
        <w:rPr>
          <w:lang w:val="fr-FR"/>
        </w:rPr>
        <w:t xml:space="preserve">  </w:t>
      </w:r>
      <w:r w:rsidRPr="004F1F23">
        <w:rPr>
          <w:lang w:val="fr-FR"/>
        </w:rPr>
        <w:t>et</w:t>
      </w:r>
    </w:p>
    <w:p w14:paraId="7AEE7731" w14:textId="77777777" w:rsidR="00AA2E73" w:rsidRPr="004F1F23" w:rsidRDefault="00AA5101" w:rsidP="00601CE4">
      <w:pPr>
        <w:pStyle w:val="ONUMFS"/>
        <w:numPr>
          <w:ilvl w:val="1"/>
          <w:numId w:val="6"/>
        </w:numPr>
        <w:rPr>
          <w:lang w:val="fr-FR"/>
        </w:rPr>
      </w:pPr>
      <w:r w:rsidRPr="004F1F23">
        <w:rPr>
          <w:lang w:val="fr-FR"/>
        </w:rPr>
        <w:t xml:space="preserve">intégration des activités menées au titre du projet dans les </w:t>
      </w:r>
      <w:r w:rsidR="00C95146" w:rsidRPr="004F1F23">
        <w:rPr>
          <w:lang w:val="fr-FR"/>
        </w:rPr>
        <w:t>activités</w:t>
      </w:r>
      <w:r w:rsidRPr="004F1F23">
        <w:rPr>
          <w:lang w:val="fr-FR"/>
        </w:rPr>
        <w:t xml:space="preserve"> ordinaires de sensibilisation et de renforcement des capacités mené</w:t>
      </w:r>
      <w:r w:rsidR="00C95146" w:rsidRPr="004F1F23">
        <w:rPr>
          <w:lang w:val="fr-FR"/>
        </w:rPr>
        <w:t>e</w:t>
      </w:r>
      <w:r w:rsidRPr="004F1F23">
        <w:rPr>
          <w:lang w:val="fr-FR"/>
        </w:rPr>
        <w:t>s par le Secrétariat.</w:t>
      </w:r>
    </w:p>
    <w:p w14:paraId="42CE0F9F" w14:textId="49B381F9" w:rsidR="00601CE4" w:rsidRPr="004F1F23" w:rsidRDefault="005C49B4" w:rsidP="001738B7">
      <w:pPr>
        <w:pStyle w:val="ONUMFS"/>
        <w:rPr>
          <w:lang w:val="fr-FR"/>
        </w:rPr>
      </w:pPr>
      <w:r w:rsidRPr="004F1F23">
        <w:rPr>
          <w:lang w:val="fr-FR"/>
        </w:rPr>
        <w:t xml:space="preserve">Grâce à ces </w:t>
      </w:r>
      <w:r w:rsidR="004A0721" w:rsidRPr="004F1F23">
        <w:rPr>
          <w:lang w:val="fr-FR"/>
        </w:rPr>
        <w:t>éléments</w:t>
      </w:r>
      <w:r w:rsidRPr="004F1F23">
        <w:rPr>
          <w:lang w:val="fr-FR"/>
        </w:rPr>
        <w:t>, la mise en œuvre du suivi du projet fera partie intégrante des activités ordinaires du Secrétariat.</w:t>
      </w:r>
    </w:p>
    <w:p w14:paraId="5D8752FF" w14:textId="3014F901" w:rsidR="00AA2E73" w:rsidRPr="004F1F23" w:rsidRDefault="003E7833" w:rsidP="003E7833">
      <w:pPr>
        <w:pStyle w:val="Heading2"/>
        <w:rPr>
          <w:lang w:val="fr-FR"/>
        </w:rPr>
      </w:pPr>
      <w:r w:rsidRPr="004F1F23">
        <w:rPr>
          <w:lang w:val="fr-FR"/>
        </w:rPr>
        <w:t>Appui au projet</w:t>
      </w:r>
    </w:p>
    <w:p w14:paraId="763A13EF" w14:textId="77777777" w:rsidR="00601CE4" w:rsidRPr="004F1F23" w:rsidRDefault="00601CE4" w:rsidP="00601CE4">
      <w:pPr>
        <w:rPr>
          <w:lang w:val="fr-FR"/>
        </w:rPr>
      </w:pPr>
    </w:p>
    <w:p w14:paraId="19E2FD4F" w14:textId="1BF3F058" w:rsidR="00AA2E73" w:rsidRPr="004F1F23" w:rsidRDefault="009F2035" w:rsidP="00AA2E73">
      <w:pPr>
        <w:pStyle w:val="ONUMFS"/>
        <w:rPr>
          <w:lang w:val="fr-FR"/>
        </w:rPr>
      </w:pPr>
      <w:r w:rsidRPr="004F1F23">
        <w:rPr>
          <w:lang w:val="fr-FR"/>
        </w:rPr>
        <w:t xml:space="preserve">Le projet a </w:t>
      </w:r>
      <w:r w:rsidR="004A0721" w:rsidRPr="004F1F23">
        <w:rPr>
          <w:lang w:val="fr-FR"/>
        </w:rPr>
        <w:t xml:space="preserve">bénéficié de </w:t>
      </w:r>
      <w:r w:rsidRPr="004F1F23">
        <w:rPr>
          <w:lang w:val="fr-FR"/>
        </w:rPr>
        <w:t>l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appui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>un administrateur de projet à plein temps qui était chargé de s</w:t>
      </w:r>
      <w:r w:rsidR="00BD3E06" w:rsidRPr="004F1F23">
        <w:rPr>
          <w:lang w:val="fr-FR"/>
        </w:rPr>
        <w:t>on exécution</w:t>
      </w:r>
      <w:r w:rsidRPr="004F1F23">
        <w:rPr>
          <w:lang w:val="fr-FR"/>
        </w:rPr>
        <w:t xml:space="preserve"> </w:t>
      </w:r>
      <w:r w:rsidR="004A0721" w:rsidRPr="004F1F23">
        <w:rPr>
          <w:lang w:val="fr-FR"/>
        </w:rPr>
        <w:t>couran</w:t>
      </w:r>
      <w:r w:rsidR="006F6B20" w:rsidRPr="004F1F23">
        <w:rPr>
          <w:lang w:val="fr-FR"/>
        </w:rPr>
        <w:t>te.  Se</w:t>
      </w:r>
      <w:r w:rsidRPr="004F1F23">
        <w:rPr>
          <w:lang w:val="fr-FR"/>
        </w:rPr>
        <w:t>lon le rapport d</w:t>
      </w:r>
      <w:r w:rsidR="004F1C73" w:rsidRPr="004F1F23">
        <w:rPr>
          <w:lang w:val="fr-FR"/>
        </w:rPr>
        <w:t>’</w:t>
      </w:r>
      <w:r w:rsidRPr="004F1F23">
        <w:rPr>
          <w:lang w:val="fr-FR"/>
        </w:rPr>
        <w:t xml:space="preserve">évaluation, </w:t>
      </w:r>
      <w:r w:rsidR="006231CC" w:rsidRPr="004F1F23">
        <w:rPr>
          <w:lang w:val="fr-FR"/>
        </w:rPr>
        <w:t>il s</w:t>
      </w:r>
      <w:r w:rsidR="004F1C73" w:rsidRPr="004F1F23">
        <w:rPr>
          <w:lang w:val="fr-FR"/>
        </w:rPr>
        <w:t>’</w:t>
      </w:r>
      <w:r w:rsidR="006231CC" w:rsidRPr="004F1F23">
        <w:rPr>
          <w:lang w:val="fr-FR"/>
        </w:rPr>
        <w:t>agissait d</w:t>
      </w:r>
      <w:r w:rsidR="004F1C73" w:rsidRPr="004F1F23">
        <w:rPr>
          <w:lang w:val="fr-FR"/>
        </w:rPr>
        <w:t>’</w:t>
      </w:r>
      <w:r w:rsidR="006231CC" w:rsidRPr="004F1F23">
        <w:rPr>
          <w:lang w:val="fr-FR"/>
        </w:rPr>
        <w:t xml:space="preserve">un </w:t>
      </w:r>
      <w:r w:rsidR="0013560F" w:rsidRPr="004F1F23">
        <w:rPr>
          <w:lang w:val="fr-FR"/>
        </w:rPr>
        <w:t>“</w:t>
      </w:r>
      <w:r w:rsidR="006231CC" w:rsidRPr="004F1F23">
        <w:rPr>
          <w:lang w:val="fr-FR"/>
        </w:rPr>
        <w:t>facteur essentiel de réussite du projet</w:t>
      </w:r>
      <w:r w:rsidR="0013560F" w:rsidRPr="004F1F23">
        <w:rPr>
          <w:lang w:val="fr-FR"/>
        </w:rPr>
        <w:t xml:space="preserve">”. </w:t>
      </w:r>
      <w:r w:rsidR="006231CC" w:rsidRPr="004F1F23">
        <w:rPr>
          <w:lang w:val="fr-FR"/>
        </w:rPr>
        <w:t xml:space="preserve"> </w:t>
      </w:r>
      <w:r w:rsidR="004A0721" w:rsidRPr="004F1F23">
        <w:rPr>
          <w:lang w:val="fr-FR"/>
        </w:rPr>
        <w:t>I</w:t>
      </w:r>
      <w:r w:rsidR="006231CC" w:rsidRPr="004F1F23">
        <w:rPr>
          <w:lang w:val="fr-FR"/>
        </w:rPr>
        <w:t>l serait très intéressant de tirer parti des connaissances et de l</w:t>
      </w:r>
      <w:r w:rsidR="004F1C73" w:rsidRPr="004F1F23">
        <w:rPr>
          <w:lang w:val="fr-FR"/>
        </w:rPr>
        <w:t>’</w:t>
      </w:r>
      <w:r w:rsidR="006231CC" w:rsidRPr="004F1F23">
        <w:rPr>
          <w:lang w:val="fr-FR"/>
        </w:rPr>
        <w:t xml:space="preserve">expérience acquises par cet administrateur de projet pour la mise au point des </w:t>
      </w:r>
      <w:r w:rsidR="004A0721" w:rsidRPr="004F1F23">
        <w:rPr>
          <w:lang w:val="fr-FR"/>
        </w:rPr>
        <w:t xml:space="preserve">éléments </w:t>
      </w:r>
      <w:r w:rsidR="00DF73A3" w:rsidRPr="004F1F23">
        <w:rPr>
          <w:lang w:val="fr-FR"/>
        </w:rPr>
        <w:t xml:space="preserve">a) </w:t>
      </w:r>
      <w:r w:rsidR="006231CC" w:rsidRPr="004F1F23">
        <w:rPr>
          <w:lang w:val="fr-FR"/>
        </w:rPr>
        <w:t xml:space="preserve">et </w:t>
      </w:r>
      <w:r w:rsidR="00DF73A3" w:rsidRPr="004F1F23">
        <w:rPr>
          <w:lang w:val="fr-FR"/>
        </w:rPr>
        <w:t>b)</w:t>
      </w:r>
      <w:r w:rsidR="0013560F" w:rsidRPr="004F1F23">
        <w:rPr>
          <w:lang w:val="fr-FR"/>
        </w:rPr>
        <w:t> </w:t>
      </w:r>
      <w:r w:rsidR="006231CC" w:rsidRPr="004F1F23">
        <w:rPr>
          <w:lang w:val="fr-FR"/>
        </w:rPr>
        <w:t xml:space="preserve">et </w:t>
      </w:r>
      <w:r w:rsidR="00E64992" w:rsidRPr="004F1F23">
        <w:rPr>
          <w:lang w:val="fr-FR"/>
        </w:rPr>
        <w:t>le</w:t>
      </w:r>
      <w:r w:rsidR="006231CC" w:rsidRPr="004F1F23">
        <w:rPr>
          <w:lang w:val="fr-FR"/>
        </w:rPr>
        <w:t xml:space="preserve"> transfert de technologie </w:t>
      </w:r>
      <w:r w:rsidR="004A0721" w:rsidRPr="004F1F23">
        <w:rPr>
          <w:lang w:val="fr-FR"/>
        </w:rPr>
        <w:t>vers</w:t>
      </w:r>
      <w:r w:rsidR="006231CC" w:rsidRPr="004F1F23">
        <w:rPr>
          <w:lang w:val="fr-FR"/>
        </w:rPr>
        <w:t xml:space="preserve"> l</w:t>
      </w:r>
      <w:r w:rsidR="004F1C73" w:rsidRPr="004F1F23">
        <w:rPr>
          <w:lang w:val="fr-FR"/>
        </w:rPr>
        <w:t>’</w:t>
      </w:r>
      <w:r w:rsidR="006231CC" w:rsidRPr="004F1F23">
        <w:rPr>
          <w:lang w:val="fr-FR"/>
        </w:rPr>
        <w:t>organisation par le biais de sessions de formation et d</w:t>
      </w:r>
      <w:r w:rsidR="004F1C73" w:rsidRPr="004F1F23">
        <w:rPr>
          <w:lang w:val="fr-FR"/>
        </w:rPr>
        <w:t>’</w:t>
      </w:r>
      <w:r w:rsidR="006231CC" w:rsidRPr="004F1F23">
        <w:rPr>
          <w:lang w:val="fr-FR"/>
        </w:rPr>
        <w:t>information.</w:t>
      </w:r>
    </w:p>
    <w:p w14:paraId="7D160B9E" w14:textId="673F1EF4" w:rsidR="00601CE4" w:rsidRPr="004F1F23" w:rsidRDefault="006231CC" w:rsidP="00601CE4">
      <w:pPr>
        <w:pStyle w:val="ONUMFS"/>
        <w:ind w:left="5533"/>
        <w:rPr>
          <w:i/>
          <w:iCs/>
          <w:szCs w:val="22"/>
          <w:lang w:val="fr-FR"/>
        </w:rPr>
      </w:pPr>
      <w:r w:rsidRPr="004F1F23">
        <w:rPr>
          <w:i/>
          <w:iCs/>
          <w:szCs w:val="22"/>
          <w:lang w:val="fr-FR"/>
        </w:rPr>
        <w:lastRenderedPageBreak/>
        <w:t>L</w:t>
      </w:r>
      <w:r w:rsidR="00AA3ADA" w:rsidRPr="004F1F23">
        <w:rPr>
          <w:i/>
          <w:iCs/>
          <w:szCs w:val="22"/>
          <w:lang w:val="fr-FR"/>
        </w:rPr>
        <w:t xml:space="preserve">e CDIP </w:t>
      </w:r>
      <w:r w:rsidRPr="004F1F23">
        <w:rPr>
          <w:i/>
          <w:iCs/>
          <w:szCs w:val="22"/>
          <w:lang w:val="fr-FR"/>
        </w:rPr>
        <w:t>est invité à examiner les informations contenu</w:t>
      </w:r>
      <w:r w:rsidR="004A0721" w:rsidRPr="004F1F23">
        <w:rPr>
          <w:i/>
          <w:iCs/>
          <w:szCs w:val="22"/>
          <w:lang w:val="fr-FR"/>
        </w:rPr>
        <w:t>e</w:t>
      </w:r>
      <w:r w:rsidRPr="004F1F23">
        <w:rPr>
          <w:i/>
          <w:iCs/>
          <w:szCs w:val="22"/>
          <w:lang w:val="fr-FR"/>
        </w:rPr>
        <w:t>s dans le présent document</w:t>
      </w:r>
      <w:r w:rsidR="00AA3ADA" w:rsidRPr="004F1F23">
        <w:rPr>
          <w:i/>
          <w:iCs/>
          <w:szCs w:val="22"/>
          <w:lang w:val="fr-FR"/>
        </w:rPr>
        <w:t>.</w:t>
      </w:r>
    </w:p>
    <w:p w14:paraId="51C8A003" w14:textId="77777777" w:rsidR="00601CE4" w:rsidRPr="004F1F23" w:rsidRDefault="00601CE4" w:rsidP="00385AB1">
      <w:pPr>
        <w:pStyle w:val="Endofdocument-Annex"/>
        <w:rPr>
          <w:lang w:val="fr-FR"/>
        </w:rPr>
      </w:pPr>
    </w:p>
    <w:p w14:paraId="6FB717E9" w14:textId="77777777" w:rsidR="00385AB1" w:rsidRPr="004F1F23" w:rsidRDefault="00385AB1" w:rsidP="00385AB1">
      <w:pPr>
        <w:pStyle w:val="Endofdocument-Annex"/>
        <w:rPr>
          <w:lang w:val="fr-FR"/>
        </w:rPr>
      </w:pPr>
    </w:p>
    <w:p w14:paraId="223832EB" w14:textId="06679583" w:rsidR="007266BF" w:rsidRPr="004F1F23" w:rsidRDefault="007266BF" w:rsidP="00385AB1">
      <w:pPr>
        <w:pStyle w:val="Endofdocument-Annex"/>
        <w:rPr>
          <w:lang w:val="fr-FR"/>
        </w:rPr>
      </w:pPr>
      <w:r w:rsidRPr="004F1F23">
        <w:rPr>
          <w:lang w:val="fr-FR"/>
        </w:rPr>
        <w:t>[</w:t>
      </w:r>
      <w:r w:rsidR="006231CC" w:rsidRPr="004F1F23">
        <w:rPr>
          <w:lang w:val="fr-FR"/>
        </w:rPr>
        <w:t xml:space="preserve">Fin du </w:t>
      </w:r>
      <w:r w:rsidRPr="004F1F23">
        <w:rPr>
          <w:lang w:val="fr-FR"/>
        </w:rPr>
        <w:t>document]</w:t>
      </w:r>
    </w:p>
    <w:sectPr w:rsidR="007266BF" w:rsidRPr="004F1F23" w:rsidSect="00F6661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D9233" w14:textId="77777777" w:rsidR="00CD317B" w:rsidRDefault="00CD317B">
      <w:r>
        <w:separator/>
      </w:r>
    </w:p>
  </w:endnote>
  <w:endnote w:type="continuationSeparator" w:id="0">
    <w:p w14:paraId="68E30E69" w14:textId="77777777" w:rsidR="00CD317B" w:rsidRDefault="00CD317B" w:rsidP="003B38C1">
      <w:r>
        <w:separator/>
      </w:r>
    </w:p>
    <w:p w14:paraId="69ACD198" w14:textId="77777777" w:rsidR="00CD317B" w:rsidRPr="003B38C1" w:rsidRDefault="00CD31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7846D9" w14:textId="77777777" w:rsidR="00CD317B" w:rsidRPr="003B38C1" w:rsidRDefault="00CD31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93E7B" w14:textId="77777777" w:rsidR="00CD317B" w:rsidRDefault="00CD317B">
      <w:r>
        <w:separator/>
      </w:r>
    </w:p>
  </w:footnote>
  <w:footnote w:type="continuationSeparator" w:id="0">
    <w:p w14:paraId="04A7A7B8" w14:textId="77777777" w:rsidR="00CD317B" w:rsidRDefault="00CD317B" w:rsidP="008B60B2">
      <w:r>
        <w:separator/>
      </w:r>
    </w:p>
    <w:p w14:paraId="2ED9FB96" w14:textId="77777777" w:rsidR="00CD317B" w:rsidRPr="00ED77FB" w:rsidRDefault="00CD31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F93B47" w14:textId="77777777" w:rsidR="00CD317B" w:rsidRPr="00ED77FB" w:rsidRDefault="00CD31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5FFB421" w14:textId="525E75AB" w:rsidR="00826E20" w:rsidRPr="00AA2E73" w:rsidRDefault="00826E20" w:rsidP="00AA2E73">
      <w:pPr>
        <w:pStyle w:val="FootnoteText"/>
        <w:rPr>
          <w:lang w:val="fr-FR"/>
        </w:rPr>
      </w:pPr>
      <w:r w:rsidRPr="00AA2E73">
        <w:rPr>
          <w:rStyle w:val="FootnoteReference"/>
          <w:lang w:val="fr-FR"/>
        </w:rPr>
        <w:footnoteRef/>
      </w:r>
      <w:r w:rsidRPr="00AA2E73">
        <w:rPr>
          <w:lang w:val="fr-FR"/>
        </w:rPr>
        <w:t xml:space="preserve"> </w:t>
      </w:r>
      <w:r w:rsidR="00F66614" w:rsidRPr="00AA2E73">
        <w:rPr>
          <w:lang w:val="fr-FR"/>
        </w:rPr>
        <w:tab/>
      </w:r>
      <w:r w:rsidR="007770F3" w:rsidRPr="00AA2E73">
        <w:rPr>
          <w:lang w:val="fr-FR"/>
        </w:rPr>
        <w:t>Voir le document CDIP/11/7.</w:t>
      </w:r>
    </w:p>
  </w:footnote>
  <w:footnote w:id="3">
    <w:p w14:paraId="77901076" w14:textId="0CD4FF29" w:rsidR="00826E20" w:rsidRPr="00AA2E73" w:rsidRDefault="00826E20" w:rsidP="00AA2E73">
      <w:pPr>
        <w:pStyle w:val="FootnoteText"/>
        <w:rPr>
          <w:lang w:val="fr-FR"/>
        </w:rPr>
      </w:pPr>
      <w:r w:rsidRPr="00AA2E73">
        <w:rPr>
          <w:rStyle w:val="FootnoteReference"/>
          <w:lang w:val="fr-FR"/>
        </w:rPr>
        <w:footnoteRef/>
      </w:r>
      <w:r w:rsidRPr="00AA2E73">
        <w:rPr>
          <w:lang w:val="fr-FR"/>
        </w:rPr>
        <w:t xml:space="preserve"> </w:t>
      </w:r>
      <w:r w:rsidR="00F66614" w:rsidRPr="00AA2E73">
        <w:rPr>
          <w:lang w:val="fr-FR"/>
        </w:rPr>
        <w:tab/>
      </w:r>
      <w:r w:rsidR="007770F3" w:rsidRPr="00AA2E73">
        <w:rPr>
          <w:lang w:val="fr-FR"/>
        </w:rPr>
        <w:t>Voir le document CDIP/12/6.</w:t>
      </w:r>
    </w:p>
  </w:footnote>
  <w:footnote w:id="4">
    <w:p w14:paraId="374ACA5D" w14:textId="624D79CC" w:rsidR="007770F3" w:rsidRPr="00AA2E73" w:rsidRDefault="007770F3" w:rsidP="00AA2E73">
      <w:pPr>
        <w:pStyle w:val="FootnoteText"/>
        <w:rPr>
          <w:lang w:val="fr-FR"/>
        </w:rPr>
      </w:pPr>
      <w:r w:rsidRPr="00AA2E73">
        <w:rPr>
          <w:rStyle w:val="FootnoteReference"/>
          <w:lang w:val="fr-FR"/>
        </w:rPr>
        <w:footnoteRef/>
      </w:r>
      <w:r w:rsidRPr="00AA2E73">
        <w:rPr>
          <w:lang w:val="fr-FR"/>
        </w:rPr>
        <w:t xml:space="preserve"> </w:t>
      </w:r>
      <w:r w:rsidR="00F66614" w:rsidRPr="00AA2E73">
        <w:rPr>
          <w:lang w:val="fr-FR"/>
        </w:rPr>
        <w:tab/>
      </w:r>
      <w:r w:rsidR="00895D99" w:rsidRPr="00AA2E73">
        <w:rPr>
          <w:lang w:val="fr-FR"/>
        </w:rPr>
        <w:t>Voir le document CDIP/19/4.</w:t>
      </w:r>
    </w:p>
  </w:footnote>
  <w:footnote w:id="5">
    <w:p w14:paraId="598A6C9F" w14:textId="65AB804A" w:rsidR="00895D99" w:rsidRPr="00AA2E73" w:rsidRDefault="00895D99" w:rsidP="00AA2E73">
      <w:pPr>
        <w:pStyle w:val="FootnoteText"/>
        <w:rPr>
          <w:lang w:val="fr-FR"/>
        </w:rPr>
      </w:pPr>
      <w:r w:rsidRPr="00AA2E73">
        <w:rPr>
          <w:rStyle w:val="FootnoteReference"/>
          <w:lang w:val="fr-FR"/>
        </w:rPr>
        <w:footnoteRef/>
      </w:r>
      <w:r w:rsidRPr="00AA2E73">
        <w:rPr>
          <w:lang w:val="fr-FR"/>
        </w:rPr>
        <w:t xml:space="preserve"> </w:t>
      </w:r>
      <w:r w:rsidR="00F66614" w:rsidRPr="00AA2E73">
        <w:rPr>
          <w:lang w:val="fr-FR"/>
        </w:rPr>
        <w:tab/>
      </w:r>
      <w:r w:rsidRPr="00AA2E73">
        <w:rPr>
          <w:lang w:val="fr-FR"/>
        </w:rPr>
        <w:t xml:space="preserve">Voir le </w:t>
      </w:r>
      <w:r w:rsidR="006235F5" w:rsidRPr="00AA2E73">
        <w:rPr>
          <w:lang w:val="fr-FR"/>
        </w:rPr>
        <w:t>paragraphe 6</w:t>
      </w:r>
      <w:r w:rsidRPr="00AA2E73">
        <w:rPr>
          <w:lang w:val="fr-FR"/>
        </w:rPr>
        <w:t>.2 du Résumé présenté par le président de la dix</w:t>
      </w:r>
      <w:r w:rsidR="004F1F23">
        <w:rPr>
          <w:lang w:val="fr-FR"/>
        </w:rPr>
        <w:noBreakHyphen/>
      </w:r>
      <w:r w:rsidRPr="00AA2E73">
        <w:rPr>
          <w:lang w:val="fr-FR"/>
        </w:rPr>
        <w:t>neuv</w:t>
      </w:r>
      <w:r w:rsidR="000E2D3A" w:rsidRPr="00AA2E73">
        <w:rPr>
          <w:lang w:val="fr-FR"/>
        </w:rPr>
        <w:t>ième session</w:t>
      </w:r>
      <w:r w:rsidR="006235F5" w:rsidRPr="00AA2E73">
        <w:rPr>
          <w:lang w:val="fr-FR"/>
        </w:rPr>
        <w:t xml:space="preserve"> du CDI</w:t>
      </w:r>
      <w:r w:rsidRPr="00AA2E73">
        <w:rPr>
          <w:lang w:val="fr-FR"/>
        </w:rPr>
        <w:t>P.</w:t>
      </w:r>
    </w:p>
  </w:footnote>
  <w:footnote w:id="6">
    <w:p w14:paraId="5ADD259A" w14:textId="0B32E6FA" w:rsidR="00183C31" w:rsidRPr="00AA2E73" w:rsidRDefault="00183C31" w:rsidP="00AA2E73">
      <w:pPr>
        <w:pStyle w:val="FootnoteText"/>
        <w:rPr>
          <w:lang w:val="fr-FR"/>
        </w:rPr>
      </w:pPr>
      <w:r w:rsidRPr="00AA2E73">
        <w:rPr>
          <w:rStyle w:val="FootnoteReference"/>
          <w:lang w:val="fr-FR"/>
        </w:rPr>
        <w:footnoteRef/>
      </w:r>
      <w:r w:rsidRPr="00AA2E73">
        <w:rPr>
          <w:lang w:val="fr-FR"/>
        </w:rPr>
        <w:t xml:space="preserve"> </w:t>
      </w:r>
      <w:r w:rsidR="00F66614" w:rsidRPr="00AA2E73">
        <w:rPr>
          <w:lang w:val="fr-FR"/>
        </w:rPr>
        <w:tab/>
      </w:r>
      <w:r w:rsidRPr="00AA2E73">
        <w:rPr>
          <w:lang w:val="fr-FR"/>
        </w:rPr>
        <w:t xml:space="preserve">Voir les </w:t>
      </w:r>
      <w:r w:rsidR="006235F5" w:rsidRPr="00AA2E73">
        <w:rPr>
          <w:lang w:val="fr-FR"/>
        </w:rPr>
        <w:t>paragraphes 3</w:t>
      </w:r>
      <w:r w:rsidR="004F1F23">
        <w:rPr>
          <w:lang w:val="fr-FR"/>
        </w:rPr>
        <w:t>0 et </w:t>
      </w:r>
      <w:r w:rsidRPr="00AA2E73">
        <w:rPr>
          <w:lang w:val="fr-FR"/>
        </w:rPr>
        <w:t xml:space="preserve">31 du document CDIP/19/4;  voir également les </w:t>
      </w:r>
      <w:r w:rsidR="006235F5" w:rsidRPr="00AA2E73">
        <w:rPr>
          <w:lang w:val="fr-FR"/>
        </w:rPr>
        <w:t>paragraphes 7</w:t>
      </w:r>
      <w:r w:rsidRPr="00AA2E73">
        <w:rPr>
          <w:lang w:val="fr-FR"/>
        </w:rPr>
        <w:t>6 à 78 dudit document.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CC3EA" w14:textId="1A802E15" w:rsidR="00EC4E49" w:rsidRDefault="002744B2" w:rsidP="00477D6B">
    <w:pPr>
      <w:jc w:val="right"/>
    </w:pPr>
    <w:bookmarkStart w:id="6" w:name="Code2"/>
    <w:bookmarkEnd w:id="6"/>
    <w:r>
      <w:t>CDIP/20/</w:t>
    </w:r>
    <w:r w:rsidR="002741C0">
      <w:t>4</w:t>
    </w:r>
  </w:p>
  <w:p w14:paraId="1624B3B6" w14:textId="77777777" w:rsidR="00601CE4" w:rsidRDefault="00EC4E49" w:rsidP="00477D6B">
    <w:pPr>
      <w:jc w:val="right"/>
    </w:pPr>
    <w:proofErr w:type="gramStart"/>
    <w:r>
      <w:t>page</w:t>
    </w:r>
    <w:proofErr w:type="gramEnd"/>
    <w:r w:rsidR="004F1C7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F2131">
      <w:rPr>
        <w:noProof/>
      </w:rPr>
      <w:t>5</w:t>
    </w:r>
    <w:r>
      <w:fldChar w:fldCharType="end"/>
    </w:r>
  </w:p>
  <w:p w14:paraId="1C0A27D0" w14:textId="37962560"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D72CC8"/>
    <w:multiLevelType w:val="hybridMultilevel"/>
    <w:tmpl w:val="7E18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60D8D"/>
    <w:multiLevelType w:val="hybridMultilevel"/>
    <w:tmpl w:val="6896D382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6663"/>
        </w:tabs>
        <w:ind w:left="6096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53205D7"/>
    <w:multiLevelType w:val="hybridMultilevel"/>
    <w:tmpl w:val="A2E84840"/>
    <w:lvl w:ilvl="0" w:tplc="3DF65014">
      <w:start w:val="1"/>
      <w:numFmt w:val="lowerLetter"/>
      <w:lvlText w:val="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797A55"/>
    <w:multiLevelType w:val="hybridMultilevel"/>
    <w:tmpl w:val="8DEC29CE"/>
    <w:lvl w:ilvl="0" w:tplc="CABACBBC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B85979"/>
    <w:multiLevelType w:val="hybridMultilevel"/>
    <w:tmpl w:val="9622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9D14002-2311-44E2-92A0-E5588B358F7F}"/>
    <w:docVar w:name="dgnword-eventsink" w:val="122667320"/>
    <w:docVar w:name="SourceLng" w:val="eng"/>
    <w:docVar w:name="TargetLng" w:val="fra"/>
    <w:docVar w:name="TermBases" w:val="DB|WIPONew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744B2"/>
    <w:rsid w:val="00001E20"/>
    <w:rsid w:val="00007792"/>
    <w:rsid w:val="00043CAA"/>
    <w:rsid w:val="00051058"/>
    <w:rsid w:val="000532EC"/>
    <w:rsid w:val="000549BC"/>
    <w:rsid w:val="00075432"/>
    <w:rsid w:val="000968ED"/>
    <w:rsid w:val="000B40F2"/>
    <w:rsid w:val="000C3932"/>
    <w:rsid w:val="000E2D3A"/>
    <w:rsid w:val="000E511D"/>
    <w:rsid w:val="000F5E56"/>
    <w:rsid w:val="0013560F"/>
    <w:rsid w:val="001362EE"/>
    <w:rsid w:val="00146471"/>
    <w:rsid w:val="00163617"/>
    <w:rsid w:val="001738B7"/>
    <w:rsid w:val="001832A6"/>
    <w:rsid w:val="00183C31"/>
    <w:rsid w:val="00192CE3"/>
    <w:rsid w:val="001942B1"/>
    <w:rsid w:val="001B3E5D"/>
    <w:rsid w:val="001C6003"/>
    <w:rsid w:val="001D75D5"/>
    <w:rsid w:val="001E6274"/>
    <w:rsid w:val="0021217E"/>
    <w:rsid w:val="00220419"/>
    <w:rsid w:val="002634C4"/>
    <w:rsid w:val="002741C0"/>
    <w:rsid w:val="002744B2"/>
    <w:rsid w:val="00287AA9"/>
    <w:rsid w:val="002928D3"/>
    <w:rsid w:val="002A3D99"/>
    <w:rsid w:val="002A4613"/>
    <w:rsid w:val="002E5FB0"/>
    <w:rsid w:val="002E66E4"/>
    <w:rsid w:val="002F1FE6"/>
    <w:rsid w:val="002F4E68"/>
    <w:rsid w:val="00312F7F"/>
    <w:rsid w:val="00324945"/>
    <w:rsid w:val="003530D8"/>
    <w:rsid w:val="00361450"/>
    <w:rsid w:val="00366686"/>
    <w:rsid w:val="003673CF"/>
    <w:rsid w:val="003845C1"/>
    <w:rsid w:val="00385AB1"/>
    <w:rsid w:val="003A6F89"/>
    <w:rsid w:val="003B38C1"/>
    <w:rsid w:val="003E4BD7"/>
    <w:rsid w:val="003E6334"/>
    <w:rsid w:val="003E7833"/>
    <w:rsid w:val="00403D49"/>
    <w:rsid w:val="00423E3E"/>
    <w:rsid w:val="00427AF4"/>
    <w:rsid w:val="00431B38"/>
    <w:rsid w:val="004621E7"/>
    <w:rsid w:val="004647DA"/>
    <w:rsid w:val="00474062"/>
    <w:rsid w:val="00477D6B"/>
    <w:rsid w:val="004900DC"/>
    <w:rsid w:val="00491B45"/>
    <w:rsid w:val="0049698F"/>
    <w:rsid w:val="004A0721"/>
    <w:rsid w:val="004A1320"/>
    <w:rsid w:val="004B5EDE"/>
    <w:rsid w:val="004C3647"/>
    <w:rsid w:val="004F1C73"/>
    <w:rsid w:val="004F1F23"/>
    <w:rsid w:val="005007C7"/>
    <w:rsid w:val="005019FF"/>
    <w:rsid w:val="00525FF2"/>
    <w:rsid w:val="0053057A"/>
    <w:rsid w:val="00543C30"/>
    <w:rsid w:val="00560A29"/>
    <w:rsid w:val="005A4E5C"/>
    <w:rsid w:val="005C49B4"/>
    <w:rsid w:val="005C64F5"/>
    <w:rsid w:val="005C6649"/>
    <w:rsid w:val="0060085C"/>
    <w:rsid w:val="00601CE4"/>
    <w:rsid w:val="00605827"/>
    <w:rsid w:val="006231CC"/>
    <w:rsid w:val="006235F5"/>
    <w:rsid w:val="00646050"/>
    <w:rsid w:val="00646B77"/>
    <w:rsid w:val="0066227F"/>
    <w:rsid w:val="006713CA"/>
    <w:rsid w:val="00676C5C"/>
    <w:rsid w:val="00686948"/>
    <w:rsid w:val="00687680"/>
    <w:rsid w:val="006E33A1"/>
    <w:rsid w:val="006F6B20"/>
    <w:rsid w:val="007174DF"/>
    <w:rsid w:val="007209A4"/>
    <w:rsid w:val="007266BF"/>
    <w:rsid w:val="0074331B"/>
    <w:rsid w:val="00774A65"/>
    <w:rsid w:val="007770F3"/>
    <w:rsid w:val="007A6550"/>
    <w:rsid w:val="007D1613"/>
    <w:rsid w:val="007E15B4"/>
    <w:rsid w:val="007E3328"/>
    <w:rsid w:val="007E4C0E"/>
    <w:rsid w:val="007E4D19"/>
    <w:rsid w:val="007E7105"/>
    <w:rsid w:val="00826E20"/>
    <w:rsid w:val="008621C0"/>
    <w:rsid w:val="00895D99"/>
    <w:rsid w:val="008B2CC1"/>
    <w:rsid w:val="008B60B2"/>
    <w:rsid w:val="008D5DBB"/>
    <w:rsid w:val="00901262"/>
    <w:rsid w:val="0090731E"/>
    <w:rsid w:val="009137F6"/>
    <w:rsid w:val="00916EE2"/>
    <w:rsid w:val="009406A2"/>
    <w:rsid w:val="00966A22"/>
    <w:rsid w:val="0096722F"/>
    <w:rsid w:val="00980843"/>
    <w:rsid w:val="00984FD6"/>
    <w:rsid w:val="00985204"/>
    <w:rsid w:val="009E2791"/>
    <w:rsid w:val="009E3F6F"/>
    <w:rsid w:val="009F2035"/>
    <w:rsid w:val="009F499F"/>
    <w:rsid w:val="00A16540"/>
    <w:rsid w:val="00A42DAF"/>
    <w:rsid w:val="00A45BD8"/>
    <w:rsid w:val="00A50E7F"/>
    <w:rsid w:val="00A64776"/>
    <w:rsid w:val="00A85BF8"/>
    <w:rsid w:val="00A869B7"/>
    <w:rsid w:val="00AA2E73"/>
    <w:rsid w:val="00AA3ADA"/>
    <w:rsid w:val="00AA46A2"/>
    <w:rsid w:val="00AA47DC"/>
    <w:rsid w:val="00AA488B"/>
    <w:rsid w:val="00AA5101"/>
    <w:rsid w:val="00AB5EC0"/>
    <w:rsid w:val="00AC205C"/>
    <w:rsid w:val="00AD024B"/>
    <w:rsid w:val="00AE3C17"/>
    <w:rsid w:val="00AF0A6B"/>
    <w:rsid w:val="00AF0DE3"/>
    <w:rsid w:val="00B05A69"/>
    <w:rsid w:val="00B27111"/>
    <w:rsid w:val="00B60F91"/>
    <w:rsid w:val="00B61108"/>
    <w:rsid w:val="00B9734B"/>
    <w:rsid w:val="00BA30E2"/>
    <w:rsid w:val="00BD3E06"/>
    <w:rsid w:val="00BE7106"/>
    <w:rsid w:val="00BF35A7"/>
    <w:rsid w:val="00C0249F"/>
    <w:rsid w:val="00C11BFE"/>
    <w:rsid w:val="00C466FB"/>
    <w:rsid w:val="00C5068F"/>
    <w:rsid w:val="00C95146"/>
    <w:rsid w:val="00CB1DF6"/>
    <w:rsid w:val="00CD04F1"/>
    <w:rsid w:val="00CD317B"/>
    <w:rsid w:val="00CF3A86"/>
    <w:rsid w:val="00CF47DB"/>
    <w:rsid w:val="00D00220"/>
    <w:rsid w:val="00D15650"/>
    <w:rsid w:val="00D35859"/>
    <w:rsid w:val="00D45252"/>
    <w:rsid w:val="00D71B4D"/>
    <w:rsid w:val="00D93D55"/>
    <w:rsid w:val="00D964FD"/>
    <w:rsid w:val="00DC470C"/>
    <w:rsid w:val="00DF0F83"/>
    <w:rsid w:val="00DF73A3"/>
    <w:rsid w:val="00E0344F"/>
    <w:rsid w:val="00E1254C"/>
    <w:rsid w:val="00E15015"/>
    <w:rsid w:val="00E335FE"/>
    <w:rsid w:val="00E64992"/>
    <w:rsid w:val="00E9615E"/>
    <w:rsid w:val="00EC4E49"/>
    <w:rsid w:val="00ED77FB"/>
    <w:rsid w:val="00EE1302"/>
    <w:rsid w:val="00EE45FA"/>
    <w:rsid w:val="00EF2131"/>
    <w:rsid w:val="00F04519"/>
    <w:rsid w:val="00F10C8A"/>
    <w:rsid w:val="00F34069"/>
    <w:rsid w:val="00F54595"/>
    <w:rsid w:val="00F66152"/>
    <w:rsid w:val="00F66614"/>
    <w:rsid w:val="00F75EFB"/>
    <w:rsid w:val="00F868A4"/>
    <w:rsid w:val="00FC4856"/>
    <w:rsid w:val="00FE19B0"/>
    <w:rsid w:val="00FE6E86"/>
    <w:rsid w:val="00FF677E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28168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  <w:tabs>
        <w:tab w:val="clear" w:pos="6663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E4D19"/>
    <w:pPr>
      <w:ind w:left="720"/>
      <w:contextualSpacing/>
    </w:pPr>
  </w:style>
  <w:style w:type="character" w:styleId="FootnoteReference">
    <w:name w:val="footnote reference"/>
    <w:basedOn w:val="DefaultParagraphFont"/>
    <w:rsid w:val="002A4613"/>
    <w:rPr>
      <w:vertAlign w:val="superscript"/>
    </w:rPr>
  </w:style>
  <w:style w:type="paragraph" w:styleId="Revision">
    <w:name w:val="Revision"/>
    <w:hidden/>
    <w:uiPriority w:val="99"/>
    <w:semiHidden/>
    <w:rsid w:val="00687680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link w:val="Endofdocument-Annex"/>
    <w:rsid w:val="00AA3ADA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A3ADA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rsid w:val="005C6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  <w:tabs>
        <w:tab w:val="clear" w:pos="6663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E4D19"/>
    <w:pPr>
      <w:ind w:left="720"/>
      <w:contextualSpacing/>
    </w:pPr>
  </w:style>
  <w:style w:type="character" w:styleId="FootnoteReference">
    <w:name w:val="footnote reference"/>
    <w:basedOn w:val="DefaultParagraphFont"/>
    <w:rsid w:val="002A4613"/>
    <w:rPr>
      <w:vertAlign w:val="superscript"/>
    </w:rPr>
  </w:style>
  <w:style w:type="paragraph" w:styleId="Revision">
    <w:name w:val="Revision"/>
    <w:hidden/>
    <w:uiPriority w:val="99"/>
    <w:semiHidden/>
    <w:rsid w:val="00687680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link w:val="Endofdocument-Annex"/>
    <w:rsid w:val="00AA3ADA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A3ADA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rsid w:val="005C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F5727-79D3-4737-A4A1-DD51A5B1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(E).dotm</Template>
  <TotalTime>1</TotalTime>
  <Pages>5</Pages>
  <Words>1517</Words>
  <Characters>8647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keywords>DB/ko</cp:keywords>
  <cp:lastModifiedBy>BRACI Biljana</cp:lastModifiedBy>
  <cp:revision>2</cp:revision>
  <cp:lastPrinted>2017-10-09T07:25:00Z</cp:lastPrinted>
  <dcterms:created xsi:type="dcterms:W3CDTF">2017-10-09T15:51:00Z</dcterms:created>
  <dcterms:modified xsi:type="dcterms:W3CDTF">2017-10-09T15:51:00Z</dcterms:modified>
</cp:coreProperties>
</file>