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607AE" w:rsidRPr="004607AE" w:rsidTr="0014105B">
        <w:tc>
          <w:tcPr>
            <w:tcW w:w="4513" w:type="dxa"/>
            <w:tcBorders>
              <w:bottom w:val="single" w:sz="4" w:space="0" w:color="auto"/>
            </w:tcBorders>
            <w:tcMar>
              <w:bottom w:w="170" w:type="dxa"/>
            </w:tcMar>
          </w:tcPr>
          <w:p w:rsidR="00AA030F" w:rsidRPr="004607AE" w:rsidRDefault="00AA030F" w:rsidP="0014105B">
            <w:pPr>
              <w:rPr>
                <w:lang w:val="fr-FR"/>
              </w:rPr>
            </w:pPr>
            <w:bookmarkStart w:id="0" w:name="TitleOfDoc"/>
            <w:bookmarkEnd w:id="0"/>
          </w:p>
        </w:tc>
        <w:tc>
          <w:tcPr>
            <w:tcW w:w="4337" w:type="dxa"/>
            <w:tcBorders>
              <w:bottom w:val="single" w:sz="4" w:space="0" w:color="auto"/>
            </w:tcBorders>
            <w:tcMar>
              <w:left w:w="0" w:type="dxa"/>
              <w:right w:w="0" w:type="dxa"/>
            </w:tcMar>
          </w:tcPr>
          <w:p w:rsidR="00AA030F" w:rsidRPr="004607AE" w:rsidRDefault="00AA030F" w:rsidP="0014105B">
            <w:pPr>
              <w:rPr>
                <w:lang w:val="fr-FR"/>
              </w:rPr>
            </w:pPr>
            <w:r w:rsidRPr="004607AE">
              <w:rPr>
                <w:noProof/>
                <w:lang w:eastAsia="en-US"/>
              </w:rPr>
              <w:drawing>
                <wp:inline distT="0" distB="0" distL="0" distR="0" wp14:anchorId="45C0C3EB" wp14:editId="0F28F5C7">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A030F" w:rsidRPr="004607AE" w:rsidRDefault="00AA030F" w:rsidP="0014105B">
            <w:pPr>
              <w:jc w:val="right"/>
              <w:rPr>
                <w:lang w:val="fr-FR"/>
              </w:rPr>
            </w:pPr>
            <w:r w:rsidRPr="004607AE">
              <w:rPr>
                <w:b/>
                <w:sz w:val="40"/>
                <w:szCs w:val="40"/>
                <w:lang w:val="fr-FR"/>
              </w:rPr>
              <w:t>F</w:t>
            </w:r>
          </w:p>
        </w:tc>
      </w:tr>
      <w:tr w:rsidR="004607AE" w:rsidRPr="004607AE" w:rsidTr="0014105B">
        <w:trPr>
          <w:trHeight w:hRule="exact" w:val="340"/>
        </w:trPr>
        <w:tc>
          <w:tcPr>
            <w:tcW w:w="9356" w:type="dxa"/>
            <w:gridSpan w:val="3"/>
            <w:tcBorders>
              <w:top w:val="single" w:sz="4" w:space="0" w:color="auto"/>
            </w:tcBorders>
            <w:tcMar>
              <w:top w:w="170" w:type="dxa"/>
              <w:left w:w="0" w:type="dxa"/>
              <w:right w:w="0" w:type="dxa"/>
            </w:tcMar>
            <w:vAlign w:val="bottom"/>
          </w:tcPr>
          <w:p w:rsidR="00AA030F" w:rsidRPr="004607AE" w:rsidRDefault="00AA030F" w:rsidP="00AA030F">
            <w:pPr>
              <w:jc w:val="right"/>
              <w:rPr>
                <w:rFonts w:ascii="Arial Black" w:hAnsi="Arial Black"/>
                <w:caps/>
                <w:sz w:val="15"/>
                <w:lang w:val="fr-FR"/>
              </w:rPr>
            </w:pPr>
            <w:r w:rsidRPr="004607AE">
              <w:rPr>
                <w:rFonts w:ascii="Arial Black" w:hAnsi="Arial Black"/>
                <w:caps/>
                <w:sz w:val="15"/>
                <w:lang w:val="fr-FR"/>
              </w:rPr>
              <w:t>CDIP/21/</w:t>
            </w:r>
            <w:bookmarkStart w:id="1" w:name="Code"/>
            <w:bookmarkEnd w:id="1"/>
            <w:r w:rsidRPr="004607AE">
              <w:rPr>
                <w:rFonts w:ascii="Arial Black" w:hAnsi="Arial Black"/>
                <w:caps/>
                <w:sz w:val="15"/>
                <w:lang w:val="fr-FR"/>
              </w:rPr>
              <w:t xml:space="preserve">9 </w:t>
            </w:r>
          </w:p>
        </w:tc>
      </w:tr>
      <w:tr w:rsidR="004607AE" w:rsidRPr="004607AE" w:rsidTr="0014105B">
        <w:trPr>
          <w:trHeight w:hRule="exact" w:val="170"/>
        </w:trPr>
        <w:tc>
          <w:tcPr>
            <w:tcW w:w="9356" w:type="dxa"/>
            <w:gridSpan w:val="3"/>
            <w:noWrap/>
            <w:tcMar>
              <w:left w:w="0" w:type="dxa"/>
              <w:right w:w="0" w:type="dxa"/>
            </w:tcMar>
            <w:vAlign w:val="bottom"/>
          </w:tcPr>
          <w:p w:rsidR="00AA030F" w:rsidRPr="004607AE" w:rsidRDefault="00AA030F" w:rsidP="0014105B">
            <w:pPr>
              <w:jc w:val="right"/>
              <w:rPr>
                <w:rFonts w:ascii="Arial Black" w:hAnsi="Arial Black"/>
                <w:caps/>
                <w:sz w:val="15"/>
                <w:lang w:val="fr-FR"/>
              </w:rPr>
            </w:pPr>
            <w:r w:rsidRPr="004607AE">
              <w:rPr>
                <w:rFonts w:ascii="Arial Black" w:hAnsi="Arial Black"/>
                <w:caps/>
                <w:sz w:val="15"/>
                <w:lang w:val="fr-FR"/>
              </w:rPr>
              <w:t>ORIGINAL</w:t>
            </w:r>
            <w:r w:rsidR="00A745FC">
              <w:rPr>
                <w:rFonts w:ascii="Arial Black" w:hAnsi="Arial Black"/>
                <w:caps/>
                <w:sz w:val="15"/>
                <w:lang w:val="fr-FR"/>
              </w:rPr>
              <w:t> :</w:t>
            </w:r>
            <w:r w:rsidRPr="004607AE">
              <w:rPr>
                <w:rFonts w:ascii="Arial Black" w:hAnsi="Arial Black"/>
                <w:caps/>
                <w:sz w:val="15"/>
                <w:lang w:val="fr-FR"/>
              </w:rPr>
              <w:t xml:space="preserve"> </w:t>
            </w:r>
            <w:bookmarkStart w:id="2" w:name="Original"/>
            <w:bookmarkEnd w:id="2"/>
            <w:r w:rsidRPr="004607AE">
              <w:rPr>
                <w:rFonts w:ascii="Arial Black" w:hAnsi="Arial Black"/>
                <w:caps/>
                <w:sz w:val="15"/>
                <w:lang w:val="fr-FR"/>
              </w:rPr>
              <w:t>anglais</w:t>
            </w:r>
          </w:p>
        </w:tc>
      </w:tr>
      <w:tr w:rsidR="004607AE" w:rsidRPr="004607AE" w:rsidTr="0014105B">
        <w:trPr>
          <w:trHeight w:hRule="exact" w:val="198"/>
        </w:trPr>
        <w:tc>
          <w:tcPr>
            <w:tcW w:w="9356" w:type="dxa"/>
            <w:gridSpan w:val="3"/>
            <w:tcMar>
              <w:left w:w="0" w:type="dxa"/>
              <w:right w:w="0" w:type="dxa"/>
            </w:tcMar>
            <w:vAlign w:val="bottom"/>
          </w:tcPr>
          <w:p w:rsidR="00AA030F" w:rsidRPr="004607AE" w:rsidRDefault="00AA030F" w:rsidP="0014105B">
            <w:pPr>
              <w:jc w:val="right"/>
              <w:rPr>
                <w:rFonts w:ascii="Arial Black" w:hAnsi="Arial Black"/>
                <w:caps/>
                <w:sz w:val="15"/>
                <w:lang w:val="fr-FR"/>
              </w:rPr>
            </w:pPr>
            <w:r w:rsidRPr="004607AE">
              <w:rPr>
                <w:rFonts w:ascii="Arial Black" w:hAnsi="Arial Black"/>
                <w:caps/>
                <w:sz w:val="15"/>
                <w:lang w:val="fr-FR"/>
              </w:rPr>
              <w:t>DATE</w:t>
            </w:r>
            <w:r w:rsidR="00A745FC">
              <w:rPr>
                <w:rFonts w:ascii="Arial Black" w:hAnsi="Arial Black"/>
                <w:caps/>
                <w:sz w:val="15"/>
                <w:lang w:val="fr-FR"/>
              </w:rPr>
              <w:t> :</w:t>
            </w:r>
            <w:r w:rsidRPr="004607AE">
              <w:rPr>
                <w:rFonts w:ascii="Arial Black" w:hAnsi="Arial Black"/>
                <w:caps/>
                <w:sz w:val="15"/>
                <w:lang w:val="fr-FR"/>
              </w:rPr>
              <w:t xml:space="preserve"> </w:t>
            </w:r>
            <w:bookmarkStart w:id="3" w:name="Date"/>
            <w:bookmarkEnd w:id="3"/>
            <w:r w:rsidRPr="004607AE">
              <w:rPr>
                <w:rFonts w:ascii="Arial Black" w:hAnsi="Arial Black"/>
                <w:caps/>
                <w:sz w:val="15"/>
                <w:lang w:val="fr-FR"/>
              </w:rPr>
              <w:t>15 mars 2018</w:t>
            </w:r>
          </w:p>
        </w:tc>
      </w:tr>
    </w:tbl>
    <w:p w:rsidR="00AA030F" w:rsidRPr="004607AE" w:rsidRDefault="00AA030F" w:rsidP="00AA030F">
      <w:pPr>
        <w:rPr>
          <w:lang w:val="fr-FR"/>
        </w:rPr>
      </w:pPr>
    </w:p>
    <w:p w:rsidR="00AA030F" w:rsidRPr="004607AE" w:rsidRDefault="00AA030F" w:rsidP="00AA030F">
      <w:pPr>
        <w:rPr>
          <w:lang w:val="fr-FR"/>
        </w:rPr>
      </w:pPr>
    </w:p>
    <w:p w:rsidR="00AA030F" w:rsidRPr="004607AE" w:rsidRDefault="00AA030F" w:rsidP="00AA030F">
      <w:pPr>
        <w:rPr>
          <w:lang w:val="fr-FR"/>
        </w:rPr>
      </w:pPr>
    </w:p>
    <w:p w:rsidR="00AA030F" w:rsidRPr="004607AE" w:rsidRDefault="00AA030F" w:rsidP="00AA030F">
      <w:pPr>
        <w:rPr>
          <w:lang w:val="fr-FR"/>
        </w:rPr>
      </w:pPr>
    </w:p>
    <w:p w:rsidR="00AA030F" w:rsidRPr="004607AE" w:rsidRDefault="00AA030F" w:rsidP="00AA030F">
      <w:pPr>
        <w:rPr>
          <w:lang w:val="fr-FR"/>
        </w:rPr>
      </w:pPr>
    </w:p>
    <w:p w:rsidR="00AA030F" w:rsidRPr="004607AE" w:rsidRDefault="00AA030F" w:rsidP="00AA030F">
      <w:pPr>
        <w:outlineLvl w:val="0"/>
        <w:rPr>
          <w:b/>
          <w:sz w:val="28"/>
          <w:szCs w:val="28"/>
          <w:lang w:val="fr-FR"/>
        </w:rPr>
      </w:pPr>
      <w:r w:rsidRPr="004607AE">
        <w:rPr>
          <w:b/>
          <w:sz w:val="28"/>
          <w:szCs w:val="28"/>
          <w:lang w:val="fr-FR"/>
        </w:rPr>
        <w:t>Comité du développement et de la propriété intellectuelle (CDIP)</w:t>
      </w:r>
    </w:p>
    <w:p w:rsidR="00AA030F" w:rsidRPr="004607AE" w:rsidRDefault="00AA030F" w:rsidP="00AA030F">
      <w:pPr>
        <w:rPr>
          <w:lang w:val="fr-FR"/>
        </w:rPr>
      </w:pPr>
    </w:p>
    <w:p w:rsidR="00AA030F" w:rsidRPr="004607AE" w:rsidRDefault="007D38A0" w:rsidP="00AA030F">
      <w:pPr>
        <w:rPr>
          <w:lang w:val="fr-FR"/>
        </w:rPr>
      </w:pPr>
      <w:r>
        <w:rPr>
          <w:lang w:val="fr-FR"/>
        </w:rPr>
        <w:t>S</w:t>
      </w:r>
      <w:bookmarkStart w:id="4" w:name="_GoBack"/>
      <w:bookmarkEnd w:id="4"/>
    </w:p>
    <w:p w:rsidR="00AA030F" w:rsidRPr="004607AE" w:rsidRDefault="00AA030F" w:rsidP="00AA030F">
      <w:pPr>
        <w:rPr>
          <w:b/>
          <w:sz w:val="24"/>
          <w:szCs w:val="24"/>
          <w:lang w:val="fr-FR"/>
        </w:rPr>
      </w:pPr>
      <w:r w:rsidRPr="004607AE">
        <w:rPr>
          <w:b/>
          <w:sz w:val="24"/>
          <w:szCs w:val="24"/>
          <w:lang w:val="fr-FR"/>
        </w:rPr>
        <w:t>Vingt</w:t>
      </w:r>
      <w:r w:rsidR="00A745FC">
        <w:rPr>
          <w:b/>
          <w:sz w:val="24"/>
          <w:szCs w:val="24"/>
          <w:lang w:val="fr-FR"/>
        </w:rPr>
        <w:t> et unième session</w:t>
      </w:r>
    </w:p>
    <w:p w:rsidR="00AA030F" w:rsidRPr="004607AE" w:rsidRDefault="00AA030F" w:rsidP="00AA030F">
      <w:pPr>
        <w:rPr>
          <w:b/>
          <w:sz w:val="24"/>
          <w:szCs w:val="24"/>
          <w:lang w:val="fr-FR"/>
        </w:rPr>
      </w:pPr>
      <w:r w:rsidRPr="004607AE">
        <w:rPr>
          <w:b/>
          <w:sz w:val="24"/>
          <w:szCs w:val="24"/>
          <w:lang w:val="fr-FR"/>
        </w:rPr>
        <w:t>Genève, 14 – 18 mai 2018</w:t>
      </w:r>
    </w:p>
    <w:p w:rsidR="00AA030F" w:rsidRPr="004607AE" w:rsidRDefault="00AA030F" w:rsidP="00AA030F">
      <w:pPr>
        <w:rPr>
          <w:lang w:val="fr-FR"/>
        </w:rPr>
      </w:pPr>
    </w:p>
    <w:p w:rsidR="00AA030F" w:rsidRPr="004607AE" w:rsidRDefault="00AA030F" w:rsidP="00AA030F">
      <w:pPr>
        <w:rPr>
          <w:lang w:val="fr-FR"/>
        </w:rPr>
      </w:pPr>
    </w:p>
    <w:p w:rsidR="00AA030F" w:rsidRPr="004607AE" w:rsidRDefault="00AA030F" w:rsidP="00AA030F">
      <w:pPr>
        <w:rPr>
          <w:lang w:val="fr-FR"/>
        </w:rPr>
      </w:pPr>
    </w:p>
    <w:p w:rsidR="00A745FC" w:rsidRDefault="00A41E79" w:rsidP="00A41E79">
      <w:pPr>
        <w:rPr>
          <w:caps/>
          <w:sz w:val="24"/>
          <w:szCs w:val="24"/>
          <w:lang w:val="fr-CH"/>
        </w:rPr>
      </w:pPr>
      <w:r w:rsidRPr="004607AE">
        <w:rPr>
          <w:caps/>
          <w:sz w:val="24"/>
          <w:szCs w:val="24"/>
          <w:lang w:val="fr-CH"/>
        </w:rPr>
        <w:t>pratiques suivies par l</w:t>
      </w:r>
      <w:r w:rsidR="00A745FC">
        <w:rPr>
          <w:caps/>
          <w:sz w:val="24"/>
          <w:szCs w:val="24"/>
          <w:lang w:val="fr-CH"/>
        </w:rPr>
        <w:t>’</w:t>
      </w:r>
      <w:r w:rsidRPr="004607AE">
        <w:rPr>
          <w:caps/>
          <w:sz w:val="24"/>
          <w:szCs w:val="24"/>
          <w:lang w:val="fr-CH"/>
        </w:rPr>
        <w:t>OMPI pour la sélection des consultants chargés de l</w:t>
      </w:r>
      <w:r w:rsidR="00A745FC">
        <w:rPr>
          <w:caps/>
          <w:sz w:val="24"/>
          <w:szCs w:val="24"/>
          <w:lang w:val="fr-CH"/>
        </w:rPr>
        <w:t>’</w:t>
      </w:r>
      <w:r w:rsidRPr="004607AE">
        <w:rPr>
          <w:caps/>
          <w:sz w:val="24"/>
          <w:szCs w:val="24"/>
          <w:lang w:val="fr-CH"/>
        </w:rPr>
        <w:t>assistance technique</w:t>
      </w:r>
    </w:p>
    <w:p w:rsidR="00AC317E" w:rsidRPr="004607AE" w:rsidRDefault="00AC317E" w:rsidP="008B2CC1">
      <w:pPr>
        <w:rPr>
          <w:caps/>
          <w:lang w:val="fr-CH"/>
        </w:rPr>
      </w:pPr>
    </w:p>
    <w:p w:rsidR="00AC317E" w:rsidRPr="004607AE" w:rsidRDefault="00A41E79" w:rsidP="00A41E79">
      <w:pPr>
        <w:rPr>
          <w:i/>
          <w:lang w:val="fr-CH"/>
        </w:rPr>
      </w:pPr>
      <w:bookmarkStart w:id="5" w:name="Prepared"/>
      <w:bookmarkEnd w:id="5"/>
      <w:r w:rsidRPr="004607AE">
        <w:rPr>
          <w:i/>
          <w:lang w:val="fr-CH"/>
        </w:rPr>
        <w:t>Document établi par le Secrétariat</w:t>
      </w:r>
    </w:p>
    <w:p w:rsidR="00AC317E" w:rsidRPr="004607AE" w:rsidRDefault="00AC317E">
      <w:pPr>
        <w:rPr>
          <w:lang w:val="fr-CH"/>
        </w:rPr>
      </w:pPr>
    </w:p>
    <w:p w:rsidR="00AC317E" w:rsidRPr="004607AE" w:rsidRDefault="00AC317E">
      <w:pPr>
        <w:rPr>
          <w:lang w:val="fr-CH"/>
        </w:rPr>
      </w:pPr>
    </w:p>
    <w:p w:rsidR="00AC317E" w:rsidRPr="004607AE" w:rsidRDefault="00AC317E">
      <w:pPr>
        <w:rPr>
          <w:lang w:val="fr-CH"/>
        </w:rPr>
      </w:pPr>
    </w:p>
    <w:p w:rsidR="00AC317E" w:rsidRPr="004607AE" w:rsidRDefault="00AC317E">
      <w:pPr>
        <w:rPr>
          <w:lang w:val="fr-CH"/>
        </w:rPr>
      </w:pPr>
    </w:p>
    <w:p w:rsidR="00AC317E" w:rsidRPr="004607AE" w:rsidRDefault="00AC317E">
      <w:pPr>
        <w:rPr>
          <w:lang w:val="fr-CH"/>
        </w:rPr>
      </w:pPr>
    </w:p>
    <w:p w:rsidR="00AC317E" w:rsidRPr="004607AE" w:rsidRDefault="00A41E79" w:rsidP="00BC24F6">
      <w:pPr>
        <w:pStyle w:val="ONUMFS"/>
        <w:rPr>
          <w:szCs w:val="22"/>
          <w:lang w:val="fr-CH"/>
        </w:rPr>
      </w:pPr>
      <w:r w:rsidRPr="004607AE">
        <w:rPr>
          <w:lang w:val="fr-CH"/>
        </w:rPr>
        <w:t>À sa dix</w:t>
      </w:r>
      <w:r w:rsidR="00D94F26">
        <w:rPr>
          <w:lang w:val="fr-CH"/>
        </w:rPr>
        <w:noBreakHyphen/>
      </w:r>
      <w:r w:rsidRPr="004607AE">
        <w:rPr>
          <w:lang w:val="fr-CH"/>
        </w:rPr>
        <w:t>huit</w:t>
      </w:r>
      <w:r w:rsidR="00A745FC">
        <w:rPr>
          <w:lang w:val="fr-CH"/>
        </w:rPr>
        <w:t>ième session</w:t>
      </w:r>
      <w:r w:rsidRPr="004607AE">
        <w:rPr>
          <w:lang w:val="fr-CH"/>
        </w:rPr>
        <w:t xml:space="preserve"> tenue du 3</w:t>
      </w:r>
      <w:r w:rsidR="00A745FC" w:rsidRPr="004607AE">
        <w:rPr>
          <w:lang w:val="fr-CH"/>
        </w:rPr>
        <w:t>1</w:t>
      </w:r>
      <w:r w:rsidR="00A745FC">
        <w:rPr>
          <w:lang w:val="fr-CH"/>
        </w:rPr>
        <w:t> </w:t>
      </w:r>
      <w:r w:rsidR="00A745FC" w:rsidRPr="004607AE">
        <w:rPr>
          <w:lang w:val="fr-CH"/>
        </w:rPr>
        <w:t>octobre</w:t>
      </w:r>
      <w:r w:rsidRPr="004607AE">
        <w:rPr>
          <w:lang w:val="fr-CH"/>
        </w:rPr>
        <w:t xml:space="preserve"> au </w:t>
      </w:r>
      <w:r w:rsidR="00A745FC" w:rsidRPr="004607AE">
        <w:rPr>
          <w:lang w:val="fr-CH"/>
        </w:rPr>
        <w:t>4</w:t>
      </w:r>
      <w:r w:rsidR="00A745FC">
        <w:rPr>
          <w:lang w:val="fr-CH"/>
        </w:rPr>
        <w:t> </w:t>
      </w:r>
      <w:r w:rsidR="00A745FC" w:rsidRPr="004607AE">
        <w:rPr>
          <w:lang w:val="fr-CH"/>
        </w:rPr>
        <w:t>novembre</w:t>
      </w:r>
      <w:r w:rsidR="00A745FC">
        <w:rPr>
          <w:lang w:val="fr-CH"/>
        </w:rPr>
        <w:t> </w:t>
      </w:r>
      <w:r w:rsidR="00A745FC" w:rsidRPr="004607AE">
        <w:rPr>
          <w:lang w:val="fr-CH"/>
        </w:rPr>
        <w:t>20</w:t>
      </w:r>
      <w:r w:rsidRPr="004607AE">
        <w:rPr>
          <w:lang w:val="fr-CH"/>
        </w:rPr>
        <w:t>16, le Comité du développement et de la propriété intellectuelle (CDIP) a approuvé une proposition en six</w:t>
      </w:r>
      <w:r w:rsidR="002949F1">
        <w:rPr>
          <w:lang w:val="fr-CH"/>
        </w:rPr>
        <w:t> </w:t>
      </w:r>
      <w:r w:rsidRPr="004607AE">
        <w:rPr>
          <w:lang w:val="fr-CH"/>
        </w:rPr>
        <w:t>points dans laquelle il était notamment demandé au Secrétariat “de présenter un document contenant les pratiques existantes de l</w:t>
      </w:r>
      <w:r w:rsidR="00A745FC">
        <w:rPr>
          <w:lang w:val="fr-CH"/>
        </w:rPr>
        <w:t>’</w:t>
      </w:r>
      <w:r w:rsidRPr="004607AE">
        <w:rPr>
          <w:lang w:val="fr-CH"/>
        </w:rPr>
        <w:t>OMPI concernant la sélection de consultants pour l</w:t>
      </w:r>
      <w:r w:rsidR="00A745FC">
        <w:rPr>
          <w:lang w:val="fr-CH"/>
        </w:rPr>
        <w:t>’</w:t>
      </w:r>
      <w:r w:rsidRPr="004607AE">
        <w:rPr>
          <w:lang w:val="fr-CH"/>
        </w:rPr>
        <w:t>assistance technique”.</w:t>
      </w:r>
      <w:r w:rsidR="002E6CEB" w:rsidRPr="004607AE">
        <w:rPr>
          <w:lang w:val="fr-CH"/>
        </w:rPr>
        <w:t xml:space="preserve"> </w:t>
      </w:r>
      <w:r w:rsidR="002122DC" w:rsidRPr="004607AE">
        <w:rPr>
          <w:lang w:val="fr-CH"/>
        </w:rPr>
        <w:t xml:space="preserve"> </w:t>
      </w:r>
      <w:r w:rsidRPr="004607AE">
        <w:rPr>
          <w:lang w:val="fr-CH"/>
        </w:rPr>
        <w:t xml:space="preserve">Cette demande figure au </w:t>
      </w:r>
      <w:r w:rsidR="00A745FC" w:rsidRPr="004607AE">
        <w:rPr>
          <w:lang w:val="fr-CH"/>
        </w:rPr>
        <w:t>paragraphe</w:t>
      </w:r>
      <w:r w:rsidR="00A745FC">
        <w:rPr>
          <w:lang w:val="fr-CH"/>
        </w:rPr>
        <w:t> </w:t>
      </w:r>
      <w:r w:rsidR="00A745FC" w:rsidRPr="004607AE">
        <w:rPr>
          <w:lang w:val="fr-CH"/>
        </w:rPr>
        <w:t>4</w:t>
      </w:r>
      <w:r w:rsidRPr="004607AE">
        <w:rPr>
          <w:lang w:val="fr-CH"/>
        </w:rPr>
        <w:t xml:space="preserve"> de l</w:t>
      </w:r>
      <w:r w:rsidR="00A745FC">
        <w:rPr>
          <w:lang w:val="fr-CH"/>
        </w:rPr>
        <w:t>’</w:t>
      </w:r>
      <w:r w:rsidRPr="004607AE">
        <w:rPr>
          <w:lang w:val="fr-CH"/>
        </w:rPr>
        <w:t>appendice I du résumé présenté par le président de la dix</w:t>
      </w:r>
      <w:r w:rsidR="00D94F26">
        <w:rPr>
          <w:lang w:val="fr-CH"/>
        </w:rPr>
        <w:noBreakHyphen/>
      </w:r>
      <w:r w:rsidRPr="004607AE">
        <w:rPr>
          <w:lang w:val="fr-CH"/>
        </w:rPr>
        <w:t>sept</w:t>
      </w:r>
      <w:r w:rsidR="00A745FC">
        <w:rPr>
          <w:lang w:val="fr-CH"/>
        </w:rPr>
        <w:t>ième session</w:t>
      </w:r>
      <w:r w:rsidR="00A745FC" w:rsidRPr="004607AE">
        <w:rPr>
          <w:lang w:val="fr-CH"/>
        </w:rPr>
        <w:t xml:space="preserve"> du</w:t>
      </w:r>
      <w:r w:rsidR="00A745FC">
        <w:rPr>
          <w:lang w:val="fr-CH"/>
        </w:rPr>
        <w:t> </w:t>
      </w:r>
      <w:r w:rsidR="00A745FC" w:rsidRPr="004607AE">
        <w:rPr>
          <w:lang w:val="fr-CH"/>
        </w:rPr>
        <w:t>C</w:t>
      </w:r>
      <w:r w:rsidR="0014037A" w:rsidRPr="004607AE">
        <w:rPr>
          <w:lang w:val="fr-CH"/>
        </w:rPr>
        <w:t>DIP</w:t>
      </w:r>
      <w:r w:rsidR="0014037A">
        <w:rPr>
          <w:lang w:val="fr-CH"/>
        </w:rPr>
        <w:t xml:space="preserve">.  </w:t>
      </w:r>
      <w:r w:rsidR="0014037A" w:rsidRPr="004607AE">
        <w:rPr>
          <w:lang w:val="fr-CH"/>
        </w:rPr>
        <w:t>Le</w:t>
      </w:r>
      <w:r w:rsidRPr="004607AE">
        <w:rPr>
          <w:lang w:val="fr-CH"/>
        </w:rPr>
        <w:t xml:space="preserve"> présent document a été établi pour donner suite à cette demande.</w:t>
      </w:r>
    </w:p>
    <w:p w:rsidR="00AC317E" w:rsidRDefault="00A41E79" w:rsidP="00A41E79">
      <w:pPr>
        <w:pStyle w:val="Heading2"/>
        <w:numPr>
          <w:ilvl w:val="0"/>
          <w:numId w:val="19"/>
        </w:numPr>
        <w:ind w:left="567" w:hanging="567"/>
      </w:pPr>
      <w:r w:rsidRPr="004607AE">
        <w:t>RAPPEL</w:t>
      </w:r>
    </w:p>
    <w:p w:rsidR="006955D1" w:rsidRPr="006955D1" w:rsidRDefault="006955D1" w:rsidP="006955D1"/>
    <w:p w:rsidR="00AC317E" w:rsidRPr="004607AE" w:rsidRDefault="00116493" w:rsidP="00BC24F6">
      <w:pPr>
        <w:pStyle w:val="ONUMFS"/>
        <w:rPr>
          <w:lang w:val="fr-CH"/>
        </w:rPr>
      </w:pPr>
      <w:r w:rsidRPr="004607AE">
        <w:rPr>
          <w:lang w:val="fr-CH"/>
        </w:rPr>
        <w:t>L</w:t>
      </w:r>
      <w:r w:rsidR="00A745FC">
        <w:rPr>
          <w:lang w:val="fr-CH"/>
        </w:rPr>
        <w:t>’</w:t>
      </w:r>
      <w:r w:rsidRPr="004607AE">
        <w:rPr>
          <w:lang w:val="fr-CH"/>
        </w:rPr>
        <w:t>OMPI travaille en étroite collaboration avec les gouvernements, les organisations intergouvernementales et non gouvernementales et diverses autres parties prenantes publiques et privées du monde entier pour mener des activités d</w:t>
      </w:r>
      <w:r w:rsidR="00A745FC">
        <w:rPr>
          <w:lang w:val="fr-CH"/>
        </w:rPr>
        <w:t>’</w:t>
      </w:r>
      <w:r w:rsidRPr="004607AE">
        <w:rPr>
          <w:lang w:val="fr-CH"/>
        </w:rPr>
        <w:t>assistance technique et les aider à retirer les avantages de la propriété intellectuelle aux fins du développement socioéconomique, technologique et culturel.</w:t>
      </w:r>
    </w:p>
    <w:p w:rsidR="00A745FC" w:rsidRDefault="00116493" w:rsidP="00BC24F6">
      <w:pPr>
        <w:pStyle w:val="ONUMFS"/>
        <w:rPr>
          <w:lang w:val="fr-CH"/>
        </w:rPr>
      </w:pPr>
      <w:r w:rsidRPr="004607AE">
        <w:rPr>
          <w:lang w:val="fr-CH"/>
        </w:rPr>
        <w:t>Les recommandations du Plan d</w:t>
      </w:r>
      <w:r w:rsidR="00A745FC">
        <w:rPr>
          <w:lang w:val="fr-CH"/>
        </w:rPr>
        <w:t>’</w:t>
      </w:r>
      <w:r w:rsidRPr="004607AE">
        <w:rPr>
          <w:lang w:val="fr-CH"/>
        </w:rPr>
        <w:t xml:space="preserve">action pour le développement adoptées </w:t>
      </w:r>
      <w:r w:rsidR="00A745FC" w:rsidRPr="004607AE">
        <w:rPr>
          <w:lang w:val="fr-CH"/>
        </w:rPr>
        <w:t>en</w:t>
      </w:r>
      <w:r w:rsidR="00A745FC">
        <w:rPr>
          <w:lang w:val="fr-CH"/>
        </w:rPr>
        <w:t> </w:t>
      </w:r>
      <w:r w:rsidR="00A745FC" w:rsidRPr="004607AE">
        <w:rPr>
          <w:lang w:val="fr-CH"/>
        </w:rPr>
        <w:t>2007</w:t>
      </w:r>
      <w:r w:rsidRPr="004607AE">
        <w:rPr>
          <w:lang w:val="fr-CH"/>
        </w:rPr>
        <w:t xml:space="preserve"> énoncent des principes permettant d</w:t>
      </w:r>
      <w:r w:rsidR="00A745FC">
        <w:rPr>
          <w:lang w:val="fr-CH"/>
        </w:rPr>
        <w:t>’</w:t>
      </w:r>
      <w:r w:rsidRPr="004607AE">
        <w:rPr>
          <w:lang w:val="fr-CH"/>
        </w:rPr>
        <w:t>orienter l</w:t>
      </w:r>
      <w:r w:rsidR="00A745FC">
        <w:rPr>
          <w:lang w:val="fr-CH"/>
        </w:rPr>
        <w:t>’</w:t>
      </w:r>
      <w:r w:rsidRPr="004607AE">
        <w:rPr>
          <w:lang w:val="fr-CH"/>
        </w:rPr>
        <w:t>action de l</w:t>
      </w:r>
      <w:r w:rsidR="00A745FC">
        <w:rPr>
          <w:lang w:val="fr-CH"/>
        </w:rPr>
        <w:t>’</w:t>
      </w:r>
      <w:r w:rsidRPr="004607AE">
        <w:rPr>
          <w:lang w:val="fr-CH"/>
        </w:rPr>
        <w:t>OMPI dans le domaine de l</w:t>
      </w:r>
      <w:r w:rsidR="00A745FC">
        <w:rPr>
          <w:lang w:val="fr-CH"/>
        </w:rPr>
        <w:t>’</w:t>
      </w:r>
      <w:r w:rsidRPr="004607AE">
        <w:rPr>
          <w:lang w:val="fr-CH"/>
        </w:rPr>
        <w:t>assistance techniq</w:t>
      </w:r>
      <w:r w:rsidR="0014037A" w:rsidRPr="004607AE">
        <w:rPr>
          <w:lang w:val="fr-CH"/>
        </w:rPr>
        <w:t>ue</w:t>
      </w:r>
      <w:r w:rsidR="0014037A">
        <w:rPr>
          <w:lang w:val="fr-CH"/>
        </w:rPr>
        <w:t xml:space="preserve">.  </w:t>
      </w:r>
      <w:r w:rsidR="0014037A" w:rsidRPr="004607AE">
        <w:rPr>
          <w:lang w:val="fr-CH"/>
        </w:rPr>
        <w:t>En</w:t>
      </w:r>
      <w:r w:rsidRPr="004607AE">
        <w:rPr>
          <w:lang w:val="fr-CH"/>
        </w:rPr>
        <w:t xml:space="preserve"> conséquence, les activités d</w:t>
      </w:r>
      <w:r w:rsidR="00A745FC">
        <w:rPr>
          <w:lang w:val="fr-CH"/>
        </w:rPr>
        <w:t>’</w:t>
      </w:r>
      <w:r w:rsidRPr="004607AE">
        <w:rPr>
          <w:lang w:val="fr-CH"/>
        </w:rPr>
        <w:t>assistance technique de l</w:t>
      </w:r>
      <w:r w:rsidR="00A745FC">
        <w:rPr>
          <w:lang w:val="fr-CH"/>
        </w:rPr>
        <w:t>’</w:t>
      </w:r>
      <w:r w:rsidRPr="004607AE">
        <w:rPr>
          <w:lang w:val="fr-CH"/>
        </w:rPr>
        <w:t>OMPI sont menées de manière transparente et axées sur le développement et la</w:t>
      </w:r>
      <w:r w:rsidR="00625C3A" w:rsidRPr="004607AE">
        <w:rPr>
          <w:lang w:val="fr-CH"/>
        </w:rPr>
        <w:t xml:space="preserve"> deman</w:t>
      </w:r>
      <w:r w:rsidR="0014037A" w:rsidRPr="004607AE">
        <w:rPr>
          <w:lang w:val="fr-CH"/>
        </w:rPr>
        <w:t>de</w:t>
      </w:r>
      <w:r w:rsidR="0014037A">
        <w:rPr>
          <w:lang w:val="fr-CH"/>
        </w:rPr>
        <w:t xml:space="preserve">.  </w:t>
      </w:r>
      <w:r w:rsidR="0014037A" w:rsidRPr="004607AE">
        <w:rPr>
          <w:lang w:val="fr-CH"/>
        </w:rPr>
        <w:t>El</w:t>
      </w:r>
      <w:r w:rsidR="00A64D17" w:rsidRPr="004607AE">
        <w:rPr>
          <w:lang w:val="fr-CH"/>
        </w:rPr>
        <w:t>les tiennent compte des besoins particuliers et des priorités des États membres ainsi que de leurs différents niveaux de développeme</w:t>
      </w:r>
      <w:r w:rsidR="0014037A" w:rsidRPr="004607AE">
        <w:rPr>
          <w:lang w:val="fr-CH"/>
        </w:rPr>
        <w:t>nt</w:t>
      </w:r>
      <w:r w:rsidR="0014037A">
        <w:rPr>
          <w:lang w:val="fr-CH"/>
        </w:rPr>
        <w:t xml:space="preserve">.  </w:t>
      </w:r>
      <w:r w:rsidR="0014037A" w:rsidRPr="004607AE">
        <w:rPr>
          <w:lang w:val="fr-CH"/>
        </w:rPr>
        <w:t>En</w:t>
      </w:r>
      <w:r w:rsidR="00A64D17" w:rsidRPr="004607AE">
        <w:rPr>
          <w:lang w:val="fr-CH"/>
        </w:rPr>
        <w:t xml:space="preserve"> outre, ainsi qu</w:t>
      </w:r>
      <w:r w:rsidR="00A745FC">
        <w:rPr>
          <w:lang w:val="fr-CH"/>
        </w:rPr>
        <w:t>’</w:t>
      </w:r>
      <w:r w:rsidR="00A64D17" w:rsidRPr="004607AE">
        <w:rPr>
          <w:lang w:val="fr-CH"/>
        </w:rPr>
        <w:t xml:space="preserve">il est indiqué dans le Plan stratégique à moyen terme de </w:t>
      </w:r>
      <w:r w:rsidR="00A64D17" w:rsidRPr="004607AE">
        <w:rPr>
          <w:lang w:val="fr-CH"/>
        </w:rPr>
        <w:lastRenderedPageBreak/>
        <w:t>l</w:t>
      </w:r>
      <w:r w:rsidR="00A745FC">
        <w:rPr>
          <w:lang w:val="fr-CH"/>
        </w:rPr>
        <w:t>’</w:t>
      </w:r>
      <w:r w:rsidR="00A64D17" w:rsidRPr="004607AE">
        <w:rPr>
          <w:lang w:val="fr-CH"/>
        </w:rPr>
        <w:t xml:space="preserve">OMPI </w:t>
      </w:r>
      <w:r w:rsidR="00A745FC" w:rsidRPr="004607AE">
        <w:rPr>
          <w:lang w:val="fr-CH"/>
        </w:rPr>
        <w:t>pour</w:t>
      </w:r>
      <w:r w:rsidR="00A745FC">
        <w:rPr>
          <w:lang w:val="fr-CH"/>
        </w:rPr>
        <w:t> </w:t>
      </w:r>
      <w:r w:rsidR="00A745FC" w:rsidRPr="004607AE">
        <w:rPr>
          <w:lang w:val="fr-CH"/>
        </w:rPr>
        <w:t>2016</w:t>
      </w:r>
      <w:r w:rsidR="00D94F26">
        <w:rPr>
          <w:lang w:val="fr-CH"/>
        </w:rPr>
        <w:noBreakHyphen/>
      </w:r>
      <w:r w:rsidR="00A64D17" w:rsidRPr="004607AE">
        <w:rPr>
          <w:lang w:val="fr-CH"/>
        </w:rPr>
        <w:t>2021</w:t>
      </w:r>
      <w:r w:rsidR="00A64D17" w:rsidRPr="004607AE">
        <w:rPr>
          <w:rStyle w:val="FootnoteReference"/>
          <w:lang w:val="fr-CH"/>
        </w:rPr>
        <w:footnoteReference w:id="2"/>
      </w:r>
      <w:r w:rsidR="00A64D17" w:rsidRPr="004607AE">
        <w:rPr>
          <w:lang w:val="fr-CH"/>
        </w:rPr>
        <w:t>, les activités d</w:t>
      </w:r>
      <w:r w:rsidR="00A745FC">
        <w:rPr>
          <w:lang w:val="fr-CH"/>
        </w:rPr>
        <w:t>’</w:t>
      </w:r>
      <w:r w:rsidR="00A64D17" w:rsidRPr="004607AE">
        <w:rPr>
          <w:lang w:val="fr-CH"/>
        </w:rPr>
        <w:t>assistance technique de l</w:t>
      </w:r>
      <w:r w:rsidR="00A745FC">
        <w:rPr>
          <w:lang w:val="fr-CH"/>
        </w:rPr>
        <w:t>’</w:t>
      </w:r>
      <w:r w:rsidR="00A64D17" w:rsidRPr="004607AE">
        <w:rPr>
          <w:lang w:val="fr-CH"/>
        </w:rPr>
        <w:t>OMPI suivent l</w:t>
      </w:r>
      <w:r w:rsidR="00A745FC">
        <w:rPr>
          <w:lang w:val="fr-CH"/>
        </w:rPr>
        <w:t>’</w:t>
      </w:r>
      <w:r w:rsidR="00A64D17" w:rsidRPr="004607AE">
        <w:rPr>
          <w:lang w:val="fr-CH"/>
        </w:rPr>
        <w:t>objectif stratégique</w:t>
      </w:r>
      <w:r w:rsidR="009C1C33">
        <w:rPr>
          <w:lang w:val="fr-CH"/>
        </w:rPr>
        <w:t> </w:t>
      </w:r>
      <w:r w:rsidR="00A64D17" w:rsidRPr="004607AE">
        <w:rPr>
          <w:lang w:val="fr-CH"/>
        </w:rPr>
        <w:t>III</w:t>
      </w:r>
      <w:r w:rsidR="00A745FC">
        <w:rPr>
          <w:lang w:val="fr-CH"/>
        </w:rPr>
        <w:t> :</w:t>
      </w:r>
      <w:r w:rsidR="00A64D17" w:rsidRPr="004607AE">
        <w:rPr>
          <w:lang w:val="fr-CH"/>
        </w:rPr>
        <w:t xml:space="preserve"> Favoriser l</w:t>
      </w:r>
      <w:r w:rsidR="00A745FC">
        <w:rPr>
          <w:lang w:val="fr-CH"/>
        </w:rPr>
        <w:t>’</w:t>
      </w:r>
      <w:r w:rsidR="00A64D17" w:rsidRPr="004607AE">
        <w:rPr>
          <w:lang w:val="fr-CH"/>
        </w:rPr>
        <w:t>utilisation de la propriété intellectuelle au service du développeme</w:t>
      </w:r>
      <w:r w:rsidR="0014037A" w:rsidRPr="004607AE">
        <w:rPr>
          <w:lang w:val="fr-CH"/>
        </w:rPr>
        <w:t>nt</w:t>
      </w:r>
      <w:r w:rsidR="0014037A">
        <w:rPr>
          <w:lang w:val="fr-CH"/>
        </w:rPr>
        <w:t xml:space="preserve">.  </w:t>
      </w:r>
      <w:r w:rsidR="0014037A" w:rsidRPr="004607AE">
        <w:rPr>
          <w:lang w:val="fr-CH"/>
        </w:rPr>
        <w:t>Ce</w:t>
      </w:r>
      <w:r w:rsidR="00A64D17" w:rsidRPr="004607AE">
        <w:rPr>
          <w:lang w:val="fr-CH"/>
        </w:rPr>
        <w:t>t objectif stratégique se répartit horizontalement entre tous les programmes et secteurs de l</w:t>
      </w:r>
      <w:r w:rsidR="00A745FC">
        <w:rPr>
          <w:lang w:val="fr-CH"/>
        </w:rPr>
        <w:t>’</w:t>
      </w:r>
      <w:r w:rsidR="00A64D17" w:rsidRPr="004607AE">
        <w:rPr>
          <w:lang w:val="fr-CH"/>
        </w:rPr>
        <w:t>Organisation.</w:t>
      </w:r>
    </w:p>
    <w:p w:rsidR="00AC317E" w:rsidRPr="004607AE" w:rsidRDefault="00ED4EAF" w:rsidP="00BC24F6">
      <w:pPr>
        <w:pStyle w:val="ONUMFS"/>
        <w:rPr>
          <w:lang w:val="fr-CH"/>
        </w:rPr>
      </w:pPr>
      <w:r w:rsidRPr="004607AE">
        <w:rPr>
          <w:lang w:val="fr-CH"/>
        </w:rPr>
        <w:t>Pour fournir son assistance technique, l</w:t>
      </w:r>
      <w:r w:rsidR="00A745FC">
        <w:rPr>
          <w:lang w:val="fr-CH"/>
        </w:rPr>
        <w:t>’</w:t>
      </w:r>
      <w:r w:rsidRPr="004607AE">
        <w:rPr>
          <w:lang w:val="fr-CH"/>
        </w:rPr>
        <w:t>OMPI ne compte pas seulement sur les ressources humaines et les compétences dont elle di</w:t>
      </w:r>
      <w:r w:rsidR="00625C3A" w:rsidRPr="004607AE">
        <w:rPr>
          <w:lang w:val="fr-CH"/>
        </w:rPr>
        <w:t>s</w:t>
      </w:r>
      <w:r w:rsidRPr="004607AE">
        <w:rPr>
          <w:lang w:val="fr-CH"/>
        </w:rPr>
        <w:t>pose, mais elle a également recours à des experts externes qu</w:t>
      </w:r>
      <w:r w:rsidR="00A745FC">
        <w:rPr>
          <w:lang w:val="fr-CH"/>
        </w:rPr>
        <w:t>’</w:t>
      </w:r>
      <w:r w:rsidRPr="004607AE">
        <w:rPr>
          <w:lang w:val="fr-CH"/>
        </w:rPr>
        <w:t>elle engage pour aider l</w:t>
      </w:r>
      <w:r w:rsidR="00A745FC">
        <w:rPr>
          <w:lang w:val="fr-CH"/>
        </w:rPr>
        <w:t>’</w:t>
      </w:r>
      <w:r w:rsidRPr="004607AE">
        <w:rPr>
          <w:lang w:val="fr-CH"/>
        </w:rPr>
        <w:t>Organisation à mettre en œuvre efficacement ses activités et projets.</w:t>
      </w:r>
    </w:p>
    <w:p w:rsidR="00A745FC" w:rsidRDefault="00650AB3" w:rsidP="00BC24F6">
      <w:pPr>
        <w:pStyle w:val="ONUMFS"/>
        <w:rPr>
          <w:lang w:val="fr-CH"/>
        </w:rPr>
      </w:pPr>
      <w:r w:rsidRPr="004607AE">
        <w:rPr>
          <w:lang w:val="fr-CH"/>
        </w:rPr>
        <w:t>Le cadre général régissant l</w:t>
      </w:r>
      <w:r w:rsidR="00A745FC">
        <w:rPr>
          <w:lang w:val="fr-CH"/>
        </w:rPr>
        <w:t>’</w:t>
      </w:r>
      <w:r w:rsidRPr="004607AE">
        <w:rPr>
          <w:lang w:val="fr-CH"/>
        </w:rPr>
        <w:t>engagement des consultants externes est établi dans l</w:t>
      </w:r>
      <w:r w:rsidR="00A745FC">
        <w:rPr>
          <w:lang w:val="fr-CH"/>
        </w:rPr>
        <w:t>’</w:t>
      </w:r>
      <w:r w:rsidRPr="004607AE">
        <w:rPr>
          <w:lang w:val="fr-CH"/>
        </w:rPr>
        <w:t>ordre de service n° 45/2013 intitulé “Politique de l</w:t>
      </w:r>
      <w:r w:rsidR="00A745FC">
        <w:rPr>
          <w:lang w:val="fr-CH"/>
        </w:rPr>
        <w:t>’</w:t>
      </w:r>
      <w:r w:rsidRPr="004607AE">
        <w:rPr>
          <w:lang w:val="fr-CH"/>
        </w:rPr>
        <w:t>OMPI relative aux services contractuels de personnes” (ci</w:t>
      </w:r>
      <w:r w:rsidR="00D94F26">
        <w:rPr>
          <w:lang w:val="fr-CH"/>
        </w:rPr>
        <w:noBreakHyphen/>
      </w:r>
      <w:r w:rsidRPr="004607AE">
        <w:rPr>
          <w:lang w:val="fr-CH"/>
        </w:rPr>
        <w:t xml:space="preserve">après dénommée </w:t>
      </w:r>
      <w:r w:rsidR="00A745FC">
        <w:rPr>
          <w:lang w:val="fr-CH"/>
        </w:rPr>
        <w:t>“</w:t>
      </w:r>
      <w:r w:rsidR="00A745FC" w:rsidRPr="004607AE">
        <w:rPr>
          <w:lang w:val="fr-CH"/>
        </w:rPr>
        <w:t>P</w:t>
      </w:r>
      <w:r w:rsidRPr="004607AE">
        <w:rPr>
          <w:lang w:val="fr-CH"/>
        </w:rPr>
        <w:t>olitique de l</w:t>
      </w:r>
      <w:r w:rsidR="00A745FC">
        <w:rPr>
          <w:lang w:val="fr-CH"/>
        </w:rPr>
        <w:t>’</w:t>
      </w:r>
      <w:r w:rsidRPr="004607AE">
        <w:rPr>
          <w:lang w:val="fr-CH"/>
        </w:rPr>
        <w:t>OMPI relative aux IC</w:t>
      </w:r>
      <w:r w:rsidR="00A745FC" w:rsidRPr="004607AE">
        <w:rPr>
          <w:lang w:val="fr-CH"/>
        </w:rPr>
        <w:t>S</w:t>
      </w:r>
      <w:r w:rsidR="00A745FC">
        <w:rPr>
          <w:lang w:val="fr-CH"/>
        </w:rPr>
        <w:t>”</w:t>
      </w:r>
      <w:r w:rsidRPr="004607AE">
        <w:rPr>
          <w:lang w:val="fr-CH"/>
        </w:rPr>
        <w:t>) et dans le Règlement financier de l</w:t>
      </w:r>
      <w:r w:rsidR="00A745FC">
        <w:rPr>
          <w:lang w:val="fr-CH"/>
        </w:rPr>
        <w:t>’</w:t>
      </w:r>
      <w:r w:rsidRPr="004607AE">
        <w:rPr>
          <w:lang w:val="fr-CH"/>
        </w:rPr>
        <w:t>OMPI et son règlement d</w:t>
      </w:r>
      <w:r w:rsidR="00A745FC">
        <w:rPr>
          <w:lang w:val="fr-CH"/>
        </w:rPr>
        <w:t>’</w:t>
      </w:r>
      <w:r w:rsidRPr="004607AE">
        <w:rPr>
          <w:lang w:val="fr-CH"/>
        </w:rPr>
        <w:t xml:space="preserve">exécution, en particulier le </w:t>
      </w:r>
      <w:r w:rsidR="00A745FC" w:rsidRPr="004607AE">
        <w:rPr>
          <w:lang w:val="fr-CH"/>
        </w:rPr>
        <w:t>chapitre</w:t>
      </w:r>
      <w:r w:rsidR="00A745FC">
        <w:rPr>
          <w:lang w:val="fr-CH"/>
        </w:rPr>
        <w:t> </w:t>
      </w:r>
      <w:r w:rsidR="00A745FC" w:rsidRPr="004607AE">
        <w:rPr>
          <w:lang w:val="fr-CH"/>
        </w:rPr>
        <w:t>5</w:t>
      </w:r>
      <w:r w:rsidRPr="004607AE">
        <w:rPr>
          <w:rStyle w:val="FootnoteReference"/>
        </w:rPr>
        <w:footnoteReference w:id="3"/>
      </w:r>
      <w:r w:rsidRPr="004607AE">
        <w:rPr>
          <w:lang w:val="fr-CH"/>
        </w:rPr>
        <w:t>.</w:t>
      </w:r>
      <w:r w:rsidR="00CB5B05" w:rsidRPr="004607AE">
        <w:rPr>
          <w:lang w:val="fr-CH"/>
        </w:rPr>
        <w:t xml:space="preserve">  </w:t>
      </w:r>
      <w:r w:rsidRPr="004607AE">
        <w:rPr>
          <w:lang w:val="fr-CH"/>
        </w:rPr>
        <w:t xml:space="preserve">Ce cadre, </w:t>
      </w:r>
      <w:r w:rsidR="00A745FC">
        <w:rPr>
          <w:lang w:val="fr-CH"/>
        </w:rPr>
        <w:t>y compris</w:t>
      </w:r>
      <w:r w:rsidRPr="004607AE">
        <w:rPr>
          <w:lang w:val="fr-CH"/>
        </w:rPr>
        <w:t xml:space="preserve"> certains principes généraux et procédures de sélection, figure dans la </w:t>
      </w:r>
      <w:r w:rsidR="00A745FC" w:rsidRPr="004607AE">
        <w:rPr>
          <w:lang w:val="fr-CH"/>
        </w:rPr>
        <w:t>section</w:t>
      </w:r>
      <w:r w:rsidR="00A745FC">
        <w:rPr>
          <w:lang w:val="fr-CH"/>
        </w:rPr>
        <w:t> </w:t>
      </w:r>
      <w:r w:rsidR="00A745FC" w:rsidRPr="004607AE">
        <w:rPr>
          <w:lang w:val="fr-CH"/>
        </w:rPr>
        <w:t>I</w:t>
      </w:r>
      <w:r w:rsidRPr="004607AE">
        <w:rPr>
          <w:lang w:val="fr-CH"/>
        </w:rPr>
        <w:t>I du présent document.</w:t>
      </w:r>
    </w:p>
    <w:p w:rsidR="00AC317E" w:rsidRPr="004607AE" w:rsidRDefault="00650AB3" w:rsidP="00BC24F6">
      <w:pPr>
        <w:pStyle w:val="ONUMFS"/>
        <w:rPr>
          <w:lang w:val="fr-CH"/>
        </w:rPr>
      </w:pPr>
      <w:r w:rsidRPr="004607AE">
        <w:rPr>
          <w:lang w:val="fr-CH"/>
        </w:rPr>
        <w:t>En outre, compte tenu des sa nature particulière, l</w:t>
      </w:r>
      <w:r w:rsidR="00A745FC">
        <w:rPr>
          <w:lang w:val="fr-CH"/>
        </w:rPr>
        <w:t>’</w:t>
      </w:r>
      <w:r w:rsidRPr="004607AE">
        <w:rPr>
          <w:lang w:val="fr-CH"/>
        </w:rPr>
        <w:t>Organisation applique des pratiques de fait pour la sélection des consultants chargés de l</w:t>
      </w:r>
      <w:r w:rsidR="00A745FC">
        <w:rPr>
          <w:lang w:val="fr-CH"/>
        </w:rPr>
        <w:t>’</w:t>
      </w:r>
      <w:r w:rsidRPr="004607AE">
        <w:rPr>
          <w:lang w:val="fr-CH"/>
        </w:rPr>
        <w:t>assistance techniq</w:t>
      </w:r>
      <w:r w:rsidR="0014037A" w:rsidRPr="004607AE">
        <w:rPr>
          <w:lang w:val="fr-CH"/>
        </w:rPr>
        <w:t>ue</w:t>
      </w:r>
      <w:r w:rsidR="0014037A">
        <w:rPr>
          <w:lang w:val="fr-CH"/>
        </w:rPr>
        <w:t xml:space="preserve">.  </w:t>
      </w:r>
      <w:r w:rsidR="0014037A" w:rsidRPr="004607AE">
        <w:rPr>
          <w:lang w:val="fr-CH"/>
        </w:rPr>
        <w:t>Ce</w:t>
      </w:r>
      <w:r w:rsidR="003076A4" w:rsidRPr="004607AE">
        <w:rPr>
          <w:lang w:val="fr-CH"/>
        </w:rPr>
        <w:t xml:space="preserve">s pratiques sont rassemblées dans la </w:t>
      </w:r>
      <w:r w:rsidR="00A745FC" w:rsidRPr="004607AE">
        <w:rPr>
          <w:lang w:val="fr-CH"/>
        </w:rPr>
        <w:t>section</w:t>
      </w:r>
      <w:r w:rsidR="00A745FC">
        <w:rPr>
          <w:lang w:val="fr-CH"/>
        </w:rPr>
        <w:t> </w:t>
      </w:r>
      <w:r w:rsidR="00A745FC" w:rsidRPr="004607AE">
        <w:rPr>
          <w:lang w:val="fr-CH"/>
        </w:rPr>
        <w:t>I</w:t>
      </w:r>
      <w:r w:rsidR="003076A4" w:rsidRPr="004607AE">
        <w:rPr>
          <w:lang w:val="fr-CH"/>
        </w:rPr>
        <w:t>II du présent document et sont applicables aux catégories suivantes d</w:t>
      </w:r>
      <w:r w:rsidR="00A745FC">
        <w:rPr>
          <w:lang w:val="fr-CH"/>
        </w:rPr>
        <w:t>’</w:t>
      </w:r>
      <w:r w:rsidR="003076A4" w:rsidRPr="004607AE">
        <w:rPr>
          <w:lang w:val="fr-CH"/>
        </w:rPr>
        <w:t>activités d</w:t>
      </w:r>
      <w:r w:rsidR="00A745FC">
        <w:rPr>
          <w:lang w:val="fr-CH"/>
        </w:rPr>
        <w:t>’</w:t>
      </w:r>
      <w:r w:rsidR="003076A4" w:rsidRPr="004607AE">
        <w:rPr>
          <w:lang w:val="fr-CH"/>
        </w:rPr>
        <w:t>assistance technique de l</w:t>
      </w:r>
      <w:r w:rsidR="00A745FC">
        <w:rPr>
          <w:lang w:val="fr-CH"/>
        </w:rPr>
        <w:t>’</w:t>
      </w:r>
      <w:r w:rsidR="003076A4" w:rsidRPr="004607AE">
        <w:rPr>
          <w:lang w:val="fr-CH"/>
        </w:rPr>
        <w:t>Organisation (liste non</w:t>
      </w:r>
      <w:r w:rsidR="00AF20E6">
        <w:rPr>
          <w:lang w:val="fr-CH"/>
        </w:rPr>
        <w:t xml:space="preserve"> </w:t>
      </w:r>
      <w:r w:rsidR="003076A4" w:rsidRPr="004607AE">
        <w:rPr>
          <w:lang w:val="fr-CH"/>
        </w:rPr>
        <w:t>exhaustive)</w:t>
      </w:r>
      <w:r w:rsidR="00A745FC">
        <w:rPr>
          <w:lang w:val="fr-CH"/>
        </w:rPr>
        <w:t> :</w:t>
      </w:r>
      <w:r w:rsidR="003076A4" w:rsidRPr="004607AE">
        <w:rPr>
          <w:lang w:val="fr-CH"/>
        </w:rPr>
        <w:t xml:space="preserve"> i)</w:t>
      </w:r>
      <w:r w:rsidR="002949F1">
        <w:rPr>
          <w:lang w:val="fr-CH"/>
        </w:rPr>
        <w:t> </w:t>
      </w:r>
      <w:r w:rsidR="003076A4" w:rsidRPr="004607AE">
        <w:rPr>
          <w:lang w:val="fr-CH"/>
        </w:rPr>
        <w:t>stratégies et plans de développement nationaux en matière de propriété intellectuelle;  ii)</w:t>
      </w:r>
      <w:r w:rsidR="002949F1">
        <w:rPr>
          <w:lang w:val="fr-CH"/>
        </w:rPr>
        <w:t> </w:t>
      </w:r>
      <w:r w:rsidR="003076A4" w:rsidRPr="004607AE">
        <w:rPr>
          <w:lang w:val="fr-CH"/>
        </w:rPr>
        <w:t>infrastructure technique et administrative;  iii)</w:t>
      </w:r>
      <w:r w:rsidR="002949F1">
        <w:rPr>
          <w:lang w:val="fr-CH"/>
        </w:rPr>
        <w:t> </w:t>
      </w:r>
      <w:r w:rsidR="003076A4" w:rsidRPr="004607AE">
        <w:rPr>
          <w:lang w:val="fr-CH"/>
        </w:rPr>
        <w:t>renforcement des capacités;  iv)</w:t>
      </w:r>
      <w:r w:rsidR="002949F1">
        <w:rPr>
          <w:lang w:val="fr-CH"/>
        </w:rPr>
        <w:t> </w:t>
      </w:r>
      <w:r w:rsidR="003076A4" w:rsidRPr="004607AE">
        <w:rPr>
          <w:lang w:val="fr-CH"/>
        </w:rPr>
        <w:t>assistance législative;  v)</w:t>
      </w:r>
      <w:r w:rsidR="002949F1">
        <w:rPr>
          <w:lang w:val="fr-CH"/>
        </w:rPr>
        <w:t> </w:t>
      </w:r>
      <w:r w:rsidR="003076A4" w:rsidRPr="004607AE">
        <w:rPr>
          <w:lang w:val="fr-CH"/>
        </w:rPr>
        <w:t>projets liés au Plan d</w:t>
      </w:r>
      <w:r w:rsidR="00A745FC">
        <w:rPr>
          <w:lang w:val="fr-CH"/>
        </w:rPr>
        <w:t>’</w:t>
      </w:r>
      <w:r w:rsidR="003076A4" w:rsidRPr="004607AE">
        <w:rPr>
          <w:lang w:val="fr-CH"/>
        </w:rPr>
        <w:t>action pour le développement;  et vi)</w:t>
      </w:r>
      <w:r w:rsidR="002949F1">
        <w:rPr>
          <w:lang w:val="fr-CH"/>
        </w:rPr>
        <w:t> </w:t>
      </w:r>
      <w:r w:rsidR="003076A4" w:rsidRPr="004607AE">
        <w:rPr>
          <w:lang w:val="fr-CH"/>
        </w:rPr>
        <w:t>partenariats public</w:t>
      </w:r>
      <w:r w:rsidR="00D94F26">
        <w:rPr>
          <w:lang w:val="fr-CH"/>
        </w:rPr>
        <w:noBreakHyphen/>
      </w:r>
      <w:r w:rsidR="003076A4" w:rsidRPr="004607AE">
        <w:rPr>
          <w:lang w:val="fr-CH"/>
        </w:rPr>
        <w:t>privé.</w:t>
      </w:r>
    </w:p>
    <w:p w:rsidR="00AC317E" w:rsidRPr="004607AE" w:rsidRDefault="003076A4" w:rsidP="003076A4">
      <w:pPr>
        <w:pStyle w:val="Heading2"/>
        <w:ind w:left="360" w:hanging="360"/>
        <w:rPr>
          <w:lang w:val="fr-CH"/>
        </w:rPr>
      </w:pPr>
      <w:r w:rsidRPr="004607AE">
        <w:rPr>
          <w:lang w:val="fr-CH"/>
        </w:rPr>
        <w:t>II.</w:t>
      </w:r>
      <w:r w:rsidR="002949F1">
        <w:rPr>
          <w:lang w:val="fr-CH"/>
        </w:rPr>
        <w:t xml:space="preserve"> </w:t>
      </w:r>
      <w:r w:rsidRPr="004607AE">
        <w:rPr>
          <w:lang w:val="fr-CH"/>
        </w:rPr>
        <w:t xml:space="preserve"> pratiques générales APPLICABLES À LA SéLECTION de titulaires de contrats de service contractuels de personnes</w:t>
      </w:r>
    </w:p>
    <w:p w:rsidR="00AC317E" w:rsidRPr="004607AE" w:rsidRDefault="003076A4" w:rsidP="003076A4">
      <w:pPr>
        <w:pStyle w:val="Heading3"/>
        <w:rPr>
          <w:lang w:val="fr-CH"/>
        </w:rPr>
      </w:pPr>
      <w:r w:rsidRPr="004607AE">
        <w:rPr>
          <w:lang w:val="fr-CH"/>
        </w:rPr>
        <w:t>Principes</w:t>
      </w:r>
    </w:p>
    <w:p w:rsidR="00AC317E" w:rsidRPr="004607AE" w:rsidRDefault="00AC317E" w:rsidP="00105209">
      <w:pPr>
        <w:rPr>
          <w:lang w:val="fr-CH"/>
        </w:rPr>
      </w:pPr>
    </w:p>
    <w:p w:rsidR="00AC317E" w:rsidRPr="004607AE" w:rsidRDefault="003076A4" w:rsidP="00BC24F6">
      <w:pPr>
        <w:pStyle w:val="ONUMFS"/>
        <w:rPr>
          <w:lang w:val="fr-CH"/>
        </w:rPr>
      </w:pPr>
      <w:r w:rsidRPr="004607AE">
        <w:rPr>
          <w:lang w:val="fr-CH"/>
        </w:rPr>
        <w:t>Conformément à l</w:t>
      </w:r>
      <w:r w:rsidR="00A745FC">
        <w:rPr>
          <w:lang w:val="fr-CH"/>
        </w:rPr>
        <w:t>’</w:t>
      </w:r>
      <w:r w:rsidR="00A745FC" w:rsidRPr="004607AE">
        <w:rPr>
          <w:lang w:val="fr-CH"/>
        </w:rPr>
        <w:t>article</w:t>
      </w:r>
      <w:r w:rsidR="00A745FC">
        <w:rPr>
          <w:lang w:val="fr-CH"/>
        </w:rPr>
        <w:t> </w:t>
      </w:r>
      <w:r w:rsidR="00A745FC" w:rsidRPr="004607AE">
        <w:rPr>
          <w:lang w:val="fr-CH"/>
        </w:rPr>
        <w:t>5</w:t>
      </w:r>
      <w:r w:rsidRPr="004607AE">
        <w:rPr>
          <w:lang w:val="fr-CH"/>
        </w:rPr>
        <w:t>.11 (</w:t>
      </w:r>
      <w:r w:rsidR="00A745FC" w:rsidRPr="004607AE">
        <w:rPr>
          <w:lang w:val="fr-CH"/>
        </w:rPr>
        <w:t>chapitre</w:t>
      </w:r>
      <w:r w:rsidR="00A745FC">
        <w:rPr>
          <w:lang w:val="fr-CH"/>
        </w:rPr>
        <w:t> </w:t>
      </w:r>
      <w:r w:rsidR="00A745FC" w:rsidRPr="004607AE">
        <w:rPr>
          <w:lang w:val="fr-CH"/>
        </w:rPr>
        <w:t>5</w:t>
      </w:r>
      <w:r w:rsidRPr="004607AE">
        <w:rPr>
          <w:lang w:val="fr-CH"/>
        </w:rPr>
        <w:t xml:space="preserve">, </w:t>
      </w:r>
      <w:r w:rsidR="00A745FC" w:rsidRPr="004607AE">
        <w:rPr>
          <w:lang w:val="fr-CH"/>
        </w:rPr>
        <w:t>Section</w:t>
      </w:r>
      <w:r w:rsidR="00A745FC">
        <w:rPr>
          <w:lang w:val="fr-CH"/>
        </w:rPr>
        <w:t> </w:t>
      </w:r>
      <w:r w:rsidR="00A745FC" w:rsidRPr="004607AE">
        <w:rPr>
          <w:lang w:val="fr-CH"/>
        </w:rPr>
        <w:t>C</w:t>
      </w:r>
      <w:r w:rsidRPr="004607AE">
        <w:rPr>
          <w:lang w:val="fr-CH"/>
        </w:rPr>
        <w:t>) du Règlement financier de l</w:t>
      </w:r>
      <w:r w:rsidR="00A745FC">
        <w:rPr>
          <w:lang w:val="fr-CH"/>
        </w:rPr>
        <w:t>’</w:t>
      </w:r>
      <w:r w:rsidRPr="004607AE">
        <w:rPr>
          <w:lang w:val="fr-CH"/>
        </w:rPr>
        <w:t xml:space="preserve">OMPI et au </w:t>
      </w:r>
      <w:r w:rsidR="00A745FC" w:rsidRPr="004607AE">
        <w:rPr>
          <w:lang w:val="fr-CH"/>
        </w:rPr>
        <w:t>paragraphe</w:t>
      </w:r>
      <w:r w:rsidR="00A745FC">
        <w:rPr>
          <w:lang w:val="fr-CH"/>
        </w:rPr>
        <w:t> </w:t>
      </w:r>
      <w:r w:rsidR="00A745FC" w:rsidRPr="004607AE">
        <w:rPr>
          <w:lang w:val="fr-CH"/>
        </w:rPr>
        <w:t>7</w:t>
      </w:r>
      <w:r w:rsidRPr="004607AE">
        <w:rPr>
          <w:lang w:val="fr-CH"/>
        </w:rPr>
        <w:t xml:space="preserve">, </w:t>
      </w:r>
      <w:r w:rsidR="00A745FC" w:rsidRPr="004607AE">
        <w:rPr>
          <w:lang w:val="fr-CH"/>
        </w:rPr>
        <w:t>section</w:t>
      </w:r>
      <w:r w:rsidR="00A745FC">
        <w:rPr>
          <w:lang w:val="fr-CH"/>
        </w:rPr>
        <w:t> </w:t>
      </w:r>
      <w:r w:rsidR="00A745FC" w:rsidRPr="004607AE">
        <w:rPr>
          <w:lang w:val="fr-CH"/>
        </w:rPr>
        <w:t>I</w:t>
      </w:r>
      <w:r w:rsidRPr="004607AE">
        <w:rPr>
          <w:lang w:val="fr-CH"/>
        </w:rPr>
        <w:t>II, de la Politique de l</w:t>
      </w:r>
      <w:r w:rsidR="00A745FC">
        <w:rPr>
          <w:lang w:val="fr-CH"/>
        </w:rPr>
        <w:t>’</w:t>
      </w:r>
      <w:r w:rsidRPr="004607AE">
        <w:rPr>
          <w:lang w:val="fr-CH"/>
        </w:rPr>
        <w:t>OMPI relative aux ICS, les principes généraux ci</w:t>
      </w:r>
      <w:r w:rsidR="00D94F26">
        <w:rPr>
          <w:lang w:val="fr-CH"/>
        </w:rPr>
        <w:noBreakHyphen/>
      </w:r>
      <w:r w:rsidRPr="004607AE">
        <w:rPr>
          <w:lang w:val="fr-CH"/>
        </w:rPr>
        <w:t>après régissent l</w:t>
      </w:r>
      <w:r w:rsidR="00A745FC">
        <w:rPr>
          <w:lang w:val="fr-CH"/>
        </w:rPr>
        <w:t>’</w:t>
      </w:r>
      <w:r w:rsidRPr="004607AE">
        <w:rPr>
          <w:lang w:val="fr-CH"/>
        </w:rPr>
        <w:t>utilisation des contrats de non</w:t>
      </w:r>
      <w:r w:rsidR="00D94F26">
        <w:rPr>
          <w:lang w:val="fr-CH"/>
        </w:rPr>
        <w:noBreakHyphen/>
      </w:r>
      <w:r w:rsidRPr="004607AE">
        <w:rPr>
          <w:lang w:val="fr-CH"/>
        </w:rPr>
        <w:t>fonctionnaires</w:t>
      </w:r>
      <w:r w:rsidR="00A745FC">
        <w:rPr>
          <w:lang w:val="fr-CH"/>
        </w:rPr>
        <w:t> :</w:t>
      </w:r>
    </w:p>
    <w:p w:rsidR="00A745FC" w:rsidRDefault="003076A4" w:rsidP="006955D1">
      <w:pPr>
        <w:pStyle w:val="ONUMFS"/>
        <w:numPr>
          <w:ilvl w:val="2"/>
          <w:numId w:val="3"/>
        </w:numPr>
        <w:spacing w:after="0"/>
        <w:rPr>
          <w:lang w:val="fr-CH"/>
        </w:rPr>
      </w:pPr>
      <w:r w:rsidRPr="004607AE">
        <w:rPr>
          <w:lang w:val="fr-CH"/>
        </w:rPr>
        <w:t>procédures de sélection efficaces par voie de concours</w:t>
      </w:r>
      <w:r w:rsidRPr="004607AE">
        <w:rPr>
          <w:rStyle w:val="FootnoteReference"/>
        </w:rPr>
        <w:footnoteReference w:id="4"/>
      </w:r>
      <w:r w:rsidRPr="004607AE">
        <w:rPr>
          <w:lang w:val="fr-CH"/>
        </w:rPr>
        <w:t>;</w:t>
      </w:r>
    </w:p>
    <w:p w:rsidR="00AC317E" w:rsidRPr="004607AE" w:rsidRDefault="003076A4" w:rsidP="006955D1">
      <w:pPr>
        <w:pStyle w:val="ONUMFS"/>
        <w:numPr>
          <w:ilvl w:val="2"/>
          <w:numId w:val="3"/>
        </w:numPr>
        <w:spacing w:after="0"/>
        <w:rPr>
          <w:lang w:val="fr-CH"/>
        </w:rPr>
      </w:pPr>
      <w:r w:rsidRPr="004607AE">
        <w:rPr>
          <w:lang w:val="fr-CH"/>
        </w:rPr>
        <w:t>prestation efficace de services à l</w:t>
      </w:r>
      <w:r w:rsidR="00A745FC">
        <w:rPr>
          <w:lang w:val="fr-CH"/>
        </w:rPr>
        <w:t>’</w:t>
      </w:r>
      <w:r w:rsidRPr="004607AE">
        <w:rPr>
          <w:lang w:val="fr-CH"/>
        </w:rPr>
        <w:t>Organisation;</w:t>
      </w:r>
    </w:p>
    <w:p w:rsidR="00AC317E" w:rsidRPr="004607AE" w:rsidRDefault="003076A4" w:rsidP="006955D1">
      <w:pPr>
        <w:pStyle w:val="ONUMFS"/>
        <w:numPr>
          <w:ilvl w:val="2"/>
          <w:numId w:val="3"/>
        </w:numPr>
        <w:spacing w:after="0"/>
        <w:rPr>
          <w:lang w:val="fr-CH"/>
        </w:rPr>
      </w:pPr>
      <w:r w:rsidRPr="004607AE">
        <w:rPr>
          <w:lang w:val="fr-CH"/>
        </w:rPr>
        <w:t>meilleur rapport qualité</w:t>
      </w:r>
      <w:r w:rsidR="00D94F26">
        <w:rPr>
          <w:lang w:val="fr-CH"/>
        </w:rPr>
        <w:noBreakHyphen/>
      </w:r>
      <w:r w:rsidRPr="004607AE">
        <w:rPr>
          <w:lang w:val="fr-CH"/>
        </w:rPr>
        <w:t>prix (confirmé par l</w:t>
      </w:r>
      <w:r w:rsidR="00A745FC">
        <w:rPr>
          <w:lang w:val="fr-CH"/>
        </w:rPr>
        <w:t>’</w:t>
      </w:r>
      <w:r w:rsidRPr="004607AE">
        <w:rPr>
          <w:lang w:val="fr-CH"/>
        </w:rPr>
        <w:t xml:space="preserve">information sur les marchés </w:t>
      </w:r>
      <w:r w:rsidR="004E6060" w:rsidRPr="004607AE">
        <w:rPr>
          <w:lang w:val="fr-CH"/>
        </w:rPr>
        <w:t>pour</w:t>
      </w:r>
      <w:r w:rsidRPr="004607AE">
        <w:rPr>
          <w:lang w:val="fr-CH"/>
        </w:rPr>
        <w:t xml:space="preserve"> les compétences requises du non</w:t>
      </w:r>
      <w:r w:rsidR="00D94F26">
        <w:rPr>
          <w:lang w:val="fr-CH"/>
        </w:rPr>
        <w:noBreakHyphen/>
      </w:r>
      <w:r w:rsidRPr="004607AE">
        <w:rPr>
          <w:lang w:val="fr-CH"/>
        </w:rPr>
        <w:t>fonctionnaire)</w:t>
      </w:r>
      <w:r w:rsidRPr="004607AE">
        <w:rPr>
          <w:rStyle w:val="FootnoteReference"/>
        </w:rPr>
        <w:footnoteReference w:id="5"/>
      </w:r>
      <w:r w:rsidRPr="004607AE">
        <w:rPr>
          <w:lang w:val="fr-CH"/>
        </w:rPr>
        <w:t>;</w:t>
      </w:r>
    </w:p>
    <w:p w:rsidR="00AC317E" w:rsidRPr="004607AE" w:rsidRDefault="004E6060" w:rsidP="006955D1">
      <w:pPr>
        <w:pStyle w:val="ONUMFS"/>
        <w:numPr>
          <w:ilvl w:val="2"/>
          <w:numId w:val="3"/>
        </w:numPr>
        <w:spacing w:after="0"/>
        <w:rPr>
          <w:lang w:val="fr-CH"/>
        </w:rPr>
      </w:pPr>
      <w:r w:rsidRPr="004607AE">
        <w:rPr>
          <w:lang w:val="fr-CH"/>
        </w:rPr>
        <w:t>intégrité, confidentialité et transparence de la mise en œuvre;</w:t>
      </w:r>
    </w:p>
    <w:p w:rsidR="00AC317E" w:rsidRPr="004804F9" w:rsidRDefault="004E6060" w:rsidP="006955D1">
      <w:pPr>
        <w:pStyle w:val="ONUMFS"/>
        <w:numPr>
          <w:ilvl w:val="2"/>
          <w:numId w:val="3"/>
        </w:numPr>
        <w:spacing w:after="0"/>
        <w:rPr>
          <w:lang w:val="fr-FR"/>
        </w:rPr>
      </w:pPr>
      <w:r w:rsidRPr="004804F9">
        <w:rPr>
          <w:lang w:val="fr-FR"/>
        </w:rPr>
        <w:t>intérêt optimal de l</w:t>
      </w:r>
      <w:r w:rsidR="00A745FC" w:rsidRPr="004804F9">
        <w:rPr>
          <w:lang w:val="fr-FR"/>
        </w:rPr>
        <w:t>’</w:t>
      </w:r>
      <w:r w:rsidRPr="004804F9">
        <w:rPr>
          <w:lang w:val="fr-FR"/>
        </w:rPr>
        <w:t>Organisation;  et</w:t>
      </w:r>
    </w:p>
    <w:p w:rsidR="00A745FC" w:rsidRPr="004804F9" w:rsidRDefault="004E6060" w:rsidP="006955D1">
      <w:pPr>
        <w:pStyle w:val="ONUMFS"/>
        <w:numPr>
          <w:ilvl w:val="2"/>
          <w:numId w:val="3"/>
        </w:numPr>
        <w:spacing w:after="0"/>
        <w:rPr>
          <w:lang w:val="fr-FR"/>
        </w:rPr>
      </w:pPr>
      <w:r w:rsidRPr="004804F9">
        <w:rPr>
          <w:lang w:val="fr-FR"/>
        </w:rPr>
        <w:t>pratiques d</w:t>
      </w:r>
      <w:r w:rsidR="00A745FC" w:rsidRPr="004804F9">
        <w:rPr>
          <w:lang w:val="fr-FR"/>
        </w:rPr>
        <w:t>’</w:t>
      </w:r>
      <w:r w:rsidRPr="004804F9">
        <w:rPr>
          <w:lang w:val="fr-FR"/>
        </w:rPr>
        <w:t>engagement prudentes.</w:t>
      </w:r>
    </w:p>
    <w:p w:rsidR="00B272E8" w:rsidRDefault="00B272E8" w:rsidP="00B272E8">
      <w:pPr>
        <w:pStyle w:val="ONUMFS"/>
        <w:numPr>
          <w:ilvl w:val="0"/>
          <w:numId w:val="0"/>
        </w:numPr>
        <w:spacing w:after="0"/>
        <w:ind w:left="1134"/>
      </w:pPr>
    </w:p>
    <w:p w:rsidR="00AC317E" w:rsidRPr="00030938" w:rsidRDefault="004E6060" w:rsidP="00B272E8">
      <w:pPr>
        <w:pStyle w:val="Heading3"/>
        <w:rPr>
          <w:lang w:val="fr-FR"/>
        </w:rPr>
      </w:pPr>
      <w:r w:rsidRPr="00030938">
        <w:rPr>
          <w:lang w:val="fr-FR"/>
        </w:rPr>
        <w:lastRenderedPageBreak/>
        <w:t>Procédure</w:t>
      </w:r>
      <w:r w:rsidR="00F85E57" w:rsidRPr="00030938">
        <w:rPr>
          <w:lang w:val="fr-FR"/>
        </w:rPr>
        <w:t>s</w:t>
      </w:r>
      <w:r w:rsidRPr="00030938">
        <w:rPr>
          <w:lang w:val="fr-FR"/>
        </w:rPr>
        <w:t xml:space="preserve"> formelle</w:t>
      </w:r>
      <w:r w:rsidR="00F85E57" w:rsidRPr="00030938">
        <w:rPr>
          <w:lang w:val="fr-FR"/>
        </w:rPr>
        <w:t>s</w:t>
      </w:r>
    </w:p>
    <w:p w:rsidR="00AC317E" w:rsidRPr="004607AE" w:rsidRDefault="00AC317E" w:rsidP="00B272E8">
      <w:pPr>
        <w:keepNext/>
      </w:pPr>
    </w:p>
    <w:p w:rsidR="00A745FC" w:rsidRDefault="004E6060" w:rsidP="00B272E8">
      <w:pPr>
        <w:pStyle w:val="ONUMFS"/>
        <w:keepNext/>
        <w:rPr>
          <w:lang w:val="fr-CH"/>
        </w:rPr>
      </w:pPr>
      <w:r w:rsidRPr="004607AE">
        <w:rPr>
          <w:lang w:val="fr-CH"/>
        </w:rPr>
        <w:t xml:space="preserve">Les chefs de programme sont chargés de la sélection des consultants conformément au </w:t>
      </w:r>
      <w:r w:rsidR="00A745FC" w:rsidRPr="004607AE">
        <w:rPr>
          <w:lang w:val="fr-CH"/>
        </w:rPr>
        <w:t>paragraphe</w:t>
      </w:r>
      <w:r w:rsidR="00A745FC">
        <w:rPr>
          <w:lang w:val="fr-CH"/>
        </w:rPr>
        <w:t> </w:t>
      </w:r>
      <w:r w:rsidR="00A745FC" w:rsidRPr="004607AE">
        <w:rPr>
          <w:lang w:val="fr-CH"/>
        </w:rPr>
        <w:t>9</w:t>
      </w:r>
      <w:r w:rsidRPr="004607AE">
        <w:rPr>
          <w:lang w:val="fr-CH"/>
        </w:rPr>
        <w:t xml:space="preserve">, </w:t>
      </w:r>
      <w:r w:rsidR="00A745FC" w:rsidRPr="004607AE">
        <w:rPr>
          <w:lang w:val="fr-CH"/>
        </w:rPr>
        <w:t>section</w:t>
      </w:r>
      <w:r w:rsidR="00A745FC">
        <w:rPr>
          <w:lang w:val="fr-CH"/>
        </w:rPr>
        <w:t> </w:t>
      </w:r>
      <w:r w:rsidR="00A745FC" w:rsidRPr="004607AE">
        <w:rPr>
          <w:lang w:val="fr-CH"/>
        </w:rPr>
        <w:t>I</w:t>
      </w:r>
      <w:r w:rsidRPr="004607AE">
        <w:rPr>
          <w:lang w:val="fr-CH"/>
        </w:rPr>
        <w:t>V, de la Politique de l</w:t>
      </w:r>
      <w:r w:rsidR="00A745FC">
        <w:rPr>
          <w:lang w:val="fr-CH"/>
        </w:rPr>
        <w:t>’</w:t>
      </w:r>
      <w:r w:rsidRPr="004607AE">
        <w:rPr>
          <w:lang w:val="fr-CH"/>
        </w:rPr>
        <w:t xml:space="preserve">OMPI relative aux ICS, à </w:t>
      </w:r>
      <w:r w:rsidRPr="004607AE">
        <w:rPr>
          <w:lang w:val="fr-CH"/>
        </w:rPr>
        <w:br/>
        <w:t>l</w:t>
      </w:r>
      <w:r w:rsidR="00A745FC">
        <w:rPr>
          <w:lang w:val="fr-CH"/>
        </w:rPr>
        <w:t>’</w:t>
      </w:r>
      <w:r w:rsidR="00A745FC" w:rsidRPr="004607AE">
        <w:rPr>
          <w:lang w:val="fr-CH"/>
        </w:rPr>
        <w:t>article</w:t>
      </w:r>
      <w:r w:rsidR="00A745FC">
        <w:rPr>
          <w:lang w:val="fr-CH"/>
        </w:rPr>
        <w:t> </w:t>
      </w:r>
      <w:r w:rsidR="00A745FC" w:rsidRPr="004607AE">
        <w:rPr>
          <w:lang w:val="fr-CH"/>
        </w:rPr>
        <w:t>5</w:t>
      </w:r>
      <w:r w:rsidRPr="004607AE">
        <w:rPr>
          <w:lang w:val="fr-CH"/>
        </w:rPr>
        <w:t>.9 du Règlement financier de l</w:t>
      </w:r>
      <w:r w:rsidR="00A745FC">
        <w:rPr>
          <w:lang w:val="fr-CH"/>
        </w:rPr>
        <w:t>’</w:t>
      </w:r>
      <w:r w:rsidRPr="004607AE">
        <w:rPr>
          <w:lang w:val="fr-CH"/>
        </w:rPr>
        <w:t xml:space="preserve">OMPI et à la </w:t>
      </w:r>
      <w:r w:rsidR="00A745FC" w:rsidRPr="004607AE">
        <w:rPr>
          <w:lang w:val="fr-CH"/>
        </w:rPr>
        <w:t>règle</w:t>
      </w:r>
      <w:r w:rsidR="00A745FC">
        <w:rPr>
          <w:lang w:val="fr-CH"/>
        </w:rPr>
        <w:t> </w:t>
      </w:r>
      <w:r w:rsidR="00A745FC" w:rsidRPr="004607AE">
        <w:rPr>
          <w:lang w:val="fr-CH"/>
        </w:rPr>
        <w:t>1</w:t>
      </w:r>
      <w:r w:rsidRPr="004607AE">
        <w:rPr>
          <w:lang w:val="fr-CH"/>
        </w:rPr>
        <w:t>05.4 (</w:t>
      </w:r>
      <w:r w:rsidR="00A745FC" w:rsidRPr="004607AE">
        <w:rPr>
          <w:lang w:val="fr-CH"/>
        </w:rPr>
        <w:t>chapitre</w:t>
      </w:r>
      <w:r w:rsidR="00A745FC">
        <w:rPr>
          <w:lang w:val="fr-CH"/>
        </w:rPr>
        <w:t> </w:t>
      </w:r>
      <w:r w:rsidR="00A745FC" w:rsidRPr="004607AE">
        <w:rPr>
          <w:lang w:val="fr-CH"/>
        </w:rPr>
        <w:t>5</w:t>
      </w:r>
      <w:r w:rsidRPr="004607AE">
        <w:rPr>
          <w:lang w:val="fr-CH"/>
        </w:rPr>
        <w:t xml:space="preserve">, </w:t>
      </w:r>
      <w:r w:rsidR="00A745FC" w:rsidRPr="004607AE">
        <w:rPr>
          <w:lang w:val="fr-CH"/>
        </w:rPr>
        <w:t>section</w:t>
      </w:r>
      <w:r w:rsidR="00A745FC">
        <w:rPr>
          <w:lang w:val="fr-CH"/>
        </w:rPr>
        <w:t> </w:t>
      </w:r>
      <w:r w:rsidR="00A745FC" w:rsidRPr="004607AE">
        <w:rPr>
          <w:lang w:val="fr-CH"/>
        </w:rPr>
        <w:t>B</w:t>
      </w:r>
      <w:r w:rsidRPr="004607AE">
        <w:rPr>
          <w:lang w:val="fr-CH"/>
        </w:rPr>
        <w:t>) de son règlement d</w:t>
      </w:r>
      <w:r w:rsidR="00A745FC">
        <w:rPr>
          <w:lang w:val="fr-CH"/>
        </w:rPr>
        <w:t>’</w:t>
      </w:r>
      <w:r w:rsidRPr="004607AE">
        <w:rPr>
          <w:lang w:val="fr-CH"/>
        </w:rPr>
        <w:t>exécuti</w:t>
      </w:r>
      <w:r w:rsidR="0014037A" w:rsidRPr="004607AE">
        <w:rPr>
          <w:lang w:val="fr-CH"/>
        </w:rPr>
        <w:t>on</w:t>
      </w:r>
      <w:r w:rsidR="0014037A">
        <w:rPr>
          <w:lang w:val="fr-CH"/>
        </w:rPr>
        <w:t xml:space="preserve">.  </w:t>
      </w:r>
      <w:r w:rsidR="0014037A" w:rsidRPr="004607AE">
        <w:rPr>
          <w:lang w:val="fr-CH"/>
        </w:rPr>
        <w:t>Il</w:t>
      </w:r>
      <w:r w:rsidRPr="004607AE">
        <w:rPr>
          <w:lang w:val="fr-CH"/>
        </w:rPr>
        <w:t xml:space="preserve">s suivent les procédures de sélection établies dans la </w:t>
      </w:r>
      <w:r w:rsidR="00A745FC" w:rsidRPr="004607AE">
        <w:rPr>
          <w:lang w:val="fr-CH"/>
        </w:rPr>
        <w:t>section</w:t>
      </w:r>
      <w:r w:rsidR="00A745FC">
        <w:rPr>
          <w:lang w:val="fr-CH"/>
        </w:rPr>
        <w:t> </w:t>
      </w:r>
      <w:r w:rsidR="00A745FC" w:rsidRPr="004607AE">
        <w:rPr>
          <w:lang w:val="fr-CH"/>
        </w:rPr>
        <w:t>V</w:t>
      </w:r>
      <w:r w:rsidRPr="004607AE">
        <w:rPr>
          <w:lang w:val="fr-CH"/>
        </w:rPr>
        <w:t xml:space="preserve"> et l</w:t>
      </w:r>
      <w:r w:rsidR="00A745FC">
        <w:rPr>
          <w:lang w:val="fr-CH"/>
        </w:rPr>
        <w:t>’</w:t>
      </w:r>
      <w:r w:rsidRPr="004607AE">
        <w:rPr>
          <w:lang w:val="fr-CH"/>
        </w:rPr>
        <w:t>annexe de la Politique de l</w:t>
      </w:r>
      <w:r w:rsidR="00A745FC">
        <w:rPr>
          <w:lang w:val="fr-CH"/>
        </w:rPr>
        <w:t>’</w:t>
      </w:r>
      <w:r w:rsidRPr="004607AE">
        <w:rPr>
          <w:lang w:val="fr-CH"/>
        </w:rPr>
        <w:t>OMPI relative aux </w:t>
      </w:r>
      <w:r w:rsidR="0014037A" w:rsidRPr="004607AE">
        <w:rPr>
          <w:lang w:val="fr-CH"/>
        </w:rPr>
        <w:t>ICS</w:t>
      </w:r>
      <w:r w:rsidR="0014037A">
        <w:rPr>
          <w:lang w:val="fr-CH"/>
        </w:rPr>
        <w:t xml:space="preserve">.  </w:t>
      </w:r>
      <w:r w:rsidR="0014037A" w:rsidRPr="004607AE">
        <w:rPr>
          <w:lang w:val="fr-CH"/>
        </w:rPr>
        <w:t>Le</w:t>
      </w:r>
      <w:r w:rsidRPr="004607AE">
        <w:rPr>
          <w:lang w:val="fr-CH"/>
        </w:rPr>
        <w:t>s principaux éléments de ces procédures sont les suivants</w:t>
      </w:r>
      <w:r w:rsidR="00A745FC">
        <w:rPr>
          <w:lang w:val="fr-CH"/>
        </w:rPr>
        <w:t> :</w:t>
      </w:r>
      <w:r w:rsidRPr="004607AE">
        <w:rPr>
          <w:lang w:val="fr-CH"/>
        </w:rPr>
        <w:t xml:space="preserve"> i)</w:t>
      </w:r>
      <w:r w:rsidR="002949F1">
        <w:rPr>
          <w:lang w:val="fr-CH"/>
        </w:rPr>
        <w:t> </w:t>
      </w:r>
      <w:r w:rsidRPr="004607AE">
        <w:rPr>
          <w:lang w:val="fr-CH"/>
        </w:rPr>
        <w:t>l</w:t>
      </w:r>
      <w:r w:rsidR="00A745FC">
        <w:rPr>
          <w:lang w:val="fr-CH"/>
        </w:rPr>
        <w:t>’</w:t>
      </w:r>
      <w:r w:rsidRPr="004607AE">
        <w:rPr>
          <w:lang w:val="fr-CH"/>
        </w:rPr>
        <w:t>activité nécessitant l</w:t>
      </w:r>
      <w:r w:rsidR="00A745FC">
        <w:rPr>
          <w:lang w:val="fr-CH"/>
        </w:rPr>
        <w:t>’</w:t>
      </w:r>
      <w:r w:rsidRPr="004607AE">
        <w:rPr>
          <w:lang w:val="fr-CH"/>
        </w:rPr>
        <w:t>acquisition de non</w:t>
      </w:r>
      <w:r w:rsidR="00D94F26">
        <w:rPr>
          <w:lang w:val="fr-CH"/>
        </w:rPr>
        <w:noBreakHyphen/>
      </w:r>
      <w:r w:rsidRPr="004607AE">
        <w:rPr>
          <w:lang w:val="fr-CH"/>
        </w:rPr>
        <w:t xml:space="preserve">fonctionnaires </w:t>
      </w:r>
      <w:r w:rsidR="00D5722B" w:rsidRPr="004607AE">
        <w:rPr>
          <w:lang w:val="fr-CH"/>
        </w:rPr>
        <w:t>doit être</w:t>
      </w:r>
      <w:r w:rsidRPr="004607AE">
        <w:rPr>
          <w:lang w:val="fr-CH"/>
        </w:rPr>
        <w:t xml:space="preserve"> approuvée dans le programme de travail;  ii)</w:t>
      </w:r>
      <w:r w:rsidR="002949F1">
        <w:rPr>
          <w:lang w:val="fr-CH"/>
        </w:rPr>
        <w:t> </w:t>
      </w:r>
      <w:r w:rsidRPr="004607AE">
        <w:rPr>
          <w:lang w:val="fr-CH"/>
        </w:rPr>
        <w:t xml:space="preserve">une description claire et détaillée du </w:t>
      </w:r>
      <w:r w:rsidR="00810344" w:rsidRPr="004607AE">
        <w:rPr>
          <w:lang w:val="fr-CH"/>
        </w:rPr>
        <w:t>cahier des charges</w:t>
      </w:r>
      <w:r w:rsidRPr="004607AE">
        <w:rPr>
          <w:lang w:val="fr-CH"/>
        </w:rPr>
        <w:t xml:space="preserve"> </w:t>
      </w:r>
      <w:r w:rsidR="00D5722B" w:rsidRPr="004607AE">
        <w:rPr>
          <w:lang w:val="fr-CH"/>
        </w:rPr>
        <w:t xml:space="preserve">doit être incluse dans le dossier, </w:t>
      </w:r>
      <w:r w:rsidRPr="004607AE">
        <w:rPr>
          <w:lang w:val="fr-CH"/>
        </w:rPr>
        <w:t>contenant toutes les données raisonnablement prévisibles concernant le non</w:t>
      </w:r>
      <w:r w:rsidR="00D94F26">
        <w:rPr>
          <w:rFonts w:eastAsia="MS Gothic" w:hint="eastAsia"/>
          <w:lang w:val="fr-CH"/>
        </w:rPr>
        <w:noBreakHyphen/>
      </w:r>
      <w:r w:rsidRPr="004607AE">
        <w:rPr>
          <w:lang w:val="fr-CH"/>
        </w:rPr>
        <w:t>fonctionnaire (objectifs, résultats concrets et mesurables à produire assortis d</w:t>
      </w:r>
      <w:r w:rsidR="00A745FC">
        <w:rPr>
          <w:lang w:val="fr-CH"/>
        </w:rPr>
        <w:t>’</w:t>
      </w:r>
      <w:r w:rsidRPr="004607AE">
        <w:rPr>
          <w:lang w:val="fr-CH"/>
        </w:rPr>
        <w:t>échéances données et indicateurs d</w:t>
      </w:r>
      <w:r w:rsidR="00A745FC">
        <w:rPr>
          <w:lang w:val="fr-CH"/>
        </w:rPr>
        <w:t>’</w:t>
      </w:r>
      <w:r w:rsidRPr="004607AE">
        <w:rPr>
          <w:lang w:val="fr-CH"/>
        </w:rPr>
        <w:t>exécution pour l</w:t>
      </w:r>
      <w:r w:rsidR="00A745FC">
        <w:rPr>
          <w:lang w:val="fr-CH"/>
        </w:rPr>
        <w:t>’</w:t>
      </w:r>
      <w:r w:rsidRPr="004607AE">
        <w:rPr>
          <w:lang w:val="fr-CH"/>
        </w:rPr>
        <w:t>évaluation des résultats);  iii)</w:t>
      </w:r>
      <w:r w:rsidR="002949F1">
        <w:rPr>
          <w:lang w:val="fr-CH"/>
        </w:rPr>
        <w:t> </w:t>
      </w:r>
      <w:r w:rsidR="00D5722B" w:rsidRPr="004607AE">
        <w:rPr>
          <w:lang w:val="fr-CH"/>
        </w:rPr>
        <w:t>il est obligatoire</w:t>
      </w:r>
      <w:r w:rsidRPr="004607AE">
        <w:rPr>
          <w:lang w:val="fr-CH"/>
        </w:rPr>
        <w:t xml:space="preserve"> d</w:t>
      </w:r>
      <w:r w:rsidR="00A745FC">
        <w:rPr>
          <w:lang w:val="fr-CH"/>
        </w:rPr>
        <w:t>’</w:t>
      </w:r>
      <w:r w:rsidRPr="004607AE">
        <w:rPr>
          <w:lang w:val="fr-CH"/>
        </w:rPr>
        <w:t xml:space="preserve">adhérer aux procédures formelles </w:t>
      </w:r>
      <w:r w:rsidR="00D5722B" w:rsidRPr="004607AE">
        <w:rPr>
          <w:lang w:val="fr-CH"/>
        </w:rPr>
        <w:t>ci</w:t>
      </w:r>
      <w:r w:rsidR="00D94F26">
        <w:rPr>
          <w:lang w:val="fr-CH"/>
        </w:rPr>
        <w:noBreakHyphen/>
      </w:r>
      <w:r w:rsidR="00D5722B" w:rsidRPr="004607AE">
        <w:rPr>
          <w:lang w:val="fr-CH"/>
        </w:rPr>
        <w:t>après</w:t>
      </w:r>
      <w:r w:rsidRPr="004607AE">
        <w:rPr>
          <w:lang w:val="fr-CH"/>
        </w:rPr>
        <w:t xml:space="preserve"> </w:t>
      </w:r>
      <w:r w:rsidR="00F85E57" w:rsidRPr="004607AE">
        <w:rPr>
          <w:lang w:val="fr-CH"/>
        </w:rPr>
        <w:t>en fonction des montants visés</w:t>
      </w:r>
      <w:r w:rsidR="00D5722B" w:rsidRPr="004607AE">
        <w:rPr>
          <w:lang w:val="fr-CH"/>
        </w:rPr>
        <w:t>.</w:t>
      </w:r>
    </w:p>
    <w:tbl>
      <w:tblPr>
        <w:tblStyle w:val="TableGrid"/>
        <w:tblW w:w="9463" w:type="dxa"/>
        <w:tblInd w:w="108" w:type="dxa"/>
        <w:tblLook w:val="04A0" w:firstRow="1" w:lastRow="0" w:firstColumn="1" w:lastColumn="0" w:noHBand="0" w:noVBand="1"/>
      </w:tblPr>
      <w:tblGrid>
        <w:gridCol w:w="3030"/>
        <w:gridCol w:w="2136"/>
        <w:gridCol w:w="4297"/>
      </w:tblGrid>
      <w:tr w:rsidR="004607AE" w:rsidRPr="001A6831" w:rsidTr="00BC24F6">
        <w:tc>
          <w:tcPr>
            <w:tcW w:w="3030" w:type="dxa"/>
          </w:tcPr>
          <w:p w:rsidR="00105209" w:rsidRPr="001A6831" w:rsidRDefault="004E6060" w:rsidP="004E6060">
            <w:pPr>
              <w:rPr>
                <w:bCs/>
                <w:i/>
                <w:iCs/>
                <w:lang w:val="fr-FR"/>
              </w:rPr>
            </w:pPr>
            <w:r w:rsidRPr="001A6831">
              <w:rPr>
                <w:b/>
                <w:bCs/>
                <w:iCs/>
                <w:lang w:val="fr-FR"/>
              </w:rPr>
              <w:t>Procédure de sélection</w:t>
            </w:r>
          </w:p>
        </w:tc>
        <w:tc>
          <w:tcPr>
            <w:tcW w:w="2136" w:type="dxa"/>
          </w:tcPr>
          <w:p w:rsidR="00AC317E" w:rsidRPr="001A6831" w:rsidRDefault="00F85E57" w:rsidP="005D64B8">
            <w:pPr>
              <w:rPr>
                <w:bCs/>
                <w:i/>
                <w:iCs/>
                <w:lang w:val="fr-FR"/>
              </w:rPr>
            </w:pPr>
            <w:r w:rsidRPr="001A6831">
              <w:rPr>
                <w:bCs/>
                <w:i/>
                <w:iCs/>
                <w:lang w:val="fr-FR"/>
              </w:rPr>
              <w:t>Valeur</w:t>
            </w:r>
            <w:r w:rsidR="00105209" w:rsidRPr="001A6831">
              <w:rPr>
                <w:bCs/>
                <w:i/>
                <w:iCs/>
                <w:lang w:val="fr-FR"/>
              </w:rPr>
              <w:t xml:space="preserve"> annu</w:t>
            </w:r>
            <w:r w:rsidRPr="001A6831">
              <w:rPr>
                <w:bCs/>
                <w:i/>
                <w:iCs/>
                <w:lang w:val="fr-FR"/>
              </w:rPr>
              <w:t>e</w:t>
            </w:r>
            <w:r w:rsidR="00105209" w:rsidRPr="001A6831">
              <w:rPr>
                <w:bCs/>
                <w:i/>
                <w:iCs/>
                <w:lang w:val="fr-FR"/>
              </w:rPr>
              <w:t>l</w:t>
            </w:r>
            <w:r w:rsidRPr="001A6831">
              <w:rPr>
                <w:bCs/>
                <w:i/>
                <w:iCs/>
                <w:lang w:val="fr-FR"/>
              </w:rPr>
              <w:t>le</w:t>
            </w:r>
          </w:p>
          <w:p w:rsidR="00105209" w:rsidRPr="001A6831" w:rsidRDefault="005B1851" w:rsidP="005B1851">
            <w:pPr>
              <w:rPr>
                <w:b/>
                <w:lang w:val="fr-FR"/>
              </w:rPr>
            </w:pPr>
            <w:r w:rsidRPr="001A6831">
              <w:rPr>
                <w:b/>
                <w:lang w:val="fr-FR"/>
              </w:rPr>
              <w:t>(en francs suisses)</w:t>
            </w:r>
          </w:p>
        </w:tc>
        <w:tc>
          <w:tcPr>
            <w:tcW w:w="4297" w:type="dxa"/>
          </w:tcPr>
          <w:p w:rsidR="00105209" w:rsidRPr="001A6831" w:rsidRDefault="005B1851" w:rsidP="005B1851">
            <w:pPr>
              <w:rPr>
                <w:bCs/>
                <w:i/>
                <w:iCs/>
                <w:lang w:val="fr-FR"/>
              </w:rPr>
            </w:pPr>
            <w:r w:rsidRPr="001A6831">
              <w:rPr>
                <w:bCs/>
                <w:i/>
                <w:iCs/>
                <w:lang w:val="fr-FR"/>
              </w:rPr>
              <w:t>Procédure</w:t>
            </w:r>
            <w:r w:rsidR="00F85E57" w:rsidRPr="001A6831">
              <w:rPr>
                <w:bCs/>
                <w:i/>
                <w:iCs/>
                <w:lang w:val="fr-FR"/>
              </w:rPr>
              <w:t>s formelles</w:t>
            </w:r>
          </w:p>
        </w:tc>
      </w:tr>
      <w:tr w:rsidR="004607AE" w:rsidRPr="001A6831" w:rsidTr="00BC24F6">
        <w:tc>
          <w:tcPr>
            <w:tcW w:w="3030" w:type="dxa"/>
          </w:tcPr>
          <w:p w:rsidR="00105209" w:rsidRPr="001A6831" w:rsidRDefault="005B1851" w:rsidP="005B1851">
            <w:pPr>
              <w:rPr>
                <w:lang w:val="fr-FR"/>
              </w:rPr>
            </w:pPr>
            <w:r w:rsidRPr="001A6831">
              <w:rPr>
                <w:lang w:val="fr-FR"/>
              </w:rPr>
              <w:t>Acquisition directe</w:t>
            </w:r>
            <w:r w:rsidRPr="001A6831">
              <w:rPr>
                <w:rStyle w:val="FootnoteReference"/>
                <w:lang w:val="fr-FR"/>
              </w:rPr>
              <w:footnoteReference w:id="6"/>
            </w:r>
          </w:p>
        </w:tc>
        <w:tc>
          <w:tcPr>
            <w:tcW w:w="2136" w:type="dxa"/>
          </w:tcPr>
          <w:p w:rsidR="00105209" w:rsidRPr="001A6831" w:rsidRDefault="005B1851" w:rsidP="005B1851">
            <w:pPr>
              <w:rPr>
                <w:lang w:val="fr-FR"/>
              </w:rPr>
            </w:pPr>
            <w:r w:rsidRPr="001A6831">
              <w:rPr>
                <w:lang w:val="fr-FR"/>
              </w:rPr>
              <w:t>Jusqu</w:t>
            </w:r>
            <w:r w:rsidR="00A745FC" w:rsidRPr="001A6831">
              <w:rPr>
                <w:lang w:val="fr-FR"/>
              </w:rPr>
              <w:t>’</w:t>
            </w:r>
            <w:r w:rsidRPr="001A6831">
              <w:rPr>
                <w:lang w:val="fr-FR"/>
              </w:rPr>
              <w:t>à 20</w:t>
            </w:r>
            <w:r w:rsidR="002949F1" w:rsidRPr="001A6831">
              <w:rPr>
                <w:lang w:val="fr-FR"/>
              </w:rPr>
              <w:t> </w:t>
            </w:r>
            <w:r w:rsidRPr="001A6831">
              <w:rPr>
                <w:lang w:val="fr-FR"/>
              </w:rPr>
              <w:t>000</w:t>
            </w:r>
            <w:r w:rsidR="00105209" w:rsidRPr="001A6831">
              <w:rPr>
                <w:lang w:val="fr-FR"/>
              </w:rPr>
              <w:t xml:space="preserve"> </w:t>
            </w:r>
          </w:p>
        </w:tc>
        <w:tc>
          <w:tcPr>
            <w:tcW w:w="4297" w:type="dxa"/>
          </w:tcPr>
          <w:p w:rsidR="00AC317E" w:rsidRPr="001A6831" w:rsidRDefault="005B1851" w:rsidP="005B1851">
            <w:pPr>
              <w:pStyle w:val="ListParagraph"/>
              <w:ind w:left="0"/>
              <w:rPr>
                <w:lang w:val="fr-FR"/>
              </w:rPr>
            </w:pPr>
            <w:r w:rsidRPr="001A6831">
              <w:rPr>
                <w:lang w:val="fr-FR"/>
              </w:rPr>
              <w:t>i) Passer en revue les contrats existants de l</w:t>
            </w:r>
            <w:r w:rsidR="00A745FC" w:rsidRPr="001A6831">
              <w:rPr>
                <w:lang w:val="fr-FR"/>
              </w:rPr>
              <w:t>’</w:t>
            </w:r>
            <w:r w:rsidRPr="001A6831">
              <w:rPr>
                <w:lang w:val="fr-FR"/>
              </w:rPr>
              <w:t>OMPI pour des acquisitions analogues ou mener une enquête informelle concernant les acquisitions analogues réalisées sur le marché;  et</w:t>
            </w:r>
          </w:p>
          <w:p w:rsidR="00AC317E" w:rsidRPr="001A6831" w:rsidRDefault="005B1851" w:rsidP="005B1851">
            <w:pPr>
              <w:pStyle w:val="ListParagraph"/>
              <w:ind w:left="0"/>
              <w:rPr>
                <w:lang w:val="fr-FR"/>
              </w:rPr>
            </w:pPr>
            <w:r w:rsidRPr="001A6831">
              <w:rPr>
                <w:lang w:val="fr-FR"/>
              </w:rPr>
              <w:t xml:space="preserve">ii) </w:t>
            </w:r>
            <w:r w:rsidR="00F85E57" w:rsidRPr="001A6831">
              <w:rPr>
                <w:lang w:val="fr-FR"/>
              </w:rPr>
              <w:t>l</w:t>
            </w:r>
            <w:r w:rsidRPr="001A6831">
              <w:rPr>
                <w:lang w:val="fr-FR"/>
              </w:rPr>
              <w:t>e chef de programme consigne les résultats de ses recherches par écrit dans le dossier</w:t>
            </w:r>
            <w:r w:rsidRPr="001A6831">
              <w:rPr>
                <w:rStyle w:val="FootnoteReference"/>
                <w:lang w:val="fr-FR"/>
              </w:rPr>
              <w:footnoteReference w:id="7"/>
            </w:r>
            <w:r w:rsidRPr="001A6831">
              <w:rPr>
                <w:lang w:val="fr-FR"/>
              </w:rPr>
              <w:t>.</w:t>
            </w:r>
          </w:p>
          <w:p w:rsidR="00753B39" w:rsidRPr="001A6831" w:rsidRDefault="00753B39" w:rsidP="00826207">
            <w:pPr>
              <w:pStyle w:val="ListParagraph"/>
              <w:ind w:left="0"/>
              <w:rPr>
                <w:lang w:val="fr-FR"/>
              </w:rPr>
            </w:pPr>
          </w:p>
        </w:tc>
      </w:tr>
      <w:tr w:rsidR="004607AE" w:rsidRPr="001A6831" w:rsidTr="00BC24F6">
        <w:tc>
          <w:tcPr>
            <w:tcW w:w="3030" w:type="dxa"/>
          </w:tcPr>
          <w:p w:rsidR="00105209" w:rsidRPr="001A6831" w:rsidRDefault="005B1851" w:rsidP="005B1851">
            <w:pPr>
              <w:rPr>
                <w:lang w:val="fr-FR"/>
              </w:rPr>
            </w:pPr>
            <w:r w:rsidRPr="001A6831">
              <w:rPr>
                <w:lang w:val="fr-FR"/>
              </w:rPr>
              <w:t>Demande d</w:t>
            </w:r>
            <w:r w:rsidR="00A745FC" w:rsidRPr="001A6831">
              <w:rPr>
                <w:lang w:val="fr-FR"/>
              </w:rPr>
              <w:t>’</w:t>
            </w:r>
            <w:r w:rsidRPr="001A6831">
              <w:rPr>
                <w:lang w:val="fr-FR"/>
              </w:rPr>
              <w:t>offre</w:t>
            </w:r>
          </w:p>
        </w:tc>
        <w:tc>
          <w:tcPr>
            <w:tcW w:w="2136" w:type="dxa"/>
          </w:tcPr>
          <w:p w:rsidR="00105209" w:rsidRPr="001A6831" w:rsidRDefault="005B1851" w:rsidP="005B1851">
            <w:pPr>
              <w:rPr>
                <w:lang w:val="fr-FR"/>
              </w:rPr>
            </w:pPr>
            <w:r w:rsidRPr="001A6831">
              <w:rPr>
                <w:lang w:val="fr-FR"/>
              </w:rPr>
              <w:t>De 20</w:t>
            </w:r>
            <w:r w:rsidR="002949F1" w:rsidRPr="001A6831">
              <w:rPr>
                <w:lang w:val="fr-FR"/>
              </w:rPr>
              <w:t> </w:t>
            </w:r>
            <w:r w:rsidRPr="001A6831">
              <w:rPr>
                <w:lang w:val="fr-FR"/>
              </w:rPr>
              <w:t>000 à 50</w:t>
            </w:r>
            <w:r w:rsidR="002949F1" w:rsidRPr="001A6831">
              <w:rPr>
                <w:lang w:val="fr-FR"/>
              </w:rPr>
              <w:t> </w:t>
            </w:r>
            <w:r w:rsidRPr="001A6831">
              <w:rPr>
                <w:lang w:val="fr-FR"/>
              </w:rPr>
              <w:t xml:space="preserve">000 </w:t>
            </w:r>
          </w:p>
        </w:tc>
        <w:tc>
          <w:tcPr>
            <w:tcW w:w="4297" w:type="dxa"/>
          </w:tcPr>
          <w:p w:rsidR="00AC317E" w:rsidRPr="001A6831" w:rsidRDefault="005B1851" w:rsidP="005B1851">
            <w:pPr>
              <w:pStyle w:val="ListParagraph"/>
              <w:ind w:left="0"/>
              <w:rPr>
                <w:lang w:val="fr-FR"/>
              </w:rPr>
            </w:pPr>
            <w:r w:rsidRPr="001A6831">
              <w:rPr>
                <w:lang w:val="fr-FR"/>
              </w:rPr>
              <w:t>i) Identifier trois candidats et leur adresser une demande de présentation d</w:t>
            </w:r>
            <w:r w:rsidR="00A745FC" w:rsidRPr="001A6831">
              <w:rPr>
                <w:lang w:val="fr-FR"/>
              </w:rPr>
              <w:t>’</w:t>
            </w:r>
            <w:r w:rsidRPr="001A6831">
              <w:rPr>
                <w:lang w:val="fr-FR"/>
              </w:rPr>
              <w:t>une offre pour le travail en question;</w:t>
            </w:r>
          </w:p>
          <w:p w:rsidR="00AC317E" w:rsidRPr="001A6831" w:rsidRDefault="005B1851" w:rsidP="005B1851">
            <w:pPr>
              <w:pStyle w:val="ListParagraph"/>
              <w:ind w:left="0"/>
              <w:rPr>
                <w:lang w:val="fr-FR"/>
              </w:rPr>
            </w:pPr>
            <w:r w:rsidRPr="001A6831">
              <w:rPr>
                <w:lang w:val="fr-FR"/>
              </w:rPr>
              <w:t xml:space="preserve">ii) </w:t>
            </w:r>
            <w:r w:rsidR="00F85E57" w:rsidRPr="001A6831">
              <w:rPr>
                <w:lang w:val="fr-FR"/>
              </w:rPr>
              <w:t>e</w:t>
            </w:r>
            <w:r w:rsidRPr="001A6831">
              <w:rPr>
                <w:lang w:val="fr-FR"/>
              </w:rPr>
              <w:t>ntretiens facultatifs;  et</w:t>
            </w:r>
          </w:p>
          <w:p w:rsidR="00AC317E" w:rsidRPr="001A6831" w:rsidRDefault="005B1851" w:rsidP="005B1851">
            <w:pPr>
              <w:pStyle w:val="ListParagraph"/>
              <w:ind w:left="0"/>
              <w:rPr>
                <w:lang w:val="fr-FR"/>
              </w:rPr>
            </w:pPr>
            <w:r w:rsidRPr="001A6831">
              <w:rPr>
                <w:lang w:val="fr-FR"/>
              </w:rPr>
              <w:t xml:space="preserve">iii) </w:t>
            </w:r>
            <w:r w:rsidR="00F85E57" w:rsidRPr="001A6831">
              <w:rPr>
                <w:lang w:val="fr-FR"/>
              </w:rPr>
              <w:t>o</w:t>
            </w:r>
            <w:r w:rsidRPr="001A6831">
              <w:rPr>
                <w:lang w:val="fr-FR"/>
              </w:rPr>
              <w:t>ffres consignées dans le dossier avec une déclaration motivée.</w:t>
            </w:r>
          </w:p>
          <w:p w:rsidR="00753B39" w:rsidRPr="001A6831" w:rsidRDefault="00753B39" w:rsidP="0022686D">
            <w:pPr>
              <w:pStyle w:val="ListParagraph"/>
              <w:ind w:left="0"/>
              <w:rPr>
                <w:lang w:val="fr-FR"/>
              </w:rPr>
            </w:pPr>
          </w:p>
        </w:tc>
      </w:tr>
      <w:tr w:rsidR="004607AE" w:rsidRPr="001A6831" w:rsidTr="00BC24F6">
        <w:tc>
          <w:tcPr>
            <w:tcW w:w="3030" w:type="dxa"/>
          </w:tcPr>
          <w:p w:rsidR="00105209" w:rsidRPr="001A6831" w:rsidRDefault="005B1851" w:rsidP="005B1851">
            <w:pPr>
              <w:rPr>
                <w:lang w:val="fr-FR"/>
              </w:rPr>
            </w:pPr>
            <w:r w:rsidRPr="001A6831">
              <w:rPr>
                <w:lang w:val="fr-FR"/>
              </w:rPr>
              <w:t>Annonce</w:t>
            </w:r>
            <w:r w:rsidR="00D94F26" w:rsidRPr="001A6831">
              <w:rPr>
                <w:lang w:val="fr-FR"/>
              </w:rPr>
              <w:noBreakHyphen/>
            </w:r>
            <w:r w:rsidRPr="001A6831">
              <w:rPr>
                <w:lang w:val="fr-FR"/>
              </w:rPr>
              <w:t>réponse</w:t>
            </w:r>
            <w:r w:rsidR="00D94F26" w:rsidRPr="001A6831">
              <w:rPr>
                <w:lang w:val="fr-FR"/>
              </w:rPr>
              <w:noBreakHyphen/>
            </w:r>
            <w:r w:rsidRPr="001A6831">
              <w:rPr>
                <w:lang w:val="fr-FR"/>
              </w:rPr>
              <w:t>évaluation</w:t>
            </w:r>
          </w:p>
        </w:tc>
        <w:tc>
          <w:tcPr>
            <w:tcW w:w="2136" w:type="dxa"/>
          </w:tcPr>
          <w:p w:rsidR="00105209" w:rsidRPr="001A6831" w:rsidRDefault="005B1851" w:rsidP="005B1851">
            <w:pPr>
              <w:rPr>
                <w:lang w:val="fr-FR"/>
              </w:rPr>
            </w:pPr>
            <w:r w:rsidRPr="001A6831">
              <w:rPr>
                <w:lang w:val="fr-FR"/>
              </w:rPr>
              <w:t>De 50</w:t>
            </w:r>
            <w:r w:rsidR="002949F1" w:rsidRPr="001A6831">
              <w:rPr>
                <w:lang w:val="fr-FR"/>
              </w:rPr>
              <w:t> </w:t>
            </w:r>
            <w:r w:rsidRPr="001A6831">
              <w:rPr>
                <w:lang w:val="fr-FR"/>
              </w:rPr>
              <w:t>000 à 100</w:t>
            </w:r>
            <w:r w:rsidR="002949F1" w:rsidRPr="001A6831">
              <w:rPr>
                <w:lang w:val="fr-FR"/>
              </w:rPr>
              <w:t> </w:t>
            </w:r>
            <w:r w:rsidRPr="001A6831">
              <w:rPr>
                <w:lang w:val="fr-FR"/>
              </w:rPr>
              <w:t xml:space="preserve">000 </w:t>
            </w:r>
          </w:p>
        </w:tc>
        <w:tc>
          <w:tcPr>
            <w:tcW w:w="4297" w:type="dxa"/>
          </w:tcPr>
          <w:p w:rsidR="00AC317E" w:rsidRPr="001A6831" w:rsidRDefault="005B1851" w:rsidP="005B1851">
            <w:pPr>
              <w:pStyle w:val="ListParagraph"/>
              <w:ind w:left="0"/>
              <w:rPr>
                <w:lang w:val="fr-FR"/>
              </w:rPr>
            </w:pPr>
            <w:r w:rsidRPr="001A6831">
              <w:rPr>
                <w:lang w:val="fr-FR"/>
              </w:rPr>
              <w:t>i) Publier l</w:t>
            </w:r>
            <w:r w:rsidR="00A745FC" w:rsidRPr="001A6831">
              <w:rPr>
                <w:lang w:val="fr-FR"/>
              </w:rPr>
              <w:t>’</w:t>
            </w:r>
            <w:r w:rsidRPr="001A6831">
              <w:rPr>
                <w:lang w:val="fr-FR"/>
              </w:rPr>
              <w:t xml:space="preserve">annonce sur une </w:t>
            </w:r>
            <w:r w:rsidR="002949F1" w:rsidRPr="001A6831">
              <w:rPr>
                <w:lang w:val="fr-FR"/>
              </w:rPr>
              <w:t>plateforme</w:t>
            </w:r>
            <w:r w:rsidRPr="001A6831">
              <w:rPr>
                <w:lang w:val="fr-FR"/>
              </w:rPr>
              <w:t xml:space="preserve"> appropriée ou utiliser un service de sélection approprié</w:t>
            </w:r>
            <w:r w:rsidRPr="001A6831">
              <w:rPr>
                <w:rStyle w:val="FootnoteReference"/>
                <w:lang w:val="fr-FR"/>
              </w:rPr>
              <w:footnoteReference w:id="8"/>
            </w:r>
            <w:r w:rsidRPr="001A6831">
              <w:rPr>
                <w:lang w:val="fr-FR"/>
              </w:rPr>
              <w:t>;</w:t>
            </w:r>
          </w:p>
          <w:p w:rsidR="00A745FC" w:rsidRPr="001A6831" w:rsidRDefault="005B1851" w:rsidP="005B1851">
            <w:pPr>
              <w:pStyle w:val="ListParagraph"/>
              <w:ind w:left="0"/>
              <w:rPr>
                <w:lang w:val="fr-FR"/>
              </w:rPr>
            </w:pPr>
            <w:r w:rsidRPr="001A6831">
              <w:rPr>
                <w:lang w:val="fr-FR"/>
              </w:rPr>
              <w:t xml:space="preserve">ii) </w:t>
            </w:r>
            <w:r w:rsidR="00F85E57" w:rsidRPr="001A6831">
              <w:rPr>
                <w:lang w:val="fr-FR"/>
              </w:rPr>
              <w:t>d</w:t>
            </w:r>
            <w:r w:rsidRPr="001A6831">
              <w:rPr>
                <w:lang w:val="fr-FR"/>
              </w:rPr>
              <w:t>isposer d</w:t>
            </w:r>
            <w:r w:rsidR="00A745FC" w:rsidRPr="001A6831">
              <w:rPr>
                <w:lang w:val="fr-FR"/>
              </w:rPr>
              <w:t>’</w:t>
            </w:r>
            <w:r w:rsidRPr="001A6831">
              <w:rPr>
                <w:lang w:val="fr-FR"/>
              </w:rPr>
              <w:t>un large échantillon de candidats qui peuvent ensuite être comparés les uns avec les autres;</w:t>
            </w:r>
          </w:p>
          <w:p w:rsidR="00AC317E" w:rsidRPr="001A6831" w:rsidRDefault="005B1851" w:rsidP="005B1851">
            <w:pPr>
              <w:pStyle w:val="ListParagraph"/>
              <w:ind w:left="0"/>
              <w:rPr>
                <w:lang w:val="fr-FR"/>
              </w:rPr>
            </w:pPr>
            <w:r w:rsidRPr="001A6831">
              <w:rPr>
                <w:lang w:val="fr-FR"/>
              </w:rPr>
              <w:t xml:space="preserve">iii) </w:t>
            </w:r>
            <w:r w:rsidR="00F85E57" w:rsidRPr="001A6831">
              <w:rPr>
                <w:lang w:val="fr-FR"/>
              </w:rPr>
              <w:t>l</w:t>
            </w:r>
            <w:r w:rsidRPr="001A6831">
              <w:rPr>
                <w:lang w:val="fr-FR"/>
              </w:rPr>
              <w:t>es entretiens sont vivement encouragés;</w:t>
            </w:r>
          </w:p>
          <w:p w:rsidR="00A745FC" w:rsidRPr="001A6831" w:rsidRDefault="005B1851" w:rsidP="005B1851">
            <w:pPr>
              <w:pStyle w:val="ListParagraph"/>
              <w:ind w:left="0"/>
              <w:rPr>
                <w:lang w:val="fr-FR"/>
              </w:rPr>
            </w:pPr>
            <w:r w:rsidRPr="001A6831">
              <w:rPr>
                <w:lang w:val="fr-FR"/>
              </w:rPr>
              <w:t xml:space="preserve">iv) </w:t>
            </w:r>
            <w:r w:rsidR="00F85E57" w:rsidRPr="001A6831">
              <w:rPr>
                <w:lang w:val="fr-FR"/>
              </w:rPr>
              <w:t>l</w:t>
            </w:r>
            <w:r w:rsidRPr="001A6831">
              <w:rPr>
                <w:lang w:val="fr-FR"/>
              </w:rPr>
              <w:t>a vérification des références est obligatoire;  et</w:t>
            </w:r>
          </w:p>
          <w:p w:rsidR="00AC317E" w:rsidRPr="001A6831" w:rsidRDefault="005B1851" w:rsidP="005B1851">
            <w:pPr>
              <w:pStyle w:val="ListParagraph"/>
              <w:ind w:left="0"/>
              <w:rPr>
                <w:lang w:val="fr-FR"/>
              </w:rPr>
            </w:pPr>
            <w:r w:rsidRPr="001A6831">
              <w:rPr>
                <w:lang w:val="fr-FR"/>
              </w:rPr>
              <w:t xml:space="preserve">v) </w:t>
            </w:r>
            <w:r w:rsidR="00F85E57" w:rsidRPr="001A6831">
              <w:rPr>
                <w:lang w:val="fr-FR"/>
              </w:rPr>
              <w:t>t</w:t>
            </w:r>
            <w:r w:rsidRPr="001A6831">
              <w:rPr>
                <w:lang w:val="fr-FR"/>
              </w:rPr>
              <w:t>outes les notes relatives aux contrôles des références ainsi que la déclaration motivée doivent être jointes à la demande d</w:t>
            </w:r>
            <w:r w:rsidR="00A745FC" w:rsidRPr="001A6831">
              <w:rPr>
                <w:lang w:val="fr-FR"/>
              </w:rPr>
              <w:t>’</w:t>
            </w:r>
            <w:r w:rsidRPr="001A6831">
              <w:rPr>
                <w:lang w:val="fr-FR"/>
              </w:rPr>
              <w:t>achat et figurer au dossier.</w:t>
            </w:r>
          </w:p>
          <w:p w:rsidR="00536371" w:rsidRPr="001A6831" w:rsidRDefault="00536371" w:rsidP="00D21A69">
            <w:pPr>
              <w:pStyle w:val="ListParagraph"/>
              <w:ind w:left="0"/>
              <w:rPr>
                <w:lang w:val="fr-FR"/>
              </w:rPr>
            </w:pPr>
          </w:p>
        </w:tc>
      </w:tr>
      <w:tr w:rsidR="004607AE" w:rsidRPr="001A6831" w:rsidTr="00BC24F6">
        <w:tc>
          <w:tcPr>
            <w:tcW w:w="3030" w:type="dxa"/>
          </w:tcPr>
          <w:p w:rsidR="00105209" w:rsidRPr="001A6831" w:rsidRDefault="00AF20E6" w:rsidP="00F85E57">
            <w:pPr>
              <w:rPr>
                <w:lang w:val="fr-FR"/>
              </w:rPr>
            </w:pPr>
            <w:r w:rsidRPr="001A6831">
              <w:rPr>
                <w:lang w:val="fr-FR"/>
              </w:rPr>
              <w:t>An</w:t>
            </w:r>
            <w:r w:rsidR="00F85E57" w:rsidRPr="001A6831">
              <w:rPr>
                <w:lang w:val="fr-FR"/>
              </w:rPr>
              <w:t>nonce internationale</w:t>
            </w:r>
          </w:p>
        </w:tc>
        <w:tc>
          <w:tcPr>
            <w:tcW w:w="2136" w:type="dxa"/>
          </w:tcPr>
          <w:p w:rsidR="00105209" w:rsidRPr="001A6831" w:rsidRDefault="00F85E57" w:rsidP="00F85E57">
            <w:pPr>
              <w:rPr>
                <w:lang w:val="fr-FR"/>
              </w:rPr>
            </w:pPr>
            <w:r w:rsidRPr="001A6831">
              <w:rPr>
                <w:lang w:val="fr-FR"/>
              </w:rPr>
              <w:t>Plus de 100</w:t>
            </w:r>
            <w:r w:rsidR="002949F1" w:rsidRPr="001A6831">
              <w:rPr>
                <w:lang w:val="fr-FR"/>
              </w:rPr>
              <w:t> </w:t>
            </w:r>
            <w:r w:rsidRPr="001A6831">
              <w:rPr>
                <w:lang w:val="fr-FR"/>
              </w:rPr>
              <w:t>000</w:t>
            </w:r>
            <w:r w:rsidR="00105209" w:rsidRPr="001A6831">
              <w:rPr>
                <w:lang w:val="fr-FR"/>
              </w:rPr>
              <w:t xml:space="preserve"> </w:t>
            </w:r>
          </w:p>
        </w:tc>
        <w:tc>
          <w:tcPr>
            <w:tcW w:w="4297" w:type="dxa"/>
          </w:tcPr>
          <w:p w:rsidR="00AC317E" w:rsidRPr="001A6831" w:rsidRDefault="00F85E57" w:rsidP="00F85E57">
            <w:pPr>
              <w:pStyle w:val="ListParagraph"/>
              <w:numPr>
                <w:ilvl w:val="0"/>
                <w:numId w:val="8"/>
              </w:numPr>
              <w:rPr>
                <w:lang w:val="fr-FR"/>
              </w:rPr>
            </w:pPr>
            <w:r w:rsidRPr="001A6831">
              <w:rPr>
                <w:lang w:val="fr-FR"/>
              </w:rPr>
              <w:t>Publicité en bonne et due forme sur un site Internet, dans une revue ou sur un autre support.</w:t>
            </w:r>
          </w:p>
          <w:p w:rsidR="00A745FC" w:rsidRPr="001A6831" w:rsidRDefault="00F85E57" w:rsidP="00F85E57">
            <w:pPr>
              <w:pStyle w:val="ListParagraph"/>
              <w:numPr>
                <w:ilvl w:val="0"/>
                <w:numId w:val="8"/>
              </w:numPr>
              <w:rPr>
                <w:lang w:val="fr-FR"/>
              </w:rPr>
            </w:pPr>
            <w:r w:rsidRPr="001A6831">
              <w:rPr>
                <w:lang w:val="fr-FR"/>
              </w:rPr>
              <w:t>Évaluation obligatoire des candidats.</w:t>
            </w:r>
          </w:p>
          <w:p w:rsidR="00AC317E" w:rsidRPr="001A6831" w:rsidRDefault="00F85E57" w:rsidP="00F85E57">
            <w:pPr>
              <w:pStyle w:val="ListParagraph"/>
              <w:numPr>
                <w:ilvl w:val="0"/>
                <w:numId w:val="8"/>
              </w:numPr>
              <w:rPr>
                <w:lang w:val="fr-FR"/>
              </w:rPr>
            </w:pPr>
            <w:r w:rsidRPr="001A6831">
              <w:rPr>
                <w:lang w:val="fr-FR"/>
              </w:rPr>
              <w:t>Entretien obligatoire avec les candidats présélectionnés.</w:t>
            </w:r>
          </w:p>
          <w:p w:rsidR="009D30C3" w:rsidRPr="001A6831" w:rsidRDefault="00F85E57" w:rsidP="00F85E57">
            <w:pPr>
              <w:pStyle w:val="ListParagraph"/>
              <w:numPr>
                <w:ilvl w:val="0"/>
                <w:numId w:val="8"/>
              </w:numPr>
              <w:rPr>
                <w:lang w:val="fr-FR"/>
              </w:rPr>
            </w:pPr>
            <w:r w:rsidRPr="001A6831">
              <w:rPr>
                <w:lang w:val="fr-FR"/>
              </w:rPr>
              <w:t>Vérification de trois</w:t>
            </w:r>
            <w:r w:rsidR="002949F1" w:rsidRPr="001A6831">
              <w:rPr>
                <w:lang w:val="fr-FR"/>
              </w:rPr>
              <w:t> </w:t>
            </w:r>
            <w:r w:rsidRPr="001A6831">
              <w:rPr>
                <w:lang w:val="fr-FR"/>
              </w:rPr>
              <w:t>références et déclaration motivée qui doit être jointe à la demande d</w:t>
            </w:r>
            <w:r w:rsidR="00A745FC" w:rsidRPr="001A6831">
              <w:rPr>
                <w:lang w:val="fr-FR"/>
              </w:rPr>
              <w:t>’</w:t>
            </w:r>
            <w:r w:rsidRPr="001A6831">
              <w:rPr>
                <w:lang w:val="fr-FR"/>
              </w:rPr>
              <w:t xml:space="preserve">achat et figurer au dossier. </w:t>
            </w:r>
            <w:r w:rsidR="002949F1" w:rsidRPr="001A6831">
              <w:rPr>
                <w:lang w:val="fr-FR"/>
              </w:rPr>
              <w:t xml:space="preserve"> </w:t>
            </w:r>
          </w:p>
        </w:tc>
      </w:tr>
    </w:tbl>
    <w:p w:rsidR="00AC317E" w:rsidRPr="004607AE" w:rsidRDefault="00F85E57" w:rsidP="00F85E57">
      <w:pPr>
        <w:pStyle w:val="Heading3"/>
        <w:rPr>
          <w:lang w:val="fr-CH"/>
        </w:rPr>
      </w:pPr>
      <w:r w:rsidRPr="004607AE">
        <w:rPr>
          <w:lang w:val="fr-CH"/>
        </w:rPr>
        <w:t>Genre</w:t>
      </w:r>
    </w:p>
    <w:p w:rsidR="00AC317E" w:rsidRPr="004607AE" w:rsidRDefault="00AC317E" w:rsidP="007B00F9">
      <w:pPr>
        <w:pStyle w:val="ListParagraph"/>
        <w:ind w:left="0"/>
        <w:rPr>
          <w:b/>
          <w:lang w:val="fr-CH"/>
        </w:rPr>
      </w:pPr>
    </w:p>
    <w:p w:rsidR="006955D1" w:rsidRPr="00BE061D" w:rsidRDefault="00F85E57" w:rsidP="006955D1">
      <w:pPr>
        <w:pStyle w:val="ONUMFS"/>
        <w:rPr>
          <w:lang w:val="fr-CH"/>
        </w:rPr>
      </w:pPr>
      <w:r w:rsidRPr="004607AE">
        <w:rPr>
          <w:lang w:val="fr-CH"/>
        </w:rPr>
        <w:t>Pour la sélection des consultants, le Secrétariat suit les dispositions de l</w:t>
      </w:r>
      <w:r w:rsidR="00A745FC">
        <w:rPr>
          <w:lang w:val="fr-CH"/>
        </w:rPr>
        <w:t>’</w:t>
      </w:r>
      <w:r w:rsidRPr="004607AE">
        <w:rPr>
          <w:lang w:val="fr-CH"/>
        </w:rPr>
        <w:t>ordre de service de l</w:t>
      </w:r>
      <w:r w:rsidR="00A745FC">
        <w:rPr>
          <w:lang w:val="fr-CH"/>
        </w:rPr>
        <w:t>’</w:t>
      </w:r>
      <w:r w:rsidRPr="004607AE">
        <w:rPr>
          <w:lang w:val="fr-CH"/>
        </w:rPr>
        <w:t>OMPI concernant la politique de l</w:t>
      </w:r>
      <w:r w:rsidR="00A745FC">
        <w:rPr>
          <w:lang w:val="fr-CH"/>
        </w:rPr>
        <w:t>’</w:t>
      </w:r>
      <w:r w:rsidRPr="004607AE">
        <w:rPr>
          <w:lang w:val="fr-CH"/>
        </w:rPr>
        <w:t>OMPI en matière d</w:t>
      </w:r>
      <w:r w:rsidR="00A745FC">
        <w:rPr>
          <w:lang w:val="fr-CH"/>
        </w:rPr>
        <w:t>’</w:t>
      </w:r>
      <w:r w:rsidRPr="004607AE">
        <w:rPr>
          <w:lang w:val="fr-CH"/>
        </w:rPr>
        <w:t>égalité des sexes (ordre de service n° 47/2014) afin de favoriser l</w:t>
      </w:r>
      <w:r w:rsidR="00A745FC">
        <w:rPr>
          <w:lang w:val="fr-CH"/>
        </w:rPr>
        <w:t>’</w:t>
      </w:r>
      <w:r w:rsidRPr="004607AE">
        <w:rPr>
          <w:lang w:val="fr-CH"/>
        </w:rPr>
        <w:t>égalité des sexes et l</w:t>
      </w:r>
      <w:r w:rsidR="00A745FC">
        <w:rPr>
          <w:lang w:val="fr-CH"/>
        </w:rPr>
        <w:t>’</w:t>
      </w:r>
      <w:r w:rsidRPr="004607AE">
        <w:rPr>
          <w:lang w:val="fr-CH"/>
        </w:rPr>
        <w:t xml:space="preserve">autonomisation des femmes dans le cadre de son mandat et conformément aux engagements des </w:t>
      </w:r>
      <w:r w:rsidR="00A745FC">
        <w:rPr>
          <w:lang w:val="fr-CH"/>
        </w:rPr>
        <w:t>Nations Unies</w:t>
      </w:r>
      <w:r w:rsidRPr="004607AE">
        <w:rPr>
          <w:rStyle w:val="FootnoteReference"/>
        </w:rPr>
        <w:footnoteReference w:id="9"/>
      </w:r>
      <w:r w:rsidRPr="004607AE">
        <w:rPr>
          <w:lang w:val="fr-CH"/>
        </w:rPr>
        <w:t>.</w:t>
      </w:r>
    </w:p>
    <w:p w:rsidR="00A745FC" w:rsidRDefault="008F19A2" w:rsidP="008F19A2">
      <w:pPr>
        <w:pStyle w:val="Heading2"/>
        <w:ind w:left="567" w:hanging="567"/>
        <w:rPr>
          <w:lang w:val="fr-CH"/>
        </w:rPr>
      </w:pPr>
      <w:r w:rsidRPr="004607AE">
        <w:rPr>
          <w:lang w:val="fr-CH"/>
        </w:rPr>
        <w:t>III.  pratiques particulières APPLICABLES À LA SéLECTION deS CONSULTANTS chargés de l</w:t>
      </w:r>
      <w:r w:rsidR="00A745FC">
        <w:rPr>
          <w:lang w:val="fr-CH"/>
        </w:rPr>
        <w:t>’</w:t>
      </w:r>
      <w:r w:rsidRPr="004607AE">
        <w:rPr>
          <w:lang w:val="fr-CH"/>
        </w:rPr>
        <w:t>assistance technique</w:t>
      </w:r>
    </w:p>
    <w:p w:rsidR="00AC317E" w:rsidRPr="004607AE" w:rsidRDefault="00AC317E" w:rsidP="00FB3531">
      <w:pPr>
        <w:rPr>
          <w:lang w:val="fr-CH"/>
        </w:rPr>
      </w:pPr>
    </w:p>
    <w:p w:rsidR="00AC317E" w:rsidRPr="004607AE" w:rsidRDefault="00625C3A" w:rsidP="00BC24F6">
      <w:pPr>
        <w:pStyle w:val="ONUMFS"/>
        <w:rPr>
          <w:lang w:val="fr-CH"/>
        </w:rPr>
      </w:pPr>
      <w:r w:rsidRPr="004607AE">
        <w:rPr>
          <w:lang w:val="fr-CH"/>
        </w:rPr>
        <w:t>Compte tenu de la nature différente des catégories d</w:t>
      </w:r>
      <w:r w:rsidR="00A745FC">
        <w:rPr>
          <w:lang w:val="fr-CH"/>
        </w:rPr>
        <w:t>’</w:t>
      </w:r>
      <w:r w:rsidRPr="004607AE">
        <w:rPr>
          <w:lang w:val="fr-CH"/>
        </w:rPr>
        <w:t xml:space="preserve">assistance technique mentionnées dans la section </w:t>
      </w:r>
      <w:r w:rsidR="00A745FC">
        <w:rPr>
          <w:lang w:val="fr-CH"/>
        </w:rPr>
        <w:t>“</w:t>
      </w:r>
      <w:r w:rsidR="00A745FC" w:rsidRPr="004607AE">
        <w:rPr>
          <w:lang w:val="fr-CH"/>
        </w:rPr>
        <w:t>R</w:t>
      </w:r>
      <w:r w:rsidRPr="004607AE">
        <w:rPr>
          <w:lang w:val="fr-CH"/>
        </w:rPr>
        <w:t>appe</w:t>
      </w:r>
      <w:r w:rsidR="00A745FC" w:rsidRPr="004607AE">
        <w:rPr>
          <w:lang w:val="fr-CH"/>
        </w:rPr>
        <w:t>l</w:t>
      </w:r>
      <w:r w:rsidR="00A745FC">
        <w:rPr>
          <w:lang w:val="fr-CH"/>
        </w:rPr>
        <w:t>”</w:t>
      </w:r>
      <w:r w:rsidRPr="004607AE">
        <w:rPr>
          <w:lang w:val="fr-CH"/>
        </w:rPr>
        <w:t xml:space="preserve"> du présent document, l</w:t>
      </w:r>
      <w:r w:rsidR="00A745FC">
        <w:rPr>
          <w:lang w:val="fr-CH"/>
        </w:rPr>
        <w:t>’</w:t>
      </w:r>
      <w:r w:rsidRPr="004607AE">
        <w:rPr>
          <w:lang w:val="fr-CH"/>
        </w:rPr>
        <w:t>Organisation n</w:t>
      </w:r>
      <w:r w:rsidR="00A745FC">
        <w:rPr>
          <w:lang w:val="fr-CH"/>
        </w:rPr>
        <w:t>’</w:t>
      </w:r>
      <w:r w:rsidRPr="004607AE">
        <w:rPr>
          <w:lang w:val="fr-CH"/>
        </w:rPr>
        <w:t>a pas de solution unique pour répondre aux besoins particuliers rencontrés dans le cadre des activités qu</w:t>
      </w:r>
      <w:r w:rsidR="00A745FC">
        <w:rPr>
          <w:lang w:val="fr-CH"/>
        </w:rPr>
        <w:t>’</w:t>
      </w:r>
      <w:r w:rsidRPr="004607AE">
        <w:rPr>
          <w:lang w:val="fr-CH"/>
        </w:rPr>
        <w:t>elle entrepre</w:t>
      </w:r>
      <w:r w:rsidR="0014037A" w:rsidRPr="004607AE">
        <w:rPr>
          <w:lang w:val="fr-CH"/>
        </w:rPr>
        <w:t>nd</w:t>
      </w:r>
      <w:r w:rsidR="0014037A">
        <w:rPr>
          <w:lang w:val="fr-CH"/>
        </w:rPr>
        <w:t xml:space="preserve">.  </w:t>
      </w:r>
      <w:r w:rsidR="0014037A" w:rsidRPr="004607AE">
        <w:rPr>
          <w:lang w:val="fr-CH"/>
        </w:rPr>
        <w:t>Le</w:t>
      </w:r>
      <w:r w:rsidRPr="004607AE">
        <w:rPr>
          <w:lang w:val="fr-CH"/>
        </w:rPr>
        <w:t>s mesures suivantes font ressortir certaines pratiques courantes suivies par l</w:t>
      </w:r>
      <w:r w:rsidR="00A745FC">
        <w:rPr>
          <w:lang w:val="fr-CH"/>
        </w:rPr>
        <w:t>’</w:t>
      </w:r>
      <w:r w:rsidRPr="004607AE">
        <w:rPr>
          <w:lang w:val="fr-CH"/>
        </w:rPr>
        <w:t>OMPI pour l</w:t>
      </w:r>
      <w:r w:rsidR="00A745FC">
        <w:rPr>
          <w:lang w:val="fr-CH"/>
        </w:rPr>
        <w:t>’</w:t>
      </w:r>
      <w:r w:rsidRPr="004607AE">
        <w:rPr>
          <w:lang w:val="fr-CH"/>
        </w:rPr>
        <w:t xml:space="preserve">engagement des </w:t>
      </w:r>
      <w:r w:rsidRPr="004607AE">
        <w:rPr>
          <w:rFonts w:eastAsia="Times New Roman"/>
          <w:szCs w:val="22"/>
          <w:lang w:val="fr-CH" w:eastAsia="fr-CH"/>
        </w:rPr>
        <w:t>consultant</w:t>
      </w:r>
      <w:r w:rsidRPr="004607AE">
        <w:rPr>
          <w:lang w:val="fr-CH"/>
        </w:rPr>
        <w:t>s chargés de l</w:t>
      </w:r>
      <w:r w:rsidR="00A745FC">
        <w:rPr>
          <w:lang w:val="fr-CH"/>
        </w:rPr>
        <w:t>’</w:t>
      </w:r>
      <w:r w:rsidRPr="004607AE">
        <w:rPr>
          <w:lang w:val="fr-CH"/>
        </w:rPr>
        <w:t>assistance technique.</w:t>
      </w:r>
    </w:p>
    <w:p w:rsidR="00A745FC" w:rsidRDefault="00625C3A" w:rsidP="00625C3A">
      <w:pPr>
        <w:rPr>
          <w:u w:val="single"/>
          <w:lang w:val="fr-CH"/>
        </w:rPr>
      </w:pPr>
      <w:r w:rsidRPr="004607AE">
        <w:rPr>
          <w:lang w:val="fr-CH"/>
        </w:rPr>
        <w:t xml:space="preserve">A – </w:t>
      </w:r>
      <w:r w:rsidRPr="004607AE">
        <w:rPr>
          <w:u w:val="single"/>
          <w:lang w:val="fr-CH"/>
        </w:rPr>
        <w:t>Évaluation des besoins</w:t>
      </w:r>
    </w:p>
    <w:p w:rsidR="00AC317E" w:rsidRPr="004607AE" w:rsidRDefault="00AC317E" w:rsidP="00FB3531">
      <w:pPr>
        <w:rPr>
          <w:lang w:val="fr-CH"/>
        </w:rPr>
      </w:pPr>
    </w:p>
    <w:p w:rsidR="00A745FC" w:rsidRDefault="00625C3A" w:rsidP="00BC24F6">
      <w:pPr>
        <w:pStyle w:val="ONUMFS"/>
        <w:rPr>
          <w:lang w:val="fr-CH"/>
        </w:rPr>
      </w:pPr>
      <w:r w:rsidRPr="004607AE">
        <w:rPr>
          <w:lang w:val="fr-CH"/>
        </w:rPr>
        <w:t>Le processus visant à définir s</w:t>
      </w:r>
      <w:r w:rsidR="00A745FC">
        <w:rPr>
          <w:lang w:val="fr-CH"/>
        </w:rPr>
        <w:t>’</w:t>
      </w:r>
      <w:r w:rsidRPr="004607AE">
        <w:rPr>
          <w:lang w:val="fr-CH"/>
        </w:rPr>
        <w:t>il est nécessaire d</w:t>
      </w:r>
      <w:r w:rsidR="00A745FC">
        <w:rPr>
          <w:lang w:val="fr-CH"/>
        </w:rPr>
        <w:t>’</w:t>
      </w:r>
      <w:r w:rsidRPr="004607AE">
        <w:rPr>
          <w:lang w:val="fr-CH"/>
        </w:rPr>
        <w:t>engager un consultant externe pour les activités d</w:t>
      </w:r>
      <w:r w:rsidR="00A745FC">
        <w:rPr>
          <w:lang w:val="fr-CH"/>
        </w:rPr>
        <w:t>’</w:t>
      </w:r>
      <w:r w:rsidRPr="004607AE">
        <w:rPr>
          <w:lang w:val="fr-CH"/>
        </w:rPr>
        <w:t>assistance technique menées par l</w:t>
      </w:r>
      <w:r w:rsidR="00A745FC">
        <w:rPr>
          <w:lang w:val="fr-CH"/>
        </w:rPr>
        <w:t>’</w:t>
      </w:r>
      <w:r w:rsidRPr="004607AE">
        <w:rPr>
          <w:lang w:val="fr-CH"/>
        </w:rPr>
        <w:t>OMPI est le point de départ de la procédure de sélecti</w:t>
      </w:r>
      <w:r w:rsidR="0014037A" w:rsidRPr="004607AE">
        <w:rPr>
          <w:lang w:val="fr-CH"/>
        </w:rPr>
        <w:t>on</w:t>
      </w:r>
      <w:r w:rsidR="0014037A">
        <w:rPr>
          <w:lang w:val="fr-CH"/>
        </w:rPr>
        <w:t xml:space="preserve">.  </w:t>
      </w:r>
      <w:r w:rsidR="0014037A" w:rsidRPr="004607AE">
        <w:rPr>
          <w:lang w:val="fr-CH"/>
        </w:rPr>
        <w:t>Da</w:t>
      </w:r>
      <w:r w:rsidRPr="004607AE">
        <w:rPr>
          <w:lang w:val="fr-CH"/>
        </w:rPr>
        <w:t>ns ce contexte, les critères ci</w:t>
      </w:r>
      <w:r w:rsidR="00D94F26">
        <w:rPr>
          <w:lang w:val="fr-CH"/>
        </w:rPr>
        <w:noBreakHyphen/>
      </w:r>
      <w:r w:rsidRPr="004607AE">
        <w:rPr>
          <w:lang w:val="fr-CH"/>
        </w:rPr>
        <w:t>après sont dûment examinés et pris en considération</w:t>
      </w:r>
      <w:r w:rsidR="00A745FC">
        <w:rPr>
          <w:lang w:val="fr-CH"/>
        </w:rPr>
        <w:t> :</w:t>
      </w:r>
    </w:p>
    <w:p w:rsidR="00A745FC" w:rsidRDefault="00E23228" w:rsidP="006955D1">
      <w:pPr>
        <w:pStyle w:val="ONUMFS"/>
        <w:numPr>
          <w:ilvl w:val="2"/>
          <w:numId w:val="3"/>
        </w:numPr>
        <w:spacing w:after="0"/>
        <w:rPr>
          <w:lang w:val="fr-CH"/>
        </w:rPr>
      </w:pPr>
      <w:r w:rsidRPr="004607AE">
        <w:rPr>
          <w:lang w:val="fr-CH"/>
        </w:rPr>
        <w:t>non</w:t>
      </w:r>
      <w:r w:rsidR="00D94F26">
        <w:rPr>
          <w:lang w:val="fr-CH"/>
        </w:rPr>
        <w:noBreakHyphen/>
      </w:r>
      <w:r w:rsidRPr="004607AE">
        <w:rPr>
          <w:lang w:val="fr-CH"/>
        </w:rPr>
        <w:t>disponibilité des compétences techniques requises à l</w:t>
      </w:r>
      <w:r w:rsidR="00A745FC">
        <w:rPr>
          <w:lang w:val="fr-CH"/>
        </w:rPr>
        <w:t>’</w:t>
      </w:r>
      <w:r w:rsidRPr="004607AE">
        <w:rPr>
          <w:lang w:val="fr-CH"/>
        </w:rPr>
        <w:t>OMPI, ou véritable valeur ajoutée par rapport au personnel interne;</w:t>
      </w:r>
    </w:p>
    <w:p w:rsidR="00AC317E" w:rsidRPr="004607AE" w:rsidRDefault="00E23228" w:rsidP="006955D1">
      <w:pPr>
        <w:pStyle w:val="ONUMFS"/>
        <w:numPr>
          <w:ilvl w:val="2"/>
          <w:numId w:val="3"/>
        </w:numPr>
        <w:spacing w:after="0"/>
        <w:rPr>
          <w:lang w:val="fr-CH"/>
        </w:rPr>
      </w:pPr>
      <w:r w:rsidRPr="004607AE">
        <w:rPr>
          <w:lang w:val="fr-CH"/>
        </w:rPr>
        <w:t>nécessité de compléter les connaissances et les compétences de l</w:t>
      </w:r>
      <w:r w:rsidR="00A745FC">
        <w:rPr>
          <w:lang w:val="fr-CH"/>
        </w:rPr>
        <w:t>’</w:t>
      </w:r>
      <w:r w:rsidRPr="004607AE">
        <w:rPr>
          <w:lang w:val="fr-CH"/>
        </w:rPr>
        <w:t>équipe interne chargée de mener l</w:t>
      </w:r>
      <w:r w:rsidR="00A745FC">
        <w:rPr>
          <w:lang w:val="fr-CH"/>
        </w:rPr>
        <w:t>’</w:t>
      </w:r>
      <w:r w:rsidRPr="004607AE">
        <w:rPr>
          <w:lang w:val="fr-CH"/>
        </w:rPr>
        <w:t>activité;</w:t>
      </w:r>
    </w:p>
    <w:p w:rsidR="00A745FC" w:rsidRDefault="00E23228" w:rsidP="006955D1">
      <w:pPr>
        <w:pStyle w:val="ONUMFS"/>
        <w:numPr>
          <w:ilvl w:val="2"/>
          <w:numId w:val="3"/>
        </w:numPr>
        <w:spacing w:after="0"/>
        <w:rPr>
          <w:lang w:val="fr-CH"/>
        </w:rPr>
      </w:pPr>
      <w:r w:rsidRPr="004607AE">
        <w:rPr>
          <w:lang w:val="fr-CH"/>
        </w:rPr>
        <w:t>connaissances locales particulières requises par le demandeur;</w:t>
      </w:r>
    </w:p>
    <w:p w:rsidR="00A745FC" w:rsidRDefault="00E23228" w:rsidP="006955D1">
      <w:pPr>
        <w:pStyle w:val="ONUMFS"/>
        <w:numPr>
          <w:ilvl w:val="2"/>
          <w:numId w:val="3"/>
        </w:numPr>
        <w:spacing w:after="0"/>
        <w:rPr>
          <w:lang w:val="fr-CH"/>
        </w:rPr>
      </w:pPr>
      <w:r w:rsidRPr="004607AE">
        <w:rPr>
          <w:lang w:val="fr-CH"/>
        </w:rPr>
        <w:t>connaissances linguistiques particulières qui ne sont pas couvertes par le personnel interne;</w:t>
      </w:r>
    </w:p>
    <w:p w:rsidR="00AC317E" w:rsidRPr="004607AE" w:rsidRDefault="0020618C" w:rsidP="006955D1">
      <w:pPr>
        <w:pStyle w:val="ONUMFS"/>
        <w:numPr>
          <w:ilvl w:val="2"/>
          <w:numId w:val="3"/>
        </w:numPr>
        <w:spacing w:after="0"/>
        <w:rPr>
          <w:lang w:val="fr-CH"/>
        </w:rPr>
      </w:pPr>
      <w:r w:rsidRPr="004607AE">
        <w:rPr>
          <w:lang w:val="fr-CH"/>
        </w:rPr>
        <w:t>contraintes de temps pour fournir l</w:t>
      </w:r>
      <w:r w:rsidR="00A745FC">
        <w:rPr>
          <w:lang w:val="fr-CH"/>
        </w:rPr>
        <w:t>’</w:t>
      </w:r>
      <w:r w:rsidRPr="004607AE">
        <w:rPr>
          <w:lang w:val="fr-CH"/>
        </w:rPr>
        <w:t>assistance compte tenu de la charge de travail de la division ou de la section;</w:t>
      </w:r>
    </w:p>
    <w:p w:rsidR="00AC317E" w:rsidRPr="004607AE" w:rsidRDefault="0020618C" w:rsidP="006955D1">
      <w:pPr>
        <w:pStyle w:val="ONUMFS"/>
        <w:numPr>
          <w:ilvl w:val="2"/>
          <w:numId w:val="3"/>
        </w:numPr>
        <w:spacing w:after="0"/>
        <w:rPr>
          <w:lang w:val="fr-CH"/>
        </w:rPr>
      </w:pPr>
      <w:r w:rsidRPr="004607AE">
        <w:rPr>
          <w:lang w:val="fr-CH"/>
        </w:rPr>
        <w:t>considérations relatives au rapport coût</w:t>
      </w:r>
      <w:r w:rsidR="00D94F26">
        <w:rPr>
          <w:rFonts w:eastAsia="MS Gothic" w:hint="eastAsia"/>
          <w:lang w:val="fr-CH"/>
        </w:rPr>
        <w:noBreakHyphen/>
      </w:r>
      <w:r w:rsidRPr="004607AE">
        <w:rPr>
          <w:lang w:val="fr-CH"/>
        </w:rPr>
        <w:t>efficacité;</w:t>
      </w:r>
    </w:p>
    <w:p w:rsidR="00AC317E" w:rsidRDefault="0020618C" w:rsidP="006955D1">
      <w:pPr>
        <w:pStyle w:val="ONUMFS"/>
        <w:numPr>
          <w:ilvl w:val="2"/>
          <w:numId w:val="3"/>
        </w:numPr>
        <w:spacing w:after="0"/>
        <w:rPr>
          <w:lang w:val="fr-CH"/>
        </w:rPr>
      </w:pPr>
      <w:r w:rsidRPr="004607AE">
        <w:rPr>
          <w:lang w:val="fr-CH"/>
        </w:rPr>
        <w:t>besoin de procéder à des évaluations indépendantes (p.</w:t>
      </w:r>
      <w:r w:rsidR="002949F1">
        <w:rPr>
          <w:lang w:val="fr-CH"/>
        </w:rPr>
        <w:t> </w:t>
      </w:r>
      <w:r w:rsidRPr="004607AE">
        <w:rPr>
          <w:lang w:val="fr-CH"/>
        </w:rPr>
        <w:t>ex.</w:t>
      </w:r>
      <w:r w:rsidR="002949F1">
        <w:rPr>
          <w:lang w:val="fr-CH"/>
        </w:rPr>
        <w:t> </w:t>
      </w:r>
      <w:r w:rsidRPr="004607AE">
        <w:rPr>
          <w:lang w:val="fr-CH"/>
        </w:rPr>
        <w:t>projets liés au Plan d</w:t>
      </w:r>
      <w:r w:rsidR="00A745FC">
        <w:rPr>
          <w:lang w:val="fr-CH"/>
        </w:rPr>
        <w:t>’</w:t>
      </w:r>
      <w:r w:rsidRPr="004607AE">
        <w:rPr>
          <w:lang w:val="fr-CH"/>
        </w:rPr>
        <w:t>action pour le développement).</w:t>
      </w:r>
    </w:p>
    <w:p w:rsidR="00343D04" w:rsidRPr="004607AE" w:rsidRDefault="00343D04" w:rsidP="00343D04">
      <w:pPr>
        <w:pStyle w:val="ONUMFS"/>
        <w:numPr>
          <w:ilvl w:val="0"/>
          <w:numId w:val="0"/>
        </w:numPr>
        <w:spacing w:after="0"/>
        <w:ind w:left="1134"/>
        <w:rPr>
          <w:lang w:val="fr-CH"/>
        </w:rPr>
      </w:pPr>
    </w:p>
    <w:p w:rsidR="00AC317E" w:rsidRPr="004607AE" w:rsidRDefault="00810344" w:rsidP="0020618C">
      <w:pPr>
        <w:rPr>
          <w:u w:val="single"/>
          <w:lang w:val="fr-CH"/>
        </w:rPr>
      </w:pPr>
      <w:r w:rsidRPr="004607AE">
        <w:rPr>
          <w:lang w:val="fr-CH"/>
        </w:rPr>
        <w:t xml:space="preserve">B.  </w:t>
      </w:r>
      <w:r w:rsidRPr="004607AE">
        <w:rPr>
          <w:u w:val="single"/>
          <w:lang w:val="fr-CH"/>
        </w:rPr>
        <w:t>É</w:t>
      </w:r>
      <w:r w:rsidR="0020618C" w:rsidRPr="004607AE">
        <w:rPr>
          <w:u w:val="single"/>
          <w:lang w:val="fr-CH"/>
        </w:rPr>
        <w:t xml:space="preserve">tablissement du </w:t>
      </w:r>
      <w:r w:rsidRPr="004607AE">
        <w:rPr>
          <w:u w:val="single"/>
          <w:lang w:val="fr-CH"/>
        </w:rPr>
        <w:t>cahier des charges</w:t>
      </w:r>
    </w:p>
    <w:p w:rsidR="00AC317E" w:rsidRPr="004607AE" w:rsidRDefault="00AC317E" w:rsidP="003A0218">
      <w:pPr>
        <w:rPr>
          <w:lang w:val="fr-CH"/>
        </w:rPr>
      </w:pPr>
    </w:p>
    <w:p w:rsidR="00AC317E" w:rsidRPr="004607AE" w:rsidRDefault="0020618C" w:rsidP="00BC24F6">
      <w:pPr>
        <w:pStyle w:val="ONUMFS"/>
        <w:rPr>
          <w:lang w:val="fr-CH"/>
        </w:rPr>
      </w:pPr>
      <w:r w:rsidRPr="004607AE">
        <w:rPr>
          <w:lang w:val="fr-CH"/>
        </w:rPr>
        <w:t>Lorsque le besoin de recruter un consultant externe chargé de l</w:t>
      </w:r>
      <w:r w:rsidR="00A745FC">
        <w:rPr>
          <w:lang w:val="fr-CH"/>
        </w:rPr>
        <w:t>’</w:t>
      </w:r>
      <w:r w:rsidRPr="004607AE">
        <w:rPr>
          <w:lang w:val="fr-CH"/>
        </w:rPr>
        <w:t xml:space="preserve">assistance technique a été établi, le chef de programme concerné définit son </w:t>
      </w:r>
      <w:r w:rsidR="00810344" w:rsidRPr="004607AE">
        <w:rPr>
          <w:lang w:val="fr-CH"/>
        </w:rPr>
        <w:t>cahier des charg</w:t>
      </w:r>
      <w:r w:rsidR="0014037A" w:rsidRPr="004607AE">
        <w:rPr>
          <w:lang w:val="fr-CH"/>
        </w:rPr>
        <w:t>es</w:t>
      </w:r>
      <w:r w:rsidR="0014037A">
        <w:rPr>
          <w:lang w:val="fr-CH"/>
        </w:rPr>
        <w:t xml:space="preserve">.  </w:t>
      </w:r>
      <w:r w:rsidR="0014037A" w:rsidRPr="004607AE">
        <w:rPr>
          <w:lang w:val="fr-CH"/>
        </w:rPr>
        <w:t>Ce</w:t>
      </w:r>
      <w:r w:rsidR="00810344" w:rsidRPr="004607AE">
        <w:rPr>
          <w:lang w:val="fr-CH"/>
        </w:rPr>
        <w:t>lui</w:t>
      </w:r>
      <w:r w:rsidR="00D94F26">
        <w:rPr>
          <w:lang w:val="fr-CH"/>
        </w:rPr>
        <w:noBreakHyphen/>
      </w:r>
      <w:r w:rsidR="00810344" w:rsidRPr="004607AE">
        <w:rPr>
          <w:lang w:val="fr-CH"/>
        </w:rPr>
        <w:t>ci</w:t>
      </w:r>
      <w:r w:rsidRPr="004607AE">
        <w:rPr>
          <w:lang w:val="fr-CH"/>
        </w:rPr>
        <w:t xml:space="preserve"> définit l</w:t>
      </w:r>
      <w:r w:rsidR="00A745FC">
        <w:rPr>
          <w:lang w:val="fr-CH"/>
        </w:rPr>
        <w:t>’</w:t>
      </w:r>
      <w:r w:rsidRPr="004607AE">
        <w:rPr>
          <w:lang w:val="fr-CH"/>
        </w:rPr>
        <w:t>objet et la structure de l</w:t>
      </w:r>
      <w:r w:rsidR="00A745FC">
        <w:rPr>
          <w:lang w:val="fr-CH"/>
        </w:rPr>
        <w:t>’</w:t>
      </w:r>
      <w:r w:rsidRPr="004607AE">
        <w:rPr>
          <w:lang w:val="fr-CH"/>
        </w:rPr>
        <w:t>activité visée et il est rédigé en tenant compte des critères recensés durant l</w:t>
      </w:r>
      <w:r w:rsidR="00A745FC">
        <w:rPr>
          <w:lang w:val="fr-CH"/>
        </w:rPr>
        <w:t>’</w:t>
      </w:r>
      <w:r w:rsidRPr="004607AE">
        <w:rPr>
          <w:lang w:val="fr-CH"/>
        </w:rPr>
        <w:t>évaluation des besoins, qui sont indiqués ci</w:t>
      </w:r>
      <w:r w:rsidR="00D94F26">
        <w:rPr>
          <w:lang w:val="fr-CH"/>
        </w:rPr>
        <w:noBreakHyphen/>
      </w:r>
      <w:r w:rsidRPr="004607AE">
        <w:rPr>
          <w:lang w:val="fr-CH"/>
        </w:rPr>
        <w:t>dess</w:t>
      </w:r>
      <w:r w:rsidR="0014037A" w:rsidRPr="004607AE">
        <w:rPr>
          <w:lang w:val="fr-CH"/>
        </w:rPr>
        <w:t>us</w:t>
      </w:r>
      <w:r w:rsidR="0014037A">
        <w:rPr>
          <w:lang w:val="fr-CH"/>
        </w:rPr>
        <w:t xml:space="preserve">.  </w:t>
      </w:r>
      <w:r w:rsidR="0014037A" w:rsidRPr="004607AE">
        <w:rPr>
          <w:lang w:val="fr-CH"/>
        </w:rPr>
        <w:t>Il</w:t>
      </w:r>
      <w:r w:rsidRPr="004607AE">
        <w:rPr>
          <w:lang w:val="fr-CH"/>
        </w:rPr>
        <w:t xml:space="preserve"> inclut généralement les éléments ci</w:t>
      </w:r>
      <w:r w:rsidR="00D94F26">
        <w:rPr>
          <w:lang w:val="fr-CH"/>
        </w:rPr>
        <w:noBreakHyphen/>
      </w:r>
      <w:r w:rsidRPr="004607AE">
        <w:rPr>
          <w:lang w:val="fr-CH"/>
        </w:rPr>
        <w:t>après, dont certains sont liés aux procédure</w:t>
      </w:r>
      <w:r w:rsidR="00BD100B" w:rsidRPr="004607AE">
        <w:rPr>
          <w:lang w:val="fr-CH"/>
        </w:rPr>
        <w:t>s formelles indiquées plus haut</w:t>
      </w:r>
      <w:r w:rsidR="00A745FC">
        <w:rPr>
          <w:lang w:val="fr-CH"/>
        </w:rPr>
        <w:t> :</w:t>
      </w:r>
    </w:p>
    <w:p w:rsidR="00A745FC" w:rsidRDefault="00BD100B" w:rsidP="006955D1">
      <w:pPr>
        <w:pStyle w:val="ONUMFS"/>
        <w:numPr>
          <w:ilvl w:val="1"/>
          <w:numId w:val="3"/>
        </w:numPr>
        <w:spacing w:after="0"/>
        <w:ind w:left="1134"/>
        <w:rPr>
          <w:lang w:val="fr-CH"/>
        </w:rPr>
      </w:pPr>
      <w:r w:rsidRPr="004607AE">
        <w:rPr>
          <w:lang w:val="fr-CH"/>
        </w:rPr>
        <w:t>étendue des travaux;</w:t>
      </w:r>
    </w:p>
    <w:p w:rsidR="00A745FC" w:rsidRDefault="00BD100B" w:rsidP="006955D1">
      <w:pPr>
        <w:pStyle w:val="ONUMFS"/>
        <w:numPr>
          <w:ilvl w:val="1"/>
          <w:numId w:val="3"/>
        </w:numPr>
        <w:spacing w:after="0"/>
        <w:ind w:left="1134"/>
        <w:rPr>
          <w:lang w:val="fr-CH"/>
        </w:rPr>
      </w:pPr>
      <w:r w:rsidRPr="004607AE">
        <w:rPr>
          <w:lang w:val="fr-CH"/>
        </w:rPr>
        <w:t>objectifs visés dans le cadre du contrat de consultant;</w:t>
      </w:r>
    </w:p>
    <w:p w:rsidR="00AC317E" w:rsidRPr="004607AE" w:rsidRDefault="00BD100B" w:rsidP="006955D1">
      <w:pPr>
        <w:pStyle w:val="ONUMFS"/>
        <w:numPr>
          <w:ilvl w:val="1"/>
          <w:numId w:val="3"/>
        </w:numPr>
        <w:spacing w:after="0"/>
        <w:ind w:left="1134"/>
        <w:rPr>
          <w:lang w:val="fr-CH"/>
        </w:rPr>
      </w:pPr>
      <w:r w:rsidRPr="004607AE">
        <w:rPr>
          <w:lang w:val="fr-CH"/>
        </w:rPr>
        <w:t>tâches et fonctions particulières pour atteindre ces objectifs;</w:t>
      </w:r>
    </w:p>
    <w:p w:rsidR="00A745FC" w:rsidRDefault="006F4272" w:rsidP="006955D1">
      <w:pPr>
        <w:pStyle w:val="ONUMFS"/>
        <w:numPr>
          <w:ilvl w:val="1"/>
          <w:numId w:val="3"/>
        </w:numPr>
        <w:spacing w:after="0"/>
        <w:ind w:left="1134"/>
        <w:rPr>
          <w:lang w:val="fr-CH"/>
        </w:rPr>
      </w:pPr>
      <w:r w:rsidRPr="004607AE">
        <w:rPr>
          <w:lang w:val="fr-CH"/>
        </w:rPr>
        <w:t>extrants (produits) et résultats attendus;</w:t>
      </w:r>
    </w:p>
    <w:p w:rsidR="00A745FC" w:rsidRDefault="006F4272" w:rsidP="006955D1">
      <w:pPr>
        <w:pStyle w:val="ONUMFS"/>
        <w:numPr>
          <w:ilvl w:val="1"/>
          <w:numId w:val="3"/>
        </w:numPr>
        <w:spacing w:after="0"/>
        <w:ind w:left="1134"/>
        <w:rPr>
          <w:lang w:val="fr-CH"/>
        </w:rPr>
      </w:pPr>
      <w:r w:rsidRPr="004607AE">
        <w:rPr>
          <w:lang w:val="fr-CH"/>
        </w:rPr>
        <w:t xml:space="preserve">incidence prévue des </w:t>
      </w:r>
      <w:r w:rsidR="000F2683" w:rsidRPr="004607AE">
        <w:rPr>
          <w:lang w:val="fr-CH"/>
        </w:rPr>
        <w:t>activités</w:t>
      </w:r>
      <w:r w:rsidRPr="004607AE">
        <w:rPr>
          <w:lang w:val="fr-CH"/>
        </w:rPr>
        <w:t xml:space="preserve"> mené</w:t>
      </w:r>
      <w:r w:rsidR="000F2683" w:rsidRPr="004607AE">
        <w:rPr>
          <w:lang w:val="fr-CH"/>
        </w:rPr>
        <w:t>e</w:t>
      </w:r>
      <w:r w:rsidRPr="004607AE">
        <w:rPr>
          <w:lang w:val="fr-CH"/>
        </w:rPr>
        <w:t>s;</w:t>
      </w:r>
    </w:p>
    <w:p w:rsidR="00A745FC" w:rsidRDefault="006F4272" w:rsidP="006955D1">
      <w:pPr>
        <w:pStyle w:val="ONUMFS"/>
        <w:numPr>
          <w:ilvl w:val="1"/>
          <w:numId w:val="3"/>
        </w:numPr>
        <w:spacing w:after="0"/>
        <w:ind w:left="1134"/>
        <w:rPr>
          <w:lang w:val="fr-CH"/>
        </w:rPr>
      </w:pPr>
      <w:r w:rsidRPr="004607AE">
        <w:rPr>
          <w:lang w:val="fr-CH"/>
        </w:rPr>
        <w:t>calendrier et durée;</w:t>
      </w:r>
    </w:p>
    <w:p w:rsidR="00A745FC" w:rsidRDefault="006F4272" w:rsidP="006955D1">
      <w:pPr>
        <w:pStyle w:val="ONUMFS"/>
        <w:numPr>
          <w:ilvl w:val="1"/>
          <w:numId w:val="3"/>
        </w:numPr>
        <w:spacing w:after="0"/>
        <w:ind w:left="1134"/>
        <w:rPr>
          <w:lang w:val="fr-CH"/>
        </w:rPr>
      </w:pPr>
      <w:r w:rsidRPr="004607AE">
        <w:rPr>
          <w:lang w:val="fr-CH"/>
        </w:rPr>
        <w:t>budget consacré à la tâche;</w:t>
      </w:r>
    </w:p>
    <w:p w:rsidR="00A745FC" w:rsidRDefault="006F4272" w:rsidP="006955D1">
      <w:pPr>
        <w:pStyle w:val="ONUMFS"/>
        <w:numPr>
          <w:ilvl w:val="1"/>
          <w:numId w:val="3"/>
        </w:numPr>
        <w:spacing w:after="0"/>
        <w:ind w:left="1134"/>
        <w:rPr>
          <w:lang w:val="fr-CH"/>
        </w:rPr>
      </w:pPr>
      <w:r w:rsidRPr="004607AE">
        <w:rPr>
          <w:lang w:val="fr-CH"/>
        </w:rPr>
        <w:t>qualifications essentielles et souhaitées</w:t>
      </w:r>
      <w:r w:rsidR="000F2683" w:rsidRPr="004607AE">
        <w:rPr>
          <w:lang w:val="fr-CH"/>
        </w:rPr>
        <w:t xml:space="preserve"> pour l</w:t>
      </w:r>
      <w:r w:rsidR="00A745FC">
        <w:rPr>
          <w:lang w:val="fr-CH"/>
        </w:rPr>
        <w:t>’</w:t>
      </w:r>
      <w:r w:rsidR="000F2683" w:rsidRPr="004607AE">
        <w:rPr>
          <w:lang w:val="fr-CH"/>
        </w:rPr>
        <w:t>expert</w:t>
      </w:r>
      <w:r w:rsidRPr="004607AE">
        <w:rPr>
          <w:lang w:val="fr-CH"/>
        </w:rPr>
        <w:t>, notamment toute expérience préalable dans le domaine visé aux niveaux national et international, connaissance du contexte local et compétences linguistiques, ainsi qu</w:t>
      </w:r>
      <w:r w:rsidR="00A745FC">
        <w:rPr>
          <w:lang w:val="fr-CH"/>
        </w:rPr>
        <w:t>’</w:t>
      </w:r>
      <w:r w:rsidRPr="004607AE">
        <w:rPr>
          <w:lang w:val="fr-CH"/>
        </w:rPr>
        <w:t>il est indiqué plus haut;</w:t>
      </w:r>
    </w:p>
    <w:p w:rsidR="00A745FC" w:rsidRDefault="006F4272" w:rsidP="006955D1">
      <w:pPr>
        <w:pStyle w:val="ONUMFS"/>
        <w:numPr>
          <w:ilvl w:val="1"/>
          <w:numId w:val="3"/>
        </w:numPr>
        <w:spacing w:after="0"/>
        <w:ind w:left="1134"/>
        <w:rPr>
          <w:lang w:val="fr-CH"/>
        </w:rPr>
      </w:pPr>
      <w:r w:rsidRPr="004607AE">
        <w:rPr>
          <w:lang w:val="fr-CH"/>
        </w:rPr>
        <w:t xml:space="preserve">compétences particulières requises pour </w:t>
      </w:r>
      <w:r w:rsidR="000F2683" w:rsidRPr="004607AE">
        <w:rPr>
          <w:lang w:val="fr-CH"/>
        </w:rPr>
        <w:t>la</w:t>
      </w:r>
      <w:r w:rsidRPr="004607AE">
        <w:rPr>
          <w:lang w:val="fr-CH"/>
        </w:rPr>
        <w:t xml:space="preserve"> tâche (le cas échéant);</w:t>
      </w:r>
    </w:p>
    <w:p w:rsidR="00A745FC" w:rsidRDefault="006F4272" w:rsidP="006955D1">
      <w:pPr>
        <w:pStyle w:val="ONUMFS"/>
        <w:numPr>
          <w:ilvl w:val="1"/>
          <w:numId w:val="3"/>
        </w:numPr>
        <w:spacing w:after="0"/>
        <w:ind w:left="1134"/>
        <w:rPr>
          <w:lang w:val="fr-CH"/>
        </w:rPr>
      </w:pPr>
      <w:r w:rsidRPr="004607AE">
        <w:rPr>
          <w:lang w:val="fr-CH"/>
        </w:rPr>
        <w:t>expérience du consultant pour des tâches analogues;</w:t>
      </w:r>
    </w:p>
    <w:p w:rsidR="00A745FC" w:rsidRDefault="006F4272" w:rsidP="006955D1">
      <w:pPr>
        <w:pStyle w:val="ONUMFS"/>
        <w:numPr>
          <w:ilvl w:val="1"/>
          <w:numId w:val="3"/>
        </w:numPr>
        <w:spacing w:after="0"/>
        <w:ind w:left="1134"/>
        <w:rPr>
          <w:lang w:val="fr-CH"/>
        </w:rPr>
      </w:pPr>
      <w:r w:rsidRPr="004607AE">
        <w:rPr>
          <w:lang w:val="fr-CH"/>
        </w:rPr>
        <w:t>lieu d</w:t>
      </w:r>
      <w:r w:rsidR="00A745FC">
        <w:rPr>
          <w:lang w:val="fr-CH"/>
        </w:rPr>
        <w:t>’</w:t>
      </w:r>
      <w:r w:rsidRPr="004607AE">
        <w:rPr>
          <w:lang w:val="fr-CH"/>
        </w:rPr>
        <w:t>affectation;</w:t>
      </w:r>
    </w:p>
    <w:p w:rsidR="00A745FC" w:rsidRDefault="006F4272" w:rsidP="006955D1">
      <w:pPr>
        <w:pStyle w:val="ONUMFS"/>
        <w:numPr>
          <w:ilvl w:val="1"/>
          <w:numId w:val="3"/>
        </w:numPr>
        <w:spacing w:after="0"/>
        <w:ind w:left="1134"/>
        <w:rPr>
          <w:lang w:val="fr-CH"/>
        </w:rPr>
      </w:pPr>
      <w:r w:rsidRPr="004607AE">
        <w:rPr>
          <w:lang w:val="fr-CH"/>
        </w:rPr>
        <w:t>nombre de missions sur le terrain (le cas échéant);</w:t>
      </w:r>
    </w:p>
    <w:p w:rsidR="00A745FC" w:rsidRDefault="006F4272" w:rsidP="006955D1">
      <w:pPr>
        <w:pStyle w:val="ONUMFS"/>
        <w:numPr>
          <w:ilvl w:val="1"/>
          <w:numId w:val="3"/>
        </w:numPr>
        <w:spacing w:after="0"/>
        <w:ind w:left="1134"/>
        <w:rPr>
          <w:lang w:val="fr-CH"/>
        </w:rPr>
      </w:pPr>
      <w:r w:rsidRPr="004607AE">
        <w:rPr>
          <w:lang w:val="fr-CH"/>
        </w:rPr>
        <w:t>demandes particulières des demandeurs;</w:t>
      </w:r>
    </w:p>
    <w:p w:rsidR="00AC317E" w:rsidRPr="004607AE" w:rsidRDefault="000F2683" w:rsidP="006955D1">
      <w:pPr>
        <w:pStyle w:val="ONUMFS"/>
        <w:numPr>
          <w:ilvl w:val="1"/>
          <w:numId w:val="3"/>
        </w:numPr>
        <w:spacing w:after="0"/>
        <w:ind w:left="1134"/>
        <w:rPr>
          <w:lang w:val="fr-CH"/>
        </w:rPr>
      </w:pPr>
      <w:r w:rsidRPr="004607AE">
        <w:rPr>
          <w:lang w:val="fr-CH"/>
        </w:rPr>
        <w:t xml:space="preserve">particularités </w:t>
      </w:r>
      <w:r w:rsidR="006F4272" w:rsidRPr="004607AE">
        <w:rPr>
          <w:lang w:val="fr-CH"/>
        </w:rPr>
        <w:t>liées à la qualité, à l</w:t>
      </w:r>
      <w:r w:rsidR="00A745FC">
        <w:rPr>
          <w:lang w:val="fr-CH"/>
        </w:rPr>
        <w:t>’</w:t>
      </w:r>
      <w:r w:rsidR="006F4272" w:rsidRPr="004607AE">
        <w:rPr>
          <w:lang w:val="fr-CH"/>
        </w:rPr>
        <w:t>établissement de rapports et au suivi;  et</w:t>
      </w:r>
    </w:p>
    <w:p w:rsidR="00AC317E" w:rsidRPr="004607AE" w:rsidRDefault="000F2683" w:rsidP="006955D1">
      <w:pPr>
        <w:pStyle w:val="ONUMFS"/>
        <w:numPr>
          <w:ilvl w:val="1"/>
          <w:numId w:val="3"/>
        </w:numPr>
        <w:spacing w:after="0"/>
        <w:ind w:left="1134"/>
        <w:rPr>
          <w:lang w:val="fr-CH"/>
        </w:rPr>
      </w:pPr>
      <w:r w:rsidRPr="004607AE">
        <w:rPr>
          <w:lang w:val="fr-CH"/>
        </w:rPr>
        <w:t>particularités liées aux évaluations effectuées par les pairs.</w:t>
      </w:r>
    </w:p>
    <w:p w:rsidR="00AC317E" w:rsidRDefault="00AC317E" w:rsidP="001F2B00">
      <w:pPr>
        <w:rPr>
          <w:lang w:val="fr-CH"/>
        </w:rPr>
      </w:pPr>
    </w:p>
    <w:p w:rsidR="006955D1" w:rsidRPr="004607AE" w:rsidRDefault="006955D1" w:rsidP="001F2B00">
      <w:pPr>
        <w:rPr>
          <w:lang w:val="fr-CH"/>
        </w:rPr>
      </w:pPr>
    </w:p>
    <w:p w:rsidR="00A745FC" w:rsidRDefault="000F2683" w:rsidP="000F2683">
      <w:pPr>
        <w:rPr>
          <w:u w:val="single"/>
          <w:lang w:val="fr-CH"/>
        </w:rPr>
      </w:pPr>
      <w:r w:rsidRPr="004607AE">
        <w:rPr>
          <w:lang w:val="fr-CH"/>
        </w:rPr>
        <w:t>C.</w:t>
      </w:r>
      <w:r w:rsidRPr="0014037A">
        <w:rPr>
          <w:lang w:val="fr-CH"/>
        </w:rPr>
        <w:t xml:space="preserve"> </w:t>
      </w:r>
      <w:r w:rsidR="002949F1">
        <w:rPr>
          <w:lang w:val="fr-CH"/>
        </w:rPr>
        <w:t xml:space="preserve"> </w:t>
      </w:r>
      <w:r w:rsidR="00810344" w:rsidRPr="004607AE">
        <w:rPr>
          <w:u w:val="single"/>
          <w:lang w:val="fr-CH"/>
        </w:rPr>
        <w:t>Sélection</w:t>
      </w:r>
      <w:r w:rsidRPr="004607AE">
        <w:rPr>
          <w:u w:val="single"/>
          <w:lang w:val="fr-CH"/>
        </w:rPr>
        <w:t xml:space="preserve"> des candidats</w:t>
      </w:r>
    </w:p>
    <w:p w:rsidR="00AC317E" w:rsidRPr="004607AE" w:rsidRDefault="00AC317E" w:rsidP="008C101B">
      <w:pPr>
        <w:rPr>
          <w:lang w:val="fr-CH"/>
        </w:rPr>
      </w:pPr>
    </w:p>
    <w:p w:rsidR="00AC317E" w:rsidRPr="00BC24F6" w:rsidRDefault="000F2683" w:rsidP="00BC24F6">
      <w:pPr>
        <w:pStyle w:val="ONUMFS"/>
        <w:rPr>
          <w:lang w:val="fr-CH"/>
        </w:rPr>
      </w:pPr>
      <w:r w:rsidRPr="00BC24F6">
        <w:rPr>
          <w:lang w:val="fr-CH"/>
        </w:rPr>
        <w:t>L</w:t>
      </w:r>
      <w:r w:rsidR="00810344" w:rsidRPr="00BC24F6">
        <w:rPr>
          <w:lang w:val="fr-CH"/>
        </w:rPr>
        <w:t>a</w:t>
      </w:r>
      <w:r w:rsidRPr="00BC24F6">
        <w:rPr>
          <w:lang w:val="fr-CH"/>
        </w:rPr>
        <w:t xml:space="preserve"> principal</w:t>
      </w:r>
      <w:r w:rsidR="00810344" w:rsidRPr="00BC24F6">
        <w:rPr>
          <w:lang w:val="fr-CH"/>
        </w:rPr>
        <w:t>e</w:t>
      </w:r>
      <w:r w:rsidRPr="00BC24F6">
        <w:rPr>
          <w:lang w:val="fr-CH"/>
        </w:rPr>
        <w:t xml:space="preserve"> </w:t>
      </w:r>
      <w:r w:rsidR="00810344" w:rsidRPr="00BC24F6">
        <w:rPr>
          <w:lang w:val="fr-CH"/>
        </w:rPr>
        <w:t>source à utiliser pour la</w:t>
      </w:r>
      <w:r w:rsidRPr="00BC24F6">
        <w:rPr>
          <w:lang w:val="fr-CH"/>
        </w:rPr>
        <w:t xml:space="preserve"> </w:t>
      </w:r>
      <w:r w:rsidR="00810344" w:rsidRPr="00BC24F6">
        <w:rPr>
          <w:lang w:val="fr-CH"/>
        </w:rPr>
        <w:t>sélection</w:t>
      </w:r>
      <w:r w:rsidRPr="00BC24F6">
        <w:rPr>
          <w:lang w:val="fr-CH"/>
        </w:rPr>
        <w:t xml:space="preserve"> des candidats est la liste des consultants disponible à l</w:t>
      </w:r>
      <w:r w:rsidR="00A745FC" w:rsidRPr="00BC24F6">
        <w:rPr>
          <w:lang w:val="fr-CH"/>
        </w:rPr>
        <w:t>’</w:t>
      </w:r>
      <w:r w:rsidRPr="00BC24F6">
        <w:rPr>
          <w:lang w:val="fr-CH"/>
        </w:rPr>
        <w:t>adresse</w:t>
      </w:r>
      <w:r w:rsidR="00810344" w:rsidRPr="00BC24F6">
        <w:rPr>
          <w:lang w:val="fr-CH"/>
        </w:rPr>
        <w:t xml:space="preserve"> </w:t>
      </w:r>
      <w:hyperlink r:id="rId10" w:history="1">
        <w:r w:rsidR="002949F1" w:rsidRPr="00BC24F6">
          <w:rPr>
            <w:lang w:val="fr-CH"/>
          </w:rPr>
          <w:t>http:</w:t>
        </w:r>
        <w:r w:rsidRPr="00BC24F6">
          <w:rPr>
            <w:lang w:val="fr-CH"/>
          </w:rPr>
          <w:t>//www.wipo.int/roc/en/index.jsp</w:t>
        </w:r>
      </w:hyperlink>
      <w:hyperlink r:id="rId11" w:history="1">
        <w:r w:rsidRPr="00BC24F6">
          <w:rPr>
            <w:lang w:val="fr-CH"/>
          </w:rPr>
          <w:t xml:space="preserve">, </w:t>
        </w:r>
      </w:hyperlink>
      <w:r w:rsidR="00810344" w:rsidRPr="00BC24F6">
        <w:rPr>
          <w:lang w:val="fr-CH"/>
        </w:rPr>
        <w:t xml:space="preserve">, </w:t>
      </w:r>
      <w:r w:rsidRPr="00BC24F6">
        <w:rPr>
          <w:lang w:val="fr-CH"/>
        </w:rPr>
        <w:t>établie conformément à la recommandation n° 6 du Plan d</w:t>
      </w:r>
      <w:r w:rsidR="00A745FC" w:rsidRPr="00BC24F6">
        <w:rPr>
          <w:lang w:val="fr-CH"/>
        </w:rPr>
        <w:t>’</w:t>
      </w:r>
      <w:r w:rsidRPr="00BC24F6">
        <w:rPr>
          <w:lang w:val="fr-CH"/>
        </w:rPr>
        <w:t>action pour le développeme</w:t>
      </w:r>
      <w:r w:rsidR="0014037A" w:rsidRPr="00BC24F6">
        <w:rPr>
          <w:lang w:val="fr-CH"/>
        </w:rPr>
        <w:t>nt.  La</w:t>
      </w:r>
      <w:r w:rsidRPr="00BC24F6">
        <w:rPr>
          <w:lang w:val="fr-CH"/>
        </w:rPr>
        <w:t xml:space="preserve"> liste comprend des informations et des données sur les consultants et les experts engagés par l</w:t>
      </w:r>
      <w:r w:rsidR="00A745FC" w:rsidRPr="00BC24F6">
        <w:rPr>
          <w:lang w:val="fr-CH"/>
        </w:rPr>
        <w:t>’</w:t>
      </w:r>
      <w:r w:rsidRPr="00BC24F6">
        <w:rPr>
          <w:lang w:val="fr-CH"/>
        </w:rPr>
        <w:t>Organisation pour mener des activités particulières d</w:t>
      </w:r>
      <w:r w:rsidR="00A745FC" w:rsidRPr="00BC24F6">
        <w:rPr>
          <w:lang w:val="fr-CH"/>
        </w:rPr>
        <w:t>’</w:t>
      </w:r>
      <w:r w:rsidRPr="00BC24F6">
        <w:rPr>
          <w:lang w:val="fr-CH"/>
        </w:rPr>
        <w:t>assistance techniq</w:t>
      </w:r>
      <w:r w:rsidR="0014037A" w:rsidRPr="00BC24F6">
        <w:rPr>
          <w:lang w:val="fr-CH"/>
        </w:rPr>
        <w:t>ue.  Le</w:t>
      </w:r>
      <w:r w:rsidRPr="00BC24F6">
        <w:rPr>
          <w:lang w:val="fr-CH"/>
        </w:rPr>
        <w:t>s autres sources utilisées sont les suivantes</w:t>
      </w:r>
      <w:r w:rsidR="00A745FC" w:rsidRPr="00BC24F6">
        <w:rPr>
          <w:lang w:val="fr-CH"/>
        </w:rPr>
        <w:t> :</w:t>
      </w:r>
      <w:r w:rsidRPr="00BC24F6">
        <w:rPr>
          <w:lang w:val="fr-CH"/>
        </w:rPr>
        <w:t xml:space="preserve"> i)</w:t>
      </w:r>
      <w:r w:rsidR="002949F1" w:rsidRPr="00BC24F6">
        <w:rPr>
          <w:lang w:val="fr-CH"/>
        </w:rPr>
        <w:t> </w:t>
      </w:r>
      <w:r w:rsidRPr="00BC24F6">
        <w:rPr>
          <w:lang w:val="fr-CH"/>
        </w:rPr>
        <w:t xml:space="preserve">recommandations exprimées par le demandeur; </w:t>
      </w:r>
      <w:r w:rsidR="002949F1" w:rsidRPr="00BC24F6">
        <w:rPr>
          <w:lang w:val="fr-CH"/>
        </w:rPr>
        <w:t xml:space="preserve"> </w:t>
      </w:r>
      <w:r w:rsidRPr="00BC24F6">
        <w:rPr>
          <w:lang w:val="fr-CH"/>
        </w:rPr>
        <w:t>ii)</w:t>
      </w:r>
      <w:r w:rsidR="002949F1" w:rsidRPr="00BC24F6">
        <w:rPr>
          <w:lang w:val="fr-CH"/>
        </w:rPr>
        <w:t> </w:t>
      </w:r>
      <w:r w:rsidRPr="00BC24F6">
        <w:rPr>
          <w:lang w:val="fr-CH"/>
        </w:rPr>
        <w:t>réseau existant de consultants ayant travaillé avec la division ou la section qui recrute, ou au sein d</w:t>
      </w:r>
      <w:r w:rsidR="00A745FC" w:rsidRPr="00BC24F6">
        <w:rPr>
          <w:lang w:val="fr-CH"/>
        </w:rPr>
        <w:t>’</w:t>
      </w:r>
      <w:r w:rsidRPr="00BC24F6">
        <w:rPr>
          <w:lang w:val="fr-CH"/>
        </w:rPr>
        <w:t>autres divisions ou sections;  iii)</w:t>
      </w:r>
      <w:r w:rsidR="002949F1" w:rsidRPr="00BC24F6">
        <w:rPr>
          <w:lang w:val="fr-CH"/>
        </w:rPr>
        <w:t> </w:t>
      </w:r>
      <w:r w:rsidRPr="00BC24F6">
        <w:rPr>
          <w:lang w:val="fr-CH"/>
        </w:rPr>
        <w:t>suggestions d</w:t>
      </w:r>
      <w:r w:rsidR="00A745FC" w:rsidRPr="00BC24F6">
        <w:rPr>
          <w:lang w:val="fr-CH"/>
        </w:rPr>
        <w:t>’</w:t>
      </w:r>
      <w:r w:rsidRPr="00BC24F6">
        <w:rPr>
          <w:lang w:val="fr-CH"/>
        </w:rPr>
        <w:t>anciens consultants;  iv)</w:t>
      </w:r>
      <w:r w:rsidR="002949F1" w:rsidRPr="00BC24F6">
        <w:rPr>
          <w:lang w:val="fr-CH"/>
        </w:rPr>
        <w:t> </w:t>
      </w:r>
      <w:r w:rsidRPr="00BC24F6">
        <w:rPr>
          <w:lang w:val="fr-CH"/>
        </w:rPr>
        <w:t>recherche parmi des experts du monde universitaire;  et v)</w:t>
      </w:r>
      <w:r w:rsidR="002949F1" w:rsidRPr="00BC24F6">
        <w:rPr>
          <w:lang w:val="fr-CH"/>
        </w:rPr>
        <w:t> </w:t>
      </w:r>
      <w:r w:rsidRPr="00BC24F6">
        <w:rPr>
          <w:lang w:val="fr-CH"/>
        </w:rPr>
        <w:t>recommandations d</w:t>
      </w:r>
      <w:r w:rsidR="00A745FC" w:rsidRPr="00BC24F6">
        <w:rPr>
          <w:lang w:val="fr-CH"/>
        </w:rPr>
        <w:t>’</w:t>
      </w:r>
      <w:r w:rsidRPr="00BC24F6">
        <w:rPr>
          <w:lang w:val="fr-CH"/>
        </w:rPr>
        <w:t xml:space="preserve">autres institutions spécialisées des </w:t>
      </w:r>
      <w:r w:rsidR="00A745FC" w:rsidRPr="00BC24F6">
        <w:rPr>
          <w:lang w:val="fr-CH"/>
        </w:rPr>
        <w:t>Nations Uni</w:t>
      </w:r>
      <w:r w:rsidR="0014037A" w:rsidRPr="00BC24F6">
        <w:rPr>
          <w:lang w:val="fr-CH"/>
        </w:rPr>
        <w:t>es.  Po</w:t>
      </w:r>
      <w:r w:rsidRPr="00BC24F6">
        <w:rPr>
          <w:lang w:val="fr-CH"/>
        </w:rPr>
        <w:t>ur</w:t>
      </w:r>
      <w:r w:rsidR="00511E8C">
        <w:rPr>
          <w:lang w:val="fr-CH"/>
        </w:rPr>
        <w:t> </w:t>
      </w:r>
      <w:r w:rsidRPr="00BC24F6">
        <w:rPr>
          <w:lang w:val="fr-CH"/>
        </w:rPr>
        <w:t>faciliter ce processus, certaines divisions tiennent à jour une liste informelle de consultants très</w:t>
      </w:r>
      <w:r w:rsidRPr="004607AE">
        <w:rPr>
          <w:lang w:val="fr-CH"/>
        </w:rPr>
        <w:t xml:space="preserve"> </w:t>
      </w:r>
      <w:r w:rsidRPr="00BC24F6">
        <w:rPr>
          <w:lang w:val="fr-CH"/>
        </w:rPr>
        <w:t>performan</w:t>
      </w:r>
      <w:r w:rsidR="0014037A" w:rsidRPr="00BC24F6">
        <w:rPr>
          <w:lang w:val="fr-CH"/>
        </w:rPr>
        <w:t>ts.  En</w:t>
      </w:r>
      <w:r w:rsidRPr="00BC24F6">
        <w:rPr>
          <w:lang w:val="fr-CH"/>
        </w:rPr>
        <w:t xml:space="preserve"> pratique, l</w:t>
      </w:r>
      <w:r w:rsidR="00A745FC" w:rsidRPr="00BC24F6">
        <w:rPr>
          <w:lang w:val="fr-CH"/>
        </w:rPr>
        <w:t>’</w:t>
      </w:r>
      <w:r w:rsidRPr="00BC24F6">
        <w:rPr>
          <w:lang w:val="fr-CH"/>
        </w:rPr>
        <w:t>OMPI recherche des candidats nationaux pour mener les activités d</w:t>
      </w:r>
      <w:r w:rsidR="00A745FC" w:rsidRPr="00BC24F6">
        <w:rPr>
          <w:lang w:val="fr-CH"/>
        </w:rPr>
        <w:t>’</w:t>
      </w:r>
      <w:r w:rsidRPr="00BC24F6">
        <w:rPr>
          <w:lang w:val="fr-CH"/>
        </w:rPr>
        <w:t>assistance technique dans un pays don</w:t>
      </w:r>
      <w:r w:rsidR="0014037A" w:rsidRPr="00BC24F6">
        <w:rPr>
          <w:lang w:val="fr-CH"/>
        </w:rPr>
        <w:t>né.  Lo</w:t>
      </w:r>
      <w:r w:rsidR="00721524" w:rsidRPr="00BC24F6">
        <w:rPr>
          <w:lang w:val="fr-CH"/>
        </w:rPr>
        <w:t>rsqu</w:t>
      </w:r>
      <w:r w:rsidR="00AF20E6" w:rsidRPr="00BC24F6">
        <w:rPr>
          <w:lang w:val="fr-CH"/>
        </w:rPr>
        <w:t xml:space="preserve">e </w:t>
      </w:r>
      <w:r w:rsidR="00721524" w:rsidRPr="00BC24F6">
        <w:rPr>
          <w:lang w:val="fr-CH"/>
        </w:rPr>
        <w:t>aucun candidat ne remplit les critères au niveau national, elle tente de recruter des candidats au niveau régional et, s</w:t>
      </w:r>
      <w:r w:rsidR="00A745FC" w:rsidRPr="00BC24F6">
        <w:rPr>
          <w:lang w:val="fr-CH"/>
        </w:rPr>
        <w:t>’</w:t>
      </w:r>
      <w:r w:rsidR="00721524" w:rsidRPr="00BC24F6">
        <w:rPr>
          <w:lang w:val="fr-CH"/>
        </w:rPr>
        <w:t>il n</w:t>
      </w:r>
      <w:r w:rsidR="00A745FC" w:rsidRPr="00BC24F6">
        <w:rPr>
          <w:lang w:val="fr-CH"/>
        </w:rPr>
        <w:t>’</w:t>
      </w:r>
      <w:r w:rsidR="00721524" w:rsidRPr="00BC24F6">
        <w:rPr>
          <w:lang w:val="fr-CH"/>
        </w:rPr>
        <w:t xml:space="preserve">en </w:t>
      </w:r>
      <w:r w:rsidR="00810344" w:rsidRPr="00BC24F6">
        <w:rPr>
          <w:lang w:val="fr-CH"/>
        </w:rPr>
        <w:t>e</w:t>
      </w:r>
      <w:r w:rsidR="00721524" w:rsidRPr="00BC24F6">
        <w:rPr>
          <w:lang w:val="fr-CH"/>
        </w:rPr>
        <w:t>x</w:t>
      </w:r>
      <w:r w:rsidR="00810344" w:rsidRPr="00BC24F6">
        <w:rPr>
          <w:lang w:val="fr-CH"/>
        </w:rPr>
        <w:t>i</w:t>
      </w:r>
      <w:r w:rsidR="00721524" w:rsidRPr="00BC24F6">
        <w:rPr>
          <w:lang w:val="fr-CH"/>
        </w:rPr>
        <w:t>ste aucun, d</w:t>
      </w:r>
      <w:r w:rsidR="00810344" w:rsidRPr="00BC24F6">
        <w:rPr>
          <w:lang w:val="fr-CH"/>
        </w:rPr>
        <w:t>ans l</w:t>
      </w:r>
      <w:r w:rsidR="00721524" w:rsidRPr="00BC24F6">
        <w:rPr>
          <w:lang w:val="fr-CH"/>
        </w:rPr>
        <w:t>es pays en développement.</w:t>
      </w:r>
    </w:p>
    <w:p w:rsidR="00A745FC" w:rsidRDefault="00721524" w:rsidP="00BC24F6">
      <w:pPr>
        <w:pStyle w:val="ONUMFS"/>
        <w:rPr>
          <w:lang w:val="fr-CH"/>
        </w:rPr>
      </w:pPr>
      <w:r w:rsidRPr="004607AE">
        <w:rPr>
          <w:lang w:val="fr-CH"/>
        </w:rPr>
        <w:t>Par ailleurs, pour les activités d</w:t>
      </w:r>
      <w:r w:rsidR="00A745FC">
        <w:rPr>
          <w:lang w:val="fr-CH"/>
        </w:rPr>
        <w:t>’</w:t>
      </w:r>
      <w:r w:rsidRPr="004607AE">
        <w:rPr>
          <w:lang w:val="fr-CH"/>
        </w:rPr>
        <w:t>assistance technique qui doivent être menées dans le cadre du Consortium pour des livres accessibles (ABC), compte tenu du nombre limité de formateurs spécialisés dans la production de livres accessibles, une procédure de passation de marchés a été lancée au niveau international par le secrétariat de l</w:t>
      </w:r>
      <w:r w:rsidR="00A745FC">
        <w:rPr>
          <w:lang w:val="fr-CH"/>
        </w:rPr>
        <w:t>’</w:t>
      </w:r>
      <w:r w:rsidRPr="004607AE">
        <w:rPr>
          <w:lang w:val="fr-CH"/>
        </w:rPr>
        <w:t>ABC et la Section des achats de l</w:t>
      </w:r>
      <w:r w:rsidR="00A745FC">
        <w:rPr>
          <w:lang w:val="fr-CH"/>
        </w:rPr>
        <w:t>’</w:t>
      </w:r>
      <w:r w:rsidRPr="004607AE">
        <w:rPr>
          <w:lang w:val="fr-CH"/>
        </w:rPr>
        <w:t xml:space="preserve">OMPI, </w:t>
      </w:r>
      <w:r w:rsidR="00A745FC" w:rsidRPr="004607AE">
        <w:rPr>
          <w:lang w:val="fr-CH"/>
        </w:rPr>
        <w:t>en</w:t>
      </w:r>
      <w:r w:rsidR="00A745FC">
        <w:rPr>
          <w:lang w:val="fr-CH"/>
        </w:rPr>
        <w:t> </w:t>
      </w:r>
      <w:r w:rsidR="00A745FC" w:rsidRPr="004607AE">
        <w:rPr>
          <w:lang w:val="fr-CH"/>
        </w:rPr>
        <w:t>2017</w:t>
      </w:r>
      <w:r w:rsidRPr="004607AE">
        <w:rPr>
          <w:lang w:val="fr-CH"/>
        </w:rPr>
        <w:t>, pour recenser les sociétés qui seraient susceptibles de dispenser une formation et de fournir une assistance technique en matière de production de livres accessibl</w:t>
      </w:r>
      <w:r w:rsidR="0014037A" w:rsidRPr="004607AE">
        <w:rPr>
          <w:lang w:val="fr-CH"/>
        </w:rPr>
        <w:t>es</w:t>
      </w:r>
      <w:r w:rsidR="0014037A">
        <w:rPr>
          <w:lang w:val="fr-CH"/>
        </w:rPr>
        <w:t xml:space="preserve">.  </w:t>
      </w:r>
      <w:r w:rsidR="0014037A" w:rsidRPr="004607AE">
        <w:rPr>
          <w:lang w:val="fr-CH"/>
        </w:rPr>
        <w:t>De</w:t>
      </w:r>
      <w:r w:rsidRPr="004607AE">
        <w:rPr>
          <w:lang w:val="fr-CH"/>
        </w:rPr>
        <w:t xml:space="preserve"> même, les recommandations des experts des normes d</w:t>
      </w:r>
      <w:r w:rsidR="00A745FC">
        <w:rPr>
          <w:lang w:val="fr-CH"/>
        </w:rPr>
        <w:t>’</w:t>
      </w:r>
      <w:r w:rsidRPr="004607AE">
        <w:rPr>
          <w:lang w:val="fr-CH"/>
        </w:rPr>
        <w:t>accessibilité font l</w:t>
      </w:r>
      <w:r w:rsidR="00A745FC">
        <w:rPr>
          <w:lang w:val="fr-CH"/>
        </w:rPr>
        <w:t>’</w:t>
      </w:r>
      <w:r w:rsidRPr="004607AE">
        <w:rPr>
          <w:lang w:val="fr-CH"/>
        </w:rPr>
        <w:t>objet d</w:t>
      </w:r>
      <w:r w:rsidR="00A745FC">
        <w:rPr>
          <w:lang w:val="fr-CH"/>
        </w:rPr>
        <w:t>’</w:t>
      </w:r>
      <w:r w:rsidRPr="004607AE">
        <w:rPr>
          <w:lang w:val="fr-CH"/>
        </w:rPr>
        <w:t>une attention particulière.</w:t>
      </w:r>
    </w:p>
    <w:p w:rsidR="00AC317E" w:rsidRPr="004607AE" w:rsidRDefault="00AC317E" w:rsidP="001F2B00">
      <w:pPr>
        <w:rPr>
          <w:u w:val="single"/>
          <w:lang w:val="fr-CH"/>
        </w:rPr>
      </w:pPr>
    </w:p>
    <w:p w:rsidR="00AC317E" w:rsidRPr="004607AE" w:rsidRDefault="00721524" w:rsidP="00721524">
      <w:pPr>
        <w:rPr>
          <w:u w:val="single"/>
          <w:lang w:val="fr-CH"/>
        </w:rPr>
      </w:pPr>
      <w:r w:rsidRPr="004607AE">
        <w:rPr>
          <w:lang w:val="fr-CH"/>
        </w:rPr>
        <w:t xml:space="preserve">D. </w:t>
      </w:r>
      <w:r w:rsidR="002949F1">
        <w:rPr>
          <w:lang w:val="fr-CH"/>
        </w:rPr>
        <w:t xml:space="preserve"> </w:t>
      </w:r>
      <w:r w:rsidRPr="004607AE">
        <w:rPr>
          <w:u w:val="single"/>
          <w:lang w:val="fr-CH"/>
        </w:rPr>
        <w:t>Procédure de sélection</w:t>
      </w:r>
    </w:p>
    <w:p w:rsidR="00AC317E" w:rsidRPr="004607AE" w:rsidRDefault="00AC317E" w:rsidP="007E6FF3">
      <w:pPr>
        <w:rPr>
          <w:lang w:val="fr-CH"/>
        </w:rPr>
      </w:pPr>
    </w:p>
    <w:p w:rsidR="00A745FC" w:rsidRDefault="00721524" w:rsidP="00BC24F6">
      <w:pPr>
        <w:pStyle w:val="ONUMFS"/>
        <w:rPr>
          <w:szCs w:val="22"/>
          <w:lang w:val="fr-CH"/>
        </w:rPr>
      </w:pPr>
      <w:r w:rsidRPr="004607AE">
        <w:rPr>
          <w:lang w:val="fr-CH"/>
        </w:rPr>
        <w:t>Outre les procédures formelles décrites ci</w:t>
      </w:r>
      <w:r w:rsidR="00D94F26">
        <w:rPr>
          <w:lang w:val="fr-CH"/>
        </w:rPr>
        <w:noBreakHyphen/>
      </w:r>
      <w:r w:rsidRPr="004607AE">
        <w:rPr>
          <w:lang w:val="fr-CH"/>
        </w:rPr>
        <w:t xml:space="preserve">dessus, les mesures prises pour </w:t>
      </w:r>
      <w:r w:rsidR="0072732D" w:rsidRPr="004607AE">
        <w:rPr>
          <w:lang w:val="fr-CH"/>
        </w:rPr>
        <w:t>sélectionner un</w:t>
      </w:r>
      <w:r w:rsidRPr="004607AE">
        <w:rPr>
          <w:lang w:val="fr-CH"/>
        </w:rPr>
        <w:t xml:space="preserve"> consultant varient selon les besoins définis par l</w:t>
      </w:r>
      <w:r w:rsidR="00A745FC">
        <w:rPr>
          <w:lang w:val="fr-CH"/>
        </w:rPr>
        <w:t>’</w:t>
      </w:r>
      <w:r w:rsidRPr="004607AE">
        <w:rPr>
          <w:lang w:val="fr-CH"/>
        </w:rPr>
        <w:t>OMPI et les besoins particuliers du demandeur de l</w:t>
      </w:r>
      <w:r w:rsidR="00A745FC">
        <w:rPr>
          <w:lang w:val="fr-CH"/>
        </w:rPr>
        <w:t>’</w:t>
      </w:r>
      <w:r w:rsidRPr="004607AE">
        <w:rPr>
          <w:lang w:val="fr-CH"/>
        </w:rPr>
        <w:t>assistance techniq</w:t>
      </w:r>
      <w:r w:rsidR="0014037A" w:rsidRPr="004607AE">
        <w:rPr>
          <w:lang w:val="fr-CH"/>
        </w:rPr>
        <w:t>ue</w:t>
      </w:r>
      <w:r w:rsidR="0014037A">
        <w:rPr>
          <w:lang w:val="fr-CH"/>
        </w:rPr>
        <w:t xml:space="preserve">.  </w:t>
      </w:r>
      <w:r w:rsidR="0014037A" w:rsidRPr="004607AE">
        <w:rPr>
          <w:lang w:val="fr-CH"/>
        </w:rPr>
        <w:t>Il</w:t>
      </w:r>
      <w:r w:rsidRPr="004607AE">
        <w:rPr>
          <w:lang w:val="fr-CH"/>
        </w:rPr>
        <w:t xml:space="preserve"> peut notamment s</w:t>
      </w:r>
      <w:r w:rsidR="00A745FC">
        <w:rPr>
          <w:lang w:val="fr-CH"/>
        </w:rPr>
        <w:t>’</w:t>
      </w:r>
      <w:r w:rsidRPr="004607AE">
        <w:rPr>
          <w:lang w:val="fr-CH"/>
        </w:rPr>
        <w:t>agir</w:t>
      </w:r>
      <w:r w:rsidR="00A745FC">
        <w:rPr>
          <w:lang w:val="fr-CH"/>
        </w:rPr>
        <w:t> :</w:t>
      </w:r>
      <w:r w:rsidRPr="004607AE">
        <w:rPr>
          <w:lang w:val="fr-CH"/>
        </w:rPr>
        <w:t xml:space="preserve"> i)</w:t>
      </w:r>
      <w:r w:rsidR="002949F1">
        <w:rPr>
          <w:lang w:val="fr-CH"/>
        </w:rPr>
        <w:t> </w:t>
      </w:r>
      <w:r w:rsidRPr="004607AE">
        <w:rPr>
          <w:lang w:val="fr-CH"/>
        </w:rPr>
        <w:t>d</w:t>
      </w:r>
      <w:r w:rsidR="00A745FC">
        <w:rPr>
          <w:lang w:val="fr-CH"/>
        </w:rPr>
        <w:t>’</w:t>
      </w:r>
      <w:r w:rsidRPr="004607AE">
        <w:rPr>
          <w:lang w:val="fr-CH"/>
        </w:rPr>
        <w:t>échanger des points de vue avec les candidats au sujet des objectifs et de la portée de l</w:t>
      </w:r>
      <w:r w:rsidR="00A745FC">
        <w:rPr>
          <w:lang w:val="fr-CH"/>
        </w:rPr>
        <w:t>’</w:t>
      </w:r>
      <w:r w:rsidRPr="004607AE">
        <w:rPr>
          <w:lang w:val="fr-CH"/>
        </w:rPr>
        <w:t>activité de consultant;  ii)</w:t>
      </w:r>
      <w:r w:rsidR="002949F1">
        <w:rPr>
          <w:lang w:val="fr-CH"/>
        </w:rPr>
        <w:t> </w:t>
      </w:r>
      <w:r w:rsidRPr="004607AE">
        <w:rPr>
          <w:lang w:val="fr-CH"/>
        </w:rPr>
        <w:t>d</w:t>
      </w:r>
      <w:r w:rsidR="00A745FC">
        <w:rPr>
          <w:lang w:val="fr-CH"/>
        </w:rPr>
        <w:t>’</w:t>
      </w:r>
      <w:r w:rsidRPr="004607AE">
        <w:rPr>
          <w:lang w:val="fr-CH"/>
        </w:rPr>
        <w:t xml:space="preserve">évaluer les capacités techniques du candidat, sa disponibilité et le </w:t>
      </w:r>
      <w:r w:rsidR="008C005F" w:rsidRPr="004607AE">
        <w:rPr>
          <w:lang w:val="fr-CH"/>
        </w:rPr>
        <w:t>cahier des charges</w:t>
      </w:r>
      <w:r w:rsidRPr="004607AE">
        <w:rPr>
          <w:lang w:val="fr-CH"/>
        </w:rPr>
        <w:t>;  iii)</w:t>
      </w:r>
      <w:r w:rsidR="002949F1">
        <w:rPr>
          <w:lang w:val="fr-CH"/>
        </w:rPr>
        <w:t> </w:t>
      </w:r>
      <w:r w:rsidRPr="004607AE">
        <w:rPr>
          <w:lang w:val="fr-CH"/>
        </w:rPr>
        <w:t>d</w:t>
      </w:r>
      <w:r w:rsidR="00A745FC">
        <w:rPr>
          <w:lang w:val="fr-CH"/>
        </w:rPr>
        <w:t>’</w:t>
      </w:r>
      <w:r w:rsidRPr="004607AE">
        <w:rPr>
          <w:lang w:val="fr-CH"/>
        </w:rPr>
        <w:t>évaluer l</w:t>
      </w:r>
      <w:r w:rsidR="00A745FC">
        <w:rPr>
          <w:lang w:val="fr-CH"/>
        </w:rPr>
        <w:t>’</w:t>
      </w:r>
      <w:r w:rsidRPr="004607AE">
        <w:rPr>
          <w:lang w:val="fr-CH"/>
        </w:rPr>
        <w:t>impartialité du candidat et la diversité des vues sur le sujet;  et iv)</w:t>
      </w:r>
      <w:r w:rsidR="002949F1">
        <w:rPr>
          <w:lang w:val="fr-CH"/>
        </w:rPr>
        <w:t> </w:t>
      </w:r>
      <w:r w:rsidRPr="004607AE">
        <w:rPr>
          <w:lang w:val="fr-CH"/>
        </w:rPr>
        <w:t>de consulter les bénéficiaires.</w:t>
      </w:r>
    </w:p>
    <w:p w:rsidR="00AC317E" w:rsidRPr="004607AE" w:rsidRDefault="00810344" w:rsidP="00BC24F6">
      <w:pPr>
        <w:pStyle w:val="ONUMFS"/>
        <w:rPr>
          <w:szCs w:val="22"/>
          <w:lang w:val="fr-CH"/>
        </w:rPr>
      </w:pPr>
      <w:r w:rsidRPr="004607AE">
        <w:rPr>
          <w:lang w:val="fr-CH"/>
        </w:rPr>
        <w:t xml:space="preserve">En plus </w:t>
      </w:r>
      <w:r w:rsidR="008C005F" w:rsidRPr="004607AE">
        <w:rPr>
          <w:lang w:val="fr-CH"/>
        </w:rPr>
        <w:t xml:space="preserve">de </w:t>
      </w:r>
      <w:r w:rsidR="00D82D48" w:rsidRPr="004607AE">
        <w:rPr>
          <w:lang w:val="fr-CH"/>
        </w:rPr>
        <w:t>la conformité avec le</w:t>
      </w:r>
      <w:r w:rsidRPr="004607AE">
        <w:rPr>
          <w:lang w:val="fr-CH"/>
        </w:rPr>
        <w:t xml:space="preserve"> </w:t>
      </w:r>
      <w:r w:rsidR="008C005F" w:rsidRPr="004607AE">
        <w:rPr>
          <w:lang w:val="fr-CH"/>
        </w:rPr>
        <w:t>cahier des charges</w:t>
      </w:r>
      <w:r w:rsidR="00F20866" w:rsidRPr="004607AE">
        <w:rPr>
          <w:lang w:val="fr-CH"/>
        </w:rPr>
        <w:t xml:space="preserve">, </w:t>
      </w:r>
      <w:r w:rsidR="008C005F" w:rsidRPr="004607AE">
        <w:rPr>
          <w:lang w:val="fr-CH"/>
        </w:rPr>
        <w:t xml:space="preserve">il convient </w:t>
      </w:r>
      <w:r w:rsidR="00D82D48" w:rsidRPr="004607AE">
        <w:rPr>
          <w:lang w:val="fr-CH"/>
        </w:rPr>
        <w:t>d</w:t>
      </w:r>
      <w:r w:rsidR="00A745FC">
        <w:rPr>
          <w:lang w:val="fr-CH"/>
        </w:rPr>
        <w:t>’</w:t>
      </w:r>
      <w:r w:rsidR="00D82D48" w:rsidRPr="004607AE">
        <w:rPr>
          <w:lang w:val="fr-CH"/>
        </w:rPr>
        <w:t>évaluer</w:t>
      </w:r>
      <w:r w:rsidR="008C005F" w:rsidRPr="004607AE">
        <w:rPr>
          <w:lang w:val="fr-CH"/>
        </w:rPr>
        <w:t xml:space="preserve"> </w:t>
      </w:r>
      <w:r w:rsidR="0072732D" w:rsidRPr="004607AE">
        <w:rPr>
          <w:lang w:val="fr-CH"/>
        </w:rPr>
        <w:t>certains</w:t>
      </w:r>
      <w:r w:rsidR="00F20866" w:rsidRPr="004607AE">
        <w:rPr>
          <w:lang w:val="fr-CH"/>
        </w:rPr>
        <w:t xml:space="preserve"> éléments pour la sélection finale</w:t>
      </w:r>
      <w:r w:rsidR="0072732D" w:rsidRPr="004607AE">
        <w:rPr>
          <w:lang w:val="fr-CH"/>
        </w:rPr>
        <w:t xml:space="preserve">, </w:t>
      </w:r>
      <w:r w:rsidR="00A745FC">
        <w:rPr>
          <w:lang w:val="fr-CH"/>
        </w:rPr>
        <w:t>à savoir :</w:t>
      </w:r>
      <w:r w:rsidR="00F20866" w:rsidRPr="004607AE">
        <w:rPr>
          <w:lang w:val="fr-CH"/>
        </w:rPr>
        <w:t xml:space="preserve"> i)</w:t>
      </w:r>
      <w:r w:rsidR="002949F1">
        <w:rPr>
          <w:lang w:val="fr-CH"/>
        </w:rPr>
        <w:t> </w:t>
      </w:r>
      <w:r w:rsidR="00F20866" w:rsidRPr="004607AE">
        <w:rPr>
          <w:lang w:val="fr-CH"/>
        </w:rPr>
        <w:t>la parité hommes</w:t>
      </w:r>
      <w:r w:rsidR="00D94F26">
        <w:rPr>
          <w:lang w:val="fr-CH"/>
        </w:rPr>
        <w:noBreakHyphen/>
      </w:r>
      <w:r w:rsidR="00F20866" w:rsidRPr="004607AE">
        <w:rPr>
          <w:lang w:val="fr-CH"/>
        </w:rPr>
        <w:t>femmes</w:t>
      </w:r>
      <w:r w:rsidR="00F20866" w:rsidRPr="004607AE">
        <w:rPr>
          <w:rStyle w:val="FootnoteReference"/>
        </w:rPr>
        <w:footnoteReference w:id="10"/>
      </w:r>
      <w:r w:rsidR="00F20866" w:rsidRPr="004607AE">
        <w:rPr>
          <w:lang w:val="fr-CH"/>
        </w:rPr>
        <w:t xml:space="preserve"> et la représentation géographique;  b)</w:t>
      </w:r>
      <w:r w:rsidR="002949F1">
        <w:rPr>
          <w:lang w:val="fr-CH"/>
        </w:rPr>
        <w:t> </w:t>
      </w:r>
      <w:r w:rsidR="00F20866" w:rsidRPr="004607AE">
        <w:rPr>
          <w:lang w:val="fr-CH"/>
        </w:rPr>
        <w:t xml:space="preserve">la </w:t>
      </w:r>
      <w:r w:rsidR="00D82D48" w:rsidRPr="004607AE">
        <w:rPr>
          <w:lang w:val="fr-CH"/>
        </w:rPr>
        <w:t>sensibilité</w:t>
      </w:r>
      <w:r w:rsidR="00F20866" w:rsidRPr="004607AE">
        <w:rPr>
          <w:lang w:val="fr-CH"/>
        </w:rPr>
        <w:t xml:space="preserve"> </w:t>
      </w:r>
      <w:r w:rsidR="00D82D48" w:rsidRPr="004607AE">
        <w:rPr>
          <w:lang w:val="fr-CH"/>
        </w:rPr>
        <w:t xml:space="preserve">géopolitique </w:t>
      </w:r>
      <w:r w:rsidR="00F20866" w:rsidRPr="004607AE">
        <w:rPr>
          <w:lang w:val="fr-CH"/>
        </w:rPr>
        <w:t xml:space="preserve">du candidat </w:t>
      </w:r>
      <w:r w:rsidR="00D82D48" w:rsidRPr="004607AE">
        <w:rPr>
          <w:lang w:val="fr-CH"/>
        </w:rPr>
        <w:t>vis</w:t>
      </w:r>
      <w:r w:rsidR="00D94F26">
        <w:rPr>
          <w:lang w:val="fr-CH"/>
        </w:rPr>
        <w:noBreakHyphen/>
      </w:r>
      <w:r w:rsidR="00D82D48" w:rsidRPr="004607AE">
        <w:rPr>
          <w:lang w:val="fr-CH"/>
        </w:rPr>
        <w:t>à</w:t>
      </w:r>
      <w:r w:rsidR="00D94F26">
        <w:rPr>
          <w:lang w:val="fr-CH"/>
        </w:rPr>
        <w:noBreakHyphen/>
      </w:r>
      <w:r w:rsidR="00D82D48" w:rsidRPr="004607AE">
        <w:rPr>
          <w:lang w:val="fr-CH"/>
        </w:rPr>
        <w:t>vis du</w:t>
      </w:r>
      <w:r w:rsidR="00F20866" w:rsidRPr="004607AE">
        <w:rPr>
          <w:lang w:val="fr-CH"/>
        </w:rPr>
        <w:t xml:space="preserve"> contexte visé par les activités de consultant;  c)</w:t>
      </w:r>
      <w:r w:rsidR="002949F1">
        <w:rPr>
          <w:lang w:val="fr-CH"/>
        </w:rPr>
        <w:t> </w:t>
      </w:r>
      <w:r w:rsidR="00F20866" w:rsidRPr="004607AE">
        <w:rPr>
          <w:lang w:val="fr-CH"/>
        </w:rPr>
        <w:t>la capacité du candidat d</w:t>
      </w:r>
      <w:r w:rsidR="00A745FC">
        <w:rPr>
          <w:lang w:val="fr-CH"/>
        </w:rPr>
        <w:t>’</w:t>
      </w:r>
      <w:r w:rsidR="00F20866" w:rsidRPr="004607AE">
        <w:rPr>
          <w:lang w:val="fr-CH"/>
        </w:rPr>
        <w:t>instaurer des liens et de créer des synergies positives dans l</w:t>
      </w:r>
      <w:r w:rsidR="00A745FC">
        <w:rPr>
          <w:lang w:val="fr-CH"/>
        </w:rPr>
        <w:t>’</w:t>
      </w:r>
      <w:r w:rsidR="00F20866" w:rsidRPr="004607AE">
        <w:rPr>
          <w:lang w:val="fr-CH"/>
        </w:rPr>
        <w:t>exécution de sa tâche;  d)</w:t>
      </w:r>
      <w:r w:rsidR="002949F1">
        <w:rPr>
          <w:lang w:val="fr-CH"/>
        </w:rPr>
        <w:t> </w:t>
      </w:r>
      <w:r w:rsidR="00F20866" w:rsidRPr="004607AE">
        <w:rPr>
          <w:lang w:val="fr-CH"/>
        </w:rPr>
        <w:t>la capacité du candidat de définir un juste équilibre entre les intérêts des diverses parties prenantes;  e)</w:t>
      </w:r>
      <w:r w:rsidR="002949F1">
        <w:rPr>
          <w:lang w:val="fr-CH"/>
        </w:rPr>
        <w:t> </w:t>
      </w:r>
      <w:r w:rsidR="00F20866" w:rsidRPr="004607AE">
        <w:rPr>
          <w:lang w:val="fr-CH"/>
        </w:rPr>
        <w:t xml:space="preserve">les compétences pédagogiques du candidat (le cas échéant);  </w:t>
      </w:r>
      <w:r w:rsidR="0072732D" w:rsidRPr="004607AE">
        <w:rPr>
          <w:lang w:val="fr-CH"/>
        </w:rPr>
        <w:t>f)</w:t>
      </w:r>
      <w:r w:rsidR="002949F1">
        <w:rPr>
          <w:lang w:val="fr-CH"/>
        </w:rPr>
        <w:t> </w:t>
      </w:r>
      <w:r w:rsidR="0072732D" w:rsidRPr="004607AE">
        <w:rPr>
          <w:lang w:val="fr-CH"/>
        </w:rPr>
        <w:t>les résultats des tâches déjà</w:t>
      </w:r>
      <w:r w:rsidR="00F20866" w:rsidRPr="004607AE">
        <w:rPr>
          <w:lang w:val="fr-CH"/>
        </w:rPr>
        <w:t xml:space="preserve"> accomplies par le candidat pour l</w:t>
      </w:r>
      <w:r w:rsidR="00A745FC">
        <w:rPr>
          <w:lang w:val="fr-CH"/>
        </w:rPr>
        <w:t>’</w:t>
      </w:r>
      <w:r w:rsidR="00F20866" w:rsidRPr="004607AE">
        <w:rPr>
          <w:lang w:val="fr-CH"/>
        </w:rPr>
        <w:t>OMPI, notamment la qualité technique</w:t>
      </w:r>
      <w:r w:rsidR="0072732D" w:rsidRPr="004607AE">
        <w:rPr>
          <w:lang w:val="fr-CH"/>
        </w:rPr>
        <w:t xml:space="preserve"> de son travail</w:t>
      </w:r>
      <w:r w:rsidR="00D82D48" w:rsidRPr="004607AE">
        <w:rPr>
          <w:lang w:val="fr-CH"/>
        </w:rPr>
        <w:t>, le délai d</w:t>
      </w:r>
      <w:r w:rsidR="00A745FC">
        <w:rPr>
          <w:lang w:val="fr-CH"/>
        </w:rPr>
        <w:t>’</w:t>
      </w:r>
      <w:r w:rsidR="00D82D48" w:rsidRPr="004607AE">
        <w:rPr>
          <w:lang w:val="fr-CH"/>
        </w:rPr>
        <w:t>exécution</w:t>
      </w:r>
      <w:r w:rsidR="00F20866" w:rsidRPr="004607AE">
        <w:rPr>
          <w:lang w:val="fr-CH"/>
        </w:rPr>
        <w:t xml:space="preserve"> </w:t>
      </w:r>
      <w:r w:rsidR="0072732D" w:rsidRPr="004607AE">
        <w:rPr>
          <w:lang w:val="fr-CH"/>
        </w:rPr>
        <w:t xml:space="preserve">et </w:t>
      </w:r>
      <w:r w:rsidR="00F20866" w:rsidRPr="004607AE">
        <w:rPr>
          <w:lang w:val="fr-CH"/>
        </w:rPr>
        <w:t>les modalités d</w:t>
      </w:r>
      <w:r w:rsidR="00A745FC">
        <w:rPr>
          <w:lang w:val="fr-CH"/>
        </w:rPr>
        <w:t>’</w:t>
      </w:r>
      <w:r w:rsidR="00F20866" w:rsidRPr="004607AE">
        <w:rPr>
          <w:lang w:val="fr-CH"/>
        </w:rPr>
        <w:t xml:space="preserve">interaction avec les autorités nationales et les autres parties prenantes, entre autres.  </w:t>
      </w:r>
      <w:r w:rsidR="00F20866" w:rsidRPr="004607AE">
        <w:rPr>
          <w:szCs w:val="22"/>
          <w:lang w:val="fr-CH"/>
        </w:rPr>
        <w:t>En outre, selon la recommandation n°</w:t>
      </w:r>
      <w:r w:rsidR="002949F1">
        <w:rPr>
          <w:szCs w:val="22"/>
          <w:lang w:val="fr-CH"/>
        </w:rPr>
        <w:t> </w:t>
      </w:r>
      <w:r w:rsidR="00F20866" w:rsidRPr="004607AE">
        <w:rPr>
          <w:szCs w:val="22"/>
          <w:lang w:val="fr-CH"/>
        </w:rPr>
        <w:t>6 du Plan d</w:t>
      </w:r>
      <w:r w:rsidR="00A745FC">
        <w:rPr>
          <w:szCs w:val="22"/>
          <w:lang w:val="fr-CH"/>
        </w:rPr>
        <w:t>’</w:t>
      </w:r>
      <w:r w:rsidR="00F20866" w:rsidRPr="004607AE">
        <w:rPr>
          <w:szCs w:val="22"/>
          <w:lang w:val="fr-CH"/>
        </w:rPr>
        <w:t>action de l</w:t>
      </w:r>
      <w:r w:rsidR="00A745FC">
        <w:rPr>
          <w:szCs w:val="22"/>
          <w:lang w:val="fr-CH"/>
        </w:rPr>
        <w:t>’</w:t>
      </w:r>
      <w:r w:rsidR="00F20866" w:rsidRPr="004607AE">
        <w:rPr>
          <w:szCs w:val="22"/>
          <w:lang w:val="fr-CH"/>
        </w:rPr>
        <w:t>OMPI pour le développement, “les consultants chargés de l</w:t>
      </w:r>
      <w:r w:rsidR="00A745FC">
        <w:rPr>
          <w:szCs w:val="22"/>
          <w:lang w:val="fr-CH"/>
        </w:rPr>
        <w:t>’</w:t>
      </w:r>
      <w:r w:rsidR="00F20866" w:rsidRPr="004607AE">
        <w:rPr>
          <w:szCs w:val="22"/>
          <w:lang w:val="fr-CH"/>
        </w:rPr>
        <w:t>assistance technique au sein de l</w:t>
      </w:r>
      <w:r w:rsidR="00A745FC">
        <w:rPr>
          <w:szCs w:val="22"/>
          <w:lang w:val="fr-CH"/>
        </w:rPr>
        <w:t>’</w:t>
      </w:r>
      <w:r w:rsidR="00F20866" w:rsidRPr="004607AE">
        <w:rPr>
          <w:szCs w:val="22"/>
          <w:lang w:val="fr-CH"/>
        </w:rPr>
        <w:t>OMPI devront conserver leur neutralité et rendre compte de leurs activités, en accordant une attention particulière au code de déontologie existant et en évitant les conflits d</w:t>
      </w:r>
      <w:r w:rsidR="00A745FC">
        <w:rPr>
          <w:szCs w:val="22"/>
          <w:lang w:val="fr-CH"/>
        </w:rPr>
        <w:t>’</w:t>
      </w:r>
      <w:r w:rsidR="00F20866" w:rsidRPr="004607AE">
        <w:rPr>
          <w:szCs w:val="22"/>
          <w:lang w:val="fr-CH"/>
        </w:rPr>
        <w:t>intérê</w:t>
      </w:r>
      <w:r w:rsidR="00D82D48" w:rsidRPr="004607AE">
        <w:rPr>
          <w:szCs w:val="22"/>
          <w:lang w:val="fr-CH"/>
        </w:rPr>
        <w:t>t</w:t>
      </w:r>
      <w:r w:rsidR="00A745FC" w:rsidRPr="004607AE">
        <w:rPr>
          <w:szCs w:val="22"/>
          <w:lang w:val="fr-CH"/>
        </w:rPr>
        <w:t>s</w:t>
      </w:r>
      <w:r w:rsidR="00A745FC">
        <w:rPr>
          <w:szCs w:val="22"/>
          <w:lang w:val="fr-CH"/>
        </w:rPr>
        <w:t>”</w:t>
      </w:r>
      <w:r w:rsidR="00D82D48" w:rsidRPr="004607AE">
        <w:rPr>
          <w:szCs w:val="22"/>
          <w:lang w:val="fr-CH"/>
        </w:rPr>
        <w:t xml:space="preserve">. </w:t>
      </w:r>
      <w:r w:rsidR="002949F1">
        <w:rPr>
          <w:szCs w:val="22"/>
          <w:lang w:val="fr-CH"/>
        </w:rPr>
        <w:t xml:space="preserve"> </w:t>
      </w:r>
      <w:r w:rsidR="00D82D48" w:rsidRPr="004607AE">
        <w:rPr>
          <w:szCs w:val="22"/>
          <w:lang w:val="fr-CH"/>
        </w:rPr>
        <w:t>Dans ce contexte et ainsi qu</w:t>
      </w:r>
      <w:r w:rsidR="00A745FC">
        <w:rPr>
          <w:szCs w:val="22"/>
          <w:lang w:val="fr-CH"/>
        </w:rPr>
        <w:t>’</w:t>
      </w:r>
      <w:r w:rsidR="00D82D48" w:rsidRPr="004607AE">
        <w:rPr>
          <w:szCs w:val="22"/>
          <w:lang w:val="fr-CH"/>
        </w:rPr>
        <w:t>il est indiqué plus haut, le Secrétariat met tout en œuvre pour éviter d</w:t>
      </w:r>
      <w:r w:rsidR="00A745FC">
        <w:rPr>
          <w:szCs w:val="22"/>
          <w:lang w:val="fr-CH"/>
        </w:rPr>
        <w:t>’</w:t>
      </w:r>
      <w:r w:rsidR="00D82D48" w:rsidRPr="004607AE">
        <w:rPr>
          <w:szCs w:val="22"/>
          <w:lang w:val="fr-CH"/>
        </w:rPr>
        <w:t>engager des experts qui auraient un intérêt professionnel dans l</w:t>
      </w:r>
      <w:r w:rsidR="00A745FC">
        <w:rPr>
          <w:szCs w:val="22"/>
          <w:lang w:val="fr-CH"/>
        </w:rPr>
        <w:t>’</w:t>
      </w:r>
      <w:r w:rsidR="00D82D48" w:rsidRPr="004607AE">
        <w:rPr>
          <w:szCs w:val="22"/>
          <w:lang w:val="fr-CH"/>
        </w:rPr>
        <w:t>activité ou l</w:t>
      </w:r>
      <w:r w:rsidR="00A745FC">
        <w:rPr>
          <w:szCs w:val="22"/>
          <w:lang w:val="fr-CH"/>
        </w:rPr>
        <w:t>’</w:t>
      </w:r>
      <w:r w:rsidR="00D82D48" w:rsidRPr="004607AE">
        <w:rPr>
          <w:szCs w:val="22"/>
          <w:lang w:val="fr-CH"/>
        </w:rPr>
        <w:t>institution où l</w:t>
      </w:r>
      <w:r w:rsidR="00A745FC">
        <w:rPr>
          <w:szCs w:val="22"/>
          <w:lang w:val="fr-CH"/>
        </w:rPr>
        <w:t>’</w:t>
      </w:r>
      <w:r w:rsidR="00D82D48" w:rsidRPr="004607AE">
        <w:rPr>
          <w:szCs w:val="22"/>
          <w:lang w:val="fr-CH"/>
        </w:rPr>
        <w:t>activité est mise en œuvre, ou y avoir été associ</w:t>
      </w:r>
      <w:r w:rsidR="0014037A" w:rsidRPr="004607AE">
        <w:rPr>
          <w:szCs w:val="22"/>
          <w:lang w:val="fr-CH"/>
        </w:rPr>
        <w:t>és</w:t>
      </w:r>
      <w:r w:rsidR="0014037A">
        <w:rPr>
          <w:szCs w:val="22"/>
          <w:lang w:val="fr-CH"/>
        </w:rPr>
        <w:t xml:space="preserve">.  </w:t>
      </w:r>
      <w:r w:rsidR="0014037A" w:rsidRPr="004607AE">
        <w:rPr>
          <w:szCs w:val="22"/>
          <w:lang w:val="fr-CH"/>
        </w:rPr>
        <w:t>To</w:t>
      </w:r>
      <w:r w:rsidR="00D82D48" w:rsidRPr="004607AE">
        <w:rPr>
          <w:szCs w:val="22"/>
          <w:lang w:val="fr-CH"/>
        </w:rPr>
        <w:t>utefois, dans certains cas et dans l</w:t>
      </w:r>
      <w:r w:rsidR="00A745FC">
        <w:rPr>
          <w:szCs w:val="22"/>
          <w:lang w:val="fr-CH"/>
        </w:rPr>
        <w:t>’</w:t>
      </w:r>
      <w:r w:rsidR="00D82D48" w:rsidRPr="004607AE">
        <w:rPr>
          <w:szCs w:val="22"/>
          <w:lang w:val="fr-CH"/>
        </w:rPr>
        <w:t>intérêt du débat, il peut être demandé aux consultants d</w:t>
      </w:r>
      <w:r w:rsidR="00A745FC">
        <w:rPr>
          <w:szCs w:val="22"/>
          <w:lang w:val="fr-CH"/>
        </w:rPr>
        <w:t>’</w:t>
      </w:r>
      <w:r w:rsidR="00D82D48" w:rsidRPr="004607AE">
        <w:rPr>
          <w:szCs w:val="22"/>
          <w:lang w:val="fr-CH"/>
        </w:rPr>
        <w:t>exprimer les vues de certains groupes de parties intéressées.</w:t>
      </w:r>
    </w:p>
    <w:p w:rsidR="00AC317E" w:rsidRPr="00B272E8" w:rsidRDefault="00AC317E" w:rsidP="00BC24F6">
      <w:pPr>
        <w:pStyle w:val="ONUMFS"/>
        <w:rPr>
          <w:lang w:val="fr-FR"/>
        </w:rPr>
      </w:pPr>
      <w:r w:rsidRPr="004607AE">
        <w:rPr>
          <w:szCs w:val="22"/>
          <w:lang w:val="fr-CH"/>
        </w:rPr>
        <w:t xml:space="preserve">Par ailleurs, </w:t>
      </w:r>
      <w:r w:rsidR="0052632A" w:rsidRPr="004607AE">
        <w:rPr>
          <w:szCs w:val="22"/>
          <w:lang w:val="fr-CH"/>
        </w:rPr>
        <w:t>pour</w:t>
      </w:r>
      <w:r w:rsidRPr="004607AE">
        <w:rPr>
          <w:szCs w:val="22"/>
          <w:lang w:val="fr-CH"/>
        </w:rPr>
        <w:t xml:space="preserve"> les activités consistant à offrir des solutions opérationnelles aux offices nationaux de propriété intellectuelle, l</w:t>
      </w:r>
      <w:r w:rsidR="00A745FC">
        <w:rPr>
          <w:szCs w:val="22"/>
          <w:lang w:val="fr-CH"/>
        </w:rPr>
        <w:t>’</w:t>
      </w:r>
      <w:r w:rsidRPr="004607AE">
        <w:rPr>
          <w:szCs w:val="22"/>
          <w:lang w:val="fr-CH"/>
        </w:rPr>
        <w:t>OMPI utilise les savoirs et les compétences des coordinateurs au sein de ces offices, qui utilisent les systèmes de l</w:t>
      </w:r>
      <w:r w:rsidR="00A745FC">
        <w:rPr>
          <w:szCs w:val="22"/>
          <w:lang w:val="fr-CH"/>
        </w:rPr>
        <w:t>’</w:t>
      </w:r>
      <w:r w:rsidRPr="004607AE">
        <w:rPr>
          <w:szCs w:val="22"/>
          <w:lang w:val="fr-CH"/>
        </w:rPr>
        <w:t>OMPI en faveur d</w:t>
      </w:r>
      <w:r w:rsidR="00A745FC">
        <w:rPr>
          <w:szCs w:val="22"/>
          <w:lang w:val="fr-CH"/>
        </w:rPr>
        <w:t>’</w:t>
      </w:r>
      <w:r w:rsidRPr="004607AE">
        <w:rPr>
          <w:szCs w:val="22"/>
          <w:lang w:val="fr-CH"/>
        </w:rPr>
        <w:t>autres offices bénéficiaires de la régi</w:t>
      </w:r>
      <w:r w:rsidR="0014037A" w:rsidRPr="004607AE">
        <w:rPr>
          <w:szCs w:val="22"/>
          <w:lang w:val="fr-CH"/>
        </w:rPr>
        <w:t>on</w:t>
      </w:r>
      <w:r w:rsidR="0014037A">
        <w:rPr>
          <w:szCs w:val="22"/>
          <w:lang w:val="fr-CH"/>
        </w:rPr>
        <w:t xml:space="preserve">.  </w:t>
      </w:r>
      <w:r w:rsidR="0014037A" w:rsidRPr="004607AE">
        <w:rPr>
          <w:szCs w:val="22"/>
          <w:lang w:val="fr-CH"/>
        </w:rPr>
        <w:t>Ce</w:t>
      </w:r>
      <w:r w:rsidRPr="004607AE">
        <w:rPr>
          <w:szCs w:val="22"/>
          <w:lang w:val="fr-CH"/>
        </w:rPr>
        <w:t>tte approche s</w:t>
      </w:r>
      <w:r w:rsidR="00A745FC">
        <w:rPr>
          <w:szCs w:val="22"/>
          <w:lang w:val="fr-CH"/>
        </w:rPr>
        <w:t>’</w:t>
      </w:r>
      <w:r w:rsidRPr="004607AE">
        <w:rPr>
          <w:szCs w:val="22"/>
          <w:lang w:val="fr-CH"/>
        </w:rPr>
        <w:t xml:space="preserve">est révélée très efficace, en termes de </w:t>
      </w:r>
      <w:r w:rsidRPr="00B272E8">
        <w:rPr>
          <w:lang w:val="fr-FR"/>
        </w:rPr>
        <w:t>résultats et de coû</w:t>
      </w:r>
      <w:r w:rsidR="0014037A" w:rsidRPr="00B272E8">
        <w:rPr>
          <w:lang w:val="fr-FR"/>
        </w:rPr>
        <w:t>ts.  L’u</w:t>
      </w:r>
      <w:r w:rsidR="0052632A" w:rsidRPr="00B272E8">
        <w:rPr>
          <w:lang w:val="fr-FR"/>
        </w:rPr>
        <w:t>ne des raisons de ce succès est liée au fait que les membres du personnel des offices de propriété intellectuelle, une fois qu</w:t>
      </w:r>
      <w:r w:rsidR="00A745FC" w:rsidRPr="00B272E8">
        <w:rPr>
          <w:lang w:val="fr-FR"/>
        </w:rPr>
        <w:t>’</w:t>
      </w:r>
      <w:r w:rsidR="0052632A" w:rsidRPr="00B272E8">
        <w:rPr>
          <w:lang w:val="fr-FR"/>
        </w:rPr>
        <w:t>il</w:t>
      </w:r>
      <w:r w:rsidR="00AF20E6" w:rsidRPr="00B272E8">
        <w:rPr>
          <w:lang w:val="fr-FR"/>
        </w:rPr>
        <w:t xml:space="preserve">s </w:t>
      </w:r>
      <w:r w:rsidR="0052632A" w:rsidRPr="00B272E8">
        <w:rPr>
          <w:lang w:val="fr-FR"/>
        </w:rPr>
        <w:t>ont été formés, sont les mieux placés pour fournir une assistance technique spécialisée aux membres du personnel des autres offices de propriété intellectuelle sur l</w:t>
      </w:r>
      <w:r w:rsidR="00A745FC" w:rsidRPr="00B272E8">
        <w:rPr>
          <w:lang w:val="fr-FR"/>
        </w:rPr>
        <w:t>’</w:t>
      </w:r>
      <w:r w:rsidR="0052632A" w:rsidRPr="00B272E8">
        <w:rPr>
          <w:lang w:val="fr-FR"/>
        </w:rPr>
        <w:t>utilisation des systèmes de l</w:t>
      </w:r>
      <w:r w:rsidR="00A745FC" w:rsidRPr="00B272E8">
        <w:rPr>
          <w:lang w:val="fr-FR"/>
        </w:rPr>
        <w:t>’</w:t>
      </w:r>
      <w:r w:rsidR="0052632A" w:rsidRPr="00B272E8">
        <w:rPr>
          <w:lang w:val="fr-FR"/>
        </w:rPr>
        <w:t>OMPI conçus pour répondre aux besoin</w:t>
      </w:r>
      <w:r w:rsidR="00AF20E6" w:rsidRPr="00B272E8">
        <w:rPr>
          <w:lang w:val="fr-FR"/>
        </w:rPr>
        <w:t xml:space="preserve">s </w:t>
      </w:r>
      <w:r w:rsidR="0052632A" w:rsidRPr="00B272E8">
        <w:rPr>
          <w:lang w:val="fr-FR"/>
        </w:rPr>
        <w:t>de leur offi</w:t>
      </w:r>
      <w:r w:rsidR="0014037A" w:rsidRPr="00B272E8">
        <w:rPr>
          <w:lang w:val="fr-FR"/>
        </w:rPr>
        <w:t>ce.  Ce</w:t>
      </w:r>
      <w:r w:rsidR="0052632A" w:rsidRPr="00B272E8">
        <w:rPr>
          <w:lang w:val="fr-FR"/>
        </w:rPr>
        <w:t>tte solution est avantageuse pour tous puisque l</w:t>
      </w:r>
      <w:r w:rsidR="00A745FC" w:rsidRPr="00B272E8">
        <w:rPr>
          <w:lang w:val="fr-FR"/>
        </w:rPr>
        <w:t>’</w:t>
      </w:r>
      <w:r w:rsidR="0052632A" w:rsidRPr="00B272E8">
        <w:rPr>
          <w:lang w:val="fr-FR"/>
        </w:rPr>
        <w:t>office qui accepte de prêter un expert profite également du renforcement des connaissances de cet expert concernant les systèmes en place au sein de son office.</w:t>
      </w:r>
    </w:p>
    <w:p w:rsidR="00AC317E" w:rsidRPr="00B272E8" w:rsidRDefault="00AC317E" w:rsidP="00083E7B">
      <w:pPr>
        <w:rPr>
          <w:szCs w:val="22"/>
          <w:lang w:val="fr-FR"/>
        </w:rPr>
      </w:pPr>
    </w:p>
    <w:p w:rsidR="00AC317E" w:rsidRPr="004607AE" w:rsidRDefault="00DE1B7D" w:rsidP="00D82400">
      <w:pPr>
        <w:rPr>
          <w:u w:val="single"/>
          <w:lang w:val="fr-CH"/>
        </w:rPr>
      </w:pPr>
      <w:r>
        <w:rPr>
          <w:lang w:val="fr-CH"/>
        </w:rPr>
        <w:t xml:space="preserve">E.  </w:t>
      </w:r>
      <w:r w:rsidR="00E82CFC" w:rsidRPr="004607AE">
        <w:rPr>
          <w:u w:val="single"/>
          <w:lang w:val="fr-CH"/>
        </w:rPr>
        <w:t>Évaluation par d</w:t>
      </w:r>
      <w:r w:rsidR="00A745FC">
        <w:rPr>
          <w:u w:val="single"/>
          <w:lang w:val="fr-CH"/>
        </w:rPr>
        <w:t>’</w:t>
      </w:r>
      <w:r w:rsidR="00E82CFC" w:rsidRPr="004607AE">
        <w:rPr>
          <w:u w:val="single"/>
          <w:lang w:val="fr-CH"/>
        </w:rPr>
        <w:t>autres experts</w:t>
      </w:r>
    </w:p>
    <w:p w:rsidR="00AC317E" w:rsidRPr="004607AE" w:rsidRDefault="00AC317E" w:rsidP="00D231F5">
      <w:pPr>
        <w:pStyle w:val="ListParagraph"/>
        <w:ind w:left="360"/>
        <w:rPr>
          <w:u w:val="single"/>
          <w:lang w:val="fr-CH"/>
        </w:rPr>
      </w:pPr>
    </w:p>
    <w:p w:rsidR="00AC317E" w:rsidRPr="004607AE" w:rsidRDefault="00E82CFC" w:rsidP="00BC24F6">
      <w:pPr>
        <w:pStyle w:val="ONUMFS"/>
        <w:rPr>
          <w:u w:val="single"/>
          <w:lang w:val="fr-CH"/>
        </w:rPr>
      </w:pPr>
      <w:r w:rsidRPr="004607AE">
        <w:rPr>
          <w:lang w:val="fr-CH"/>
        </w:rPr>
        <w:t>Lorsqu</w:t>
      </w:r>
      <w:r w:rsidR="00A745FC">
        <w:rPr>
          <w:lang w:val="fr-CH"/>
        </w:rPr>
        <w:t>’</w:t>
      </w:r>
      <w:r w:rsidRPr="004607AE">
        <w:rPr>
          <w:lang w:val="fr-CH"/>
        </w:rPr>
        <w:t xml:space="preserve">une activité est </w:t>
      </w:r>
      <w:r w:rsidR="00BF4685" w:rsidRPr="004607AE">
        <w:rPr>
          <w:lang w:val="fr-CH"/>
        </w:rPr>
        <w:t>particulièrement complexe</w:t>
      </w:r>
      <w:r w:rsidRPr="004607AE">
        <w:rPr>
          <w:lang w:val="fr-CH"/>
        </w:rPr>
        <w:t>, elle est évaluée par d</w:t>
      </w:r>
      <w:r w:rsidR="00A745FC">
        <w:rPr>
          <w:lang w:val="fr-CH"/>
        </w:rPr>
        <w:t>’</w:t>
      </w:r>
      <w:r w:rsidRPr="004607AE">
        <w:rPr>
          <w:lang w:val="fr-CH"/>
        </w:rPr>
        <w:t xml:space="preserve">autres </w:t>
      </w:r>
      <w:r w:rsidR="00BF4685" w:rsidRPr="004607AE">
        <w:rPr>
          <w:lang w:val="fr-CH"/>
        </w:rPr>
        <w:t>experts</w:t>
      </w:r>
      <w:r w:rsidRPr="004607AE">
        <w:rPr>
          <w:lang w:val="fr-CH"/>
        </w:rPr>
        <w:t xml:space="preserve"> qualifiés et renommés d</w:t>
      </w:r>
      <w:r w:rsidR="00BF4685" w:rsidRPr="004607AE">
        <w:rPr>
          <w:lang w:val="fr-CH"/>
        </w:rPr>
        <w:t>ans le</w:t>
      </w:r>
      <w:r w:rsidRPr="004607AE">
        <w:rPr>
          <w:lang w:val="fr-CH"/>
        </w:rPr>
        <w:t xml:space="preserve"> domaine concerné, pour s</w:t>
      </w:r>
      <w:r w:rsidR="00A745FC">
        <w:rPr>
          <w:lang w:val="fr-CH"/>
        </w:rPr>
        <w:t>’</w:t>
      </w:r>
      <w:r w:rsidRPr="004607AE">
        <w:rPr>
          <w:lang w:val="fr-CH"/>
        </w:rPr>
        <w:t xml:space="preserve">assurer que le travail fourni est </w:t>
      </w:r>
      <w:r w:rsidR="00BF4685" w:rsidRPr="004607AE">
        <w:rPr>
          <w:lang w:val="fr-CH"/>
        </w:rPr>
        <w:t xml:space="preserve">fiable, </w:t>
      </w:r>
      <w:r w:rsidRPr="004607AE">
        <w:rPr>
          <w:lang w:val="fr-CH"/>
        </w:rPr>
        <w:t xml:space="preserve">de qualité, </w:t>
      </w:r>
      <w:r w:rsidR="00BF4685" w:rsidRPr="004607AE">
        <w:rPr>
          <w:lang w:val="fr-CH"/>
        </w:rPr>
        <w:t>et qu</w:t>
      </w:r>
      <w:r w:rsidR="00A745FC">
        <w:rPr>
          <w:lang w:val="fr-CH"/>
        </w:rPr>
        <w:t>’</w:t>
      </w:r>
      <w:r w:rsidR="00BF4685" w:rsidRPr="004607AE">
        <w:rPr>
          <w:lang w:val="fr-CH"/>
        </w:rPr>
        <w:t xml:space="preserve">il est effectué de manière </w:t>
      </w:r>
      <w:r w:rsidRPr="004607AE">
        <w:rPr>
          <w:lang w:val="fr-CH"/>
        </w:rPr>
        <w:t>équilibr</w:t>
      </w:r>
      <w:r w:rsidR="0014037A" w:rsidRPr="004607AE">
        <w:rPr>
          <w:lang w:val="fr-CH"/>
        </w:rPr>
        <w:t>ée</w:t>
      </w:r>
      <w:r w:rsidR="0014037A">
        <w:rPr>
          <w:lang w:val="fr-CH"/>
        </w:rPr>
        <w:t xml:space="preserve">.  </w:t>
      </w:r>
      <w:r w:rsidR="0014037A" w:rsidRPr="004607AE">
        <w:rPr>
          <w:lang w:val="fr-CH"/>
        </w:rPr>
        <w:t>Ce</w:t>
      </w:r>
      <w:r w:rsidRPr="004607AE">
        <w:rPr>
          <w:lang w:val="fr-CH"/>
        </w:rPr>
        <w:t>s évaluations peuvent avoir lieu à un stade peu avancé ou à la fin de l</w:t>
      </w:r>
      <w:r w:rsidR="00A745FC">
        <w:rPr>
          <w:lang w:val="fr-CH"/>
        </w:rPr>
        <w:t>’</w:t>
      </w:r>
      <w:r w:rsidRPr="004607AE">
        <w:rPr>
          <w:lang w:val="fr-CH"/>
        </w:rPr>
        <w:t>activité de consultant.</w:t>
      </w:r>
    </w:p>
    <w:p w:rsidR="00AC317E" w:rsidRPr="004607AE" w:rsidRDefault="00AC317E" w:rsidP="00D231F5">
      <w:pPr>
        <w:pStyle w:val="ListParagraph"/>
        <w:ind w:left="360"/>
        <w:rPr>
          <w:u w:val="single"/>
          <w:lang w:val="fr-CH"/>
        </w:rPr>
      </w:pPr>
    </w:p>
    <w:p w:rsidR="00AC317E" w:rsidRPr="004607AE" w:rsidRDefault="00E82CFC" w:rsidP="008C5A4F">
      <w:pPr>
        <w:keepNext/>
        <w:rPr>
          <w:u w:val="single"/>
          <w:lang w:val="fr-CH"/>
        </w:rPr>
      </w:pPr>
      <w:r w:rsidRPr="004607AE">
        <w:rPr>
          <w:lang w:val="fr-CH"/>
        </w:rPr>
        <w:t xml:space="preserve">F. </w:t>
      </w:r>
      <w:r w:rsidR="002949F1">
        <w:rPr>
          <w:lang w:val="fr-CH"/>
        </w:rPr>
        <w:t xml:space="preserve"> </w:t>
      </w:r>
      <w:r w:rsidRPr="004607AE">
        <w:rPr>
          <w:u w:val="single"/>
          <w:lang w:val="fr-CH"/>
        </w:rPr>
        <w:t>Suivi et évaluation</w:t>
      </w:r>
    </w:p>
    <w:p w:rsidR="00AC317E" w:rsidRPr="004607AE" w:rsidRDefault="00AC317E" w:rsidP="008C5A4F">
      <w:pPr>
        <w:keepNext/>
        <w:rPr>
          <w:szCs w:val="22"/>
          <w:lang w:val="fr-CH"/>
        </w:rPr>
      </w:pPr>
    </w:p>
    <w:p w:rsidR="00AC317E" w:rsidRDefault="00E82CFC" w:rsidP="008C5A4F">
      <w:pPr>
        <w:pStyle w:val="ONUMFS"/>
        <w:keepNext/>
        <w:rPr>
          <w:lang w:val="fr-CH"/>
        </w:rPr>
      </w:pPr>
      <w:r w:rsidRPr="004607AE">
        <w:rPr>
          <w:lang w:val="fr-CH"/>
        </w:rPr>
        <w:t>Les résultats partiels fixés dans le calendrier d</w:t>
      </w:r>
      <w:r w:rsidR="00A745FC">
        <w:rPr>
          <w:lang w:val="fr-CH"/>
        </w:rPr>
        <w:t>’</w:t>
      </w:r>
      <w:r w:rsidRPr="004607AE">
        <w:rPr>
          <w:lang w:val="fr-CH"/>
        </w:rPr>
        <w:t>exécution font l</w:t>
      </w:r>
      <w:r w:rsidR="00A745FC">
        <w:rPr>
          <w:lang w:val="fr-CH"/>
        </w:rPr>
        <w:t>’</w:t>
      </w:r>
      <w:r w:rsidRPr="004607AE">
        <w:rPr>
          <w:lang w:val="fr-CH"/>
        </w:rPr>
        <w:t>objet d</w:t>
      </w:r>
      <w:r w:rsidR="00A745FC">
        <w:rPr>
          <w:lang w:val="fr-CH"/>
        </w:rPr>
        <w:t>’</w:t>
      </w:r>
      <w:r w:rsidRPr="004607AE">
        <w:rPr>
          <w:lang w:val="fr-CH"/>
        </w:rPr>
        <w:t>un suivi continu afin de garantir la qualité de l</w:t>
      </w:r>
      <w:r w:rsidR="00A745FC">
        <w:rPr>
          <w:lang w:val="fr-CH"/>
        </w:rPr>
        <w:t>’</w:t>
      </w:r>
      <w:r w:rsidRPr="004607AE">
        <w:rPr>
          <w:lang w:val="fr-CH"/>
        </w:rPr>
        <w:t>activité dans sa globali</w:t>
      </w:r>
      <w:r w:rsidR="0014037A" w:rsidRPr="004607AE">
        <w:rPr>
          <w:lang w:val="fr-CH"/>
        </w:rPr>
        <w:t>té</w:t>
      </w:r>
      <w:r w:rsidR="0014037A">
        <w:rPr>
          <w:lang w:val="fr-CH"/>
        </w:rPr>
        <w:t xml:space="preserve">.  </w:t>
      </w:r>
      <w:r w:rsidR="0014037A" w:rsidRPr="004607AE">
        <w:rPr>
          <w:lang w:val="fr-CH"/>
        </w:rPr>
        <w:t>En</w:t>
      </w:r>
      <w:r w:rsidRPr="004607AE">
        <w:rPr>
          <w:lang w:val="fr-CH"/>
        </w:rPr>
        <w:t xml:space="preserve"> outre, dans le cadre de l</w:t>
      </w:r>
      <w:r w:rsidR="00A745FC">
        <w:rPr>
          <w:lang w:val="fr-CH"/>
        </w:rPr>
        <w:t>’</w:t>
      </w:r>
      <w:r w:rsidRPr="004607AE">
        <w:rPr>
          <w:lang w:val="fr-CH"/>
        </w:rPr>
        <w:t>auto</w:t>
      </w:r>
      <w:r w:rsidR="00D94F26">
        <w:rPr>
          <w:lang w:val="fr-CH"/>
        </w:rPr>
        <w:noBreakHyphen/>
      </w:r>
      <w:r w:rsidRPr="004607AE">
        <w:rPr>
          <w:lang w:val="fr-CH"/>
        </w:rPr>
        <w:t>évaluation et de l</w:t>
      </w:r>
      <w:r w:rsidR="00A745FC">
        <w:rPr>
          <w:lang w:val="fr-CH"/>
        </w:rPr>
        <w:t>’</w:t>
      </w:r>
      <w:r w:rsidRPr="004607AE">
        <w:rPr>
          <w:lang w:val="fr-CH"/>
        </w:rPr>
        <w:t>évaluation de l</w:t>
      </w:r>
      <w:r w:rsidR="00A745FC">
        <w:rPr>
          <w:lang w:val="fr-CH"/>
        </w:rPr>
        <w:t>’</w:t>
      </w:r>
      <w:r w:rsidRPr="004607AE">
        <w:rPr>
          <w:lang w:val="fr-CH"/>
        </w:rPr>
        <w:t>activité, une évaluation des consultants externes est systématiquement men</w:t>
      </w:r>
      <w:r w:rsidR="0014037A" w:rsidRPr="004607AE">
        <w:rPr>
          <w:lang w:val="fr-CH"/>
        </w:rPr>
        <w:t>ée</w:t>
      </w:r>
      <w:r w:rsidR="0014037A">
        <w:rPr>
          <w:lang w:val="fr-CH"/>
        </w:rPr>
        <w:t xml:space="preserve">.  </w:t>
      </w:r>
      <w:r w:rsidR="0014037A" w:rsidRPr="004607AE">
        <w:rPr>
          <w:lang w:val="fr-CH"/>
        </w:rPr>
        <w:t>Ce</w:t>
      </w:r>
      <w:r w:rsidRPr="004607AE">
        <w:rPr>
          <w:lang w:val="fr-CH"/>
        </w:rPr>
        <w:t>t exercice peut avoir lieu pendant la tâche ou une fois celle</w:t>
      </w:r>
      <w:r w:rsidR="00D94F26">
        <w:rPr>
          <w:lang w:val="fr-CH"/>
        </w:rPr>
        <w:noBreakHyphen/>
      </w:r>
      <w:r w:rsidRPr="004607AE">
        <w:rPr>
          <w:lang w:val="fr-CH"/>
        </w:rPr>
        <w:t xml:space="preserve">ci achevée. </w:t>
      </w:r>
      <w:r w:rsidR="004C3E66" w:rsidRPr="004607AE">
        <w:rPr>
          <w:lang w:val="fr-CH"/>
        </w:rPr>
        <w:t xml:space="preserve"> </w:t>
      </w:r>
      <w:r w:rsidRPr="004607AE">
        <w:rPr>
          <w:lang w:val="fr-CH"/>
        </w:rPr>
        <w:t>Dans</w:t>
      </w:r>
      <w:r w:rsidR="00511E8C">
        <w:rPr>
          <w:lang w:val="fr-CH"/>
        </w:rPr>
        <w:t> </w:t>
      </w:r>
      <w:r w:rsidRPr="004607AE">
        <w:rPr>
          <w:lang w:val="fr-CH"/>
        </w:rPr>
        <w:t xml:space="preserve">certains cas, des évaluations provisoires sont </w:t>
      </w:r>
      <w:r w:rsidR="00BF4685" w:rsidRPr="004607AE">
        <w:rPr>
          <w:lang w:val="fr-CH"/>
        </w:rPr>
        <w:t>également menées pour évaluer l</w:t>
      </w:r>
      <w:r w:rsidR="00A745FC">
        <w:rPr>
          <w:lang w:val="fr-CH"/>
        </w:rPr>
        <w:t>’</w:t>
      </w:r>
      <w:r w:rsidR="00BF4685" w:rsidRPr="004607AE">
        <w:rPr>
          <w:lang w:val="fr-CH"/>
        </w:rPr>
        <w:t>état d</w:t>
      </w:r>
      <w:r w:rsidR="00A745FC">
        <w:rPr>
          <w:lang w:val="fr-CH"/>
        </w:rPr>
        <w:t>’</w:t>
      </w:r>
      <w:r w:rsidR="00BF4685" w:rsidRPr="004607AE">
        <w:rPr>
          <w:lang w:val="fr-CH"/>
        </w:rPr>
        <w:t>avancement du proj</w:t>
      </w:r>
      <w:r w:rsidR="0014037A" w:rsidRPr="004607AE">
        <w:rPr>
          <w:lang w:val="fr-CH"/>
        </w:rPr>
        <w:t>et</w:t>
      </w:r>
      <w:r w:rsidR="0014037A">
        <w:rPr>
          <w:lang w:val="fr-CH"/>
        </w:rPr>
        <w:t xml:space="preserve">.  </w:t>
      </w:r>
      <w:r w:rsidR="0014037A" w:rsidRPr="004607AE">
        <w:rPr>
          <w:lang w:val="fr-CH"/>
        </w:rPr>
        <w:t>La</w:t>
      </w:r>
      <w:r w:rsidRPr="004607AE">
        <w:rPr>
          <w:lang w:val="fr-CH"/>
        </w:rPr>
        <w:t xml:space="preserve"> satisfaction </w:t>
      </w:r>
      <w:r w:rsidR="00A745FC">
        <w:rPr>
          <w:lang w:val="fr-CH"/>
        </w:rPr>
        <w:t>à l’égard</w:t>
      </w:r>
      <w:r w:rsidRPr="004607AE">
        <w:rPr>
          <w:lang w:val="fr-CH"/>
        </w:rPr>
        <w:t xml:space="preserve"> de la qualité du travail est une condition préalable à son acceptati</w:t>
      </w:r>
      <w:r w:rsidR="0014037A" w:rsidRPr="004607AE">
        <w:rPr>
          <w:lang w:val="fr-CH"/>
        </w:rPr>
        <w:t>on</w:t>
      </w:r>
      <w:r w:rsidR="0014037A">
        <w:rPr>
          <w:lang w:val="fr-CH"/>
        </w:rPr>
        <w:t xml:space="preserve">.  </w:t>
      </w:r>
      <w:r w:rsidR="0014037A" w:rsidRPr="004607AE">
        <w:rPr>
          <w:lang w:val="fr-CH"/>
        </w:rPr>
        <w:t>La</w:t>
      </w:r>
      <w:r w:rsidR="007C4CC6" w:rsidRPr="004607AE">
        <w:rPr>
          <w:lang w:val="fr-CH"/>
        </w:rPr>
        <w:t xml:space="preserve"> décision d</w:t>
      </w:r>
      <w:r w:rsidR="00A745FC">
        <w:rPr>
          <w:lang w:val="fr-CH"/>
        </w:rPr>
        <w:t>’</w:t>
      </w:r>
      <w:r w:rsidR="007C4CC6" w:rsidRPr="004607AE">
        <w:rPr>
          <w:lang w:val="fr-CH"/>
        </w:rPr>
        <w:t>acceptation est prise en concertation avec les bénéficiair</w:t>
      </w:r>
      <w:r w:rsidR="0014037A" w:rsidRPr="004607AE">
        <w:rPr>
          <w:lang w:val="fr-CH"/>
        </w:rPr>
        <w:t>es</w:t>
      </w:r>
      <w:r w:rsidR="0014037A">
        <w:rPr>
          <w:lang w:val="fr-CH"/>
        </w:rPr>
        <w:t xml:space="preserve">.  </w:t>
      </w:r>
      <w:r w:rsidR="0014037A" w:rsidRPr="004607AE">
        <w:rPr>
          <w:lang w:val="fr-CH"/>
        </w:rPr>
        <w:t>En</w:t>
      </w:r>
      <w:r w:rsidR="007C4CC6" w:rsidRPr="004607AE">
        <w:rPr>
          <w:lang w:val="fr-CH"/>
        </w:rPr>
        <w:t>fin, ainsi qu</w:t>
      </w:r>
      <w:r w:rsidR="00A745FC">
        <w:rPr>
          <w:lang w:val="fr-CH"/>
        </w:rPr>
        <w:t>’</w:t>
      </w:r>
      <w:r w:rsidR="007C4CC6" w:rsidRPr="004607AE">
        <w:rPr>
          <w:lang w:val="fr-CH"/>
        </w:rPr>
        <w:t>il est indiqué plus haut, l</w:t>
      </w:r>
      <w:r w:rsidR="00A745FC">
        <w:rPr>
          <w:lang w:val="fr-CH"/>
        </w:rPr>
        <w:t>’</w:t>
      </w:r>
      <w:r w:rsidR="007C4CC6" w:rsidRPr="004607AE">
        <w:rPr>
          <w:lang w:val="fr-CH"/>
        </w:rPr>
        <w:t>OMPI accorde une grande importance aux résultats des consultants dans leurs tâches antérieur</w:t>
      </w:r>
      <w:r w:rsidR="0014037A" w:rsidRPr="004607AE">
        <w:rPr>
          <w:lang w:val="fr-CH"/>
        </w:rPr>
        <w:t>es</w:t>
      </w:r>
      <w:r w:rsidR="0014037A">
        <w:rPr>
          <w:lang w:val="fr-CH"/>
        </w:rPr>
        <w:t xml:space="preserve">.  </w:t>
      </w:r>
      <w:r w:rsidR="0014037A" w:rsidRPr="004607AE">
        <w:rPr>
          <w:lang w:val="fr-CH"/>
        </w:rPr>
        <w:t>L</w:t>
      </w:r>
      <w:r w:rsidR="0014037A">
        <w:rPr>
          <w:lang w:val="fr-CH"/>
        </w:rPr>
        <w:t>’</w:t>
      </w:r>
      <w:r w:rsidR="0014037A" w:rsidRPr="004607AE">
        <w:rPr>
          <w:lang w:val="fr-CH"/>
        </w:rPr>
        <w:t>é</w:t>
      </w:r>
      <w:r w:rsidR="007C4CC6" w:rsidRPr="004607AE">
        <w:rPr>
          <w:lang w:val="fr-CH"/>
        </w:rPr>
        <w:t xml:space="preserve">valuation positive du travail </w:t>
      </w:r>
      <w:r w:rsidR="00BF4685" w:rsidRPr="004607AE">
        <w:rPr>
          <w:lang w:val="fr-CH"/>
        </w:rPr>
        <w:t>accompli par l</w:t>
      </w:r>
      <w:r w:rsidR="007C4CC6" w:rsidRPr="004607AE">
        <w:rPr>
          <w:lang w:val="fr-CH"/>
        </w:rPr>
        <w:t xml:space="preserve">es consultants </w:t>
      </w:r>
      <w:r w:rsidR="00BF4685" w:rsidRPr="004607AE">
        <w:rPr>
          <w:lang w:val="fr-CH"/>
        </w:rPr>
        <w:t xml:space="preserve">dans le passé </w:t>
      </w:r>
      <w:r w:rsidR="007C4CC6" w:rsidRPr="004607AE">
        <w:rPr>
          <w:lang w:val="fr-CH"/>
        </w:rPr>
        <w:t>est déterminante pour les engager à l</w:t>
      </w:r>
      <w:r w:rsidR="00A745FC">
        <w:rPr>
          <w:lang w:val="fr-CH"/>
        </w:rPr>
        <w:t>’</w:t>
      </w:r>
      <w:r w:rsidR="007C4CC6" w:rsidRPr="004607AE">
        <w:rPr>
          <w:lang w:val="fr-CH"/>
        </w:rPr>
        <w:t>avenir.</w:t>
      </w:r>
    </w:p>
    <w:p w:rsidR="00345A04" w:rsidRDefault="00345A04" w:rsidP="00345A04">
      <w:pPr>
        <w:pStyle w:val="ONUMFS"/>
        <w:numPr>
          <w:ilvl w:val="0"/>
          <w:numId w:val="0"/>
        </w:numPr>
        <w:spacing w:after="0"/>
        <w:ind w:left="5534"/>
        <w:rPr>
          <w:i/>
          <w:lang w:val="fr-CH"/>
        </w:rPr>
      </w:pPr>
    </w:p>
    <w:p w:rsidR="00AC317E" w:rsidRPr="00BE061D" w:rsidRDefault="007C4CC6" w:rsidP="00BE061D">
      <w:pPr>
        <w:pStyle w:val="ONUMFS"/>
        <w:ind w:left="5534"/>
        <w:rPr>
          <w:i/>
          <w:lang w:val="fr-CH"/>
        </w:rPr>
      </w:pPr>
      <w:r w:rsidRPr="00BE061D">
        <w:rPr>
          <w:i/>
          <w:lang w:val="fr-CH"/>
        </w:rPr>
        <w:t>Le CDIP est invité à prendre note des informations contenues dans le présent document.</w:t>
      </w:r>
    </w:p>
    <w:p w:rsidR="00AC317E" w:rsidRDefault="00AC317E" w:rsidP="00911839">
      <w:pPr>
        <w:tabs>
          <w:tab w:val="left" w:pos="567"/>
        </w:tabs>
        <w:ind w:left="5534"/>
        <w:rPr>
          <w:i/>
          <w:lang w:val="fr-CH"/>
        </w:rPr>
      </w:pPr>
    </w:p>
    <w:p w:rsidR="00CB72FC" w:rsidRPr="004607AE" w:rsidRDefault="00CB72FC" w:rsidP="00491670">
      <w:pPr>
        <w:tabs>
          <w:tab w:val="left" w:pos="567"/>
        </w:tabs>
        <w:ind w:left="5534"/>
        <w:rPr>
          <w:i/>
          <w:lang w:val="fr-CH"/>
        </w:rPr>
      </w:pPr>
    </w:p>
    <w:p w:rsidR="00AC317E" w:rsidRPr="004607AE" w:rsidRDefault="007C4CC6" w:rsidP="007C4CC6">
      <w:pPr>
        <w:pStyle w:val="Endofdocument-Annex"/>
      </w:pPr>
      <w:r w:rsidRPr="004607AE">
        <w:t>[Fin du document]</w:t>
      </w:r>
    </w:p>
    <w:p w:rsidR="00AC317E" w:rsidRPr="004607AE" w:rsidRDefault="00AC317E" w:rsidP="00911839">
      <w:pPr>
        <w:pStyle w:val="Endofdocument-Annex"/>
      </w:pPr>
    </w:p>
    <w:sectPr w:rsidR="00AC317E" w:rsidRPr="004607AE" w:rsidSect="00343D04">
      <w:headerReference w:type="default" r:id="rId12"/>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F31" w:rsidRDefault="00A11F31">
      <w:r>
        <w:separator/>
      </w:r>
    </w:p>
  </w:endnote>
  <w:endnote w:type="continuationSeparator" w:id="0">
    <w:p w:rsidR="00A11F31" w:rsidRDefault="00A11F31" w:rsidP="003B38C1">
      <w:r>
        <w:separator/>
      </w:r>
    </w:p>
    <w:p w:rsidR="00A11F31" w:rsidRPr="003B38C1" w:rsidRDefault="00A11F31" w:rsidP="003B38C1">
      <w:pPr>
        <w:spacing w:after="60"/>
        <w:rPr>
          <w:sz w:val="17"/>
        </w:rPr>
      </w:pPr>
      <w:r>
        <w:rPr>
          <w:sz w:val="17"/>
        </w:rPr>
        <w:t>[Endnote continued from previous page]</w:t>
      </w:r>
    </w:p>
  </w:endnote>
  <w:endnote w:type="continuationNotice" w:id="1">
    <w:p w:rsidR="00A11F31" w:rsidRPr="003B38C1" w:rsidRDefault="00A11F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F31" w:rsidRDefault="00A11F31">
      <w:r>
        <w:separator/>
      </w:r>
    </w:p>
  </w:footnote>
  <w:footnote w:type="continuationSeparator" w:id="0">
    <w:p w:rsidR="00A11F31" w:rsidRDefault="00A11F31" w:rsidP="008B60B2">
      <w:r>
        <w:separator/>
      </w:r>
    </w:p>
    <w:p w:rsidR="00A11F31" w:rsidRPr="00ED77FB" w:rsidRDefault="00A11F31" w:rsidP="008B60B2">
      <w:pPr>
        <w:spacing w:after="60"/>
        <w:rPr>
          <w:sz w:val="17"/>
          <w:szCs w:val="17"/>
        </w:rPr>
      </w:pPr>
      <w:r w:rsidRPr="00ED77FB">
        <w:rPr>
          <w:sz w:val="17"/>
          <w:szCs w:val="17"/>
        </w:rPr>
        <w:t>[Footnote continued from previous page]</w:t>
      </w:r>
    </w:p>
  </w:footnote>
  <w:footnote w:type="continuationNotice" w:id="1">
    <w:p w:rsidR="00A11F31" w:rsidRPr="00ED77FB" w:rsidRDefault="00A11F31" w:rsidP="008B60B2">
      <w:pPr>
        <w:spacing w:before="60"/>
        <w:jc w:val="right"/>
        <w:rPr>
          <w:sz w:val="17"/>
          <w:szCs w:val="17"/>
        </w:rPr>
      </w:pPr>
      <w:r w:rsidRPr="00ED77FB">
        <w:rPr>
          <w:sz w:val="17"/>
          <w:szCs w:val="17"/>
        </w:rPr>
        <w:t>[Footnote continued on next page]</w:t>
      </w:r>
    </w:p>
  </w:footnote>
  <w:footnote w:id="2">
    <w:p w:rsidR="00A64D17" w:rsidRPr="00110A39" w:rsidRDefault="00A64D17" w:rsidP="00A64D17">
      <w:pPr>
        <w:pStyle w:val="FootnoteText"/>
        <w:rPr>
          <w:lang w:val="fr-CH"/>
        </w:rPr>
      </w:pPr>
      <w:r>
        <w:rPr>
          <w:rStyle w:val="FootnoteReference"/>
        </w:rPr>
        <w:footnoteRef/>
      </w:r>
      <w:r w:rsidRPr="00A64D17">
        <w:rPr>
          <w:lang w:val="fr-CH"/>
        </w:rPr>
        <w:t xml:space="preserve"> </w:t>
      </w:r>
      <w:r w:rsidR="004607AE">
        <w:rPr>
          <w:lang w:val="fr-CH"/>
        </w:rPr>
        <w:tab/>
      </w:r>
      <w:r w:rsidRPr="00110A39">
        <w:rPr>
          <w:lang w:val="fr-CH"/>
        </w:rPr>
        <w:t>Plan stratégique à moyen terme de l</w:t>
      </w:r>
      <w:r w:rsidR="004E72D0" w:rsidRPr="00110A39">
        <w:rPr>
          <w:lang w:val="fr-CH"/>
        </w:rPr>
        <w:t>’</w:t>
      </w:r>
      <w:r w:rsidRPr="00110A39">
        <w:rPr>
          <w:lang w:val="fr-CH"/>
        </w:rPr>
        <w:t xml:space="preserve">OMPI </w:t>
      </w:r>
      <w:r w:rsidR="004E72D0" w:rsidRPr="00110A39">
        <w:rPr>
          <w:lang w:val="fr-CH"/>
        </w:rPr>
        <w:t>pour 2016</w:t>
      </w:r>
      <w:r w:rsidR="00D94F26">
        <w:rPr>
          <w:lang w:val="fr-CH"/>
        </w:rPr>
        <w:noBreakHyphen/>
      </w:r>
      <w:r w:rsidRPr="00110A39">
        <w:rPr>
          <w:lang w:val="fr-CH"/>
        </w:rPr>
        <w:t>2021 (document</w:t>
      </w:r>
      <w:r w:rsidR="009C1C33" w:rsidRPr="00110A39">
        <w:rPr>
          <w:lang w:val="fr-CH"/>
        </w:rPr>
        <w:t> </w:t>
      </w:r>
      <w:r w:rsidRPr="00110A39">
        <w:rPr>
          <w:lang w:val="fr-CH"/>
        </w:rPr>
        <w:t>WO/PBC/25/18) disponible à l</w:t>
      </w:r>
      <w:r w:rsidR="004E72D0" w:rsidRPr="00110A39">
        <w:rPr>
          <w:lang w:val="fr-CH"/>
        </w:rPr>
        <w:t>’</w:t>
      </w:r>
      <w:r w:rsidRPr="00110A39">
        <w:rPr>
          <w:lang w:val="fr-CH"/>
        </w:rPr>
        <w:t>adresse</w:t>
      </w:r>
      <w:r w:rsidR="009C1C33" w:rsidRPr="00110A39">
        <w:rPr>
          <w:lang w:val="fr-CH"/>
        </w:rPr>
        <w:t> </w:t>
      </w:r>
      <w:r w:rsidRPr="00110A39">
        <w:rPr>
          <w:lang w:val="fr-CH"/>
        </w:rPr>
        <w:t>http://www.wipo.int/meetings/en/doc_details.jsp?doc_id=347458</w:t>
      </w:r>
    </w:p>
  </w:footnote>
  <w:footnote w:id="3">
    <w:p w:rsidR="00650AB3" w:rsidRPr="00110A39" w:rsidRDefault="00650AB3" w:rsidP="00650AB3">
      <w:pPr>
        <w:pStyle w:val="FootnoteText"/>
        <w:rPr>
          <w:lang w:val="fr-CH"/>
        </w:rPr>
      </w:pPr>
      <w:r w:rsidRPr="00110A39">
        <w:rPr>
          <w:rStyle w:val="FootnoteReference"/>
        </w:rPr>
        <w:footnoteRef/>
      </w:r>
      <w:r w:rsidRPr="00110A39">
        <w:rPr>
          <w:lang w:val="fr-CH"/>
        </w:rPr>
        <w:t xml:space="preserve"> </w:t>
      </w:r>
      <w:r w:rsidR="004607AE" w:rsidRPr="00110A39">
        <w:rPr>
          <w:lang w:val="fr-CH"/>
        </w:rPr>
        <w:tab/>
      </w:r>
      <w:r w:rsidRPr="00110A39">
        <w:rPr>
          <w:lang w:val="fr-CH"/>
        </w:rPr>
        <w:t>Le Règlement financier de l</w:t>
      </w:r>
      <w:r w:rsidR="004E72D0" w:rsidRPr="00110A39">
        <w:rPr>
          <w:lang w:val="fr-CH"/>
        </w:rPr>
        <w:t>’</w:t>
      </w:r>
      <w:r w:rsidRPr="00110A39">
        <w:rPr>
          <w:lang w:val="fr-CH"/>
        </w:rPr>
        <w:t>OMPI est disponible à l</w:t>
      </w:r>
      <w:r w:rsidR="004E72D0" w:rsidRPr="00110A39">
        <w:rPr>
          <w:lang w:val="fr-CH"/>
        </w:rPr>
        <w:t>’</w:t>
      </w:r>
      <w:r w:rsidRPr="00110A39">
        <w:rPr>
          <w:lang w:val="fr-CH"/>
        </w:rPr>
        <w:t>adresse http://www.wipo.int/export/sites/www/about</w:t>
      </w:r>
      <w:r w:rsidR="00D94F26">
        <w:rPr>
          <w:lang w:val="fr-CH"/>
        </w:rPr>
        <w:noBreakHyphen/>
      </w:r>
      <w:r w:rsidRPr="00110A39">
        <w:rPr>
          <w:lang w:val="fr-CH"/>
        </w:rPr>
        <w:t>wipo/en/pdf/wipo_financial_regulations.pdf</w:t>
      </w:r>
    </w:p>
  </w:footnote>
  <w:footnote w:id="4">
    <w:p w:rsidR="003076A4" w:rsidRPr="00110A39" w:rsidRDefault="003076A4" w:rsidP="003076A4">
      <w:pPr>
        <w:pStyle w:val="FootnoteText"/>
        <w:rPr>
          <w:lang w:val="fr-CH"/>
        </w:rPr>
      </w:pPr>
      <w:r w:rsidRPr="00110A39">
        <w:rPr>
          <w:rStyle w:val="FootnoteReference"/>
        </w:rPr>
        <w:footnoteRef/>
      </w:r>
      <w:r w:rsidRPr="00110A39">
        <w:rPr>
          <w:lang w:val="fr-CH"/>
        </w:rPr>
        <w:t xml:space="preserve"> </w:t>
      </w:r>
      <w:r w:rsidR="004607AE" w:rsidRPr="00110A39">
        <w:rPr>
          <w:lang w:val="fr-CH"/>
        </w:rPr>
        <w:tab/>
      </w:r>
      <w:r w:rsidRPr="00110A39">
        <w:rPr>
          <w:lang w:val="fr-CH"/>
        </w:rPr>
        <w:t>Ce principe est également établi à l</w:t>
      </w:r>
      <w:r w:rsidR="004E72D0" w:rsidRPr="00110A39">
        <w:rPr>
          <w:lang w:val="fr-CH"/>
        </w:rPr>
        <w:t>’article 5</w:t>
      </w:r>
      <w:r w:rsidRPr="00110A39">
        <w:rPr>
          <w:lang w:val="fr-CH"/>
        </w:rPr>
        <w:t>.11 du Règlement financier de l</w:t>
      </w:r>
      <w:r w:rsidR="004E72D0" w:rsidRPr="00110A39">
        <w:rPr>
          <w:lang w:val="fr-CH"/>
        </w:rPr>
        <w:t>’</w:t>
      </w:r>
      <w:r w:rsidRPr="00110A39">
        <w:rPr>
          <w:lang w:val="fr-CH"/>
        </w:rPr>
        <w:t xml:space="preserve">OMPI et à la </w:t>
      </w:r>
      <w:r w:rsidR="004E72D0" w:rsidRPr="00110A39">
        <w:rPr>
          <w:lang w:val="fr-CH"/>
        </w:rPr>
        <w:t>règle 1</w:t>
      </w:r>
      <w:r w:rsidRPr="00110A39">
        <w:rPr>
          <w:lang w:val="fr-CH"/>
        </w:rPr>
        <w:t>05.14 (</w:t>
      </w:r>
      <w:r w:rsidR="004E72D0" w:rsidRPr="00110A39">
        <w:rPr>
          <w:lang w:val="fr-CH"/>
        </w:rPr>
        <w:t>chapitre 5</w:t>
      </w:r>
      <w:r w:rsidRPr="00110A39">
        <w:rPr>
          <w:lang w:val="fr-CH"/>
        </w:rPr>
        <w:t xml:space="preserve">, </w:t>
      </w:r>
      <w:r w:rsidR="004E72D0" w:rsidRPr="00110A39">
        <w:rPr>
          <w:lang w:val="fr-CH"/>
        </w:rPr>
        <w:t>section C</w:t>
      </w:r>
      <w:r w:rsidRPr="00110A39">
        <w:rPr>
          <w:lang w:val="fr-CH"/>
        </w:rPr>
        <w:t>) de son règlement d</w:t>
      </w:r>
      <w:r w:rsidR="004E72D0" w:rsidRPr="00110A39">
        <w:rPr>
          <w:lang w:val="fr-CH"/>
        </w:rPr>
        <w:t>’</w:t>
      </w:r>
      <w:r w:rsidRPr="00110A39">
        <w:rPr>
          <w:lang w:val="fr-CH"/>
        </w:rPr>
        <w:t>exécution.</w:t>
      </w:r>
    </w:p>
  </w:footnote>
  <w:footnote w:id="5">
    <w:p w:rsidR="003076A4" w:rsidRPr="00110A39" w:rsidRDefault="003076A4" w:rsidP="004E6060">
      <w:pPr>
        <w:pStyle w:val="FootnoteText"/>
        <w:rPr>
          <w:lang w:val="fr-CH"/>
        </w:rPr>
      </w:pPr>
      <w:r w:rsidRPr="00110A39">
        <w:rPr>
          <w:rStyle w:val="FootnoteReference"/>
        </w:rPr>
        <w:footnoteRef/>
      </w:r>
      <w:r w:rsidRPr="00110A39">
        <w:rPr>
          <w:lang w:val="fr-CH"/>
        </w:rPr>
        <w:t xml:space="preserve"> </w:t>
      </w:r>
      <w:r w:rsidR="004607AE" w:rsidRPr="00110A39">
        <w:rPr>
          <w:lang w:val="fr-CH"/>
        </w:rPr>
        <w:tab/>
      </w:r>
      <w:r w:rsidR="004E72D0" w:rsidRPr="00110A39">
        <w:rPr>
          <w:lang w:val="fr-CH"/>
        </w:rPr>
        <w:t>Paragraphe 1</w:t>
      </w:r>
      <w:r w:rsidR="004E6060" w:rsidRPr="00110A39">
        <w:rPr>
          <w:lang w:val="fr-CH"/>
        </w:rPr>
        <w:t xml:space="preserve">4, </w:t>
      </w:r>
      <w:r w:rsidR="004E72D0" w:rsidRPr="00110A39">
        <w:rPr>
          <w:lang w:val="fr-CH"/>
        </w:rPr>
        <w:t>section V</w:t>
      </w:r>
      <w:r w:rsidR="004E6060" w:rsidRPr="00110A39">
        <w:rPr>
          <w:lang w:val="fr-CH"/>
        </w:rPr>
        <w:t>, de la Politique de l</w:t>
      </w:r>
      <w:r w:rsidR="004E72D0" w:rsidRPr="00110A39">
        <w:rPr>
          <w:lang w:val="fr-CH"/>
        </w:rPr>
        <w:t>’</w:t>
      </w:r>
      <w:r w:rsidR="004E6060" w:rsidRPr="00110A39">
        <w:rPr>
          <w:lang w:val="fr-CH"/>
        </w:rPr>
        <w:t>OMPI relative aux ICS.</w:t>
      </w:r>
    </w:p>
  </w:footnote>
  <w:footnote w:id="6">
    <w:p w:rsidR="005B1851" w:rsidRPr="00110A39" w:rsidRDefault="005B1851" w:rsidP="005B1851">
      <w:pPr>
        <w:pStyle w:val="FootnoteText"/>
        <w:rPr>
          <w:lang w:val="fr-CH"/>
        </w:rPr>
      </w:pPr>
      <w:r>
        <w:rPr>
          <w:rStyle w:val="FootnoteReference"/>
        </w:rPr>
        <w:footnoteRef/>
      </w:r>
      <w:r w:rsidRPr="005B1851">
        <w:rPr>
          <w:lang w:val="fr-CH"/>
        </w:rPr>
        <w:t xml:space="preserve"> </w:t>
      </w:r>
      <w:r w:rsidR="004607AE">
        <w:rPr>
          <w:lang w:val="fr-CH"/>
        </w:rPr>
        <w:tab/>
      </w:r>
      <w:r w:rsidR="004E72D0" w:rsidRPr="00110A39">
        <w:rPr>
          <w:lang w:val="fr-CH"/>
        </w:rPr>
        <w:t>Paragraphe 1</w:t>
      </w:r>
      <w:r w:rsidRPr="00110A39">
        <w:rPr>
          <w:lang w:val="fr-CH"/>
        </w:rPr>
        <w:t xml:space="preserve">6.a), </w:t>
      </w:r>
      <w:r w:rsidR="004E72D0" w:rsidRPr="00110A39">
        <w:rPr>
          <w:lang w:val="fr-CH"/>
        </w:rPr>
        <w:t>section V</w:t>
      </w:r>
      <w:r w:rsidRPr="00110A39">
        <w:rPr>
          <w:lang w:val="fr-CH"/>
        </w:rPr>
        <w:t>I, et annexe de la Politique de l</w:t>
      </w:r>
      <w:r w:rsidR="004E72D0" w:rsidRPr="00110A39">
        <w:rPr>
          <w:lang w:val="fr-CH"/>
        </w:rPr>
        <w:t>’</w:t>
      </w:r>
      <w:r w:rsidRPr="00110A39">
        <w:rPr>
          <w:lang w:val="fr-CH"/>
        </w:rPr>
        <w:t>OMPI relative aux ICS.</w:t>
      </w:r>
    </w:p>
  </w:footnote>
  <w:footnote w:id="7">
    <w:p w:rsidR="005B1851" w:rsidRPr="00110A39" w:rsidRDefault="005B1851" w:rsidP="005B1851">
      <w:pPr>
        <w:pStyle w:val="FootnoteText"/>
        <w:rPr>
          <w:lang w:val="fr-CH"/>
        </w:rPr>
      </w:pPr>
      <w:r w:rsidRPr="00110A39">
        <w:rPr>
          <w:rStyle w:val="FootnoteReference"/>
        </w:rPr>
        <w:footnoteRef/>
      </w:r>
      <w:r w:rsidRPr="00110A39">
        <w:rPr>
          <w:lang w:val="fr-CH"/>
        </w:rPr>
        <w:t xml:space="preserve"> </w:t>
      </w:r>
      <w:r w:rsidR="004607AE" w:rsidRPr="00110A39">
        <w:rPr>
          <w:lang w:val="fr-CH"/>
        </w:rPr>
        <w:tab/>
      </w:r>
      <w:r w:rsidR="004E72D0" w:rsidRPr="00110A39">
        <w:rPr>
          <w:lang w:val="fr-CH"/>
        </w:rPr>
        <w:t>Paragraphe 6</w:t>
      </w:r>
      <w:r w:rsidRPr="00110A39">
        <w:rPr>
          <w:lang w:val="fr-CH"/>
        </w:rPr>
        <w:t xml:space="preserve">.h), </w:t>
      </w:r>
      <w:r w:rsidR="004E72D0" w:rsidRPr="00110A39">
        <w:rPr>
          <w:lang w:val="fr-CH"/>
        </w:rPr>
        <w:t>section I</w:t>
      </w:r>
      <w:r w:rsidRPr="00110A39">
        <w:rPr>
          <w:lang w:val="fr-CH"/>
        </w:rPr>
        <w:t>I de la Politique de l</w:t>
      </w:r>
      <w:r w:rsidR="004E72D0" w:rsidRPr="00110A39">
        <w:rPr>
          <w:lang w:val="fr-CH"/>
        </w:rPr>
        <w:t>’</w:t>
      </w:r>
      <w:r w:rsidRPr="00110A39">
        <w:rPr>
          <w:lang w:val="fr-CH"/>
        </w:rPr>
        <w:t>OMPI relative aux ICS</w:t>
      </w:r>
      <w:r w:rsidR="004E72D0" w:rsidRPr="00110A39">
        <w:rPr>
          <w:lang w:val="fr-CH"/>
        </w:rPr>
        <w:t> :</w:t>
      </w:r>
      <w:r w:rsidRPr="00110A39">
        <w:rPr>
          <w:lang w:val="fr-CH"/>
        </w:rPr>
        <w:t xml:space="preserve"> </w:t>
      </w:r>
      <w:r w:rsidR="004E72D0" w:rsidRPr="00110A39">
        <w:rPr>
          <w:lang w:val="fr-CH"/>
        </w:rPr>
        <w:t>“L</w:t>
      </w:r>
      <w:r w:rsidRPr="00110A39">
        <w:rPr>
          <w:lang w:val="fr-CH"/>
        </w:rPr>
        <w:t>e dossier</w:t>
      </w:r>
      <w:r w:rsidR="004E72D0" w:rsidRPr="00110A39">
        <w:rPr>
          <w:lang w:val="fr-CH"/>
        </w:rPr>
        <w:t> :</w:t>
      </w:r>
      <w:r w:rsidRPr="00110A39">
        <w:rPr>
          <w:lang w:val="fr-CH"/>
        </w:rPr>
        <w:t xml:space="preserve"> par “dossier”, on entend l</w:t>
      </w:r>
      <w:r w:rsidR="004E72D0" w:rsidRPr="00110A39">
        <w:rPr>
          <w:lang w:val="fr-CH"/>
        </w:rPr>
        <w:t>’</w:t>
      </w:r>
      <w:r w:rsidRPr="00110A39">
        <w:rPr>
          <w:lang w:val="fr-CH"/>
        </w:rPr>
        <w:t>ensemble des documents et preuves devant accompagner une demande d</w:t>
      </w:r>
      <w:r w:rsidR="004E72D0" w:rsidRPr="00110A39">
        <w:rPr>
          <w:lang w:val="fr-CH"/>
        </w:rPr>
        <w:t>’</w:t>
      </w:r>
      <w:r w:rsidRPr="00110A39">
        <w:rPr>
          <w:lang w:val="fr-CH"/>
        </w:rPr>
        <w:t>engagement d</w:t>
      </w:r>
      <w:r w:rsidR="004E72D0" w:rsidRPr="00110A39">
        <w:rPr>
          <w:lang w:val="fr-CH"/>
        </w:rPr>
        <w:t>’</w:t>
      </w:r>
      <w:r w:rsidRPr="00110A39">
        <w:rPr>
          <w:lang w:val="fr-CH"/>
        </w:rPr>
        <w:t>un non</w:t>
      </w:r>
      <w:r w:rsidR="00D94F26">
        <w:rPr>
          <w:lang w:val="fr-CH"/>
        </w:rPr>
        <w:noBreakHyphen/>
      </w:r>
      <w:r w:rsidRPr="00110A39">
        <w:rPr>
          <w:lang w:val="fr-CH"/>
        </w:rPr>
        <w:t>fonctionnaire.  Cela comprend, sans s</w:t>
      </w:r>
      <w:r w:rsidR="004E72D0" w:rsidRPr="00110A39">
        <w:rPr>
          <w:lang w:val="fr-CH"/>
        </w:rPr>
        <w:t>’</w:t>
      </w:r>
      <w:r w:rsidRPr="00110A39">
        <w:rPr>
          <w:lang w:val="fr-CH"/>
        </w:rPr>
        <w:t>y limiter, les curriculum vitae, offres, informations sur le marché, mémos, rapports d</w:t>
      </w:r>
      <w:r w:rsidR="004E72D0" w:rsidRPr="00110A39">
        <w:rPr>
          <w:lang w:val="fr-CH"/>
        </w:rPr>
        <w:t>’</w:t>
      </w:r>
      <w:r w:rsidRPr="00110A39">
        <w:rPr>
          <w:lang w:val="fr-CH"/>
        </w:rPr>
        <w:t>évaluation ou courriers électroniques pertinents</w:t>
      </w:r>
      <w:r w:rsidR="004E72D0" w:rsidRPr="00110A39">
        <w:rPr>
          <w:lang w:val="fr-CH"/>
        </w:rPr>
        <w:t>.”</w:t>
      </w:r>
    </w:p>
  </w:footnote>
  <w:footnote w:id="8">
    <w:p w:rsidR="005B1851" w:rsidRPr="00110A39" w:rsidRDefault="005B1851" w:rsidP="005B1851">
      <w:pPr>
        <w:pStyle w:val="FootnoteText"/>
        <w:rPr>
          <w:lang w:val="fr-CH"/>
        </w:rPr>
      </w:pPr>
      <w:r w:rsidRPr="00110A39">
        <w:rPr>
          <w:rStyle w:val="FootnoteReference"/>
        </w:rPr>
        <w:footnoteRef/>
      </w:r>
      <w:r w:rsidRPr="00110A39">
        <w:rPr>
          <w:lang w:val="fr-CH"/>
        </w:rPr>
        <w:t xml:space="preserve"> </w:t>
      </w:r>
      <w:r w:rsidR="004607AE" w:rsidRPr="00110A39">
        <w:rPr>
          <w:lang w:val="fr-CH"/>
        </w:rPr>
        <w:tab/>
      </w:r>
      <w:r w:rsidRPr="00110A39">
        <w:rPr>
          <w:lang w:val="fr-CH"/>
        </w:rPr>
        <w:t xml:space="preserve">Le </w:t>
      </w:r>
      <w:r w:rsidR="004E72D0" w:rsidRPr="00110A39">
        <w:rPr>
          <w:lang w:val="fr-CH"/>
        </w:rPr>
        <w:t>paragraphe 3</w:t>
      </w:r>
      <w:r w:rsidRPr="00110A39">
        <w:rPr>
          <w:lang w:val="fr-CH"/>
        </w:rPr>
        <w:t xml:space="preserve"> de l</w:t>
      </w:r>
      <w:r w:rsidR="004E72D0" w:rsidRPr="00110A39">
        <w:rPr>
          <w:lang w:val="fr-CH"/>
        </w:rPr>
        <w:t>’</w:t>
      </w:r>
      <w:r w:rsidRPr="00110A39">
        <w:rPr>
          <w:lang w:val="fr-CH"/>
        </w:rPr>
        <w:t>annexe de la Politique de l</w:t>
      </w:r>
      <w:r w:rsidR="004E72D0" w:rsidRPr="00110A39">
        <w:rPr>
          <w:lang w:val="fr-CH"/>
        </w:rPr>
        <w:t>’</w:t>
      </w:r>
      <w:r w:rsidRPr="00110A39">
        <w:rPr>
          <w:lang w:val="fr-CH"/>
        </w:rPr>
        <w:t>OMPI relative aux ICS stipule que</w:t>
      </w:r>
      <w:r w:rsidR="004E72D0" w:rsidRPr="00110A39">
        <w:rPr>
          <w:lang w:val="fr-CH"/>
        </w:rPr>
        <w:t> :</w:t>
      </w:r>
      <w:r w:rsidRPr="00110A39">
        <w:rPr>
          <w:lang w:val="fr-CH"/>
        </w:rPr>
        <w:t xml:space="preserve"> </w:t>
      </w:r>
      <w:r w:rsidR="009C1C33" w:rsidRPr="00110A39">
        <w:rPr>
          <w:lang w:val="fr-CH"/>
        </w:rPr>
        <w:t>“</w:t>
      </w:r>
      <w:r w:rsidRPr="00110A39">
        <w:rPr>
          <w:lang w:val="fr-CH"/>
        </w:rPr>
        <w:t>(</w:t>
      </w:r>
      <w:r w:rsidR="002949F1" w:rsidRPr="00110A39">
        <w:rPr>
          <w:lang w:val="fr-CH"/>
        </w:rPr>
        <w:t>…</w:t>
      </w:r>
      <w:r w:rsidRPr="00110A39">
        <w:rPr>
          <w:lang w:val="fr-CH"/>
        </w:rPr>
        <w:t>) Pour les services hautement spécialisés tels que les études académiques ou scientifiques qui ne se prêtent pas à une mise au concours, le chef de programme réalise une étude de marché aussi large que possible afin de veiller à ce que le prix payé par l</w:t>
      </w:r>
      <w:r w:rsidR="004E72D0" w:rsidRPr="00110A39">
        <w:rPr>
          <w:lang w:val="fr-CH"/>
        </w:rPr>
        <w:t>’</w:t>
      </w:r>
      <w:r w:rsidRPr="00110A39">
        <w:rPr>
          <w:lang w:val="fr-CH"/>
        </w:rPr>
        <w:t>OMPI se situe dans la fourchette normale pour ce type de travai</w:t>
      </w:r>
      <w:r w:rsidR="004E72D0" w:rsidRPr="00110A39">
        <w:rPr>
          <w:lang w:val="fr-CH"/>
        </w:rPr>
        <w:t>l”</w:t>
      </w:r>
      <w:r w:rsidRPr="00110A39">
        <w:rPr>
          <w:lang w:val="fr-CH"/>
        </w:rPr>
        <w:t>.</w:t>
      </w:r>
    </w:p>
  </w:footnote>
  <w:footnote w:id="9">
    <w:p w:rsidR="00F85E57" w:rsidRPr="00B272E8" w:rsidRDefault="00F85E57" w:rsidP="00F85E57">
      <w:pPr>
        <w:pStyle w:val="FootnoteText"/>
        <w:rPr>
          <w:lang w:val="fr-CH"/>
        </w:rPr>
      </w:pPr>
      <w:r w:rsidRPr="00B272E8">
        <w:rPr>
          <w:rStyle w:val="FootnoteReference"/>
        </w:rPr>
        <w:footnoteRef/>
      </w:r>
      <w:r w:rsidRPr="00B272E8">
        <w:rPr>
          <w:lang w:val="fr-CH"/>
        </w:rPr>
        <w:t xml:space="preserve"> </w:t>
      </w:r>
      <w:r w:rsidR="004607AE" w:rsidRPr="00B272E8">
        <w:rPr>
          <w:lang w:val="fr-CH"/>
        </w:rPr>
        <w:tab/>
      </w:r>
      <w:r w:rsidRPr="00B272E8">
        <w:rPr>
          <w:lang w:val="fr-CH"/>
        </w:rPr>
        <w:t>L</w:t>
      </w:r>
      <w:r w:rsidR="004E72D0" w:rsidRPr="00B272E8">
        <w:rPr>
          <w:lang w:val="fr-CH"/>
        </w:rPr>
        <w:t>’</w:t>
      </w:r>
      <w:r w:rsidRPr="00B272E8">
        <w:rPr>
          <w:lang w:val="fr-CH"/>
        </w:rPr>
        <w:t>ordre de service</w:t>
      </w:r>
      <w:r w:rsidR="0020618C" w:rsidRPr="00B272E8">
        <w:rPr>
          <w:lang w:val="fr-CH"/>
        </w:rPr>
        <w:t xml:space="preserve"> n</w:t>
      </w:r>
      <w:r w:rsidR="009C1C33" w:rsidRPr="00B272E8">
        <w:rPr>
          <w:lang w:val="fr-CH"/>
        </w:rPr>
        <w:t>°</w:t>
      </w:r>
      <w:r w:rsidR="0020618C" w:rsidRPr="00B272E8">
        <w:rPr>
          <w:lang w:val="fr-CH"/>
        </w:rPr>
        <w:t> 47/2014 de l</w:t>
      </w:r>
      <w:r w:rsidR="004E72D0" w:rsidRPr="00B272E8">
        <w:rPr>
          <w:lang w:val="fr-CH"/>
        </w:rPr>
        <w:t>’</w:t>
      </w:r>
      <w:r w:rsidR="0020618C" w:rsidRPr="00B272E8">
        <w:rPr>
          <w:lang w:val="fr-CH"/>
        </w:rPr>
        <w:t>OMPI sur l</w:t>
      </w:r>
      <w:r w:rsidR="004E72D0" w:rsidRPr="00B272E8">
        <w:rPr>
          <w:lang w:val="fr-CH"/>
        </w:rPr>
        <w:t>’</w:t>
      </w:r>
      <w:r w:rsidRPr="00B272E8">
        <w:rPr>
          <w:lang w:val="fr-CH"/>
        </w:rPr>
        <w:t>égalité des sexes est disponible à l</w:t>
      </w:r>
      <w:r w:rsidR="004E72D0" w:rsidRPr="00B272E8">
        <w:rPr>
          <w:lang w:val="fr-CH"/>
        </w:rPr>
        <w:t>’</w:t>
      </w:r>
      <w:r w:rsidRPr="00B272E8">
        <w:rPr>
          <w:lang w:val="fr-CH"/>
        </w:rPr>
        <w:t>adresse http://www.wipo.int/export/sites/www/women</w:t>
      </w:r>
      <w:r w:rsidR="00D94F26" w:rsidRPr="00B272E8">
        <w:rPr>
          <w:lang w:val="fr-CH"/>
        </w:rPr>
        <w:noBreakHyphen/>
      </w:r>
      <w:r w:rsidRPr="00B272E8">
        <w:rPr>
          <w:lang w:val="fr-CH"/>
        </w:rPr>
        <w:t>and</w:t>
      </w:r>
      <w:r w:rsidR="00D94F26" w:rsidRPr="00B272E8">
        <w:rPr>
          <w:lang w:val="fr-CH"/>
        </w:rPr>
        <w:noBreakHyphen/>
      </w:r>
      <w:r w:rsidRPr="00B272E8">
        <w:rPr>
          <w:lang w:val="fr-CH"/>
        </w:rPr>
        <w:t>ip/docs/en/wipo_policy_gender_equality_en.pdf</w:t>
      </w:r>
    </w:p>
  </w:footnote>
  <w:footnote w:id="10">
    <w:p w:rsidR="00F20866" w:rsidRPr="00D82D48" w:rsidRDefault="00F20866" w:rsidP="00D82D48">
      <w:pPr>
        <w:pStyle w:val="FootnoteText"/>
        <w:rPr>
          <w:lang w:val="fr-CH"/>
        </w:rPr>
      </w:pPr>
      <w:r>
        <w:rPr>
          <w:rStyle w:val="FootnoteReference"/>
        </w:rPr>
        <w:footnoteRef/>
      </w:r>
      <w:r w:rsidRPr="00D82D48">
        <w:rPr>
          <w:lang w:val="fr-CH"/>
        </w:rPr>
        <w:t xml:space="preserve"> </w:t>
      </w:r>
      <w:r w:rsidR="004607AE">
        <w:rPr>
          <w:lang w:val="fr-CH"/>
        </w:rPr>
        <w:tab/>
      </w:r>
      <w:r w:rsidR="00D82D48" w:rsidRPr="00D82D48">
        <w:rPr>
          <w:color w:val="000000"/>
          <w:lang w:val="fr-CH"/>
        </w:rPr>
        <w:t>Ainsi qu</w:t>
      </w:r>
      <w:r w:rsidR="004E72D0">
        <w:rPr>
          <w:color w:val="000000"/>
          <w:lang w:val="fr-CH"/>
        </w:rPr>
        <w:t>’</w:t>
      </w:r>
      <w:r w:rsidR="00D82D48" w:rsidRPr="00D82D48">
        <w:rPr>
          <w:color w:val="000000"/>
          <w:lang w:val="fr-CH"/>
        </w:rPr>
        <w:t xml:space="preserve">il est indiqué dans les pratiques générales, à la </w:t>
      </w:r>
      <w:r w:rsidR="004E72D0" w:rsidRPr="00D82D48">
        <w:rPr>
          <w:color w:val="000000"/>
          <w:lang w:val="fr-CH"/>
        </w:rPr>
        <w:t>section</w:t>
      </w:r>
      <w:r w:rsidR="004E72D0">
        <w:rPr>
          <w:color w:val="000000"/>
          <w:lang w:val="fr-CH"/>
        </w:rPr>
        <w:t> </w:t>
      </w:r>
      <w:r w:rsidR="004E72D0" w:rsidRPr="00D82D48">
        <w:rPr>
          <w:color w:val="000000"/>
          <w:lang w:val="fr-CH"/>
        </w:rPr>
        <w:t>I</w:t>
      </w:r>
      <w:r w:rsidR="00D82D48" w:rsidRPr="00D82D48">
        <w:rPr>
          <w:color w:val="000000"/>
          <w:lang w:val="fr-CH"/>
        </w:rPr>
        <w:t>I du présent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AA9" w:rsidRDefault="00153AA9" w:rsidP="00153AA9">
    <w:pPr>
      <w:pStyle w:val="Header"/>
      <w:jc w:val="right"/>
    </w:pPr>
    <w:r>
      <w:t>CDIP/21/9</w:t>
    </w:r>
  </w:p>
  <w:p w:rsidR="00153AA9" w:rsidRDefault="00153AA9" w:rsidP="00153AA9">
    <w:pPr>
      <w:pStyle w:val="Header"/>
      <w:jc w:val="right"/>
      <w:rPr>
        <w:noProof/>
      </w:rPr>
    </w:pPr>
    <w:r>
      <w:t>page</w:t>
    </w:r>
    <w:r w:rsidR="009C1C33">
      <w:t> </w:t>
    </w:r>
    <w:r>
      <w:fldChar w:fldCharType="begin"/>
    </w:r>
    <w:r>
      <w:instrText xml:space="preserve"> PAGE   \* MERGEFORMAT </w:instrText>
    </w:r>
    <w:r>
      <w:fldChar w:fldCharType="separate"/>
    </w:r>
    <w:r w:rsidR="007D38A0">
      <w:rPr>
        <w:noProof/>
      </w:rPr>
      <w:t>4</w:t>
    </w:r>
    <w:r>
      <w:rPr>
        <w:noProof/>
      </w:rPr>
      <w:fldChar w:fldCharType="end"/>
    </w:r>
  </w:p>
  <w:p w:rsidR="00153AA9" w:rsidRDefault="00153AA9" w:rsidP="00153AA9">
    <w:pPr>
      <w:pStyle w:val="Header"/>
      <w:jc w:val="right"/>
    </w:pPr>
  </w:p>
  <w:p w:rsidR="00153AA9" w:rsidRDefault="00153A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6BE"/>
    <w:multiLevelType w:val="hybridMultilevel"/>
    <w:tmpl w:val="315265D6"/>
    <w:lvl w:ilvl="0" w:tplc="2A22AF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C4C2157"/>
    <w:multiLevelType w:val="hybridMultilevel"/>
    <w:tmpl w:val="FB580260"/>
    <w:lvl w:ilvl="0" w:tplc="3A24C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5776D7"/>
    <w:multiLevelType w:val="hybridMultilevel"/>
    <w:tmpl w:val="D4E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310A0B"/>
    <w:multiLevelType w:val="hybridMultilevel"/>
    <w:tmpl w:val="47FCE318"/>
    <w:lvl w:ilvl="0" w:tplc="03A42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54F57"/>
    <w:multiLevelType w:val="hybridMultilevel"/>
    <w:tmpl w:val="0822802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DC1686"/>
    <w:multiLevelType w:val="hybridMultilevel"/>
    <w:tmpl w:val="6D3A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9815C0"/>
    <w:multiLevelType w:val="hybridMultilevel"/>
    <w:tmpl w:val="34946EA0"/>
    <w:lvl w:ilvl="0" w:tplc="04090003">
      <w:start w:val="1"/>
      <w:numFmt w:val="bullet"/>
      <w:lvlText w:val="o"/>
      <w:lvlJc w:val="left"/>
      <w:pPr>
        <w:ind w:left="108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E524F"/>
    <w:multiLevelType w:val="hybridMultilevel"/>
    <w:tmpl w:val="E4BA5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94748"/>
    <w:multiLevelType w:val="hybridMultilevel"/>
    <w:tmpl w:val="A948C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94777E"/>
    <w:multiLevelType w:val="hybridMultilevel"/>
    <w:tmpl w:val="DCA05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B2A6032"/>
    <w:multiLevelType w:val="hybridMultilevel"/>
    <w:tmpl w:val="F8C0A2F4"/>
    <w:lvl w:ilvl="0" w:tplc="D9F410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34D7B"/>
    <w:multiLevelType w:val="hybridMultilevel"/>
    <w:tmpl w:val="6F5457A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675021"/>
    <w:multiLevelType w:val="hybridMultilevel"/>
    <w:tmpl w:val="38884308"/>
    <w:lvl w:ilvl="0" w:tplc="DDB63F3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24596"/>
    <w:multiLevelType w:val="hybridMultilevel"/>
    <w:tmpl w:val="E4BE04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2C7EFF"/>
    <w:multiLevelType w:val="hybridMultilevel"/>
    <w:tmpl w:val="762E374A"/>
    <w:lvl w:ilvl="0" w:tplc="927635BA">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7A1D0F26"/>
    <w:multiLevelType w:val="hybridMultilevel"/>
    <w:tmpl w:val="70480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2"/>
  </w:num>
  <w:num w:numId="4">
    <w:abstractNumId w:val="9"/>
  </w:num>
  <w:num w:numId="5">
    <w:abstractNumId w:val="3"/>
  </w:num>
  <w:num w:numId="6">
    <w:abstractNumId w:val="4"/>
  </w:num>
  <w:num w:numId="7">
    <w:abstractNumId w:val="11"/>
  </w:num>
  <w:num w:numId="8">
    <w:abstractNumId w:val="10"/>
  </w:num>
  <w:num w:numId="9">
    <w:abstractNumId w:val="12"/>
  </w:num>
  <w:num w:numId="10">
    <w:abstractNumId w:val="18"/>
  </w:num>
  <w:num w:numId="11">
    <w:abstractNumId w:val="17"/>
  </w:num>
  <w:num w:numId="12">
    <w:abstractNumId w:val="5"/>
  </w:num>
  <w:num w:numId="13">
    <w:abstractNumId w:val="14"/>
  </w:num>
  <w:num w:numId="14">
    <w:abstractNumId w:val="16"/>
  </w:num>
  <w:num w:numId="15">
    <w:abstractNumId w:val="8"/>
  </w:num>
  <w:num w:numId="16">
    <w:abstractNumId w:val="6"/>
  </w:num>
  <w:num w:numId="17">
    <w:abstractNumId w:val="15"/>
  </w:num>
  <w:num w:numId="18">
    <w:abstractNumId w:val="7"/>
  </w:num>
  <w:num w:numId="19">
    <w:abstractNumId w:val="0"/>
  </w:num>
  <w:num w:numId="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9A3FE9"/>
    <w:rsid w:val="00001E20"/>
    <w:rsid w:val="00012917"/>
    <w:rsid w:val="00030938"/>
    <w:rsid w:val="000309E4"/>
    <w:rsid w:val="00043CAA"/>
    <w:rsid w:val="000471DF"/>
    <w:rsid w:val="00052617"/>
    <w:rsid w:val="000748E2"/>
    <w:rsid w:val="00075432"/>
    <w:rsid w:val="00083E7B"/>
    <w:rsid w:val="00084FC0"/>
    <w:rsid w:val="000968ED"/>
    <w:rsid w:val="0009758D"/>
    <w:rsid w:val="000B0425"/>
    <w:rsid w:val="000B12F2"/>
    <w:rsid w:val="000B30A0"/>
    <w:rsid w:val="000B330E"/>
    <w:rsid w:val="000C2FF1"/>
    <w:rsid w:val="000C59E4"/>
    <w:rsid w:val="000E2346"/>
    <w:rsid w:val="000E35F0"/>
    <w:rsid w:val="000E65DD"/>
    <w:rsid w:val="000F2683"/>
    <w:rsid w:val="000F5E56"/>
    <w:rsid w:val="000F706B"/>
    <w:rsid w:val="00101B8A"/>
    <w:rsid w:val="00105209"/>
    <w:rsid w:val="00107138"/>
    <w:rsid w:val="00110A39"/>
    <w:rsid w:val="0011494D"/>
    <w:rsid w:val="00116493"/>
    <w:rsid w:val="0013376C"/>
    <w:rsid w:val="001362EE"/>
    <w:rsid w:val="0014037A"/>
    <w:rsid w:val="001508C2"/>
    <w:rsid w:val="00153AA9"/>
    <w:rsid w:val="001632AA"/>
    <w:rsid w:val="00163D54"/>
    <w:rsid w:val="00172FE0"/>
    <w:rsid w:val="0017628A"/>
    <w:rsid w:val="001832A6"/>
    <w:rsid w:val="00190C1F"/>
    <w:rsid w:val="001A6831"/>
    <w:rsid w:val="001C6003"/>
    <w:rsid w:val="001D59E6"/>
    <w:rsid w:val="001E009D"/>
    <w:rsid w:val="001E39B7"/>
    <w:rsid w:val="001E3D72"/>
    <w:rsid w:val="001F2B00"/>
    <w:rsid w:val="002028F4"/>
    <w:rsid w:val="0020618C"/>
    <w:rsid w:val="0021217E"/>
    <w:rsid w:val="002122DC"/>
    <w:rsid w:val="0022686D"/>
    <w:rsid w:val="00227344"/>
    <w:rsid w:val="00260A23"/>
    <w:rsid w:val="002634C4"/>
    <w:rsid w:val="00264100"/>
    <w:rsid w:val="00266902"/>
    <w:rsid w:val="00277CF7"/>
    <w:rsid w:val="0028539A"/>
    <w:rsid w:val="00290202"/>
    <w:rsid w:val="002928D3"/>
    <w:rsid w:val="002949F1"/>
    <w:rsid w:val="002A0CAE"/>
    <w:rsid w:val="002A3346"/>
    <w:rsid w:val="002E068F"/>
    <w:rsid w:val="002E6CEB"/>
    <w:rsid w:val="002F1FE6"/>
    <w:rsid w:val="002F4E68"/>
    <w:rsid w:val="002F62BD"/>
    <w:rsid w:val="003076A4"/>
    <w:rsid w:val="00312F7F"/>
    <w:rsid w:val="00325CF0"/>
    <w:rsid w:val="003273BA"/>
    <w:rsid w:val="00331FA3"/>
    <w:rsid w:val="003354CB"/>
    <w:rsid w:val="003365E7"/>
    <w:rsid w:val="00341F32"/>
    <w:rsid w:val="00343D04"/>
    <w:rsid w:val="00345A04"/>
    <w:rsid w:val="0035218A"/>
    <w:rsid w:val="00361450"/>
    <w:rsid w:val="003673CF"/>
    <w:rsid w:val="00367479"/>
    <w:rsid w:val="00383E0E"/>
    <w:rsid w:val="003845C1"/>
    <w:rsid w:val="00390E2C"/>
    <w:rsid w:val="003920D2"/>
    <w:rsid w:val="00394B80"/>
    <w:rsid w:val="003A0218"/>
    <w:rsid w:val="003A23C3"/>
    <w:rsid w:val="003A2ACE"/>
    <w:rsid w:val="003A35DF"/>
    <w:rsid w:val="003A560C"/>
    <w:rsid w:val="003A65F7"/>
    <w:rsid w:val="003A6845"/>
    <w:rsid w:val="003A6F89"/>
    <w:rsid w:val="003B38C1"/>
    <w:rsid w:val="003C0CC3"/>
    <w:rsid w:val="003C31EA"/>
    <w:rsid w:val="003C5DAF"/>
    <w:rsid w:val="003D6275"/>
    <w:rsid w:val="003D6783"/>
    <w:rsid w:val="003E5718"/>
    <w:rsid w:val="003F030C"/>
    <w:rsid w:val="003F1ED8"/>
    <w:rsid w:val="003F5941"/>
    <w:rsid w:val="00401779"/>
    <w:rsid w:val="00416D88"/>
    <w:rsid w:val="0042061C"/>
    <w:rsid w:val="00423E3E"/>
    <w:rsid w:val="00427AF4"/>
    <w:rsid w:val="00431572"/>
    <w:rsid w:val="00447909"/>
    <w:rsid w:val="004607AE"/>
    <w:rsid w:val="004647DA"/>
    <w:rsid w:val="00466F74"/>
    <w:rsid w:val="00474062"/>
    <w:rsid w:val="004745CB"/>
    <w:rsid w:val="00477D6B"/>
    <w:rsid w:val="004804F9"/>
    <w:rsid w:val="00490F5D"/>
    <w:rsid w:val="00491670"/>
    <w:rsid w:val="004B5885"/>
    <w:rsid w:val="004C3E66"/>
    <w:rsid w:val="004D15E6"/>
    <w:rsid w:val="004D5867"/>
    <w:rsid w:val="004D5909"/>
    <w:rsid w:val="004E23B8"/>
    <w:rsid w:val="004E6060"/>
    <w:rsid w:val="004E72D0"/>
    <w:rsid w:val="005019FF"/>
    <w:rsid w:val="00511E8C"/>
    <w:rsid w:val="005169EE"/>
    <w:rsid w:val="00517753"/>
    <w:rsid w:val="00517B3F"/>
    <w:rsid w:val="00521238"/>
    <w:rsid w:val="0052344F"/>
    <w:rsid w:val="0052512C"/>
    <w:rsid w:val="0052632A"/>
    <w:rsid w:val="0053057A"/>
    <w:rsid w:val="00532BC1"/>
    <w:rsid w:val="00532D54"/>
    <w:rsid w:val="005342C9"/>
    <w:rsid w:val="00536371"/>
    <w:rsid w:val="005558F9"/>
    <w:rsid w:val="0056078A"/>
    <w:rsid w:val="00560A29"/>
    <w:rsid w:val="00563334"/>
    <w:rsid w:val="005A0766"/>
    <w:rsid w:val="005B1851"/>
    <w:rsid w:val="005B3205"/>
    <w:rsid w:val="005C448C"/>
    <w:rsid w:val="005C6649"/>
    <w:rsid w:val="005D64B8"/>
    <w:rsid w:val="005D6A17"/>
    <w:rsid w:val="00602969"/>
    <w:rsid w:val="00605827"/>
    <w:rsid w:val="00607525"/>
    <w:rsid w:val="00617363"/>
    <w:rsid w:val="00625C3A"/>
    <w:rsid w:val="00640B31"/>
    <w:rsid w:val="00646050"/>
    <w:rsid w:val="00650AB3"/>
    <w:rsid w:val="006643B7"/>
    <w:rsid w:val="006713CA"/>
    <w:rsid w:val="00676C5C"/>
    <w:rsid w:val="006955D1"/>
    <w:rsid w:val="006A1852"/>
    <w:rsid w:val="006C4180"/>
    <w:rsid w:val="006C6850"/>
    <w:rsid w:val="006E71B6"/>
    <w:rsid w:val="006F0549"/>
    <w:rsid w:val="006F4272"/>
    <w:rsid w:val="006F51F5"/>
    <w:rsid w:val="007140B6"/>
    <w:rsid w:val="00716EAE"/>
    <w:rsid w:val="007178B7"/>
    <w:rsid w:val="00721524"/>
    <w:rsid w:val="0072732D"/>
    <w:rsid w:val="007319B7"/>
    <w:rsid w:val="00744707"/>
    <w:rsid w:val="00753B39"/>
    <w:rsid w:val="007746C4"/>
    <w:rsid w:val="007765B9"/>
    <w:rsid w:val="007963D7"/>
    <w:rsid w:val="00797BD5"/>
    <w:rsid w:val="007B00F9"/>
    <w:rsid w:val="007C4CC6"/>
    <w:rsid w:val="007D13A6"/>
    <w:rsid w:val="007D1613"/>
    <w:rsid w:val="007D38A0"/>
    <w:rsid w:val="007D47EF"/>
    <w:rsid w:val="007E4C0E"/>
    <w:rsid w:val="007E5BA1"/>
    <w:rsid w:val="007E6FF3"/>
    <w:rsid w:val="007F3700"/>
    <w:rsid w:val="007F55DA"/>
    <w:rsid w:val="00810344"/>
    <w:rsid w:val="00823DD6"/>
    <w:rsid w:val="00826207"/>
    <w:rsid w:val="0084505D"/>
    <w:rsid w:val="008478EF"/>
    <w:rsid w:val="00870F59"/>
    <w:rsid w:val="00871927"/>
    <w:rsid w:val="00871D5E"/>
    <w:rsid w:val="00872E60"/>
    <w:rsid w:val="00875DB4"/>
    <w:rsid w:val="00880680"/>
    <w:rsid w:val="00881F44"/>
    <w:rsid w:val="008830B1"/>
    <w:rsid w:val="008B1EF0"/>
    <w:rsid w:val="008B2CC1"/>
    <w:rsid w:val="008B60B2"/>
    <w:rsid w:val="008C005F"/>
    <w:rsid w:val="008C101B"/>
    <w:rsid w:val="008C29CC"/>
    <w:rsid w:val="008C5A4F"/>
    <w:rsid w:val="008D00FF"/>
    <w:rsid w:val="008D5AF3"/>
    <w:rsid w:val="008E19B6"/>
    <w:rsid w:val="008F19A2"/>
    <w:rsid w:val="008F513F"/>
    <w:rsid w:val="00902A7F"/>
    <w:rsid w:val="0090731E"/>
    <w:rsid w:val="00911839"/>
    <w:rsid w:val="009128CA"/>
    <w:rsid w:val="00916EE2"/>
    <w:rsid w:val="0093615A"/>
    <w:rsid w:val="00937CDD"/>
    <w:rsid w:val="009431A3"/>
    <w:rsid w:val="00964654"/>
    <w:rsid w:val="00966A22"/>
    <w:rsid w:val="0096722F"/>
    <w:rsid w:val="00971002"/>
    <w:rsid w:val="009732DB"/>
    <w:rsid w:val="009737B1"/>
    <w:rsid w:val="00980843"/>
    <w:rsid w:val="00982C89"/>
    <w:rsid w:val="009A3FE9"/>
    <w:rsid w:val="009B452F"/>
    <w:rsid w:val="009B477B"/>
    <w:rsid w:val="009B4977"/>
    <w:rsid w:val="009B50D9"/>
    <w:rsid w:val="009C1C33"/>
    <w:rsid w:val="009D30C3"/>
    <w:rsid w:val="009E2791"/>
    <w:rsid w:val="009E3846"/>
    <w:rsid w:val="009E3F6F"/>
    <w:rsid w:val="009E760E"/>
    <w:rsid w:val="009F459A"/>
    <w:rsid w:val="009F499F"/>
    <w:rsid w:val="00A0392A"/>
    <w:rsid w:val="00A04012"/>
    <w:rsid w:val="00A11F31"/>
    <w:rsid w:val="00A157C6"/>
    <w:rsid w:val="00A16E6A"/>
    <w:rsid w:val="00A22790"/>
    <w:rsid w:val="00A26BE0"/>
    <w:rsid w:val="00A41E79"/>
    <w:rsid w:val="00A429D2"/>
    <w:rsid w:val="00A42DAF"/>
    <w:rsid w:val="00A45337"/>
    <w:rsid w:val="00A45BD8"/>
    <w:rsid w:val="00A52611"/>
    <w:rsid w:val="00A63B51"/>
    <w:rsid w:val="00A64D17"/>
    <w:rsid w:val="00A7366A"/>
    <w:rsid w:val="00A745FC"/>
    <w:rsid w:val="00A74905"/>
    <w:rsid w:val="00A869B7"/>
    <w:rsid w:val="00A95157"/>
    <w:rsid w:val="00AA030F"/>
    <w:rsid w:val="00AA6EBA"/>
    <w:rsid w:val="00AB5BDF"/>
    <w:rsid w:val="00AC205C"/>
    <w:rsid w:val="00AC317E"/>
    <w:rsid w:val="00AD18AE"/>
    <w:rsid w:val="00AE06E3"/>
    <w:rsid w:val="00AF0A6B"/>
    <w:rsid w:val="00AF20E6"/>
    <w:rsid w:val="00AF5CCA"/>
    <w:rsid w:val="00B0438D"/>
    <w:rsid w:val="00B05A69"/>
    <w:rsid w:val="00B11C36"/>
    <w:rsid w:val="00B14FC0"/>
    <w:rsid w:val="00B272E8"/>
    <w:rsid w:val="00B64DD1"/>
    <w:rsid w:val="00B77066"/>
    <w:rsid w:val="00B80DCE"/>
    <w:rsid w:val="00B8312D"/>
    <w:rsid w:val="00B93139"/>
    <w:rsid w:val="00B9734B"/>
    <w:rsid w:val="00BA30E2"/>
    <w:rsid w:val="00BB0871"/>
    <w:rsid w:val="00BC24F6"/>
    <w:rsid w:val="00BC5E4D"/>
    <w:rsid w:val="00BD100B"/>
    <w:rsid w:val="00BD6D83"/>
    <w:rsid w:val="00BE061D"/>
    <w:rsid w:val="00BF2522"/>
    <w:rsid w:val="00BF2A73"/>
    <w:rsid w:val="00BF32E2"/>
    <w:rsid w:val="00BF4685"/>
    <w:rsid w:val="00BF64D6"/>
    <w:rsid w:val="00C01F4C"/>
    <w:rsid w:val="00C07F44"/>
    <w:rsid w:val="00C11BFE"/>
    <w:rsid w:val="00C24089"/>
    <w:rsid w:val="00C3060E"/>
    <w:rsid w:val="00C31878"/>
    <w:rsid w:val="00C35164"/>
    <w:rsid w:val="00C44695"/>
    <w:rsid w:val="00C5068F"/>
    <w:rsid w:val="00C6131F"/>
    <w:rsid w:val="00C71ED6"/>
    <w:rsid w:val="00C8309D"/>
    <w:rsid w:val="00C8360E"/>
    <w:rsid w:val="00CB0C76"/>
    <w:rsid w:val="00CB1DF6"/>
    <w:rsid w:val="00CB5B05"/>
    <w:rsid w:val="00CB72FC"/>
    <w:rsid w:val="00CD04F1"/>
    <w:rsid w:val="00CE35E1"/>
    <w:rsid w:val="00CE51AF"/>
    <w:rsid w:val="00D06E01"/>
    <w:rsid w:val="00D10698"/>
    <w:rsid w:val="00D13541"/>
    <w:rsid w:val="00D21A69"/>
    <w:rsid w:val="00D231F5"/>
    <w:rsid w:val="00D42733"/>
    <w:rsid w:val="00D45252"/>
    <w:rsid w:val="00D5722B"/>
    <w:rsid w:val="00D60685"/>
    <w:rsid w:val="00D71B4D"/>
    <w:rsid w:val="00D746A4"/>
    <w:rsid w:val="00D82400"/>
    <w:rsid w:val="00D82D48"/>
    <w:rsid w:val="00D93D55"/>
    <w:rsid w:val="00D94F26"/>
    <w:rsid w:val="00DB2734"/>
    <w:rsid w:val="00DD4077"/>
    <w:rsid w:val="00DE1B7D"/>
    <w:rsid w:val="00DF3FB3"/>
    <w:rsid w:val="00E06BC8"/>
    <w:rsid w:val="00E15015"/>
    <w:rsid w:val="00E23228"/>
    <w:rsid w:val="00E335FE"/>
    <w:rsid w:val="00E51A89"/>
    <w:rsid w:val="00E54BCD"/>
    <w:rsid w:val="00E55FEC"/>
    <w:rsid w:val="00E82CFC"/>
    <w:rsid w:val="00E85A68"/>
    <w:rsid w:val="00E87511"/>
    <w:rsid w:val="00E97EF1"/>
    <w:rsid w:val="00EA2064"/>
    <w:rsid w:val="00EA283D"/>
    <w:rsid w:val="00EA51C9"/>
    <w:rsid w:val="00EC1A1F"/>
    <w:rsid w:val="00EC489B"/>
    <w:rsid w:val="00EC4E49"/>
    <w:rsid w:val="00ED4EAF"/>
    <w:rsid w:val="00ED54D0"/>
    <w:rsid w:val="00ED77FB"/>
    <w:rsid w:val="00EE1FF1"/>
    <w:rsid w:val="00EE45FA"/>
    <w:rsid w:val="00EF1D89"/>
    <w:rsid w:val="00F10B6C"/>
    <w:rsid w:val="00F17CCA"/>
    <w:rsid w:val="00F20866"/>
    <w:rsid w:val="00F21262"/>
    <w:rsid w:val="00F27E10"/>
    <w:rsid w:val="00F3518F"/>
    <w:rsid w:val="00F66152"/>
    <w:rsid w:val="00F70997"/>
    <w:rsid w:val="00F7189F"/>
    <w:rsid w:val="00F72C16"/>
    <w:rsid w:val="00F85E57"/>
    <w:rsid w:val="00F868A4"/>
    <w:rsid w:val="00F957AD"/>
    <w:rsid w:val="00FA090D"/>
    <w:rsid w:val="00FA42E3"/>
    <w:rsid w:val="00FA584E"/>
    <w:rsid w:val="00FB03E8"/>
    <w:rsid w:val="00FB3531"/>
    <w:rsid w:val="00FB47ED"/>
    <w:rsid w:val="00FC365C"/>
    <w:rsid w:val="00FC6931"/>
    <w:rsid w:val="00FF0706"/>
    <w:rsid w:val="00FF425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customStyle="1" w:styleId="ONUMFSChar">
    <w:name w:val="ONUM FS Char"/>
    <w:basedOn w:val="DefaultParagraphFont"/>
    <w:link w:val="ONUMFS"/>
    <w:rsid w:val="00911839"/>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customStyle="1" w:styleId="ONUMFSChar">
    <w:name w:val="ONUM FS Char"/>
    <w:basedOn w:val="DefaultParagraphFont"/>
    <w:link w:val="ONUMFS"/>
    <w:rsid w:val="0091183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roc/en/index.jsp" TargetMode="External"/><Relationship Id="rId5" Type="http://schemas.openxmlformats.org/officeDocument/2006/relationships/settings" Target="settings.xml"/><Relationship Id="rId10" Type="http://schemas.openxmlformats.org/officeDocument/2006/relationships/hyperlink" Target="http://www.wipo.int/roc/en/index.js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F80B-C706-419C-98FE-1B12F1D7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(E).dotm</Template>
  <TotalTime>38</TotalTime>
  <Pages>7</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DORE Marie-Pierre</dc:creator>
  <cp:lastModifiedBy>ROURE Cécile</cp:lastModifiedBy>
  <cp:revision>39</cp:revision>
  <cp:lastPrinted>2018-03-20T14:48:00Z</cp:lastPrinted>
  <dcterms:created xsi:type="dcterms:W3CDTF">2018-03-23T09:50:00Z</dcterms:created>
  <dcterms:modified xsi:type="dcterms:W3CDTF">2018-03-23T12:27:00Z</dcterms:modified>
</cp:coreProperties>
</file>