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D453AE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D453AE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D453AE" w:rsidRDefault="00DB1C48" w:rsidP="00EE71CB">
            <w:pPr>
              <w:rPr>
                <w:lang w:val="fr-FR"/>
              </w:rPr>
            </w:pPr>
            <w:r w:rsidRPr="00D453AE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D453AE" w:rsidRDefault="00E0091A" w:rsidP="00EE71CB">
            <w:pPr>
              <w:jc w:val="right"/>
              <w:rPr>
                <w:lang w:val="fr-FR"/>
              </w:rPr>
            </w:pPr>
            <w:r w:rsidRPr="00D453A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D453AE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453AE" w:rsidRDefault="00463EE0" w:rsidP="008046D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53AE">
              <w:rPr>
                <w:rFonts w:ascii="Arial Black" w:hAnsi="Arial Black"/>
                <w:caps/>
                <w:sz w:val="15"/>
                <w:lang w:val="fr-FR"/>
              </w:rPr>
              <w:t>CDIP/23/</w:t>
            </w:r>
            <w:bookmarkStart w:id="0" w:name="Code"/>
            <w:bookmarkEnd w:id="0"/>
            <w:r w:rsidR="00774A99" w:rsidRPr="00D453AE">
              <w:rPr>
                <w:rFonts w:ascii="Arial Black" w:hAnsi="Arial Black"/>
                <w:caps/>
                <w:sz w:val="15"/>
                <w:lang w:val="fr-FR"/>
              </w:rPr>
              <w:t>15</w:t>
            </w:r>
          </w:p>
        </w:tc>
      </w:tr>
      <w:tr w:rsidR="008B2CC1" w:rsidRPr="00D453AE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453AE" w:rsidRDefault="008B2CC1" w:rsidP="006166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53A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40524" w:rsidRPr="00D453A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D453A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774A99" w:rsidRPr="00D453AE">
              <w:rPr>
                <w:rFonts w:ascii="Arial Black" w:hAnsi="Arial Black"/>
                <w:caps/>
                <w:sz w:val="15"/>
                <w:lang w:val="fr-FR"/>
              </w:rPr>
              <w:t>espagnol</w:t>
            </w:r>
            <w:r w:rsidRPr="00D453A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D453AE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453AE" w:rsidRDefault="008B2CC1" w:rsidP="000945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53A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40524" w:rsidRPr="00D453A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D453A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340524" w:rsidRPr="00D453AE">
              <w:rPr>
                <w:rFonts w:ascii="Arial Black" w:hAnsi="Arial Black"/>
                <w:caps/>
                <w:sz w:val="15"/>
                <w:lang w:val="fr-FR"/>
              </w:rPr>
              <w:t>4 avril 20</w:t>
            </w:r>
            <w:r w:rsidR="00774A99" w:rsidRPr="00D453AE">
              <w:rPr>
                <w:rFonts w:ascii="Arial Black" w:hAnsi="Arial Black"/>
                <w:caps/>
                <w:sz w:val="15"/>
                <w:lang w:val="fr-FR"/>
              </w:rPr>
              <w:t>19</w:t>
            </w:r>
            <w:r w:rsidRPr="00D453A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8B2CC1" w:rsidRPr="00D453AE" w:rsidRDefault="008B2CC1" w:rsidP="008B2CC1">
      <w:pPr>
        <w:rPr>
          <w:lang w:val="fr-FR"/>
        </w:rPr>
      </w:pPr>
    </w:p>
    <w:p w:rsidR="008B2CC1" w:rsidRPr="00D453AE" w:rsidRDefault="008B2CC1" w:rsidP="008B2CC1">
      <w:pPr>
        <w:rPr>
          <w:lang w:val="fr-FR"/>
        </w:rPr>
      </w:pPr>
    </w:p>
    <w:p w:rsidR="008B2CC1" w:rsidRPr="00D453AE" w:rsidRDefault="008B2CC1" w:rsidP="008B2CC1">
      <w:pPr>
        <w:rPr>
          <w:lang w:val="fr-FR"/>
        </w:rPr>
      </w:pPr>
    </w:p>
    <w:p w:rsidR="008B2CC1" w:rsidRPr="00D453AE" w:rsidRDefault="008B2CC1" w:rsidP="008B2CC1">
      <w:pPr>
        <w:rPr>
          <w:lang w:val="fr-FR"/>
        </w:rPr>
      </w:pPr>
    </w:p>
    <w:p w:rsidR="008B2CC1" w:rsidRPr="00D453AE" w:rsidRDefault="008B2CC1" w:rsidP="008B2CC1">
      <w:pPr>
        <w:rPr>
          <w:lang w:val="fr-FR"/>
        </w:rPr>
      </w:pPr>
    </w:p>
    <w:p w:rsidR="008B2CC1" w:rsidRPr="00D453AE" w:rsidRDefault="00463EE0" w:rsidP="008B2CC1">
      <w:pPr>
        <w:rPr>
          <w:b/>
          <w:sz w:val="28"/>
          <w:szCs w:val="28"/>
          <w:lang w:val="fr-FR"/>
        </w:rPr>
      </w:pPr>
      <w:r w:rsidRPr="00D453A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3845C1" w:rsidRPr="00D453AE" w:rsidRDefault="003845C1" w:rsidP="003845C1">
      <w:pPr>
        <w:rPr>
          <w:lang w:val="fr-FR"/>
        </w:rPr>
      </w:pPr>
    </w:p>
    <w:p w:rsidR="003845C1" w:rsidRPr="00D453AE" w:rsidRDefault="003845C1" w:rsidP="003845C1">
      <w:pPr>
        <w:rPr>
          <w:lang w:val="fr-FR"/>
        </w:rPr>
      </w:pPr>
    </w:p>
    <w:p w:rsidR="008B2CC1" w:rsidRPr="00D453AE" w:rsidRDefault="00463EE0" w:rsidP="008B2CC1">
      <w:pPr>
        <w:rPr>
          <w:b/>
          <w:sz w:val="24"/>
          <w:szCs w:val="24"/>
          <w:lang w:val="fr-FR"/>
        </w:rPr>
      </w:pPr>
      <w:r w:rsidRPr="00D453AE">
        <w:rPr>
          <w:b/>
          <w:sz w:val="24"/>
          <w:szCs w:val="24"/>
          <w:lang w:val="fr-FR"/>
        </w:rPr>
        <w:t>Vingt</w:t>
      </w:r>
      <w:r w:rsidR="00340524" w:rsidRPr="00D453AE">
        <w:rPr>
          <w:b/>
          <w:sz w:val="24"/>
          <w:szCs w:val="24"/>
          <w:lang w:val="fr-FR"/>
        </w:rPr>
        <w:t>-</w:t>
      </w:r>
      <w:r w:rsidRPr="00D453AE">
        <w:rPr>
          <w:b/>
          <w:sz w:val="24"/>
          <w:szCs w:val="24"/>
          <w:lang w:val="fr-FR"/>
        </w:rPr>
        <w:t>trois</w:t>
      </w:r>
      <w:r w:rsidR="00340524" w:rsidRPr="00D453AE">
        <w:rPr>
          <w:b/>
          <w:sz w:val="24"/>
          <w:szCs w:val="24"/>
          <w:lang w:val="fr-FR"/>
        </w:rPr>
        <w:t>ième session</w:t>
      </w:r>
    </w:p>
    <w:p w:rsidR="008B2CC1" w:rsidRPr="00D453AE" w:rsidRDefault="00463EE0" w:rsidP="008B2CC1">
      <w:pPr>
        <w:rPr>
          <w:b/>
          <w:sz w:val="24"/>
          <w:szCs w:val="24"/>
          <w:lang w:val="fr-FR"/>
        </w:rPr>
      </w:pPr>
      <w:r w:rsidRPr="00D453AE">
        <w:rPr>
          <w:b/>
          <w:sz w:val="24"/>
          <w:szCs w:val="24"/>
          <w:lang w:val="fr-FR"/>
        </w:rPr>
        <w:t>Genève, 20 – 24 mai 2019</w:t>
      </w:r>
    </w:p>
    <w:p w:rsidR="008B2CC1" w:rsidRPr="00D453AE" w:rsidRDefault="008B2CC1" w:rsidP="008B2CC1">
      <w:pPr>
        <w:rPr>
          <w:lang w:val="fr-FR"/>
        </w:rPr>
      </w:pPr>
    </w:p>
    <w:p w:rsidR="008B2CC1" w:rsidRPr="00D453AE" w:rsidRDefault="008B2CC1" w:rsidP="008B2CC1">
      <w:pPr>
        <w:rPr>
          <w:lang w:val="fr-FR"/>
        </w:rPr>
      </w:pPr>
    </w:p>
    <w:p w:rsidR="008B2CC1" w:rsidRPr="00D453AE" w:rsidRDefault="008B2CC1" w:rsidP="008B2CC1">
      <w:pPr>
        <w:rPr>
          <w:lang w:val="fr-FR"/>
        </w:rPr>
      </w:pPr>
    </w:p>
    <w:p w:rsidR="00774A99" w:rsidRPr="00D453AE" w:rsidRDefault="004C7874" w:rsidP="00774A99">
      <w:pPr>
        <w:rPr>
          <w:caps/>
          <w:sz w:val="24"/>
          <w:lang w:val="fr-FR"/>
        </w:rPr>
      </w:pPr>
      <w:bookmarkStart w:id="3" w:name="TitleOfDoc"/>
      <w:bookmarkEnd w:id="3"/>
      <w:r w:rsidRPr="00D453AE">
        <w:rPr>
          <w:caps/>
          <w:sz w:val="24"/>
          <w:lang w:val="fr-FR"/>
        </w:rPr>
        <w:t>Proposition de projet présentée par l</w:t>
      </w:r>
      <w:r w:rsidR="00340524" w:rsidRPr="00D453AE">
        <w:rPr>
          <w:caps/>
          <w:sz w:val="24"/>
          <w:lang w:val="fr-FR"/>
        </w:rPr>
        <w:t>’</w:t>
      </w:r>
      <w:r w:rsidRPr="00D453AE">
        <w:rPr>
          <w:caps/>
          <w:sz w:val="24"/>
          <w:lang w:val="fr-FR"/>
        </w:rPr>
        <w:t>État plurinational de Bolivie sur l</w:t>
      </w:r>
      <w:r w:rsidR="00340524" w:rsidRPr="00D453AE">
        <w:rPr>
          <w:caps/>
          <w:sz w:val="24"/>
          <w:lang w:val="fr-FR"/>
        </w:rPr>
        <w:t>’</w:t>
      </w:r>
      <w:r w:rsidRPr="00D453AE">
        <w:rPr>
          <w:caps/>
          <w:sz w:val="24"/>
          <w:lang w:val="fr-FR"/>
        </w:rPr>
        <w:t>enregistrement des marques collectives des entreprises locales en tant qu</w:t>
      </w:r>
      <w:r w:rsidR="00340524" w:rsidRPr="00D453AE">
        <w:rPr>
          <w:caps/>
          <w:sz w:val="24"/>
          <w:lang w:val="fr-FR"/>
        </w:rPr>
        <w:t>’</w:t>
      </w:r>
      <w:r w:rsidRPr="00D453AE">
        <w:rPr>
          <w:caps/>
          <w:sz w:val="24"/>
          <w:lang w:val="fr-FR"/>
        </w:rPr>
        <w:t>axe transversal du développement économique</w:t>
      </w: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rPr>
          <w:i/>
          <w:lang w:val="fr-FR"/>
        </w:rPr>
      </w:pPr>
      <w:bookmarkStart w:id="4" w:name="Prepared"/>
      <w:bookmarkEnd w:id="4"/>
      <w:proofErr w:type="gramStart"/>
      <w:r w:rsidRPr="00D453AE">
        <w:rPr>
          <w:i/>
          <w:lang w:val="fr-FR"/>
        </w:rPr>
        <w:t>établie</w:t>
      </w:r>
      <w:proofErr w:type="gramEnd"/>
      <w:r w:rsidRPr="00D453AE">
        <w:rPr>
          <w:i/>
          <w:lang w:val="fr-FR"/>
        </w:rPr>
        <w:t xml:space="preserve"> par le Secrétariat</w:t>
      </w: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rPr>
          <w:lang w:val="fr-FR"/>
        </w:rPr>
      </w:pPr>
    </w:p>
    <w:p w:rsidR="004C7874" w:rsidRPr="00D453AE" w:rsidRDefault="004C7874" w:rsidP="00774A99">
      <w:pPr>
        <w:rPr>
          <w:lang w:val="fr-FR"/>
        </w:rPr>
      </w:pPr>
    </w:p>
    <w:p w:rsidR="00774A99" w:rsidRPr="00D453AE" w:rsidRDefault="00774A99" w:rsidP="00774A99">
      <w:pPr>
        <w:rPr>
          <w:lang w:val="fr-FR"/>
        </w:rPr>
      </w:pPr>
    </w:p>
    <w:p w:rsidR="004C7874" w:rsidRPr="00D453AE" w:rsidRDefault="00774A99" w:rsidP="004C7874">
      <w:pPr>
        <w:pStyle w:val="ONUMFS"/>
        <w:rPr>
          <w:lang w:val="fr-FR"/>
        </w:rPr>
      </w:pPr>
      <w:r w:rsidRPr="00D453AE">
        <w:rPr>
          <w:lang w:val="fr-FR"/>
        </w:rPr>
        <w:t>Dans une communication datée du 21 mars 2019 et adressée au Secrétariat, la Mission permanente de l</w:t>
      </w:r>
      <w:r w:rsidR="00340524" w:rsidRPr="00D453AE">
        <w:rPr>
          <w:lang w:val="fr-FR"/>
        </w:rPr>
        <w:t>’</w:t>
      </w:r>
      <w:r w:rsidRPr="00D453AE">
        <w:rPr>
          <w:lang w:val="fr-FR"/>
        </w:rPr>
        <w:t>État plurinational de Bolivie auprès de l</w:t>
      </w:r>
      <w:r w:rsidR="00340524" w:rsidRPr="00D453AE">
        <w:rPr>
          <w:lang w:val="fr-FR"/>
        </w:rPr>
        <w:t>’</w:t>
      </w:r>
      <w:r w:rsidRPr="00D453AE">
        <w:rPr>
          <w:lang w:val="fr-FR"/>
        </w:rPr>
        <w:t xml:space="preserve">Office des </w:t>
      </w:r>
      <w:r w:rsidR="00340524" w:rsidRPr="00D453AE">
        <w:rPr>
          <w:lang w:val="fr-FR"/>
        </w:rPr>
        <w:t>Nations Unies</w:t>
      </w:r>
      <w:r w:rsidRPr="00D453AE">
        <w:rPr>
          <w:lang w:val="fr-FR"/>
        </w:rPr>
        <w:t xml:space="preserve"> et des autres organisations internationales ayant leur siège à Genève a présenté, pour examen par</w:t>
      </w:r>
      <w:r w:rsidR="00340524" w:rsidRPr="00D453AE">
        <w:rPr>
          <w:lang w:val="fr-FR"/>
        </w:rPr>
        <w:t xml:space="preserve"> le CDI</w:t>
      </w:r>
      <w:r w:rsidRPr="00D453AE">
        <w:rPr>
          <w:lang w:val="fr-FR"/>
        </w:rPr>
        <w:t>P à sa vingt</w:t>
      </w:r>
      <w:r w:rsidR="00340524" w:rsidRPr="00D453AE">
        <w:rPr>
          <w:lang w:val="fr-FR"/>
        </w:rPr>
        <w:t>-</w:t>
      </w:r>
      <w:r w:rsidRPr="00D453AE">
        <w:rPr>
          <w:lang w:val="fr-FR"/>
        </w:rPr>
        <w:t>trois</w:t>
      </w:r>
      <w:r w:rsidR="00340524" w:rsidRPr="00D453AE">
        <w:rPr>
          <w:lang w:val="fr-FR"/>
        </w:rPr>
        <w:t>ième session</w:t>
      </w:r>
      <w:r w:rsidRPr="00D453AE">
        <w:rPr>
          <w:lang w:val="fr-FR"/>
        </w:rPr>
        <w:t>, une proposition de projet concernant l</w:t>
      </w:r>
      <w:r w:rsidR="00340524" w:rsidRPr="00D453AE">
        <w:rPr>
          <w:lang w:val="fr-FR"/>
        </w:rPr>
        <w:t>’</w:t>
      </w:r>
      <w:r w:rsidRPr="00D453AE">
        <w:rPr>
          <w:lang w:val="fr-FR"/>
        </w:rPr>
        <w:t>enregistrement des marques collectives des entreprises locales en tant qu</w:t>
      </w:r>
      <w:r w:rsidR="00340524" w:rsidRPr="00D453AE">
        <w:rPr>
          <w:lang w:val="fr-FR"/>
        </w:rPr>
        <w:t>’</w:t>
      </w:r>
      <w:r w:rsidRPr="00D453AE">
        <w:rPr>
          <w:lang w:val="fr-FR"/>
        </w:rPr>
        <w:t>axe transversal du développement économique.</w:t>
      </w:r>
    </w:p>
    <w:p w:rsidR="004C7874" w:rsidRPr="00D453AE" w:rsidRDefault="00774A99" w:rsidP="004C7874">
      <w:pPr>
        <w:pStyle w:val="ONUMFS"/>
        <w:rPr>
          <w:lang w:val="fr-FR"/>
        </w:rPr>
      </w:pPr>
      <w:r w:rsidRPr="00D453AE">
        <w:rPr>
          <w:lang w:val="fr-FR"/>
        </w:rPr>
        <w:t>La communication susmentionnée et la proposition de projet figurent à l</w:t>
      </w:r>
      <w:r w:rsidR="00340524" w:rsidRPr="00D453AE">
        <w:rPr>
          <w:lang w:val="fr-FR"/>
        </w:rPr>
        <w:t>’</w:t>
      </w:r>
      <w:r w:rsidRPr="00D453AE">
        <w:rPr>
          <w:lang w:val="fr-FR"/>
        </w:rPr>
        <w:t>annexe du présent document.</w:t>
      </w:r>
    </w:p>
    <w:p w:rsidR="00774A99" w:rsidRPr="00D453AE" w:rsidRDefault="00774A99" w:rsidP="004C7874">
      <w:pPr>
        <w:pStyle w:val="ONUMFS"/>
        <w:ind w:left="5533"/>
        <w:rPr>
          <w:i/>
          <w:lang w:val="fr-FR"/>
        </w:rPr>
      </w:pPr>
      <w:r w:rsidRPr="00D453AE">
        <w:rPr>
          <w:i/>
          <w:lang w:val="fr-FR"/>
        </w:rPr>
        <w:t>Le comité est invité à examiner l</w:t>
      </w:r>
      <w:r w:rsidR="00340524" w:rsidRPr="00D453AE">
        <w:rPr>
          <w:i/>
          <w:lang w:val="fr-FR"/>
        </w:rPr>
        <w:t>’</w:t>
      </w:r>
      <w:r w:rsidRPr="00D453AE">
        <w:rPr>
          <w:i/>
          <w:lang w:val="fr-FR"/>
        </w:rPr>
        <w:t>annexe du présent document.</w:t>
      </w: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4C7874">
      <w:pPr>
        <w:pStyle w:val="Endofdocument-Annex"/>
        <w:rPr>
          <w:lang w:val="fr-FR"/>
        </w:rPr>
      </w:pPr>
      <w:r w:rsidRPr="00D453AE">
        <w:rPr>
          <w:lang w:val="fr-FR"/>
        </w:rPr>
        <w:t>[L</w:t>
      </w:r>
      <w:r w:rsidR="00340524" w:rsidRPr="00D453AE">
        <w:rPr>
          <w:lang w:val="fr-FR"/>
        </w:rPr>
        <w:t>’</w:t>
      </w:r>
      <w:r w:rsidRPr="00D453AE">
        <w:rPr>
          <w:lang w:val="fr-FR"/>
        </w:rPr>
        <w:t>annexe suit]</w:t>
      </w:r>
    </w:p>
    <w:p w:rsidR="004C7874" w:rsidRPr="00D453AE" w:rsidRDefault="004C7874" w:rsidP="00774A99">
      <w:pPr>
        <w:rPr>
          <w:lang w:val="fr-FR"/>
        </w:rPr>
        <w:sectPr w:rsidR="004C7874" w:rsidRPr="00D453AE" w:rsidSect="00627C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tabs>
          <w:tab w:val="left" w:pos="1985"/>
          <w:tab w:val="center" w:pos="7088"/>
        </w:tabs>
        <w:rPr>
          <w:b/>
          <w:szCs w:val="22"/>
          <w:lang w:val="fr-FR"/>
        </w:rPr>
      </w:pPr>
      <w:r w:rsidRPr="00D453AE">
        <w:rPr>
          <w:b/>
          <w:szCs w:val="22"/>
          <w:lang w:val="fr-FR"/>
        </w:rPr>
        <w:t>Traduction d</w:t>
      </w:r>
      <w:r w:rsidR="00340524" w:rsidRPr="00D453AE">
        <w:rPr>
          <w:b/>
          <w:szCs w:val="22"/>
          <w:lang w:val="fr-FR"/>
        </w:rPr>
        <w:t>’</w:t>
      </w:r>
      <w:r w:rsidRPr="00D453AE">
        <w:rPr>
          <w:b/>
          <w:szCs w:val="22"/>
          <w:lang w:val="fr-FR"/>
        </w:rPr>
        <w:t>une lettre datée du 21 mars 2019 (référence [MBNU – 300])</w:t>
      </w:r>
    </w:p>
    <w:p w:rsidR="00774A99" w:rsidRPr="00D453AE" w:rsidRDefault="00774A99" w:rsidP="00774A99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74A99" w:rsidRPr="00D453AE" w:rsidRDefault="00774A99" w:rsidP="00774A99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74A99" w:rsidRPr="00D453AE" w:rsidRDefault="00774A99" w:rsidP="00774A99">
      <w:pPr>
        <w:tabs>
          <w:tab w:val="right" w:pos="2552"/>
          <w:tab w:val="left" w:pos="3119"/>
        </w:tabs>
        <w:ind w:left="3119" w:hanging="3119"/>
        <w:rPr>
          <w:szCs w:val="22"/>
          <w:lang w:val="fr-FR"/>
        </w:rPr>
      </w:pPr>
      <w:r w:rsidRPr="00D453AE">
        <w:rPr>
          <w:szCs w:val="22"/>
          <w:lang w:val="fr-FR"/>
        </w:rPr>
        <w:tab/>
      </w:r>
      <w:proofErr w:type="gramStart"/>
      <w:r w:rsidRPr="00D453AE">
        <w:rPr>
          <w:b/>
          <w:szCs w:val="22"/>
          <w:lang w:val="fr-FR"/>
        </w:rPr>
        <w:t>adressée</w:t>
      </w:r>
      <w:proofErr w:type="gramEnd"/>
      <w:r w:rsidRPr="00D453AE">
        <w:rPr>
          <w:b/>
          <w:szCs w:val="22"/>
          <w:lang w:val="fr-FR"/>
        </w:rPr>
        <w:t xml:space="preserve"> par</w:t>
      </w:r>
      <w:r w:rsidR="00340524" w:rsidRPr="00D453AE">
        <w:rPr>
          <w:b/>
          <w:szCs w:val="22"/>
          <w:lang w:val="fr-FR"/>
        </w:rPr>
        <w:t> :</w:t>
      </w:r>
      <w:r w:rsidR="006C68C7" w:rsidRPr="00D453AE">
        <w:rPr>
          <w:b/>
          <w:szCs w:val="22"/>
          <w:lang w:val="fr-FR"/>
        </w:rPr>
        <w:t xml:space="preserve"> </w:t>
      </w:r>
      <w:r w:rsidRPr="00D453AE">
        <w:rPr>
          <w:b/>
          <w:lang w:val="fr-FR"/>
        </w:rPr>
        <w:tab/>
      </w:r>
      <w:r w:rsidRPr="00D453AE">
        <w:rPr>
          <w:rStyle w:val="ONUMFSChar"/>
          <w:lang w:val="fr-FR"/>
        </w:rPr>
        <w:t>Mission permanente de l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>État plurinational de Bolivie auprès de l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 xml:space="preserve">Office des </w:t>
      </w:r>
      <w:r w:rsidR="00340524" w:rsidRPr="00D453AE">
        <w:rPr>
          <w:rStyle w:val="ONUMFSChar"/>
          <w:lang w:val="fr-FR"/>
        </w:rPr>
        <w:t>Nations Unies</w:t>
      </w:r>
      <w:r w:rsidRPr="00D453AE">
        <w:rPr>
          <w:rStyle w:val="ONUMFSChar"/>
          <w:lang w:val="fr-FR"/>
        </w:rPr>
        <w:t xml:space="preserve"> et des autres organisations internationales ayant leur siège à Genève</w:t>
      </w:r>
    </w:p>
    <w:p w:rsidR="00774A99" w:rsidRPr="00D453AE" w:rsidRDefault="00774A99" w:rsidP="00774A99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774A99" w:rsidRPr="00D453AE" w:rsidRDefault="00774A99" w:rsidP="00774A99">
      <w:pPr>
        <w:tabs>
          <w:tab w:val="right" w:pos="2552"/>
          <w:tab w:val="left" w:pos="3119"/>
        </w:tabs>
        <w:ind w:left="3119" w:hanging="3119"/>
        <w:rPr>
          <w:b/>
          <w:szCs w:val="22"/>
          <w:lang w:val="fr-FR"/>
        </w:rPr>
      </w:pPr>
      <w:r w:rsidRPr="00D453AE">
        <w:rPr>
          <w:szCs w:val="22"/>
          <w:lang w:val="fr-FR"/>
        </w:rPr>
        <w:tab/>
      </w:r>
      <w:proofErr w:type="gramStart"/>
      <w:r w:rsidRPr="00D453AE">
        <w:rPr>
          <w:b/>
          <w:szCs w:val="22"/>
          <w:lang w:val="fr-FR"/>
        </w:rPr>
        <w:t>à</w:t>
      </w:r>
      <w:proofErr w:type="gramEnd"/>
      <w:r w:rsidR="00340524" w:rsidRPr="00D453AE">
        <w:rPr>
          <w:b/>
          <w:szCs w:val="22"/>
          <w:lang w:val="fr-FR"/>
        </w:rPr>
        <w:t> :</w:t>
      </w:r>
      <w:r w:rsidR="006C68C7" w:rsidRPr="00D453AE">
        <w:rPr>
          <w:b/>
          <w:szCs w:val="22"/>
          <w:lang w:val="fr-FR"/>
        </w:rPr>
        <w:t xml:space="preserve"> </w:t>
      </w:r>
      <w:r w:rsidRPr="00D453AE">
        <w:rPr>
          <w:b/>
          <w:szCs w:val="22"/>
          <w:lang w:val="fr-FR"/>
        </w:rPr>
        <w:tab/>
      </w:r>
      <w:r w:rsidRPr="00D453AE">
        <w:rPr>
          <w:szCs w:val="22"/>
          <w:lang w:val="fr-FR"/>
        </w:rPr>
        <w:t>Secrétariat de l</w:t>
      </w:r>
      <w:r w:rsidR="00340524" w:rsidRPr="00D453AE">
        <w:rPr>
          <w:szCs w:val="22"/>
          <w:lang w:val="fr-FR"/>
        </w:rPr>
        <w:t>’</w:t>
      </w:r>
      <w:r w:rsidRPr="00D453AE">
        <w:rPr>
          <w:szCs w:val="22"/>
          <w:lang w:val="fr-FR"/>
        </w:rPr>
        <w:t>OMPI</w:t>
      </w:r>
    </w:p>
    <w:p w:rsidR="00774A99" w:rsidRPr="00D453AE" w:rsidRDefault="00774A99" w:rsidP="00774A99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74A99" w:rsidRPr="00D453AE" w:rsidRDefault="00774A99" w:rsidP="00774A99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74A99" w:rsidRPr="00D453AE" w:rsidRDefault="00774A99" w:rsidP="00774A99">
      <w:pPr>
        <w:tabs>
          <w:tab w:val="left" w:pos="1985"/>
          <w:tab w:val="center" w:pos="7088"/>
        </w:tabs>
        <w:rPr>
          <w:szCs w:val="22"/>
          <w:lang w:val="fr-FR"/>
        </w:rPr>
      </w:pPr>
      <w:r w:rsidRPr="00D453AE">
        <w:rPr>
          <w:b/>
          <w:szCs w:val="22"/>
          <w:lang w:val="fr-FR"/>
        </w:rPr>
        <w:t>Objet</w:t>
      </w:r>
      <w:r w:rsidR="00340524" w:rsidRPr="00D453AE">
        <w:rPr>
          <w:b/>
          <w:szCs w:val="22"/>
          <w:lang w:val="fr-FR"/>
        </w:rPr>
        <w:t> :</w:t>
      </w:r>
      <w:r w:rsidRPr="00D453AE">
        <w:rPr>
          <w:szCs w:val="22"/>
          <w:lang w:val="fr-FR"/>
        </w:rPr>
        <w:t xml:space="preserve"> </w:t>
      </w:r>
      <w:r w:rsidRPr="00D453AE">
        <w:rPr>
          <w:rStyle w:val="ONUMFSChar"/>
          <w:lang w:val="fr-FR"/>
        </w:rPr>
        <w:t>Proposition de projet concernant l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>enregistrement des marques collectives des entreprises locales en tant qu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>axe transversal du développement économique</w:t>
      </w:r>
    </w:p>
    <w:p w:rsidR="00774A99" w:rsidRPr="00D453AE" w:rsidRDefault="00774A99" w:rsidP="00774A99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74A99" w:rsidRPr="00D453AE" w:rsidRDefault="00774A99" w:rsidP="00774A99">
      <w:pPr>
        <w:tabs>
          <w:tab w:val="left" w:pos="1985"/>
          <w:tab w:val="center" w:pos="7088"/>
        </w:tabs>
        <w:rPr>
          <w:szCs w:val="22"/>
          <w:lang w:val="fr-FR"/>
        </w:rPr>
      </w:pPr>
    </w:p>
    <w:p w:rsidR="00774A99" w:rsidRPr="00D453AE" w:rsidRDefault="00774A99" w:rsidP="00774A99">
      <w:pPr>
        <w:rPr>
          <w:lang w:val="fr-FR" w:eastAsia="en-US"/>
        </w:rPr>
      </w:pPr>
      <w:r w:rsidRPr="00D453AE">
        <w:rPr>
          <w:lang w:val="fr-FR" w:eastAsia="en-US"/>
        </w:rPr>
        <w:t>La Mission permanente de l</w:t>
      </w:r>
      <w:r w:rsidR="00340524" w:rsidRPr="00D453AE">
        <w:rPr>
          <w:lang w:val="fr-FR" w:eastAsia="en-US"/>
        </w:rPr>
        <w:t>’</w:t>
      </w:r>
      <w:r w:rsidRPr="00D453AE">
        <w:rPr>
          <w:lang w:val="fr-FR" w:eastAsia="en-US"/>
        </w:rPr>
        <w:t xml:space="preserve">État plurinational de Bolivie </w:t>
      </w:r>
      <w:r w:rsidRPr="00D453AE">
        <w:rPr>
          <w:rStyle w:val="ONUMFSChar"/>
          <w:lang w:val="fr-FR"/>
        </w:rPr>
        <w:t>auprès de l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 xml:space="preserve">Office des </w:t>
      </w:r>
      <w:r w:rsidR="00340524" w:rsidRPr="00D453AE">
        <w:rPr>
          <w:rStyle w:val="ONUMFSChar"/>
          <w:lang w:val="fr-FR"/>
        </w:rPr>
        <w:t>Nations Unies</w:t>
      </w:r>
      <w:r w:rsidRPr="00D453AE">
        <w:rPr>
          <w:rStyle w:val="ONUMFSChar"/>
          <w:lang w:val="fr-FR"/>
        </w:rPr>
        <w:t xml:space="preserve"> et des autres organisations internationales ayant leur siège à Genève</w:t>
      </w:r>
      <w:r w:rsidRPr="00D453AE">
        <w:rPr>
          <w:lang w:val="fr-FR" w:eastAsia="en-US"/>
        </w:rPr>
        <w:t xml:space="preserve"> présente ses compliments au Secrétariat de l</w:t>
      </w:r>
      <w:r w:rsidR="00340524" w:rsidRPr="00D453AE">
        <w:rPr>
          <w:lang w:val="fr-FR" w:eastAsia="en-US"/>
        </w:rPr>
        <w:t>’</w:t>
      </w:r>
      <w:r w:rsidRPr="00D453AE">
        <w:rPr>
          <w:lang w:val="fr-FR" w:eastAsia="en-US"/>
        </w:rPr>
        <w:t xml:space="preserve">Organisation Mondiale de la Propriété Intellectuelle (OMPI) et présente le projet de </w:t>
      </w:r>
      <w:r w:rsidR="006C68C7" w:rsidRPr="00D453AE">
        <w:rPr>
          <w:lang w:val="fr-FR" w:eastAsia="en-US"/>
        </w:rPr>
        <w:t>l’État plurinational de</w:t>
      </w:r>
      <w:r w:rsidRPr="00D453AE">
        <w:rPr>
          <w:lang w:val="fr-FR" w:eastAsia="en-US"/>
        </w:rPr>
        <w:t xml:space="preserve"> Bolivie sur les marques collectives pour examen par le Comité du développement et de la propriété intellectuelle de l</w:t>
      </w:r>
      <w:r w:rsidR="00340524" w:rsidRPr="00D453AE">
        <w:rPr>
          <w:lang w:val="fr-FR" w:eastAsia="en-US"/>
        </w:rPr>
        <w:t>’</w:t>
      </w:r>
      <w:r w:rsidRPr="00D453AE">
        <w:rPr>
          <w:lang w:val="fr-FR" w:eastAsia="en-US"/>
        </w:rPr>
        <w:t>Organisation Mondiale de la Propriété Intellectuelle à sa</w:t>
      </w:r>
      <w:r w:rsidR="00D453AE">
        <w:rPr>
          <w:lang w:val="fr-FR" w:eastAsia="en-US"/>
        </w:rPr>
        <w:t xml:space="preserve"> </w:t>
      </w:r>
      <w:r w:rsidR="00D453AE" w:rsidRPr="00D453AE">
        <w:rPr>
          <w:lang w:val="fr-FR" w:eastAsia="en-US"/>
        </w:rPr>
        <w:t>vingt</w:t>
      </w:r>
      <w:r w:rsidR="00D453AE">
        <w:rPr>
          <w:lang w:val="fr-FR" w:eastAsia="en-US"/>
        </w:rPr>
        <w:t>-</w:t>
      </w:r>
      <w:r w:rsidR="00D453AE" w:rsidRPr="00D453AE">
        <w:rPr>
          <w:lang w:val="fr-FR" w:eastAsia="en-US"/>
        </w:rPr>
        <w:t>troisième </w:t>
      </w:r>
      <w:r w:rsidR="00340524" w:rsidRPr="00D453AE">
        <w:rPr>
          <w:lang w:val="fr-FR" w:eastAsia="en-US"/>
        </w:rPr>
        <w:t>session</w:t>
      </w:r>
      <w:r w:rsidRPr="00D453AE">
        <w:rPr>
          <w:lang w:val="fr-FR" w:eastAsia="en-US"/>
        </w:rPr>
        <w:t xml:space="preserve"> qui se tiendra du 20 au 24 mai 2019 à Genève (Suisse).</w:t>
      </w:r>
    </w:p>
    <w:p w:rsidR="00774A99" w:rsidRPr="00D453AE" w:rsidRDefault="00774A99" w:rsidP="00774A99">
      <w:pPr>
        <w:rPr>
          <w:lang w:val="fr-FR" w:eastAsia="en-US"/>
        </w:rPr>
      </w:pPr>
    </w:p>
    <w:p w:rsidR="00774A99" w:rsidRPr="00D453AE" w:rsidRDefault="00774A99" w:rsidP="00774A99">
      <w:pPr>
        <w:rPr>
          <w:lang w:val="fr-FR" w:eastAsia="en-US"/>
        </w:rPr>
      </w:pPr>
      <w:r w:rsidRPr="00D453AE">
        <w:rPr>
          <w:lang w:val="fr-FR" w:eastAsia="en-US"/>
        </w:rPr>
        <w:t>La Mission permanente de l</w:t>
      </w:r>
      <w:r w:rsidR="00340524" w:rsidRPr="00D453AE">
        <w:rPr>
          <w:lang w:val="fr-FR" w:eastAsia="en-US"/>
        </w:rPr>
        <w:t>’</w:t>
      </w:r>
      <w:r w:rsidRPr="00D453AE">
        <w:rPr>
          <w:lang w:val="fr-FR" w:eastAsia="en-US"/>
        </w:rPr>
        <w:t xml:space="preserve">État plurinational de Bolivie </w:t>
      </w:r>
      <w:r w:rsidRPr="00D453AE">
        <w:rPr>
          <w:rStyle w:val="ONUMFSChar"/>
          <w:lang w:val="fr-FR"/>
        </w:rPr>
        <w:t>auprès de l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 xml:space="preserve">Office des </w:t>
      </w:r>
      <w:r w:rsidR="00340524" w:rsidRPr="00D453AE">
        <w:rPr>
          <w:rStyle w:val="ONUMFSChar"/>
          <w:lang w:val="fr-FR"/>
        </w:rPr>
        <w:t>Nations Unies</w:t>
      </w:r>
      <w:r w:rsidRPr="00D453AE">
        <w:rPr>
          <w:rStyle w:val="ONUMFSChar"/>
          <w:lang w:val="fr-FR"/>
        </w:rPr>
        <w:t xml:space="preserve"> et des autres organisations internationales ayant leur siège à Genève se félicite de l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>occasion qui lui est donnée de réitérer au Secrétariat de l</w:t>
      </w:r>
      <w:r w:rsidR="00340524" w:rsidRPr="00D453AE">
        <w:rPr>
          <w:rStyle w:val="ONUMFSChar"/>
          <w:lang w:val="fr-FR"/>
        </w:rPr>
        <w:t>’</w:t>
      </w:r>
      <w:r w:rsidRPr="00D453AE">
        <w:rPr>
          <w:rStyle w:val="ONUMFSChar"/>
          <w:lang w:val="fr-FR"/>
        </w:rPr>
        <w:t>OMPI les assurances de sa très haute considération.</w:t>
      </w:r>
    </w:p>
    <w:p w:rsidR="00774A99" w:rsidRPr="00D453AE" w:rsidRDefault="00774A99" w:rsidP="00774A99">
      <w:pPr>
        <w:rPr>
          <w:lang w:val="fr-FR" w:eastAsia="en-US"/>
        </w:rPr>
      </w:pPr>
    </w:p>
    <w:p w:rsidR="00774A99" w:rsidRPr="00D453AE" w:rsidRDefault="00774A99" w:rsidP="00774A99">
      <w:pPr>
        <w:rPr>
          <w:lang w:val="fr-FR"/>
        </w:rPr>
      </w:pPr>
    </w:p>
    <w:p w:rsidR="00340524" w:rsidRPr="00D453AE" w:rsidRDefault="00340524">
      <w:pPr>
        <w:rPr>
          <w:lang w:val="fr-FR"/>
        </w:rPr>
      </w:pPr>
      <w:r w:rsidRPr="00D453AE">
        <w:rPr>
          <w:lang w:val="fr-FR"/>
        </w:rPr>
        <w:br w:type="page"/>
      </w:r>
    </w:p>
    <w:p w:rsidR="00774A99" w:rsidRPr="00D453AE" w:rsidRDefault="00774A99" w:rsidP="00774A99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B40000"/>
        </w:tblBorders>
        <w:tblLook w:val="04A0" w:firstRow="1" w:lastRow="0" w:firstColumn="1" w:lastColumn="0" w:noHBand="0" w:noVBand="1"/>
      </w:tblPr>
      <w:tblGrid>
        <w:gridCol w:w="5771"/>
        <w:gridCol w:w="3587"/>
      </w:tblGrid>
      <w:tr w:rsidR="00340524" w:rsidRPr="00D453AE" w:rsidTr="0045736E">
        <w:tc>
          <w:tcPr>
            <w:tcW w:w="4673" w:type="dxa"/>
            <w:shd w:val="clear" w:color="auto" w:fill="auto"/>
          </w:tcPr>
          <w:p w:rsidR="00340524" w:rsidRPr="00D453AE" w:rsidRDefault="00692A84" w:rsidP="00340524">
            <w:pPr>
              <w:rPr>
                <w:lang w:val="fr-FR"/>
              </w:rPr>
            </w:pPr>
            <w:r w:rsidRPr="00BE07A4"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3528000" cy="540000"/>
                      <wp:effectExtent l="0" t="0" r="0" b="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A84" w:rsidRPr="004A29D8" w:rsidRDefault="00692A84" w:rsidP="0045736E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5" o:spid="_x0000_s1026" style="width:277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" fillcolor="#9e0000" stroked="f" strokeweight="1pt">
                      <v:textbox>
                        <w:txbxContent>
                          <w:p w:rsidR="00692A84" w:rsidRPr="004A29D8" w:rsidRDefault="00692A84" w:rsidP="0045736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3" w:type="dxa"/>
            <w:shd w:val="clear" w:color="auto" w:fill="auto"/>
          </w:tcPr>
          <w:p w:rsidR="00340524" w:rsidRPr="00D453AE" w:rsidRDefault="00340524" w:rsidP="00340524">
            <w:pPr>
              <w:rPr>
                <w:lang w:val="fr-FR"/>
              </w:rPr>
            </w:pPr>
          </w:p>
        </w:tc>
      </w:tr>
      <w:tr w:rsidR="00340524" w:rsidRPr="00D453AE" w:rsidTr="0045736E">
        <w:tc>
          <w:tcPr>
            <w:tcW w:w="4673" w:type="dxa"/>
          </w:tcPr>
          <w:p w:rsidR="0045736E" w:rsidRPr="0045736E" w:rsidRDefault="0045736E" w:rsidP="00692A84">
            <w:pPr>
              <w:rPr>
                <w:sz w:val="12"/>
                <w:lang w:val="fr-FR"/>
              </w:rPr>
            </w:pPr>
          </w:p>
          <w:p w:rsidR="00340524" w:rsidRDefault="00340524" w:rsidP="00692A84">
            <w:pPr>
              <w:rPr>
                <w:lang w:val="fr-FR"/>
              </w:rPr>
            </w:pPr>
            <w:r w:rsidRPr="00D453AE">
              <w:rPr>
                <w:rFonts w:ascii="Segoe UI Light" w:hAnsi="Segoe UI Light" w:cs="Segoe UI Light"/>
                <w:noProof/>
                <w:sz w:val="20"/>
                <w:lang w:val="en-US" w:eastAsia="en-US"/>
              </w:rPr>
              <w:drawing>
                <wp:inline distT="0" distB="0" distL="0" distR="0" wp14:anchorId="4587BEFD" wp14:editId="03B6BEAA">
                  <wp:extent cx="3528000" cy="4740025"/>
                  <wp:effectExtent l="0" t="0" r="0" b="3810"/>
                  <wp:docPr id="2" name="Imagen 3" descr="E:\Planificación\2018\Varios\Imágenes\216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lanificación\2018\Varios\Imágenes\2163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80" r="6049"/>
                          <a:stretch/>
                        </pic:blipFill>
                        <pic:spPr bwMode="auto">
                          <a:xfrm>
                            <a:off x="0" y="0"/>
                            <a:ext cx="3528000" cy="474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736E" w:rsidRPr="0045736E" w:rsidRDefault="0045736E" w:rsidP="00692A84">
            <w:pPr>
              <w:rPr>
                <w:sz w:val="12"/>
                <w:lang w:val="fr-FR"/>
              </w:rPr>
            </w:pPr>
          </w:p>
        </w:tc>
        <w:tc>
          <w:tcPr>
            <w:tcW w:w="4673" w:type="dxa"/>
            <w:vAlign w:val="center"/>
          </w:tcPr>
          <w:p w:rsidR="00340524" w:rsidRPr="00D453AE" w:rsidRDefault="00340524" w:rsidP="00340524">
            <w:pPr>
              <w:pStyle w:val="NoSpacing"/>
              <w:rPr>
                <w:rFonts w:ascii="Britannic Bold" w:hAnsi="Britannic Bold" w:cs="Segoe UI Light"/>
                <w:b/>
                <w:color w:val="5D5C2E"/>
                <w:sz w:val="72"/>
                <w:szCs w:val="20"/>
                <w:lang w:val="fr-FR"/>
              </w:rPr>
            </w:pPr>
            <w:r w:rsidRPr="00D453AE">
              <w:rPr>
                <w:rFonts w:ascii="Britannic Bold" w:hAnsi="Britannic Bold" w:cs="Segoe UI Light"/>
                <w:b/>
                <w:color w:val="5D5C2E"/>
                <w:sz w:val="72"/>
                <w:szCs w:val="20"/>
                <w:lang w:val="fr-FR"/>
              </w:rPr>
              <w:t>PROJET</w:t>
            </w:r>
          </w:p>
          <w:p w:rsidR="00340524" w:rsidRPr="00D453AE" w:rsidRDefault="00340524" w:rsidP="00340524">
            <w:pPr>
              <w:pStyle w:val="NoSpacing"/>
              <w:jc w:val="both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t xml:space="preserve">Enregistrement des marques collectives des entreprises locales </w:t>
            </w:r>
            <w:r w:rsidR="00C708D6">
              <w:rPr>
                <w:rFonts w:ascii="Segoe UI Light" w:hAnsi="Segoe UI Light" w:cs="Segoe UI Light"/>
                <w:lang w:val="fr-FR"/>
              </w:rPr>
              <w:t>en tant qu’</w:t>
            </w:r>
            <w:r w:rsidRPr="00D453AE">
              <w:rPr>
                <w:rFonts w:ascii="Segoe UI Light" w:hAnsi="Segoe UI Light" w:cs="Segoe UI Light"/>
                <w:lang w:val="fr-FR"/>
              </w:rPr>
              <w:t>axe transversal du</w:t>
            </w:r>
            <w:r w:rsidRPr="00D453AE">
              <w:rPr>
                <w:rFonts w:ascii="Britannic Bold" w:hAnsi="Britannic Bold" w:cs="Segoe UI Light"/>
                <w:color w:val="5D5C2E"/>
                <w:lang w:val="fr-FR"/>
              </w:rPr>
              <w:t xml:space="preserve"> </w:t>
            </w:r>
            <w:r w:rsidR="00C708D6">
              <w:rPr>
                <w:rFonts w:ascii="Segoe UI Light" w:hAnsi="Segoe UI Light" w:cs="Segoe UI Light"/>
                <w:lang w:val="fr-FR"/>
              </w:rPr>
              <w:t>développement économique</w:t>
            </w:r>
          </w:p>
          <w:p w:rsidR="00340524" w:rsidRPr="00D453AE" w:rsidRDefault="00340524" w:rsidP="00340524">
            <w:pPr>
              <w:pStyle w:val="NoSpacing"/>
              <w:rPr>
                <w:rFonts w:ascii="Britannic Bold" w:hAnsi="Britannic Bold"/>
                <w:b/>
                <w:color w:val="B40000"/>
                <w:sz w:val="26"/>
                <w:szCs w:val="26"/>
                <w:lang w:val="fr-FR"/>
              </w:rPr>
            </w:pPr>
            <w:r w:rsidRPr="0045736E">
              <w:rPr>
                <w:rFonts w:ascii="Britannic Bold" w:hAnsi="Britannic Bold"/>
                <w:b/>
                <w:color w:val="B40000"/>
                <w:sz w:val="26"/>
                <w:szCs w:val="26"/>
                <w:lang w:val="fr-FR"/>
              </w:rPr>
              <w:t>SERVICE</w:t>
            </w:r>
            <w:r w:rsidRPr="00D453AE">
              <w:rPr>
                <w:rFonts w:ascii="Britannic Bold" w:hAnsi="Britannic Bold"/>
                <w:b/>
                <w:color w:val="B40000"/>
                <w:sz w:val="26"/>
                <w:szCs w:val="26"/>
                <w:lang w:val="fr-FR"/>
              </w:rPr>
              <w:t xml:space="preserve"> NATIO</w:t>
            </w:r>
            <w:r w:rsidR="00E17FC1">
              <w:rPr>
                <w:rFonts w:ascii="Britannic Bold" w:hAnsi="Britannic Bold"/>
                <w:b/>
                <w:color w:val="B40000"/>
                <w:sz w:val="26"/>
                <w:szCs w:val="26"/>
                <w:lang w:val="fr-FR"/>
              </w:rPr>
              <w:t xml:space="preserve">NAL DE PROPRIÉTÉ INTELLECTUELLE </w:t>
            </w:r>
            <w:bookmarkStart w:id="6" w:name="_GoBack"/>
            <w:bookmarkEnd w:id="6"/>
            <w:r w:rsidRPr="00D453AE">
              <w:rPr>
                <w:rFonts w:ascii="Britannic Bold" w:hAnsi="Britannic Bold"/>
                <w:b/>
                <w:color w:val="B40000"/>
                <w:sz w:val="26"/>
                <w:szCs w:val="26"/>
                <w:lang w:val="fr-FR"/>
              </w:rPr>
              <w:t>– SENAPI</w:t>
            </w:r>
          </w:p>
          <w:p w:rsidR="00340524" w:rsidRPr="00D453AE" w:rsidRDefault="00281BA5" w:rsidP="00C708D6">
            <w:pPr>
              <w:rPr>
                <w:lang w:val="fr-FR"/>
              </w:rPr>
            </w:pPr>
            <w:r>
              <w:rPr>
                <w:rFonts w:ascii="Segoe UI Light" w:hAnsi="Segoe UI Light" w:cs="Segoe UI Light"/>
                <w:szCs w:val="20"/>
                <w:lang w:val="fr-FR"/>
              </w:rPr>
              <w:t>F</w:t>
            </w:r>
            <w:r w:rsidR="00340524" w:rsidRPr="00D453AE">
              <w:rPr>
                <w:rFonts w:ascii="Segoe UI Light" w:hAnsi="Segoe UI Light" w:cs="Segoe UI Light"/>
                <w:szCs w:val="20"/>
                <w:lang w:val="fr-FR"/>
              </w:rPr>
              <w:t>évrier 2019</w:t>
            </w:r>
          </w:p>
        </w:tc>
      </w:tr>
      <w:tr w:rsidR="00340524" w:rsidRPr="00D453AE" w:rsidTr="0045736E">
        <w:tc>
          <w:tcPr>
            <w:tcW w:w="4673" w:type="dxa"/>
            <w:shd w:val="clear" w:color="auto" w:fill="auto"/>
          </w:tcPr>
          <w:p w:rsidR="00340524" w:rsidRPr="00D453AE" w:rsidRDefault="00692A84" w:rsidP="00807C95">
            <w:pPr>
              <w:rPr>
                <w:lang w:val="fr-FR"/>
              </w:rPr>
            </w:pPr>
            <w:r w:rsidRPr="00BE07A4"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53FD75B2" wp14:editId="3D990DDF">
                      <wp:extent cx="3528000" cy="540000"/>
                      <wp:effectExtent l="0" t="0" r="0" b="0"/>
                      <wp:docPr id="3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A84" w:rsidRPr="004A29D8" w:rsidRDefault="00692A84" w:rsidP="00692A84">
                                  <w:pPr>
                                    <w:rPr>
                                      <w:rFonts w:ascii="Britannic Bold" w:hAnsi="Britannic Bold"/>
                                      <w:color w:val="FFFFFF" w:themeColor="background1"/>
                                      <w:sz w:val="52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FD75B2" id="_x0000_s1027" style="width:277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" fillcolor="#9e0000" stroked="f" strokeweight="1pt">
                      <v:textbox>
                        <w:txbxContent>
                          <w:p w:rsidR="00692A84" w:rsidRPr="004A29D8" w:rsidRDefault="00692A84" w:rsidP="00692A84">
                            <w:pPr>
                              <w:rPr>
                                <w:rFonts w:ascii="Britannic Bold" w:hAnsi="Britannic Bold"/>
                                <w:color w:val="FFFFFF" w:themeColor="background1"/>
                                <w:sz w:val="52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3" w:type="dxa"/>
            <w:shd w:val="clear" w:color="auto" w:fill="auto"/>
          </w:tcPr>
          <w:p w:rsidR="00340524" w:rsidRPr="00D453AE" w:rsidRDefault="00340524" w:rsidP="00340524">
            <w:pPr>
              <w:rPr>
                <w:lang w:val="fr-FR"/>
              </w:rPr>
            </w:pPr>
          </w:p>
        </w:tc>
      </w:tr>
    </w:tbl>
    <w:p w:rsidR="00340524" w:rsidRPr="00D453AE" w:rsidRDefault="00340524" w:rsidP="00340524">
      <w:pPr>
        <w:rPr>
          <w:lang w:val="fr-FR"/>
        </w:rPr>
      </w:pPr>
    </w:p>
    <w:p w:rsidR="00F239E3" w:rsidRPr="00D453AE" w:rsidRDefault="00F239E3" w:rsidP="00F239E3">
      <w:pPr>
        <w:pStyle w:val="NoSpacing"/>
        <w:ind w:left="-109"/>
        <w:jc w:val="right"/>
        <w:rPr>
          <w:rFonts w:ascii="Segoe UI Light" w:eastAsia="SimSun" w:hAnsi="Segoe UI Light" w:cs="Segoe UI Light"/>
          <w:szCs w:val="20"/>
          <w:lang w:val="fr-FR" w:eastAsia="zh-CN"/>
        </w:rPr>
      </w:pPr>
    </w:p>
    <w:sdt>
      <w:sdtPr>
        <w:rPr>
          <w:b/>
          <w:bCs/>
          <w:lang w:val="fr-FR"/>
        </w:rPr>
        <w:id w:val="-160544443"/>
        <w:docPartObj>
          <w:docPartGallery w:val="Cover Pages"/>
          <w:docPartUnique/>
        </w:docPartObj>
      </w:sdtPr>
      <w:sdtEndPr/>
      <w:sdtContent>
        <w:p w:rsidR="00774A99" w:rsidRPr="00D453AE" w:rsidRDefault="00774A99" w:rsidP="00774A99">
          <w:pPr>
            <w:rPr>
              <w:b/>
              <w:bCs/>
              <w:lang w:val="fr-FR"/>
            </w:rPr>
          </w:pPr>
          <w:r w:rsidRPr="00D453AE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FEA4C2" wp14:editId="14036379">
                    <wp:simplePos x="0" y="0"/>
                    <wp:positionH relativeFrom="column">
                      <wp:posOffset>-383938</wp:posOffset>
                    </wp:positionH>
                    <wp:positionV relativeFrom="paragraph">
                      <wp:posOffset>6510939</wp:posOffset>
                    </wp:positionV>
                    <wp:extent cx="4067810" cy="687070"/>
                    <wp:effectExtent l="0" t="0" r="8890" b="0"/>
                    <wp:wrapNone/>
                    <wp:docPr id="14" name="Rectángulo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7810" cy="687070"/>
                            </a:xfrm>
                            <a:prstGeom prst="rect">
                              <a:avLst/>
                            </a:prstGeom>
                            <a:solidFill>
                              <a:srgbClr val="9E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74A99" w:rsidRPr="004A29D8" w:rsidRDefault="00774A99" w:rsidP="00774A99">
                                <w:pPr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52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FEA4C2" id="Rectángulo 14" o:spid="_x0000_s1028" style="position:absolute;margin-left:-30.25pt;margin-top:512.65pt;width:320.3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" fillcolor="#9e0000" stroked="f" strokeweight="1pt">
                    <v:textbox>
                      <w:txbxContent>
                        <w:p w:rsidR="00774A99" w:rsidRPr="004A29D8" w:rsidRDefault="00774A99" w:rsidP="00774A99">
                          <w:pPr>
                            <w:rPr>
                              <w:rFonts w:ascii="Britannic Bold" w:hAnsi="Britannic Bold"/>
                              <w:color w:val="FFFFFF" w:themeColor="background1"/>
                              <w:sz w:val="52"/>
                              <w:lang w:val="es-MX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D453AE">
            <w:rPr>
              <w:b/>
              <w:bCs/>
              <w:lang w:val="fr-FR"/>
            </w:rPr>
            <w:br w:type="page"/>
          </w:r>
        </w:p>
      </w:sdtContent>
    </w:sdt>
    <w:tbl>
      <w:tblPr>
        <w:tblStyle w:val="GridTable5Dark-Accent2"/>
        <w:tblW w:w="9630" w:type="dxa"/>
        <w:tblInd w:w="-275" w:type="dxa"/>
        <w:tblLook w:val="04A0" w:firstRow="1" w:lastRow="0" w:firstColumn="1" w:lastColumn="0" w:noHBand="0" w:noVBand="1"/>
      </w:tblPr>
      <w:tblGrid>
        <w:gridCol w:w="2538"/>
        <w:gridCol w:w="7092"/>
      </w:tblGrid>
      <w:tr w:rsidR="00774A99" w:rsidRPr="00D453AE" w:rsidTr="0059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58572B"/>
            <w:vAlign w:val="center"/>
          </w:tcPr>
          <w:p w:rsidR="00774A99" w:rsidRPr="00D453AE" w:rsidRDefault="00774A99" w:rsidP="00774A9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Britannic Bold" w:hAnsi="Britannic Bold" w:cs="Segoe UI Light"/>
                <w:color w:val="auto"/>
                <w:sz w:val="26"/>
                <w:szCs w:val="26"/>
                <w:lang w:val="fr-FR"/>
              </w:rPr>
            </w:pPr>
            <w:r w:rsidRPr="00D453AE">
              <w:rPr>
                <w:b w:val="0"/>
                <w:bCs w:val="0"/>
                <w:color w:val="auto"/>
                <w:lang w:val="fr-FR"/>
              </w:rPr>
              <w:lastRenderedPageBreak/>
              <w:br w:type="page"/>
            </w:r>
            <w:r w:rsidRPr="00D453AE">
              <w:rPr>
                <w:rFonts w:ascii="Britannic Bold" w:hAnsi="Britannic Bold" w:cs="Segoe UI Light"/>
                <w:sz w:val="52"/>
                <w:szCs w:val="26"/>
                <w:lang w:val="fr-FR"/>
              </w:rPr>
              <w:t>RÉSUMÉ</w:t>
            </w:r>
          </w:p>
        </w:tc>
      </w:tr>
      <w:tr w:rsidR="00774A99" w:rsidRPr="00D453AE" w:rsidTr="005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EBEAD5"/>
            <w:vAlign w:val="center"/>
          </w:tcPr>
          <w:p w:rsidR="00774A99" w:rsidRPr="00D453AE" w:rsidRDefault="00774A99" w:rsidP="005942D8">
            <w:pPr>
              <w:jc w:val="both"/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TITRE</w:t>
            </w:r>
          </w:p>
        </w:tc>
        <w:tc>
          <w:tcPr>
            <w:tcW w:w="7497" w:type="dxa"/>
            <w:shd w:val="clear" w:color="auto" w:fill="FEECEC"/>
          </w:tcPr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lang w:val="fr-FR"/>
              </w:rPr>
            </w:pP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lang w:val="fr-FR"/>
              </w:rPr>
            </w:pPr>
            <w:r w:rsidRPr="00D453AE">
              <w:rPr>
                <w:rFonts w:ascii="Segoe UI Light" w:hAnsi="Segoe UI Light" w:cs="Segoe UI Light"/>
                <w:b/>
                <w:lang w:val="fr-FR"/>
              </w:rPr>
              <w:t>ENREGISTREMENT DES MARQUES COLLECTIVES DES ENTREPRISES LOCALES EN TANT QU</w:t>
            </w:r>
            <w:r w:rsidR="00340524" w:rsidRPr="00D453AE">
              <w:rPr>
                <w:rFonts w:ascii="Segoe UI Light" w:hAnsi="Segoe UI Light" w:cs="Segoe UI Light"/>
                <w:b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/>
                <w:lang w:val="fr-FR"/>
              </w:rPr>
              <w:t>AXE TRANSVERSAL DU DÉVELOPPEMENT ÉCONOMIQUE</w:t>
            </w: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lang w:val="fr-FR"/>
              </w:rPr>
            </w:pPr>
          </w:p>
        </w:tc>
      </w:tr>
      <w:tr w:rsidR="00774A99" w:rsidRPr="00D453AE" w:rsidTr="0059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FEECEC"/>
            <w:vAlign w:val="center"/>
          </w:tcPr>
          <w:p w:rsidR="00774A99" w:rsidRPr="00D453AE" w:rsidRDefault="00774A99" w:rsidP="005942D8">
            <w:pPr>
              <w:jc w:val="both"/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RECOMMANDATIONS DU PLAN D</w:t>
            </w:r>
            <w:r w:rsidR="00340524"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ACTION POUR LE DÉVELOPPEMENT</w:t>
            </w:r>
          </w:p>
        </w:tc>
        <w:tc>
          <w:tcPr>
            <w:tcW w:w="7497" w:type="dxa"/>
            <w:shd w:val="clear" w:color="auto" w:fill="EBEAD5"/>
          </w:tcPr>
          <w:p w:rsidR="00774A99" w:rsidRPr="00D453AE" w:rsidRDefault="00774A99" w:rsidP="005942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Segoe UI Light"/>
                <w:b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Britannic Bold" w:hAnsi="Britannic Bold" w:cs="Segoe UI Light"/>
                <w:b/>
                <w:lang w:val="fr-FR"/>
              </w:rPr>
              <w:t>4.</w:t>
            </w:r>
            <w:r w:rsidR="006C68C7" w:rsidRPr="00D453AE">
              <w:rPr>
                <w:rFonts w:ascii="Britannic Bold" w:hAnsi="Britannic Bold" w:cs="Segoe UI Light"/>
                <w:b/>
                <w:lang w:val="fr-FR"/>
              </w:rPr>
              <w:t xml:space="preserve"> </w:t>
            </w:r>
            <w:r w:rsidRPr="00D453AE">
              <w:rPr>
                <w:rFonts w:ascii="Britannic Bold" w:hAnsi="Britannic Bold"/>
                <w:b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lang w:val="fr-FR"/>
              </w:rPr>
              <w:t>Accorder une attention particulière aux besoins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 xml:space="preserve"> des PME</w:t>
            </w:r>
            <w:r w:rsidRPr="00D453AE">
              <w:rPr>
                <w:rFonts w:ascii="Segoe UI Light" w:hAnsi="Segoe UI Light" w:cs="Segoe UI Light"/>
                <w:lang w:val="fr-FR"/>
              </w:rPr>
              <w:t>, des institutions chargées de la recherche scientifique et des industries culturelles et aider les États membres, à leur demande, à élaborer des stratégies nationales appropriées dans le domaine de la propriété intellectuelle.</w:t>
            </w:r>
          </w:p>
          <w:p w:rsidR="00774A99" w:rsidRPr="00D453AE" w:rsidRDefault="00774A99" w:rsidP="005942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Britannic Bold" w:hAnsi="Britannic Bold" w:cs="Segoe UI Light"/>
                <w:b/>
                <w:lang w:val="fr-FR"/>
              </w:rPr>
              <w:t>13.</w:t>
            </w:r>
            <w:r w:rsidRPr="00D453AE">
              <w:rPr>
                <w:rFonts w:ascii="Britannic Bold" w:hAnsi="Britannic Bold"/>
                <w:b/>
                <w:lang w:val="fr-FR"/>
              </w:rPr>
              <w:t xml:space="preserve"> </w:t>
            </w:r>
            <w:r w:rsidR="006C68C7" w:rsidRPr="00D453AE">
              <w:rPr>
                <w:rFonts w:ascii="Britannic Bold" w:hAnsi="Britannic Bold" w:cs="Segoe UI Light"/>
                <w:b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lang w:val="fr-FR"/>
              </w:rPr>
              <w:t>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assistance législative de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OMPI doit notamment être axée sur le développement et déterminée par la demande, compte tenu des priorités et des besoins particuliers des pays en développement, notamment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 xml:space="preserve"> des PMA</w:t>
            </w:r>
            <w:r w:rsidRPr="00D453AE">
              <w:rPr>
                <w:rFonts w:ascii="Segoe UI Light" w:hAnsi="Segoe UI Light" w:cs="Segoe UI Light"/>
                <w:lang w:val="fr-FR"/>
              </w:rPr>
              <w:t xml:space="preserve">, ainsi que des différents niveaux de développement des États </w:t>
            </w:r>
            <w:proofErr w:type="gramStart"/>
            <w:r w:rsidRPr="00D453AE">
              <w:rPr>
                <w:rFonts w:ascii="Segoe UI Light" w:hAnsi="Segoe UI Light" w:cs="Segoe UI Light"/>
                <w:lang w:val="fr-FR"/>
              </w:rPr>
              <w:t xml:space="preserve">membres; </w:t>
            </w:r>
            <w:r w:rsidR="006C68C7" w:rsidRPr="00D453AE">
              <w:rPr>
                <w:rFonts w:ascii="Segoe UI Light" w:hAnsi="Segoe UI Light" w:cs="Segoe UI Light"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lang w:val="fr-FR"/>
              </w:rPr>
              <w:t>les</w:t>
            </w:r>
            <w:proofErr w:type="gramEnd"/>
            <w:r w:rsidRPr="00D453AE">
              <w:rPr>
                <w:rFonts w:ascii="Segoe UI Light" w:hAnsi="Segoe UI Light" w:cs="Segoe UI Light"/>
                <w:lang w:val="fr-FR"/>
              </w:rPr>
              <w:t xml:space="preserve"> activités doivent être menées à bien dans les délais.</w:t>
            </w:r>
          </w:p>
          <w:p w:rsidR="00774A99" w:rsidRPr="00D453AE" w:rsidRDefault="00774A99" w:rsidP="005942D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Britannic Bold" w:hAnsi="Britannic Bold" w:cs="Segoe UI Light"/>
                <w:b/>
                <w:lang w:val="fr-FR"/>
              </w:rPr>
              <w:t>41.</w:t>
            </w:r>
            <w:r w:rsidR="006C68C7" w:rsidRPr="00D453AE">
              <w:rPr>
                <w:rFonts w:ascii="Britannic Bold" w:hAnsi="Britannic Bold" w:cs="Segoe UI Light"/>
                <w:b/>
                <w:lang w:val="fr-FR"/>
              </w:rPr>
              <w:t xml:space="preserve"> </w:t>
            </w:r>
            <w:r w:rsidRPr="00D453AE">
              <w:rPr>
                <w:rFonts w:ascii="Britannic Bold" w:hAnsi="Britannic Bold"/>
                <w:b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lang w:val="fr-FR"/>
              </w:rPr>
              <w:t>Effectuer une étude des activités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assistance technique de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OMPI existantes dans le domaine de la coopération et du développement.</w:t>
            </w:r>
          </w:p>
          <w:p w:rsidR="00774A99" w:rsidRPr="00D453AE" w:rsidRDefault="00774A99" w:rsidP="005942D8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</w:tc>
      </w:tr>
      <w:tr w:rsidR="00774A99" w:rsidRPr="00D453AE" w:rsidTr="005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EBEAD5"/>
            <w:vAlign w:val="center"/>
          </w:tcPr>
          <w:p w:rsidR="00774A99" w:rsidRPr="00D453AE" w:rsidRDefault="00774A99" w:rsidP="005942D8">
            <w:pPr>
              <w:jc w:val="both"/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BRÈVE DESCRIPTION DU PROJET</w:t>
            </w:r>
          </w:p>
        </w:tc>
        <w:tc>
          <w:tcPr>
            <w:tcW w:w="7497" w:type="dxa"/>
            <w:shd w:val="clear" w:color="auto" w:fill="FEECEC"/>
          </w:tcPr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  <w:p w:rsidR="00340524" w:rsidRPr="00D453AE" w:rsidRDefault="00774A99" w:rsidP="005942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t>Le projet vise à permettre à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office national compétent (le SENAPI pour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État plurinational de Bolivie ou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office correspondant dans chaque pays bénéficiaire)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associer enregistrement des marques collectives et développement local en fournissant un appui aux petites et moyennes entreprises qui privilégient des pratiques favorisant une image positive de leurs produits, une commercialisation à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échelle nationale, un lien avec les pratiques traditionnelles et une valeur ajoutée grâce à la priorité donnée aux produits biologiques et écologiques durables.</w:t>
            </w:r>
          </w:p>
          <w:p w:rsidR="00774A99" w:rsidRPr="00D453AE" w:rsidRDefault="00774A99" w:rsidP="005942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t>Il est proposé de créer une “pépinière de marques collectives”, avec la participation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 xml:space="preserve"> du SEN</w:t>
            </w:r>
            <w:r w:rsidRPr="00D453AE">
              <w:rPr>
                <w:rFonts w:ascii="Segoe UI Light" w:hAnsi="Segoe UI Light" w:cs="Segoe UI Light"/>
                <w:lang w:val="fr-FR"/>
              </w:rPr>
              <w:t>API et des entités publiques et privées associées (dans chaque pays bénéficiaire), qui sera chargée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évaluer la viabilité technique, financière et commerciale des produits et services considérés, de proposer des services de conseil technique pour la protection des marques et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élaborer des projets de commercialisation et de vente lorsque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enregistrement des marques collectives requiert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accès à un financement.</w:t>
            </w:r>
          </w:p>
          <w:p w:rsidR="00774A99" w:rsidRPr="00D453AE" w:rsidRDefault="00774A99" w:rsidP="005942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  <w:p w:rsidR="00774A99" w:rsidRPr="00D453AE" w:rsidRDefault="00774A99" w:rsidP="0059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t>Cela permettra de contribuer à la croissance économique et au développement des régions de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État plurinational de Bolivie (et de trois</w:t>
            </w:r>
            <w:r w:rsidR="006C68C7" w:rsidRPr="00D453AE">
              <w:rPr>
                <w:rFonts w:ascii="Segoe UI Light" w:hAnsi="Segoe UI Light" w:cs="Segoe UI Light"/>
                <w:lang w:val="fr-FR"/>
              </w:rPr>
              <w:t> </w:t>
            </w:r>
            <w:r w:rsidRPr="00D453AE">
              <w:rPr>
                <w:rFonts w:ascii="Segoe UI Light" w:hAnsi="Segoe UI Light" w:cs="Segoe UI Light"/>
                <w:lang w:val="fr-FR"/>
              </w:rPr>
              <w:t>autres pays en développement) en tirant parti de la relation entre capital social, entreprises de production et propriété intellectuelle.</w:t>
            </w:r>
          </w:p>
          <w:p w:rsidR="00774A99" w:rsidRPr="00D453AE" w:rsidRDefault="00774A99" w:rsidP="005942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  <w:p w:rsidR="00774A99" w:rsidRPr="00D453AE" w:rsidRDefault="00774A99" w:rsidP="0059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lastRenderedPageBreak/>
              <w:t>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assistance technique pour la pépinière de marques collectives comporterait trois</w:t>
            </w:r>
            <w:r w:rsidR="006C68C7" w:rsidRPr="00D453AE">
              <w:rPr>
                <w:rFonts w:ascii="Segoe UI Light" w:hAnsi="Segoe UI Light" w:cs="Segoe UI Light"/>
                <w:lang w:val="fr-FR"/>
              </w:rPr>
              <w:t> </w:t>
            </w:r>
            <w:r w:rsidRPr="00D453AE">
              <w:rPr>
                <w:rFonts w:ascii="Segoe UI Light" w:hAnsi="Segoe UI Light" w:cs="Segoe UI Light"/>
                <w:lang w:val="fr-FR"/>
              </w:rPr>
              <w:t>étap</w:t>
            </w:r>
            <w:r w:rsidR="00D453AE" w:rsidRPr="00D453AE">
              <w:rPr>
                <w:rFonts w:ascii="Segoe UI Light" w:hAnsi="Segoe UI Light" w:cs="Segoe UI Light"/>
                <w:lang w:val="fr-FR"/>
              </w:rPr>
              <w:t>es.  Av</w:t>
            </w:r>
            <w:r w:rsidRPr="00D453AE">
              <w:rPr>
                <w:rFonts w:ascii="Segoe UI Light" w:hAnsi="Segoe UI Light" w:cs="Segoe UI Light"/>
                <w:lang w:val="fr-FR"/>
              </w:rPr>
              <w:t>ant le démarrage, les entrepreneurs reçoivent des conseils pour la création de leur marque collecti</w:t>
            </w:r>
            <w:r w:rsidR="00D453AE" w:rsidRPr="00D453AE">
              <w:rPr>
                <w:rFonts w:ascii="Segoe UI Light" w:hAnsi="Segoe UI Light" w:cs="Segoe UI Light"/>
                <w:lang w:val="fr-FR"/>
              </w:rPr>
              <w:t>ve.  Il</w:t>
            </w:r>
            <w:r w:rsidRPr="00D453AE">
              <w:rPr>
                <w:rFonts w:ascii="Segoe UI Light" w:hAnsi="Segoe UI Light" w:cs="Segoe UI Light"/>
                <w:lang w:val="fr-FR"/>
              </w:rPr>
              <w:t xml:space="preserve"> est ensuite procédé à la modification et au suivi du processus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élaboration de la marque collective et à la gestion des documents requis pour son enregistrement effect</w:t>
            </w:r>
            <w:r w:rsidR="00D453AE" w:rsidRPr="00D453AE">
              <w:rPr>
                <w:rFonts w:ascii="Segoe UI Light" w:hAnsi="Segoe UI Light" w:cs="Segoe UI Light"/>
                <w:lang w:val="fr-FR"/>
              </w:rPr>
              <w:t>if.  Le</w:t>
            </w:r>
            <w:r w:rsidRPr="00D453AE">
              <w:rPr>
                <w:rFonts w:ascii="Segoe UI Light" w:hAnsi="Segoe UI Light" w:cs="Segoe UI Light"/>
                <w:lang w:val="fr-FR"/>
              </w:rPr>
              <w:t>s procédures sont débureaucratisées et décentralisées et les dossiers sont traités pour permettre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enregistrement et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octroi du titre correspondant.</w:t>
            </w:r>
          </w:p>
          <w:p w:rsidR="00774A99" w:rsidRPr="00D453AE" w:rsidRDefault="00774A99" w:rsidP="005942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t>Enfin, la troisième étape commence après le démarrage de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entreprise de production dans un but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amélioration constante.</w:t>
            </w: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  <w:p w:rsidR="00340524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u w:val="single"/>
                <w:lang w:val="fr-FR"/>
              </w:rPr>
            </w:pPr>
            <w:r w:rsidRPr="00D453AE">
              <w:rPr>
                <w:rFonts w:ascii="Segoe UI Light" w:hAnsi="Segoe UI Light" w:cs="Segoe UI Light"/>
                <w:u w:val="single"/>
                <w:lang w:val="fr-FR"/>
              </w:rPr>
              <w:t>Résultats escomptés du projet</w:t>
            </w:r>
            <w:r w:rsidR="00340524" w:rsidRPr="00D453AE">
              <w:rPr>
                <w:rFonts w:ascii="Segoe UI Light" w:hAnsi="Segoe UI Light" w:cs="Segoe UI Light"/>
                <w:u w:val="single"/>
                <w:lang w:val="fr-FR"/>
              </w:rPr>
              <w:t> :</w:t>
            </w: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t>La création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un système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appui, de renforcement et d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accompagnement pour faciliter l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enregistrement des marques collectives des entreprises locales en tant qu</w:t>
            </w:r>
            <w:r w:rsidR="00340524" w:rsidRPr="00D453AE">
              <w:rPr>
                <w:rFonts w:ascii="Segoe UI Light" w:hAnsi="Segoe UI Light" w:cs="Segoe UI Light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lang w:val="fr-FR"/>
              </w:rPr>
              <w:t>axe transversal du développement économique productif.</w:t>
            </w: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</w:p>
        </w:tc>
      </w:tr>
      <w:tr w:rsidR="00774A99" w:rsidRPr="00D453AE" w:rsidTr="0059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FEECEC"/>
            <w:vAlign w:val="center"/>
          </w:tcPr>
          <w:p w:rsidR="00774A99" w:rsidRPr="00D453AE" w:rsidRDefault="00774A99" w:rsidP="005942D8">
            <w:pPr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lastRenderedPageBreak/>
              <w:t>PROGRAMME D</w:t>
            </w:r>
            <w:r w:rsidR="00340524"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EXÉCUTION</w:t>
            </w:r>
          </w:p>
        </w:tc>
        <w:tc>
          <w:tcPr>
            <w:tcW w:w="7497" w:type="dxa"/>
            <w:shd w:val="clear" w:color="auto" w:fill="EBEAD5"/>
          </w:tcPr>
          <w:p w:rsidR="00774A99" w:rsidRPr="00D453AE" w:rsidRDefault="00774A99" w:rsidP="00594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lang w:val="fr-FR"/>
              </w:rPr>
            </w:pPr>
          </w:p>
        </w:tc>
      </w:tr>
      <w:tr w:rsidR="00774A99" w:rsidRPr="00D453AE" w:rsidTr="005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EBEAD5"/>
            <w:vAlign w:val="center"/>
          </w:tcPr>
          <w:p w:rsidR="00774A99" w:rsidRPr="00D453AE" w:rsidRDefault="00774A99" w:rsidP="005942D8">
            <w:pPr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LIENS AVEC D</w:t>
            </w:r>
            <w:r w:rsidR="00340524"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AUTRES PROGRAMMES/PROJETS CONNEXES DU PLAN D</w:t>
            </w:r>
            <w:r w:rsidR="00340524"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ACTION POUR LE DÉVELOPPEMENT</w:t>
            </w:r>
          </w:p>
        </w:tc>
        <w:tc>
          <w:tcPr>
            <w:tcW w:w="7497" w:type="dxa"/>
            <w:shd w:val="clear" w:color="auto" w:fill="FEECEC"/>
          </w:tcPr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highlight w:val="yellow"/>
                <w:lang w:val="fr-FR"/>
              </w:rPr>
            </w:pP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highlight w:val="yellow"/>
                <w:lang w:val="fr-FR"/>
              </w:rPr>
            </w:pPr>
          </w:p>
          <w:p w:rsidR="00774A99" w:rsidRPr="00D453AE" w:rsidRDefault="00774A99" w:rsidP="00594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highlight w:val="yellow"/>
                <w:lang w:val="fr-FR"/>
              </w:rPr>
            </w:pPr>
          </w:p>
        </w:tc>
      </w:tr>
      <w:tr w:rsidR="00774A99" w:rsidRPr="00D453AE" w:rsidTr="0059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FEECEC"/>
            <w:vAlign w:val="center"/>
          </w:tcPr>
          <w:p w:rsidR="00774A99" w:rsidRPr="00D453AE" w:rsidRDefault="00774A99" w:rsidP="005942D8">
            <w:pPr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LIENS AVEC LES RÉSULTATS PRÉVUS DANS LE PAYS PROPOSÉ PAR PROGRAMME</w:t>
            </w:r>
          </w:p>
        </w:tc>
        <w:tc>
          <w:tcPr>
            <w:tcW w:w="7497" w:type="dxa"/>
            <w:shd w:val="clear" w:color="auto" w:fill="EBEAD5"/>
          </w:tcPr>
          <w:p w:rsidR="00774A99" w:rsidRPr="00D453AE" w:rsidRDefault="00774A99" w:rsidP="00594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highlight w:val="green"/>
                <w:lang w:val="fr-FR"/>
              </w:rPr>
            </w:pPr>
          </w:p>
        </w:tc>
      </w:tr>
      <w:tr w:rsidR="00774A99" w:rsidRPr="00D453AE" w:rsidTr="005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EBEAD5"/>
            <w:vAlign w:val="center"/>
          </w:tcPr>
          <w:p w:rsidR="00774A99" w:rsidRPr="00D453AE" w:rsidRDefault="00774A99" w:rsidP="005942D8">
            <w:pPr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DURÉE DU PROJET</w:t>
            </w:r>
          </w:p>
        </w:tc>
        <w:tc>
          <w:tcPr>
            <w:tcW w:w="7497" w:type="dxa"/>
            <w:shd w:val="clear" w:color="auto" w:fill="FEECEC"/>
            <w:vAlign w:val="center"/>
          </w:tcPr>
          <w:p w:rsidR="00774A99" w:rsidRPr="00D453AE" w:rsidRDefault="00774A99" w:rsidP="00594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Segoe UI Light" w:hAnsi="Segoe UI Light" w:cs="Segoe UI Light"/>
                <w:lang w:val="fr-FR"/>
              </w:rPr>
              <w:t>18 mois</w:t>
            </w:r>
          </w:p>
        </w:tc>
      </w:tr>
      <w:tr w:rsidR="00774A99" w:rsidRPr="00D453AE" w:rsidTr="0059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shd w:val="clear" w:color="auto" w:fill="FEECEC"/>
            <w:vAlign w:val="center"/>
          </w:tcPr>
          <w:p w:rsidR="00774A99" w:rsidRPr="00D453AE" w:rsidRDefault="00774A99" w:rsidP="005942D8">
            <w:pPr>
              <w:rPr>
                <w:rFonts w:ascii="Britannic Bold" w:hAnsi="Britannic Bold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lang w:val="fr-FR"/>
              </w:rPr>
              <w:t>BUDGET DU PROJET</w:t>
            </w:r>
          </w:p>
        </w:tc>
        <w:tc>
          <w:tcPr>
            <w:tcW w:w="7497" w:type="dxa"/>
            <w:shd w:val="clear" w:color="auto" w:fill="EBEAD5"/>
          </w:tcPr>
          <w:p w:rsidR="00774A99" w:rsidRPr="00D453AE" w:rsidRDefault="00774A99" w:rsidP="00594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highlight w:val="yellow"/>
                <w:lang w:val="fr-FR"/>
              </w:rPr>
            </w:pPr>
          </w:p>
        </w:tc>
      </w:tr>
    </w:tbl>
    <w:p w:rsidR="00774A99" w:rsidRPr="00D453AE" w:rsidRDefault="00774A99" w:rsidP="00774A99">
      <w:pPr>
        <w:rPr>
          <w:lang w:val="fr-FR"/>
        </w:rPr>
      </w:pPr>
      <w:r w:rsidRPr="00D453AE">
        <w:rPr>
          <w:b/>
          <w:bCs/>
          <w:lang w:val="fr-FR"/>
        </w:rPr>
        <w:br w:type="page"/>
      </w:r>
    </w:p>
    <w:tbl>
      <w:tblPr>
        <w:tblStyle w:val="GridTable5Dark-Accent2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7920"/>
      </w:tblGrid>
      <w:tr w:rsidR="00774A99" w:rsidRPr="00D453AE" w:rsidTr="0059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5D5C2E"/>
          </w:tcPr>
          <w:p w:rsidR="00774A99" w:rsidRPr="00D453AE" w:rsidRDefault="00774A99" w:rsidP="00774A99">
            <w:pPr>
              <w:pStyle w:val="ListParagraph"/>
              <w:numPr>
                <w:ilvl w:val="0"/>
                <w:numId w:val="8"/>
              </w:numPr>
              <w:ind w:hanging="66"/>
              <w:jc w:val="center"/>
              <w:rPr>
                <w:rFonts w:ascii="Segoe UI Light" w:hAnsi="Segoe UI Light" w:cs="Segoe UI Light"/>
                <w:lang w:val="fr-FR"/>
              </w:rPr>
            </w:pPr>
            <w:r w:rsidRPr="00D453AE">
              <w:rPr>
                <w:rFonts w:ascii="Britannic Bold" w:hAnsi="Britannic Bold" w:cs="Segoe UI Light"/>
                <w:sz w:val="52"/>
                <w:szCs w:val="26"/>
                <w:lang w:val="fr-FR"/>
              </w:rPr>
              <w:lastRenderedPageBreak/>
              <w:t>DESCRIPTION DU PROJET</w:t>
            </w:r>
          </w:p>
        </w:tc>
      </w:tr>
      <w:tr w:rsidR="00774A99" w:rsidRPr="00D453AE" w:rsidTr="005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FEECEC"/>
          </w:tcPr>
          <w:p w:rsidR="00774A99" w:rsidRPr="00D453AE" w:rsidRDefault="00774A99" w:rsidP="005942D8">
            <w:pPr>
              <w:pStyle w:val="ListParagraph"/>
              <w:ind w:left="176" w:right="177" w:hanging="66"/>
              <w:jc w:val="both"/>
              <w:rPr>
                <w:rFonts w:ascii="Britannic Bold" w:hAnsi="Britannic Bold" w:cs="Segoe UI Light"/>
                <w:b w:val="0"/>
                <w:color w:val="860000"/>
                <w:lang w:val="fr-FR"/>
              </w:rPr>
            </w:pPr>
          </w:p>
          <w:p w:rsidR="00774A99" w:rsidRPr="00D453AE" w:rsidRDefault="00774A99" w:rsidP="00774A99">
            <w:pPr>
              <w:pStyle w:val="ListParagraph"/>
              <w:numPr>
                <w:ilvl w:val="1"/>
                <w:numId w:val="8"/>
              </w:numPr>
              <w:ind w:right="177" w:hanging="66"/>
              <w:jc w:val="both"/>
              <w:rPr>
                <w:rFonts w:ascii="Britannic Bold" w:hAnsi="Britannic Bold" w:cs="Segoe UI Light"/>
                <w:b w:val="0"/>
                <w:color w:val="8E0000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8E0000"/>
                <w:sz w:val="28"/>
                <w:lang w:val="fr-FR"/>
              </w:rPr>
              <w:t>INTRODUCTION</w:t>
            </w:r>
          </w:p>
          <w:p w:rsidR="00774A99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Dans de nombreux pays de la région,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les PME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obtiennent des avantages comparatifs en se regroupant, traditionnellement au sein de fédérations ou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associations qui leur permettent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accéder plus facilement aux marchés grâce à la spécialisation des produits ou services qu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elles proposent, par aire géographique ou branche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activité.</w:t>
            </w:r>
          </w:p>
          <w:p w:rsidR="00774A99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Dans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État plurinational de Bolivie, des dispositions particulières (règlements) relatives à la protection des marques collectives sont toujours en cours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élaboration car ces marques sont le juste reflet des entreprises communautaires et permettent de distinguer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origine géographique, la matière, le mode de fabrication ou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autres caractéristiques communes des produits et services des différentes entreprises du groupe qui n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ont pas encore décidé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utiliser la marque collecti</w:t>
            </w:r>
            <w:r w:rsidR="00D453AE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ve.  C’e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st peut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-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être également le cas dans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autres pays en développement.</w:t>
            </w:r>
          </w:p>
          <w:p w:rsidR="00774A99" w:rsidRPr="00D453AE" w:rsidRDefault="00774A99" w:rsidP="005942D8">
            <w:pPr>
              <w:spacing w:line="276" w:lineRule="auto"/>
              <w:ind w:hanging="66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La plupart des entreprises sociocommunautaires identifiées par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le SEN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API agissent de manière collective mais ne savent pas quels avantages procure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utilisation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une marque collective,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où la nécessité de faire largement connaître la portée, les avantages et la contribution des microentreprises et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des PME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, dont la taille relativement petite peut constituer un avantage comparatif car elle leur permet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être plus dynamiques en agissant collectiveme</w:t>
            </w:r>
            <w:r w:rsidR="00D453AE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nt.  Le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s petites entreprises n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ont pas besoin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un grand appareil bureaucratique pour fonctionner, ce qui leur confère une plus grande flexibilité pour s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adapter aux conditions du marc</w:t>
            </w:r>
            <w:r w:rsidR="00D453AE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hé.  Un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autre avantage réside dans le travail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équipe qui permet de réaliser des économies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échelle et de bénéficier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une plus grande reconnaissance de leur “produit de marque”, à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instar des entreprises de plus grande taille.</w:t>
            </w:r>
          </w:p>
          <w:p w:rsidR="00774A99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340524" w:rsidRPr="00D453AE" w:rsidRDefault="00774A99" w:rsidP="00774A99">
            <w:pPr>
              <w:pStyle w:val="ListParagraph"/>
              <w:numPr>
                <w:ilvl w:val="1"/>
                <w:numId w:val="8"/>
              </w:numPr>
              <w:ind w:right="177" w:hanging="66"/>
              <w:jc w:val="both"/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  <w:t>OBJECTIFS</w:t>
            </w:r>
          </w:p>
          <w:p w:rsidR="00774A99" w:rsidRPr="00D453AE" w:rsidRDefault="00774A99" w:rsidP="005942D8">
            <w:pPr>
              <w:ind w:left="176" w:right="177" w:hanging="66"/>
              <w:jc w:val="both"/>
              <w:rPr>
                <w:rFonts w:ascii="Britannic Bold" w:hAnsi="Britannic Bold" w:cs="Segoe UI Light"/>
                <w:color w:val="860000"/>
                <w:lang w:val="fr-FR"/>
              </w:rPr>
            </w:pPr>
          </w:p>
          <w:p w:rsidR="00340524" w:rsidRPr="00D453AE" w:rsidRDefault="00774A99" w:rsidP="005942D8">
            <w:pPr>
              <w:ind w:left="176" w:right="177" w:hanging="66"/>
              <w:jc w:val="both"/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  <w:t>OBJECTIF GÉNÉRAL</w:t>
            </w:r>
          </w:p>
          <w:p w:rsidR="00340524" w:rsidRPr="00D453AE" w:rsidRDefault="00774A99" w:rsidP="005942D8">
            <w:pPr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Mettre au point un système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appui, de renforcement et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accompagnement pour faciliter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enregistrement des marques collectives des entreprises locales en tant qu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axe transversal du développement économique.</w:t>
            </w:r>
          </w:p>
          <w:p w:rsidR="00774A99" w:rsidRPr="00D453AE" w:rsidRDefault="00774A99" w:rsidP="005942D8">
            <w:pPr>
              <w:ind w:left="176" w:right="177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774A99" w:rsidRPr="00D453AE" w:rsidRDefault="00774A99" w:rsidP="005942D8">
            <w:pPr>
              <w:ind w:left="176" w:right="177" w:hanging="66"/>
              <w:jc w:val="both"/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  <w:t>OBJECTIFS SPÉCIFIQUES</w:t>
            </w:r>
          </w:p>
          <w:p w:rsidR="00340524" w:rsidRPr="00D453AE" w:rsidRDefault="00774A99" w:rsidP="005942D8">
            <w:pPr>
              <w:pStyle w:val="ListParagraph"/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Élaborer une stratégie de sensibilisation,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information et de diffusion sur les avantages, les possibilités et les bénéfices offerts par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enregistrement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une marque collective en tant que bien intellectuel des petites entreprises communautaires.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Mettre au point une structure institutionnelle favorisant des processus de production complets fondés sur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identification de marques collectives potentielles.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Promouvoir des mécanismes visant à protéger, sauvegarder et soutenir les petites entreprises en reconnaissant leur impact sur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économie nationale.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color w:val="auto"/>
                <w:sz w:val="28"/>
                <w:lang w:val="fr-FR"/>
              </w:rPr>
              <w:lastRenderedPageBreak/>
              <w:t>&gt;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Rattacher des secteurs de production identifiés à des marques collectives, en créant des liens avec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autres entités publiques et privées qui permettent de suivre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entreprise, de lui fournir un appui et de mettre en place une coopération, éventuellement en rapport avec le financement ou les opportunités de marché découlant de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enregistrement obtenu.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hanging="66"/>
              <w:jc w:val="both"/>
              <w:rPr>
                <w:rFonts w:ascii="Britannic Bold" w:hAnsi="Britannic Bold" w:cs="Segoe UI Light"/>
                <w:lang w:val="fr-FR"/>
              </w:rPr>
            </w:pPr>
            <w:r w:rsidRPr="00D453AE">
              <w:rPr>
                <w:rFonts w:ascii="Broadway" w:hAnsi="Broadway" w:cs="Segoe UI Light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Suivre et observer le “cycle de vie” du projet ou de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entreprise pour effectuer une analyse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amélioration continue.</w:t>
            </w:r>
          </w:p>
        </w:tc>
      </w:tr>
      <w:tr w:rsidR="00774A99" w:rsidRPr="00D453AE" w:rsidTr="005942D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bottom w:val="single" w:sz="4" w:space="0" w:color="auto"/>
            </w:tcBorders>
            <w:shd w:val="clear" w:color="auto" w:fill="F4F3E8"/>
          </w:tcPr>
          <w:p w:rsidR="00774A99" w:rsidRPr="00D453AE" w:rsidRDefault="00774A99" w:rsidP="005942D8">
            <w:pPr>
              <w:pStyle w:val="ListParagraph"/>
              <w:ind w:left="536" w:right="177"/>
              <w:jc w:val="both"/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</w:pPr>
          </w:p>
          <w:p w:rsidR="00774A99" w:rsidRPr="00D453AE" w:rsidRDefault="00774A99" w:rsidP="00774A99">
            <w:pPr>
              <w:pStyle w:val="ListParagraph"/>
              <w:numPr>
                <w:ilvl w:val="0"/>
                <w:numId w:val="9"/>
              </w:numPr>
              <w:ind w:right="177" w:hanging="66"/>
              <w:jc w:val="both"/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</w:pPr>
            <w:r w:rsidRPr="00D453AE">
              <w:rPr>
                <w:noProof/>
                <w:color w:val="9E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7C671F" wp14:editId="328CC2C4">
                      <wp:simplePos x="0" y="0"/>
                      <wp:positionH relativeFrom="column">
                        <wp:posOffset>6752590</wp:posOffset>
                      </wp:positionH>
                      <wp:positionV relativeFrom="paragraph">
                        <wp:posOffset>-559435</wp:posOffset>
                      </wp:positionV>
                      <wp:extent cx="422910" cy="982345"/>
                      <wp:effectExtent l="0" t="0" r="0" b="825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982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4A99" w:rsidRPr="00923890" w:rsidRDefault="00774A99" w:rsidP="00774A99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color w:val="FFFFFF" w:themeColor="background1"/>
                                      <w:sz w:val="52"/>
                                      <w:lang w:val="es-MX"/>
                                    </w:rPr>
                                  </w:pPr>
                                  <w:r w:rsidRPr="00923890">
                                    <w:rPr>
                                      <w:rFonts w:ascii="Britannic Bold" w:hAnsi="Britannic Bold"/>
                                      <w:b/>
                                      <w:color w:val="FFFFFF" w:themeColor="background1"/>
                                      <w:sz w:val="52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671F" id="Rectángulo 9" o:spid="_x0000_s1029" style="position:absolute;left:0;text-align:left;margin-left:531.7pt;margin-top:-44.05pt;width:33.3pt;height:7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" fillcolor="#9e0000" stroked="f" strokeweight="2pt">
                      <v:textbox>
                        <w:txbxContent>
                          <w:p w:rsidR="00774A99" w:rsidRPr="00923890" w:rsidRDefault="00774A99" w:rsidP="00774A99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52"/>
                                <w:lang w:val="es-MX"/>
                              </w:rPr>
                            </w:pPr>
                            <w:r w:rsidRPr="00923890"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52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53AE"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  <w:t>PORTÉE</w:t>
            </w:r>
          </w:p>
          <w:p w:rsidR="00774A99" w:rsidRPr="00D453AE" w:rsidRDefault="00774A99" w:rsidP="005942D8">
            <w:pPr>
              <w:ind w:left="34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Le projet sera mis en œuvre dans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État plurinational de Bolivie et trois</w:t>
            </w:r>
            <w:r w:rsidR="006C68C7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 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autres pays bénéficiaires, compte tenu de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appui fourni par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OMPI et des axes de coopération conjointe.</w:t>
            </w:r>
          </w:p>
          <w:p w:rsidR="00774A99" w:rsidRPr="00D453AE" w:rsidRDefault="00774A99" w:rsidP="005942D8">
            <w:pPr>
              <w:ind w:left="176" w:right="177" w:hanging="66"/>
              <w:jc w:val="both"/>
              <w:rPr>
                <w:rFonts w:ascii="Segoe UI Light" w:hAnsi="Segoe UI Light" w:cs="Segoe UI Light"/>
                <w:b w:val="0"/>
                <w:color w:val="5D5C2E"/>
                <w:lang w:val="fr-FR"/>
              </w:rPr>
            </w:pPr>
          </w:p>
          <w:p w:rsidR="00774A99" w:rsidRPr="00D453AE" w:rsidRDefault="00774A99" w:rsidP="00774A99">
            <w:pPr>
              <w:pStyle w:val="ListParagraph"/>
              <w:numPr>
                <w:ilvl w:val="0"/>
                <w:numId w:val="9"/>
              </w:numPr>
              <w:ind w:right="177" w:hanging="66"/>
              <w:jc w:val="both"/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9E0000"/>
                <w:sz w:val="28"/>
                <w:lang w:val="fr-FR"/>
              </w:rPr>
              <w:t>CRITÈRES DE SÉLECTION DES PAYS BÉNÉFICIAIRES</w:t>
            </w:r>
          </w:p>
          <w:p w:rsidR="00774A99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Chacun des États membres intéressés désigne un coordonnateur représentant son pays au niveau institutionnel,</w:t>
            </w:r>
            <w:r w:rsidRPr="00D453AE">
              <w:rPr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auquel il est demandé de fournir des informations préliminaires sur les aspects ci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-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après.</w:t>
            </w:r>
          </w:p>
          <w:p w:rsidR="00340524" w:rsidRPr="00D453AE" w:rsidRDefault="00774A99" w:rsidP="005942D8">
            <w:pPr>
              <w:spacing w:line="276" w:lineRule="auto"/>
              <w:ind w:left="750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Broadway" w:hAnsi="Broadway" w:cs="Segoe UI Light"/>
                <w:color w:val="auto"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Manifestation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intérêt des institutions chargées des questions de propriété intellectuelle dans les États membres.</w:t>
            </w:r>
          </w:p>
          <w:p w:rsidR="00774A99" w:rsidRPr="00D453AE" w:rsidRDefault="00774A99" w:rsidP="005942D8">
            <w:pPr>
              <w:spacing w:line="276" w:lineRule="auto"/>
              <w:ind w:left="750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Broadway" w:hAnsi="Broadway" w:cs="Segoe UI Light"/>
                <w:color w:val="auto"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Engagement et stratégie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intégration des résultats du projet dans leur pays.</w:t>
            </w:r>
          </w:p>
          <w:p w:rsidR="00774A99" w:rsidRPr="00D453AE" w:rsidRDefault="00774A99" w:rsidP="005942D8">
            <w:pPr>
              <w:ind w:left="176" w:right="177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774A99" w:rsidRPr="00D453AE" w:rsidRDefault="00774A99" w:rsidP="00774A99">
            <w:pPr>
              <w:pStyle w:val="ListParagraph"/>
              <w:numPr>
                <w:ilvl w:val="0"/>
                <w:numId w:val="9"/>
              </w:numPr>
              <w:ind w:right="177" w:hanging="66"/>
              <w:jc w:val="both"/>
              <w:rPr>
                <w:rFonts w:ascii="Britannic Bold" w:hAnsi="Britannic Bold" w:cs="Segoe UI Light"/>
                <w:color w:val="9E0000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color w:val="9E0000"/>
                <w:sz w:val="28"/>
                <w:lang w:val="fr-FR"/>
              </w:rPr>
              <w:t>STRATÉGIE D</w:t>
            </w:r>
            <w:r w:rsidR="00340524" w:rsidRPr="00D453AE">
              <w:rPr>
                <w:rFonts w:ascii="Britannic Bold" w:hAnsi="Britannic Bold" w:cs="Segoe UI Light"/>
                <w:color w:val="9E0000"/>
                <w:sz w:val="28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color w:val="9E0000"/>
                <w:sz w:val="28"/>
                <w:lang w:val="fr-FR"/>
              </w:rPr>
              <w:t>EXÉCUTION</w:t>
            </w:r>
          </w:p>
          <w:p w:rsidR="00774A99" w:rsidRPr="00D453AE" w:rsidRDefault="00774A99" w:rsidP="005942D8">
            <w:pPr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Afin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atteindre les objectifs prévus et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obtenir des résultats,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le SEN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API (ou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office correspondant dans chacun des pays bénéficiaires) effectue des investissements importants, notamment dans les domaines ci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-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après.</w:t>
            </w:r>
          </w:p>
          <w:p w:rsidR="00774A99" w:rsidRPr="00D453AE" w:rsidRDefault="00774A99" w:rsidP="005942D8">
            <w:pPr>
              <w:ind w:right="177" w:hanging="66"/>
              <w:jc w:val="both"/>
              <w:rPr>
                <w:rFonts w:ascii="Segoe UI Light" w:hAnsi="Segoe UI Light" w:cs="Segoe UI Light"/>
                <w:b w:val="0"/>
                <w:color w:val="auto"/>
                <w:sz w:val="28"/>
                <w:lang w:val="fr-FR"/>
              </w:rPr>
            </w:pPr>
          </w:p>
          <w:p w:rsidR="00340524" w:rsidRPr="00D453AE" w:rsidRDefault="00774A99" w:rsidP="005942D8">
            <w:pPr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exécution du projet comprend trois</w:t>
            </w:r>
            <w:r w:rsidR="006C68C7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 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phases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 :</w:t>
            </w:r>
          </w:p>
          <w:p w:rsidR="00774A99" w:rsidRPr="00D453AE" w:rsidRDefault="00774A99" w:rsidP="00774A9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Actions préparatoires pour l</w:t>
            </w:r>
            <w:r w:rsidR="00340524"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identification des marques collectives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440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</w:t>
            </w:r>
            <w:proofErr w:type="spellStart"/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Géoréférencement</w:t>
            </w:r>
            <w:proofErr w:type="spellEnd"/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des zones de production et possibilités de recensement des entreprises communautaires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440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Broadway" w:hAnsi="Broadway" w:cs="Segoe UI Light"/>
                <w:b w:val="0"/>
                <w:color w:val="auto"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Événements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information organisés avec les autorités locales sur les marques collectives liées </w:t>
            </w:r>
            <w:r w:rsidR="00427F85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à des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processus de production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440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Broadway" w:hAnsi="Broadway" w:cs="Segoe UI Light"/>
                <w:b w:val="0"/>
                <w:color w:val="auto"/>
                <w:lang w:val="fr-FR"/>
              </w:rPr>
              <w:t xml:space="preserve">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Événements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information organisés avec les entreprises locales de marques collectives liées à des processus de production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440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Événements de coordination organisés avec des acteurs publics et privés intéressés par la coopération de ces secteurs productifs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774A99" w:rsidRPr="00D453AE" w:rsidRDefault="00774A99" w:rsidP="00774A9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Mise en œuvre d</w:t>
            </w:r>
            <w:r w:rsidR="00340524"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actions de démarrage pour la gestion des marques collectives et accompagnement pour l</w:t>
            </w:r>
            <w:r w:rsidR="00340524"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enregistrement des marques collectives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535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>&gt;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</w:t>
            </w:r>
            <w:r w:rsidR="00D453AE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Événements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information sur les chaînes de production en rapport avec la création de marques collectives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535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Ateliers pour la construction collective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identités et de marques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entreprises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535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Gestion et suivi des procédures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enregistrement des marques collectives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535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  <w:p w:rsidR="00774A99" w:rsidRPr="00D453AE" w:rsidRDefault="00774A99" w:rsidP="00774A9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Après le démarrage, suivi et évaluation de la position des marques collectives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440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Suivi et évaluation, à partir de la mise en œuvre de la marque collective et jusqu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à la gestion et</w:t>
            </w:r>
            <w:r w:rsidR="00C708D6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à la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 xml:space="preserve"> promotion de la position des produits des entreprises communautaires</w:t>
            </w:r>
          </w:p>
          <w:p w:rsidR="00774A99" w:rsidRPr="00D453AE" w:rsidRDefault="00774A99" w:rsidP="005942D8">
            <w:pPr>
              <w:pStyle w:val="ListParagraph"/>
              <w:spacing w:line="276" w:lineRule="auto"/>
              <w:ind w:left="1440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oadway" w:hAnsi="Broadway" w:cs="Segoe UI Light"/>
                <w:b w:val="0"/>
                <w:color w:val="auto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Compilation des enseignements tirés de l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expérience et des pratiques recommandées en vue de les reproduire dans d</w:t>
            </w:r>
            <w:r w:rsidR="00340524"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 w:val="0"/>
                <w:color w:val="auto"/>
                <w:lang w:val="fr-FR"/>
              </w:rPr>
              <w:t>autres contextes nationaux.</w:t>
            </w:r>
          </w:p>
          <w:p w:rsidR="00774A99" w:rsidRPr="00D453AE" w:rsidRDefault="00774A99" w:rsidP="005942D8">
            <w:pPr>
              <w:ind w:right="177" w:hanging="66"/>
              <w:jc w:val="both"/>
              <w:rPr>
                <w:rFonts w:ascii="Segoe UI Light" w:hAnsi="Segoe UI Light" w:cs="Segoe UI Light"/>
                <w:color w:val="9E0000"/>
                <w:lang w:val="fr-FR"/>
              </w:rPr>
            </w:pPr>
          </w:p>
        </w:tc>
      </w:tr>
      <w:tr w:rsidR="00774A99" w:rsidRPr="00D453AE" w:rsidTr="005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F3E8"/>
          </w:tcPr>
          <w:p w:rsidR="00774A99" w:rsidRPr="00D453AE" w:rsidRDefault="00774A99" w:rsidP="00774A99">
            <w:pPr>
              <w:pStyle w:val="ListParagraph"/>
              <w:numPr>
                <w:ilvl w:val="0"/>
                <w:numId w:val="9"/>
              </w:numPr>
              <w:ind w:right="177" w:hanging="66"/>
              <w:jc w:val="both"/>
              <w:rPr>
                <w:rFonts w:ascii="Broadway" w:hAnsi="Broadway" w:cs="Segoe UI Light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color w:val="9E0000"/>
                <w:sz w:val="28"/>
                <w:lang w:val="fr-FR"/>
              </w:rPr>
              <w:lastRenderedPageBreak/>
              <w:t>Risques potentiels et mesures d</w:t>
            </w:r>
            <w:r w:rsidR="00340524" w:rsidRPr="00D453AE">
              <w:rPr>
                <w:rFonts w:ascii="Britannic Bold" w:hAnsi="Britannic Bold" w:cs="Segoe UI Light"/>
                <w:color w:val="9E0000"/>
                <w:sz w:val="28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color w:val="9E0000"/>
                <w:sz w:val="28"/>
                <w:lang w:val="fr-FR"/>
              </w:rPr>
              <w:t>atténuation</w:t>
            </w:r>
          </w:p>
        </w:tc>
      </w:tr>
      <w:tr w:rsidR="00774A99" w:rsidRPr="00D453AE" w:rsidTr="005942D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3E8"/>
          </w:tcPr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</w:p>
          <w:p w:rsidR="00340524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Risque</w:t>
            </w: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Atténuation</w:t>
            </w: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Risque</w:t>
            </w:r>
          </w:p>
          <w:p w:rsidR="00774A99" w:rsidRPr="00D453AE" w:rsidRDefault="00774A99" w:rsidP="005942D8">
            <w:pPr>
              <w:spacing w:line="276" w:lineRule="auto"/>
              <w:ind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color w:val="auto"/>
                <w:sz w:val="28"/>
                <w:lang w:val="fr-FR"/>
              </w:rPr>
              <w:t>Atténuation</w:t>
            </w: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rPr>
                <w:rFonts w:ascii="Segoe UI Light" w:hAnsi="Segoe UI Light" w:cs="Segoe UI Light"/>
                <w:b w:val="0"/>
                <w:color w:val="auto"/>
                <w:lang w:val="fr-FR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3E8"/>
          </w:tcPr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adway" w:hAnsi="Broadway" w:cs="Segoe UI Light"/>
                <w:sz w:val="28"/>
                <w:lang w:val="fr-FR"/>
              </w:rPr>
            </w:pP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lang w:val="fr-FR"/>
              </w:rPr>
            </w:pPr>
            <w:r w:rsidRPr="00D453AE">
              <w:rPr>
                <w:rFonts w:ascii="Broadway" w:hAnsi="Broadway" w:cs="Segoe UI Light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Résistance au changement de la part de certaines associations de producteurs qui hésitent à se lancer dans l</w:t>
            </w:r>
            <w:r w:rsidR="00340524" w:rsidRPr="00D453AE">
              <w:rPr>
                <w:rFonts w:ascii="Segoe UI Light" w:hAnsi="Segoe UI Light" w:cs="Segoe UI Light"/>
                <w:bCs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enregistrement de marques collectives.</w:t>
            </w: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lang w:val="fr-FR"/>
              </w:rPr>
            </w:pPr>
            <w:r w:rsidRPr="00D453AE">
              <w:rPr>
                <w:rFonts w:ascii="Broadway" w:hAnsi="Broadway" w:cs="Segoe UI Light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Générer des processus ayant un impact fort en termes d</w:t>
            </w:r>
            <w:r w:rsidR="00340524" w:rsidRPr="00D453AE">
              <w:rPr>
                <w:rFonts w:ascii="Segoe UI Light" w:hAnsi="Segoe UI Light" w:cs="Segoe UI Light"/>
                <w:bCs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information et de sensibilisation concernant les avantages comparatifs de l</w:t>
            </w:r>
            <w:r w:rsidR="00340524" w:rsidRPr="00D453AE">
              <w:rPr>
                <w:rFonts w:ascii="Segoe UI Light" w:hAnsi="Segoe UI Light" w:cs="Segoe UI Light"/>
                <w:bCs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utilisation des marques collectives.</w:t>
            </w: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lang w:val="fr-FR"/>
              </w:rPr>
            </w:pPr>
            <w:r w:rsidRPr="00D453AE">
              <w:rPr>
                <w:rFonts w:ascii="Broadway" w:hAnsi="Broadway" w:cs="Segoe UI Light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Conflits éventuels d</w:t>
            </w:r>
            <w:r w:rsidR="00340524" w:rsidRPr="00D453AE">
              <w:rPr>
                <w:rFonts w:ascii="Segoe UI Light" w:hAnsi="Segoe UI Light" w:cs="Segoe UI Light"/>
                <w:bCs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organisation interne de la part des associations communautaires qui pourraient retarder les efforts déployés pour engager le processus de création des marques collectives dans des pépinières.</w:t>
            </w:r>
          </w:p>
          <w:p w:rsidR="00774A99" w:rsidRPr="00D453AE" w:rsidRDefault="00774A99" w:rsidP="005942D8">
            <w:pPr>
              <w:spacing w:line="276" w:lineRule="auto"/>
              <w:ind w:left="41" w:right="35" w:hanging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lang w:val="fr-FR"/>
              </w:rPr>
            </w:pPr>
            <w:r w:rsidRPr="00D453AE">
              <w:rPr>
                <w:rFonts w:ascii="Broadway" w:hAnsi="Broadway" w:cs="Segoe UI Light"/>
                <w:sz w:val="28"/>
                <w:lang w:val="fr-FR"/>
              </w:rPr>
              <w:t xml:space="preserve">&gt; 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Lancer un processus de sensibilisation auprès des autorités locales, en soulignant les conséquences du manque d</w:t>
            </w:r>
            <w:r w:rsidR="00340524" w:rsidRPr="00D453AE">
              <w:rPr>
                <w:rFonts w:ascii="Segoe UI Light" w:hAnsi="Segoe UI Light" w:cs="Segoe UI Light"/>
                <w:bCs/>
                <w:lang w:val="fr-FR"/>
              </w:rPr>
              <w:t>’</w:t>
            </w:r>
            <w:r w:rsidRPr="00D453AE">
              <w:rPr>
                <w:rFonts w:ascii="Segoe UI Light" w:hAnsi="Segoe UI Light" w:cs="Segoe UI Light"/>
                <w:bCs/>
                <w:lang w:val="fr-FR"/>
              </w:rPr>
              <w:t>organisation sur la réalisation des objectifs de production des partenaires.</w:t>
            </w:r>
          </w:p>
        </w:tc>
      </w:tr>
    </w:tbl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rPr>
          <w:lang w:val="fr-FR"/>
        </w:rPr>
      </w:pPr>
      <w:r w:rsidRPr="00D453AE">
        <w:rPr>
          <w:b/>
          <w:bCs/>
          <w:lang w:val="fr-FR"/>
        </w:rPr>
        <w:br w:type="page"/>
      </w:r>
    </w:p>
    <w:tbl>
      <w:tblPr>
        <w:tblStyle w:val="GridTable5Dark-Accent2"/>
        <w:tblW w:w="9630" w:type="dxa"/>
        <w:tblInd w:w="-275" w:type="dxa"/>
        <w:tblLook w:val="04A0" w:firstRow="1" w:lastRow="0" w:firstColumn="1" w:lastColumn="0" w:noHBand="0" w:noVBand="1"/>
      </w:tblPr>
      <w:tblGrid>
        <w:gridCol w:w="9749"/>
      </w:tblGrid>
      <w:tr w:rsidR="00774A99" w:rsidRPr="00D453AE" w:rsidTr="0059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5D5C2E"/>
          </w:tcPr>
          <w:p w:rsidR="00774A99" w:rsidRPr="00D453AE" w:rsidRDefault="00774A99" w:rsidP="005942D8">
            <w:pPr>
              <w:ind w:left="360"/>
              <w:rPr>
                <w:rFonts w:ascii="Segoe UI Light" w:hAnsi="Segoe UI Light" w:cs="Segoe UI Light"/>
                <w:color w:val="auto"/>
                <w:lang w:val="fr-FR"/>
              </w:rPr>
            </w:pPr>
            <w:r w:rsidRPr="00D453AE">
              <w:rPr>
                <w:rFonts w:ascii="Britannic Bold" w:hAnsi="Britannic Bold" w:cs="Segoe UI Light"/>
                <w:b w:val="0"/>
                <w:bCs w:val="0"/>
                <w:sz w:val="52"/>
                <w:szCs w:val="26"/>
                <w:lang w:val="fr-FR"/>
              </w:rPr>
              <w:lastRenderedPageBreak/>
              <w:t>3.</w:t>
            </w:r>
            <w:r w:rsidRPr="00D453AE">
              <w:rPr>
                <w:rFonts w:ascii="Britannic Bold" w:hAnsi="Britannic Bold"/>
                <w:b w:val="0"/>
                <w:sz w:val="52"/>
                <w:lang w:val="fr-FR"/>
              </w:rPr>
              <w:t xml:space="preserve"> </w:t>
            </w:r>
            <w:r w:rsidR="006C68C7" w:rsidRPr="00D453AE">
              <w:rPr>
                <w:rFonts w:ascii="Britannic Bold" w:hAnsi="Britannic Bold" w:cs="Segoe UI Light"/>
                <w:b w:val="0"/>
                <w:bCs w:val="0"/>
                <w:sz w:val="52"/>
                <w:szCs w:val="26"/>
                <w:lang w:val="fr-FR"/>
              </w:rPr>
              <w:t xml:space="preserve"> </w:t>
            </w:r>
            <w:r w:rsidRPr="00D453AE">
              <w:rPr>
                <w:rFonts w:ascii="Britannic Bold" w:hAnsi="Britannic Bold" w:cs="Segoe UI Light"/>
                <w:sz w:val="52"/>
                <w:szCs w:val="26"/>
                <w:lang w:val="fr-FR"/>
              </w:rPr>
              <w:t>CALENDRIER D</w:t>
            </w:r>
            <w:r w:rsidR="00340524" w:rsidRPr="00D453AE">
              <w:rPr>
                <w:rFonts w:ascii="Britannic Bold" w:hAnsi="Britannic Bold" w:cs="Segoe UI Light"/>
                <w:sz w:val="52"/>
                <w:szCs w:val="26"/>
                <w:lang w:val="fr-FR"/>
              </w:rPr>
              <w:t>’</w:t>
            </w:r>
            <w:r w:rsidRPr="00D453AE">
              <w:rPr>
                <w:rFonts w:ascii="Britannic Bold" w:hAnsi="Britannic Bold" w:cs="Segoe UI Light"/>
                <w:sz w:val="52"/>
                <w:szCs w:val="26"/>
                <w:lang w:val="fr-FR"/>
              </w:rPr>
              <w:t>EXÉCUTION</w:t>
            </w:r>
          </w:p>
        </w:tc>
      </w:tr>
      <w:tr w:rsidR="00774A99" w:rsidRPr="00D453AE" w:rsidTr="0059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F2DBDB" w:themeFill="accent2" w:themeFillTint="33"/>
          </w:tcPr>
          <w:tbl>
            <w:tblPr>
              <w:tblStyle w:val="TableGrid"/>
              <w:tblW w:w="9523" w:type="dxa"/>
              <w:tblLook w:val="04A0" w:firstRow="1" w:lastRow="0" w:firstColumn="1" w:lastColumn="0" w:noHBand="0" w:noVBand="1"/>
            </w:tblPr>
            <w:tblGrid>
              <w:gridCol w:w="1852"/>
              <w:gridCol w:w="3541"/>
              <w:gridCol w:w="1517"/>
              <w:gridCol w:w="1064"/>
              <w:gridCol w:w="1549"/>
            </w:tblGrid>
            <w:tr w:rsidR="00D453AE" w:rsidRPr="00D453AE" w:rsidTr="005942D8">
              <w:trPr>
                <w:trHeight w:val="55"/>
              </w:trPr>
              <w:tc>
                <w:tcPr>
                  <w:tcW w:w="1938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b/>
                      <w:bCs/>
                      <w:sz w:val="20"/>
                      <w:szCs w:val="20"/>
                      <w:lang w:val="fr-FR"/>
                    </w:rPr>
                    <w:t>ÉTAPE</w:t>
                  </w: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b/>
                      <w:bCs/>
                      <w:sz w:val="20"/>
                      <w:szCs w:val="20"/>
                      <w:lang w:val="fr-FR"/>
                    </w:rPr>
                    <w:t>ACTIVITÉ</w:t>
                  </w:r>
                </w:p>
              </w:tc>
              <w:tc>
                <w:tcPr>
                  <w:tcW w:w="2808" w:type="dxa"/>
                  <w:gridSpan w:val="3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b/>
                      <w:bCs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</w:tr>
            <w:tr w:rsidR="00D453AE" w:rsidRPr="00D453AE" w:rsidTr="005942D8">
              <w:trPr>
                <w:trHeight w:val="55"/>
              </w:trPr>
              <w:tc>
                <w:tcPr>
                  <w:tcW w:w="1938" w:type="dxa"/>
                  <w:vMerge w:val="restart"/>
                  <w:shd w:val="clear" w:color="auto" w:fill="EBEAD5"/>
                  <w:vAlign w:val="center"/>
                </w:tcPr>
                <w:p w:rsidR="00774A99" w:rsidRPr="00D453AE" w:rsidRDefault="00774A99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Actions préparatoires pour l</w:t>
                  </w:r>
                  <w:r w:rsidR="00340524"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identification des marques collectives</w:t>
                  </w: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Géoréférencement</w:t>
                  </w:r>
                  <w:proofErr w:type="spellEnd"/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des zones de production et possibilités de recensement des entreprises communautaires</w:t>
                  </w:r>
                </w:p>
              </w:tc>
              <w:tc>
                <w:tcPr>
                  <w:tcW w:w="1279" w:type="dxa"/>
                  <w:shd w:val="clear" w:color="auto" w:fill="EBEAD5"/>
                  <w:vAlign w:val="center"/>
                </w:tcPr>
                <w:p w:rsidR="00774A99" w:rsidRPr="00D453AE" w:rsidRDefault="00D453AE" w:rsidP="005942D8">
                  <w:pPr>
                    <w:ind w:right="177"/>
                    <w:jc w:val="center"/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19</w:t>
                  </w:r>
                  <w:r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 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septembre</w:t>
                  </w:r>
                </w:p>
                <w:p w:rsidR="00774A99" w:rsidRPr="00D453AE" w:rsidRDefault="00D453AE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premier 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semestre</w:t>
                  </w:r>
                </w:p>
              </w:tc>
              <w:tc>
                <w:tcPr>
                  <w:tcW w:w="108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40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453AE" w:rsidRPr="00D453AE" w:rsidTr="005942D8">
              <w:trPr>
                <w:trHeight w:val="52"/>
              </w:trPr>
              <w:tc>
                <w:tcPr>
                  <w:tcW w:w="1938" w:type="dxa"/>
                  <w:vMerge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Événements d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information </w:t>
                  </w:r>
                  <w:r w:rsidRPr="00D453AE">
                    <w:rPr>
                      <w:rFonts w:ascii="Segoe UI Light" w:hAnsi="Segoe UI Light" w:cs="Segoe UI Light"/>
                      <w:lang w:val="fr-FR"/>
                    </w:rPr>
                    <w:t>organisés</w:t>
                  </w:r>
                  <w:r w:rsidRPr="00D453AE">
                    <w:rPr>
                      <w:rFonts w:ascii="Segoe UI Light" w:hAnsi="Segoe UI Light" w:cs="Segoe UI Light"/>
                      <w:b/>
                      <w:lang w:val="fr-FR"/>
                    </w:rPr>
                    <w:t xml:space="preserve"> 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avec les autorités locales sur les marques collectives liées à des processus de production </w:t>
                  </w:r>
                </w:p>
              </w:tc>
              <w:tc>
                <w:tcPr>
                  <w:tcW w:w="1279" w:type="dxa"/>
                  <w:shd w:val="clear" w:color="auto" w:fill="EBEAD5"/>
                  <w:vAlign w:val="center"/>
                </w:tcPr>
                <w:p w:rsidR="00774A99" w:rsidRPr="00D453AE" w:rsidRDefault="00D453AE" w:rsidP="005942D8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premier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semestre</w:t>
                  </w:r>
                </w:p>
              </w:tc>
              <w:tc>
                <w:tcPr>
                  <w:tcW w:w="108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40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453AE" w:rsidRPr="00D453AE" w:rsidTr="005942D8">
              <w:trPr>
                <w:trHeight w:val="267"/>
              </w:trPr>
              <w:tc>
                <w:tcPr>
                  <w:tcW w:w="1938" w:type="dxa"/>
                  <w:vMerge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C708D6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Événements d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information </w:t>
                  </w:r>
                  <w:r w:rsidRPr="00D453AE">
                    <w:rPr>
                      <w:rFonts w:ascii="Segoe UI Light" w:hAnsi="Segoe UI Light" w:cs="Segoe UI Light"/>
                      <w:lang w:val="fr-FR"/>
                    </w:rPr>
                    <w:t>organisés</w:t>
                  </w:r>
                  <w:r w:rsidRPr="00D453AE">
                    <w:rPr>
                      <w:rFonts w:ascii="Segoe UI Light" w:hAnsi="Segoe UI Light" w:cs="Segoe UI Light"/>
                      <w:b/>
                      <w:lang w:val="fr-FR"/>
                    </w:rPr>
                    <w:t xml:space="preserve"> 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avec les entreprises locales</w:t>
                  </w:r>
                  <w:r w:rsidRPr="00D453AE">
                    <w:rPr>
                      <w:rFonts w:ascii="Segoe UI Light" w:hAnsi="Segoe UI Light" w:cs="Segoe UI Light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de marques collectives liées </w:t>
                  </w:r>
                  <w:r w:rsidR="00C708D6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à des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processus de production</w:t>
                  </w:r>
                </w:p>
              </w:tc>
              <w:tc>
                <w:tcPr>
                  <w:tcW w:w="1279" w:type="dxa"/>
                  <w:shd w:val="clear" w:color="auto" w:fill="EBEAD5"/>
                  <w:vAlign w:val="center"/>
                </w:tcPr>
                <w:p w:rsidR="00774A99" w:rsidRPr="00D453AE" w:rsidRDefault="00D453AE" w:rsidP="005942D8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premier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semestre</w:t>
                  </w:r>
                </w:p>
              </w:tc>
              <w:tc>
                <w:tcPr>
                  <w:tcW w:w="108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40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453AE" w:rsidRPr="00D453AE" w:rsidTr="005942D8">
              <w:trPr>
                <w:trHeight w:val="267"/>
              </w:trPr>
              <w:tc>
                <w:tcPr>
                  <w:tcW w:w="1938" w:type="dxa"/>
                  <w:vMerge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Événements de coordination </w:t>
                  </w:r>
                  <w:r w:rsidRPr="00D453AE">
                    <w:rPr>
                      <w:rFonts w:ascii="Segoe UI Light" w:hAnsi="Segoe UI Light" w:cs="Segoe UI Light"/>
                      <w:lang w:val="fr-FR"/>
                    </w:rPr>
                    <w:t>organisés</w:t>
                  </w:r>
                  <w:r w:rsidRPr="00D453AE">
                    <w:rPr>
                      <w:rFonts w:ascii="Segoe UI Light" w:hAnsi="Segoe UI Light" w:cs="Segoe UI Light"/>
                      <w:b/>
                      <w:lang w:val="fr-FR"/>
                    </w:rPr>
                    <w:t xml:space="preserve"> 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avec des acteurs publics et privés intéressés par la coopération de ces secteurs productifs</w:t>
                  </w:r>
                </w:p>
              </w:tc>
              <w:tc>
                <w:tcPr>
                  <w:tcW w:w="1279" w:type="dxa"/>
                  <w:shd w:val="clear" w:color="auto" w:fill="EBEAD5"/>
                  <w:vAlign w:val="center"/>
                </w:tcPr>
                <w:p w:rsidR="00774A99" w:rsidRPr="00D453AE" w:rsidRDefault="00D453AE" w:rsidP="005942D8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premier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semestre</w:t>
                  </w:r>
                </w:p>
              </w:tc>
              <w:tc>
                <w:tcPr>
                  <w:tcW w:w="108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40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453AE" w:rsidRPr="00D453AE" w:rsidTr="005942D8">
              <w:trPr>
                <w:trHeight w:val="55"/>
              </w:trPr>
              <w:tc>
                <w:tcPr>
                  <w:tcW w:w="1938" w:type="dxa"/>
                  <w:vMerge w:val="restart"/>
                  <w:shd w:val="clear" w:color="auto" w:fill="EBEAD5"/>
                  <w:vAlign w:val="center"/>
                </w:tcPr>
                <w:p w:rsidR="00774A99" w:rsidRPr="00D453AE" w:rsidRDefault="00774A99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Mise en œuvre d</w:t>
                  </w:r>
                  <w:r w:rsidR="00340524"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actions de démarrage pour la gestion des marques collectives et accompagnement pour l</w:t>
                  </w:r>
                  <w:r w:rsidR="00340524"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enregistrement des marques collectives</w:t>
                  </w: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D453AE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Événements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d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information sur les chaînes de production en rapport avec la création de marques collectives</w:t>
                  </w:r>
                </w:p>
              </w:tc>
              <w:tc>
                <w:tcPr>
                  <w:tcW w:w="127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9" w:type="dxa"/>
                  <w:shd w:val="clear" w:color="auto" w:fill="EBEAD5"/>
                  <w:vAlign w:val="center"/>
                </w:tcPr>
                <w:p w:rsidR="00774A99" w:rsidRPr="00D453AE" w:rsidRDefault="00D453AE" w:rsidP="00D453AE">
                  <w:pPr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20</w:t>
                  </w:r>
                  <w:r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 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mars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deuxième 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semestre</w:t>
                  </w:r>
                </w:p>
              </w:tc>
              <w:tc>
                <w:tcPr>
                  <w:tcW w:w="440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453AE" w:rsidRPr="00D453AE" w:rsidTr="005942D8">
              <w:trPr>
                <w:trHeight w:val="52"/>
              </w:trPr>
              <w:tc>
                <w:tcPr>
                  <w:tcW w:w="1938" w:type="dxa"/>
                  <w:vMerge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Ateliers pour la construction collective d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identités et de marques d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entreprises</w:t>
                  </w:r>
                </w:p>
              </w:tc>
              <w:tc>
                <w:tcPr>
                  <w:tcW w:w="127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9" w:type="dxa"/>
                  <w:shd w:val="clear" w:color="auto" w:fill="EBEAD5"/>
                  <w:vAlign w:val="center"/>
                </w:tcPr>
                <w:p w:rsidR="00774A99" w:rsidRPr="00D453AE" w:rsidRDefault="00D453AE" w:rsidP="005942D8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deuxième 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semestre</w:t>
                  </w:r>
                </w:p>
              </w:tc>
              <w:tc>
                <w:tcPr>
                  <w:tcW w:w="440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453AE" w:rsidRPr="00D453AE" w:rsidTr="005942D8">
              <w:trPr>
                <w:trHeight w:val="84"/>
              </w:trPr>
              <w:tc>
                <w:tcPr>
                  <w:tcW w:w="1938" w:type="dxa"/>
                  <w:vMerge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77" w:type="dxa"/>
                  <w:shd w:val="clear" w:color="auto" w:fill="EBEAD5"/>
                  <w:vAlign w:val="center"/>
                </w:tcPr>
                <w:p w:rsidR="00774A99" w:rsidRPr="00D453AE" w:rsidRDefault="00774A99" w:rsidP="005942D8">
                  <w:pPr>
                    <w:ind w:right="177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Gestion et suivi des procédures d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enregistrement des marques</w:t>
                  </w:r>
                  <w:r w:rsidRPr="00D453AE">
                    <w:rPr>
                      <w:rFonts w:ascii="Segoe UI Light" w:hAnsi="Segoe UI Light" w:cs="Segoe UI Light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collectives</w:t>
                  </w:r>
                </w:p>
              </w:tc>
              <w:tc>
                <w:tcPr>
                  <w:tcW w:w="127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9" w:type="dxa"/>
                  <w:shd w:val="clear" w:color="auto" w:fill="EBEAD5"/>
                  <w:vAlign w:val="center"/>
                </w:tcPr>
                <w:p w:rsidR="00774A99" w:rsidRPr="00D453AE" w:rsidRDefault="00D453AE" w:rsidP="005942D8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deuxième 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semestre</w:t>
                  </w:r>
                </w:p>
              </w:tc>
              <w:tc>
                <w:tcPr>
                  <w:tcW w:w="440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453AE" w:rsidRPr="00D453AE" w:rsidTr="005942D8">
              <w:trPr>
                <w:trHeight w:val="100"/>
              </w:trPr>
              <w:tc>
                <w:tcPr>
                  <w:tcW w:w="1938" w:type="dxa"/>
                  <w:vMerge w:val="restart"/>
                  <w:shd w:val="clear" w:color="auto" w:fill="EBEAD5"/>
                  <w:vAlign w:val="center"/>
                </w:tcPr>
                <w:p w:rsidR="00774A99" w:rsidRPr="00D453AE" w:rsidRDefault="00774A99" w:rsidP="005942D8">
                  <w:pPr>
                    <w:ind w:right="177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  <w:t>Après le démarrage, suivi et évaluation de la position des marques collectives</w:t>
                  </w: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Suivi et évaluation, à partir de la mise en œuvre de la marque collective et jusqu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à la gestion et à la promotion de la position des produits des entreprises communautaires</w:t>
                  </w:r>
                </w:p>
              </w:tc>
              <w:tc>
                <w:tcPr>
                  <w:tcW w:w="127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40" w:type="dxa"/>
                  <w:shd w:val="clear" w:color="auto" w:fill="EBEAD5"/>
                  <w:vAlign w:val="center"/>
                </w:tcPr>
                <w:p w:rsidR="00774A99" w:rsidRPr="00D453AE" w:rsidRDefault="00D453AE" w:rsidP="00D453AE">
                  <w:pPr>
                    <w:ind w:right="177"/>
                    <w:jc w:val="center"/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20</w:t>
                  </w:r>
                  <w:r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 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septembre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troisième 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semestre</w:t>
                  </w:r>
                </w:p>
              </w:tc>
            </w:tr>
            <w:tr w:rsidR="00D453AE" w:rsidRPr="00D453AE" w:rsidTr="005942D8">
              <w:trPr>
                <w:trHeight w:val="97"/>
              </w:trPr>
              <w:tc>
                <w:tcPr>
                  <w:tcW w:w="1938" w:type="dxa"/>
                  <w:vMerge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both"/>
                    <w:rPr>
                      <w:rFonts w:ascii="Segoe UI Light" w:hAnsi="Segoe UI Light" w:cs="Segoe UI Light"/>
                      <w:bCs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77" w:type="dxa"/>
                  <w:shd w:val="clear" w:color="auto" w:fill="EBEAD5"/>
                </w:tcPr>
                <w:p w:rsidR="00774A99" w:rsidRPr="00D453AE" w:rsidRDefault="00774A99" w:rsidP="005942D8">
                  <w:pPr>
                    <w:spacing w:line="276" w:lineRule="auto"/>
                    <w:jc w:val="both"/>
                    <w:rPr>
                      <w:rFonts w:ascii="Segoe UI Light" w:hAnsi="Segoe UI Light" w:cs="Segoe UI Light"/>
                      <w:b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Compilation des enseignements tirés de l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expérience et des pratiques recommandées en vue de les reproduire dans d</w:t>
                  </w:r>
                  <w:r w:rsidR="00340524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’</w:t>
                  </w: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autres contextes nationaux. </w:t>
                  </w:r>
                  <w:r w:rsidR="006C68C7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7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9" w:type="dxa"/>
                  <w:shd w:val="clear" w:color="auto" w:fill="EBEAD5"/>
                </w:tcPr>
                <w:p w:rsidR="00774A99" w:rsidRPr="00D453AE" w:rsidRDefault="00774A99" w:rsidP="005942D8">
                  <w:pPr>
                    <w:ind w:right="177"/>
                    <w:jc w:val="center"/>
                    <w:rPr>
                      <w:rFonts w:ascii="Britannic Bold" w:hAnsi="Britannic Bold" w:cs="Segoe UI Light"/>
                      <w:b/>
                      <w:bCs/>
                      <w:color w:val="86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40" w:type="dxa"/>
                  <w:shd w:val="clear" w:color="auto" w:fill="EBEAD5"/>
                  <w:vAlign w:val="center"/>
                </w:tcPr>
                <w:p w:rsidR="00774A99" w:rsidRPr="00D453AE" w:rsidRDefault="00D453AE" w:rsidP="005942D8">
                  <w:pPr>
                    <w:jc w:val="center"/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</w:pPr>
                  <w:r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 xml:space="preserve">troisième </w:t>
                  </w:r>
                  <w:r w:rsidR="00774A99" w:rsidRPr="00D453AE">
                    <w:rPr>
                      <w:rFonts w:ascii="Segoe UI Light" w:hAnsi="Segoe UI Light" w:cs="Segoe UI Light"/>
                      <w:sz w:val="20"/>
                      <w:szCs w:val="20"/>
                      <w:lang w:val="fr-FR"/>
                    </w:rPr>
                    <w:t>semestre</w:t>
                  </w:r>
                </w:p>
              </w:tc>
            </w:tr>
          </w:tbl>
          <w:p w:rsidR="00774A99" w:rsidRPr="00D453AE" w:rsidRDefault="00774A99" w:rsidP="005942D8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774A99" w:rsidRPr="00D453AE" w:rsidRDefault="00774A99" w:rsidP="00774A99">
      <w:pPr>
        <w:rPr>
          <w:rFonts w:ascii="Segoe UI Light" w:hAnsi="Segoe UI Light" w:cs="Segoe UI Light"/>
          <w:sz w:val="20"/>
          <w:lang w:val="fr-FR"/>
        </w:rPr>
      </w:pPr>
    </w:p>
    <w:p w:rsidR="00774A99" w:rsidRPr="00D453AE" w:rsidRDefault="00774A99" w:rsidP="00774A99">
      <w:pPr>
        <w:rPr>
          <w:lang w:val="fr-FR"/>
        </w:rPr>
      </w:pPr>
    </w:p>
    <w:p w:rsidR="00774A99" w:rsidRPr="00D453AE" w:rsidRDefault="00774A99" w:rsidP="00774A99">
      <w:pPr>
        <w:ind w:left="5580" w:right="85"/>
        <w:rPr>
          <w:lang w:val="fr-FR"/>
        </w:rPr>
      </w:pPr>
    </w:p>
    <w:p w:rsidR="00774A99" w:rsidRPr="00D453AE" w:rsidRDefault="00774A99" w:rsidP="00774A99">
      <w:pPr>
        <w:ind w:left="5580" w:right="85"/>
        <w:rPr>
          <w:lang w:val="fr-FR"/>
        </w:rPr>
      </w:pPr>
      <w:r w:rsidRPr="00D453AE">
        <w:rPr>
          <w:lang w:val="fr-FR"/>
        </w:rPr>
        <w:t>[Fin de l</w:t>
      </w:r>
      <w:r w:rsidR="00340524" w:rsidRPr="00D453AE">
        <w:rPr>
          <w:lang w:val="fr-FR"/>
        </w:rPr>
        <w:t>’</w:t>
      </w:r>
      <w:r w:rsidRPr="00D453AE">
        <w:rPr>
          <w:lang w:val="fr-FR"/>
        </w:rPr>
        <w:t>annexe et du document]</w:t>
      </w:r>
    </w:p>
    <w:sectPr w:rsidR="00774A99" w:rsidRPr="00D453AE" w:rsidSect="00281BA5">
      <w:headerReference w:type="default" r:id="rId16"/>
      <w:headerReference w:type="first" r:id="rId17"/>
      <w:endnotePr>
        <w:numFmt w:val="decimal"/>
      </w:endnotePr>
      <w:pgSz w:w="11907" w:h="16840" w:code="9"/>
      <w:pgMar w:top="562" w:right="1138" w:bottom="1411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9" w:rsidRDefault="00774A99">
      <w:r>
        <w:separator/>
      </w:r>
    </w:p>
  </w:endnote>
  <w:endnote w:type="continuationSeparator" w:id="0">
    <w:p w:rsidR="00774A99" w:rsidRPr="009D30E6" w:rsidRDefault="00774A9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74A99" w:rsidRPr="009D30E6" w:rsidRDefault="00774A9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74A99" w:rsidRPr="009D30E6" w:rsidRDefault="00774A9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AE" w:rsidRDefault="00D45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AE" w:rsidRDefault="00D45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AE" w:rsidRDefault="00D4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9" w:rsidRDefault="00774A99">
      <w:r>
        <w:separator/>
      </w:r>
    </w:p>
  </w:footnote>
  <w:footnote w:type="continuationSeparator" w:id="0">
    <w:p w:rsidR="00774A99" w:rsidRDefault="00774A99" w:rsidP="007461F1">
      <w:r>
        <w:separator/>
      </w:r>
    </w:p>
    <w:p w:rsidR="00774A99" w:rsidRPr="009D30E6" w:rsidRDefault="00774A9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74A99" w:rsidRPr="009D30E6" w:rsidRDefault="00774A9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AE" w:rsidRDefault="00D45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774A99" w:rsidP="00477D6B">
    <w:pPr>
      <w:jc w:val="right"/>
    </w:pPr>
    <w:bookmarkStart w:id="5" w:name="Code2"/>
    <w:bookmarkEnd w:id="5"/>
    <w:r>
      <w:t>CDIP/23/15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6C12">
      <w:rPr>
        <w:noProof/>
      </w:rPr>
      <w:t>8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AE" w:rsidRDefault="00D453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24" w:rsidRDefault="00340524" w:rsidP="00477D6B">
    <w:pPr>
      <w:jc w:val="right"/>
    </w:pPr>
    <w:r>
      <w:t>CDIP/23/15</w:t>
    </w:r>
  </w:p>
  <w:p w:rsidR="00340524" w:rsidRDefault="00340524" w:rsidP="00477D6B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1D6C12">
      <w:rPr>
        <w:noProof/>
      </w:rPr>
      <w:t>8</w:t>
    </w:r>
    <w:r>
      <w:fldChar w:fldCharType="end"/>
    </w:r>
  </w:p>
  <w:p w:rsidR="00340524" w:rsidRDefault="00340524" w:rsidP="00477D6B">
    <w:pPr>
      <w:jc w:val="right"/>
    </w:pPr>
  </w:p>
  <w:p w:rsidR="00340524" w:rsidRDefault="00340524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4" w:rsidRDefault="004C7874" w:rsidP="004C7874">
    <w:pPr>
      <w:pStyle w:val="Header"/>
      <w:jc w:val="right"/>
    </w:pPr>
    <w:r>
      <w:t>CDIP/23/15</w:t>
    </w:r>
  </w:p>
  <w:p w:rsidR="004C7874" w:rsidRDefault="004C7874" w:rsidP="004C7874">
    <w:pPr>
      <w:pStyle w:val="Header"/>
      <w:jc w:val="right"/>
    </w:pPr>
    <w:r>
      <w:t>ANNEXE</w:t>
    </w:r>
  </w:p>
  <w:p w:rsidR="004C7874" w:rsidRDefault="004C7874" w:rsidP="004C7874">
    <w:pPr>
      <w:pStyle w:val="Header"/>
      <w:jc w:val="right"/>
    </w:pPr>
  </w:p>
  <w:p w:rsidR="004C7874" w:rsidRDefault="004C7874" w:rsidP="004C7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051698"/>
    <w:multiLevelType w:val="multilevel"/>
    <w:tmpl w:val="97C8582A"/>
    <w:lvl w:ilvl="0">
      <w:start w:val="1"/>
      <w:numFmt w:val="decimal"/>
      <w:lvlText w:val="%1."/>
      <w:lvlJc w:val="left"/>
      <w:pPr>
        <w:ind w:left="720" w:hanging="360"/>
      </w:pPr>
      <w:rPr>
        <w:rFonts w:ascii="Britannic Bold" w:hAnsi="Britannic Bold" w:hint="default"/>
        <w:color w:val="FFFFFF" w:themeColor="background1"/>
        <w:sz w:val="5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9E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F3C21EC"/>
    <w:multiLevelType w:val="hybridMultilevel"/>
    <w:tmpl w:val="03FAD388"/>
    <w:lvl w:ilvl="0" w:tplc="121C2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45A8C"/>
    <w:multiLevelType w:val="hybridMultilevel"/>
    <w:tmpl w:val="13CE02B0"/>
    <w:lvl w:ilvl="0" w:tplc="78003DA4">
      <w:start w:val="1"/>
      <w:numFmt w:val="lowerLetter"/>
      <w:lvlText w:val="%1)"/>
      <w:lvlJc w:val="left"/>
      <w:pPr>
        <w:ind w:left="720" w:hanging="360"/>
      </w:pPr>
      <w:rPr>
        <w:rFonts w:hint="default"/>
        <w:lang w:val="fr-CH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C6"/>
    <w:multiLevelType w:val="hybridMultilevel"/>
    <w:tmpl w:val="AC2CA81E"/>
    <w:lvl w:ilvl="0" w:tplc="2C2E2C76">
      <w:start w:val="1"/>
      <w:numFmt w:val="upperLetter"/>
      <w:lvlText w:val="%1."/>
      <w:lvlJc w:val="left"/>
      <w:pPr>
        <w:ind w:left="536" w:hanging="360"/>
      </w:pPr>
      <w:rPr>
        <w:rFonts w:ascii="Britannic Bold" w:hAnsi="Britannic Bold" w:hint="default"/>
        <w:b w:val="0"/>
        <w:color w:val="9E0000"/>
        <w:sz w:val="28"/>
      </w:rPr>
    </w:lvl>
    <w:lvl w:ilvl="1" w:tplc="400A0019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9"/>
    <w:rsid w:val="00011B7D"/>
    <w:rsid w:val="00075432"/>
    <w:rsid w:val="0009458A"/>
    <w:rsid w:val="000F5E56"/>
    <w:rsid w:val="001362EE"/>
    <w:rsid w:val="00170506"/>
    <w:rsid w:val="001832A6"/>
    <w:rsid w:val="00195C6E"/>
    <w:rsid w:val="001B266A"/>
    <w:rsid w:val="001D3D56"/>
    <w:rsid w:val="001D6C12"/>
    <w:rsid w:val="00240654"/>
    <w:rsid w:val="002634C4"/>
    <w:rsid w:val="00281BA5"/>
    <w:rsid w:val="002E4D1A"/>
    <w:rsid w:val="002F16BC"/>
    <w:rsid w:val="002F4E68"/>
    <w:rsid w:val="00322C0B"/>
    <w:rsid w:val="00340524"/>
    <w:rsid w:val="003845C1"/>
    <w:rsid w:val="003A67A3"/>
    <w:rsid w:val="004008A2"/>
    <w:rsid w:val="004025DF"/>
    <w:rsid w:val="00423E3E"/>
    <w:rsid w:val="00427AF4"/>
    <w:rsid w:val="00427F85"/>
    <w:rsid w:val="0045736E"/>
    <w:rsid w:val="00463EE0"/>
    <w:rsid w:val="004647DA"/>
    <w:rsid w:val="00477D6B"/>
    <w:rsid w:val="004C7874"/>
    <w:rsid w:val="004D6471"/>
    <w:rsid w:val="0051455D"/>
    <w:rsid w:val="00525B63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27C92"/>
    <w:rsid w:val="00655708"/>
    <w:rsid w:val="00692A84"/>
    <w:rsid w:val="006B0DB5"/>
    <w:rsid w:val="006C68C7"/>
    <w:rsid w:val="007461F1"/>
    <w:rsid w:val="00774A99"/>
    <w:rsid w:val="007C7891"/>
    <w:rsid w:val="007D6961"/>
    <w:rsid w:val="007F07CB"/>
    <w:rsid w:val="007F5FBA"/>
    <w:rsid w:val="008046DE"/>
    <w:rsid w:val="00807C95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35AF5"/>
    <w:rsid w:val="00BE0BE0"/>
    <w:rsid w:val="00C664C8"/>
    <w:rsid w:val="00C708D6"/>
    <w:rsid w:val="00CF0460"/>
    <w:rsid w:val="00D43E0F"/>
    <w:rsid w:val="00D45252"/>
    <w:rsid w:val="00D453AE"/>
    <w:rsid w:val="00D71B4D"/>
    <w:rsid w:val="00D75C1E"/>
    <w:rsid w:val="00D93D55"/>
    <w:rsid w:val="00DB1C48"/>
    <w:rsid w:val="00DD6A16"/>
    <w:rsid w:val="00E0091A"/>
    <w:rsid w:val="00E17FC1"/>
    <w:rsid w:val="00E203AA"/>
    <w:rsid w:val="00E527A5"/>
    <w:rsid w:val="00E76456"/>
    <w:rsid w:val="00EE71CB"/>
    <w:rsid w:val="00F16975"/>
    <w:rsid w:val="00F239E3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6CCDB1"/>
  <w15:docId w15:val="{1F35F97C-CFBD-4042-842B-BC463133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FSChar">
    <w:name w:val="ONUM FS Char"/>
    <w:basedOn w:val="DefaultParagraphFont"/>
    <w:link w:val="ONUMFS"/>
    <w:rsid w:val="00774A99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774A9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74A99"/>
    <w:pPr>
      <w:ind w:left="720"/>
      <w:contextualSpacing/>
    </w:pPr>
    <w:rPr>
      <w:lang w:val="es-ES"/>
    </w:rPr>
  </w:style>
  <w:style w:type="table" w:styleId="TableGrid">
    <w:name w:val="Table Grid"/>
    <w:basedOn w:val="TableNormal"/>
    <w:uiPriority w:val="39"/>
    <w:rsid w:val="00774A99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774A99"/>
    <w:rPr>
      <w:rFonts w:asciiTheme="minorHAnsi" w:eastAsiaTheme="minorHAnsi" w:hAnsiTheme="minorHAnsi" w:cstheme="minorBidi"/>
      <w:sz w:val="22"/>
      <w:szCs w:val="22"/>
      <w:lang w:val="es-BO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Spacing">
    <w:name w:val="No Spacing"/>
    <w:link w:val="NoSpacingChar"/>
    <w:uiPriority w:val="1"/>
    <w:qFormat/>
    <w:rsid w:val="00774A99"/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4A99"/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styleId="Hyperlink">
    <w:name w:val="Hyperlink"/>
    <w:basedOn w:val="DefaultParagraphFont"/>
    <w:semiHidden/>
    <w:unhideWhenUsed/>
    <w:rsid w:val="00D4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4D78-FE17-418E-90DE-A2B89B46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1932</Words>
  <Characters>11991</Characters>
  <Application>Microsoft Office Word</Application>
  <DocSecurity>0</DocSecurity>
  <Lines>5995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COUTURE Sébastien</dc:creator>
  <cp:lastModifiedBy>SARKISSOVA Anna</cp:lastModifiedBy>
  <cp:revision>5</cp:revision>
  <cp:lastPrinted>2019-04-15T14:58:00Z</cp:lastPrinted>
  <dcterms:created xsi:type="dcterms:W3CDTF">2019-04-15T14:56:00Z</dcterms:created>
  <dcterms:modified xsi:type="dcterms:W3CDTF">2019-04-15T14:59:00Z</dcterms:modified>
</cp:coreProperties>
</file>