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430D8B" w:rsidRPr="008B2CC1" w:rsidTr="004B75AB">
        <w:tc>
          <w:tcPr>
            <w:tcW w:w="4513" w:type="dxa"/>
            <w:tcBorders>
              <w:bottom w:val="single" w:sz="4" w:space="0" w:color="auto"/>
            </w:tcBorders>
            <w:tcMar>
              <w:bottom w:w="170" w:type="dxa"/>
            </w:tcMar>
          </w:tcPr>
          <w:p w:rsidR="00430D8B" w:rsidRPr="008B2CC1" w:rsidRDefault="00430D8B" w:rsidP="004B75AB"/>
        </w:tc>
        <w:tc>
          <w:tcPr>
            <w:tcW w:w="4337" w:type="dxa"/>
            <w:tcBorders>
              <w:bottom w:val="single" w:sz="4" w:space="0" w:color="auto"/>
            </w:tcBorders>
            <w:tcMar>
              <w:left w:w="0" w:type="dxa"/>
              <w:right w:w="0" w:type="dxa"/>
            </w:tcMar>
          </w:tcPr>
          <w:p w:rsidR="00430D8B" w:rsidRPr="008B2CC1" w:rsidRDefault="00430D8B" w:rsidP="004B75AB">
            <w:r>
              <w:rPr>
                <w:noProof/>
                <w:lang w:val="fr-FR" w:eastAsia="fr-FR"/>
              </w:rPr>
              <w:drawing>
                <wp:inline distT="0" distB="0" distL="0" distR="0" wp14:anchorId="2FCEC275" wp14:editId="2A06E02A">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430D8B" w:rsidRPr="008B2CC1" w:rsidRDefault="00430D8B" w:rsidP="004B75AB">
            <w:pPr>
              <w:jc w:val="right"/>
            </w:pPr>
            <w:r>
              <w:rPr>
                <w:b/>
                <w:sz w:val="40"/>
                <w:szCs w:val="40"/>
              </w:rPr>
              <w:t>F</w:t>
            </w:r>
          </w:p>
        </w:tc>
      </w:tr>
      <w:tr w:rsidR="00430D8B" w:rsidRPr="001832A6" w:rsidTr="004B75AB">
        <w:trPr>
          <w:trHeight w:hRule="exact" w:val="357"/>
        </w:trPr>
        <w:tc>
          <w:tcPr>
            <w:tcW w:w="9356" w:type="dxa"/>
            <w:gridSpan w:val="3"/>
            <w:tcBorders>
              <w:top w:val="single" w:sz="4" w:space="0" w:color="auto"/>
            </w:tcBorders>
            <w:tcMar>
              <w:top w:w="170" w:type="dxa"/>
              <w:left w:w="0" w:type="dxa"/>
              <w:right w:w="0" w:type="dxa"/>
            </w:tcMar>
            <w:vAlign w:val="bottom"/>
          </w:tcPr>
          <w:p w:rsidR="00430D8B" w:rsidRPr="0090731E" w:rsidRDefault="00430D8B" w:rsidP="004B75AB">
            <w:pPr>
              <w:jc w:val="right"/>
              <w:rPr>
                <w:rFonts w:ascii="Arial Black" w:hAnsi="Arial Black"/>
                <w:caps/>
                <w:sz w:val="15"/>
              </w:rPr>
            </w:pPr>
            <w:proofErr w:type="spellStart"/>
            <w:r>
              <w:rPr>
                <w:rFonts w:ascii="Arial Black" w:hAnsi="Arial Black"/>
                <w:caps/>
                <w:sz w:val="15"/>
              </w:rPr>
              <w:t>CDIP</w:t>
            </w:r>
            <w:proofErr w:type="spellEnd"/>
            <w:r>
              <w:rPr>
                <w:rFonts w:ascii="Arial Black" w:hAnsi="Arial Black"/>
                <w:caps/>
                <w:sz w:val="15"/>
              </w:rPr>
              <w:t>/23/</w:t>
            </w:r>
            <w:bookmarkStart w:id="0" w:name="Code"/>
            <w:bookmarkEnd w:id="0"/>
            <w:r>
              <w:rPr>
                <w:rFonts w:ascii="Arial Black" w:hAnsi="Arial Black"/>
                <w:caps/>
                <w:sz w:val="15"/>
              </w:rPr>
              <w:t>3</w:t>
            </w:r>
          </w:p>
        </w:tc>
      </w:tr>
      <w:tr w:rsidR="00430D8B" w:rsidRPr="001832A6" w:rsidTr="004B75AB">
        <w:trPr>
          <w:trHeight w:hRule="exact" w:val="170"/>
        </w:trPr>
        <w:tc>
          <w:tcPr>
            <w:tcW w:w="9356" w:type="dxa"/>
            <w:gridSpan w:val="3"/>
            <w:noWrap/>
            <w:tcMar>
              <w:left w:w="0" w:type="dxa"/>
              <w:right w:w="0" w:type="dxa"/>
            </w:tcMar>
            <w:vAlign w:val="bottom"/>
          </w:tcPr>
          <w:p w:rsidR="00430D8B" w:rsidRPr="0090731E" w:rsidRDefault="00430D8B" w:rsidP="004B75AB">
            <w:pPr>
              <w:jc w:val="right"/>
              <w:rPr>
                <w:rFonts w:ascii="Arial Black" w:hAnsi="Arial Black"/>
                <w:caps/>
                <w:sz w:val="15"/>
              </w:rPr>
            </w:pPr>
            <w:r w:rsidRPr="0090731E">
              <w:rPr>
                <w:rFonts w:ascii="Arial Black" w:hAnsi="Arial Black"/>
                <w:caps/>
                <w:sz w:val="15"/>
              </w:rPr>
              <w:t>ORIGINAL</w:t>
            </w:r>
            <w:r w:rsidR="003A7DCA">
              <w:rPr>
                <w:rFonts w:ascii="Arial Black" w:hAnsi="Arial Black"/>
                <w:caps/>
                <w:sz w:val="15"/>
              </w:rPr>
              <w:t> :</w:t>
            </w:r>
            <w:r>
              <w:rPr>
                <w:rFonts w:ascii="Arial Black" w:hAnsi="Arial Black"/>
                <w:caps/>
                <w:sz w:val="15"/>
              </w:rPr>
              <w:t xml:space="preserve"> </w:t>
            </w:r>
            <w:bookmarkStart w:id="1" w:name="Original"/>
            <w:bookmarkEnd w:id="1"/>
            <w:r>
              <w:rPr>
                <w:rFonts w:ascii="Arial Black" w:hAnsi="Arial Black"/>
                <w:caps/>
                <w:sz w:val="15"/>
              </w:rPr>
              <w:t>anglais</w:t>
            </w:r>
            <w:r w:rsidRPr="0090731E">
              <w:rPr>
                <w:rFonts w:ascii="Arial Black" w:hAnsi="Arial Black"/>
                <w:caps/>
                <w:sz w:val="15"/>
              </w:rPr>
              <w:t xml:space="preserve"> </w:t>
            </w:r>
          </w:p>
        </w:tc>
      </w:tr>
      <w:tr w:rsidR="00430D8B" w:rsidRPr="001832A6" w:rsidTr="004B75AB">
        <w:trPr>
          <w:trHeight w:hRule="exact" w:val="198"/>
        </w:trPr>
        <w:tc>
          <w:tcPr>
            <w:tcW w:w="9356" w:type="dxa"/>
            <w:gridSpan w:val="3"/>
            <w:tcMar>
              <w:left w:w="0" w:type="dxa"/>
              <w:right w:w="0" w:type="dxa"/>
            </w:tcMar>
            <w:vAlign w:val="bottom"/>
          </w:tcPr>
          <w:p w:rsidR="00430D8B" w:rsidRPr="0090731E" w:rsidRDefault="00430D8B" w:rsidP="004B75AB">
            <w:pPr>
              <w:jc w:val="right"/>
              <w:rPr>
                <w:rFonts w:ascii="Arial Black" w:hAnsi="Arial Black"/>
                <w:caps/>
                <w:sz w:val="15"/>
              </w:rPr>
            </w:pPr>
            <w:r w:rsidRPr="0090731E">
              <w:rPr>
                <w:rFonts w:ascii="Arial Black" w:hAnsi="Arial Black"/>
                <w:caps/>
                <w:sz w:val="15"/>
              </w:rPr>
              <w:t>DATE</w:t>
            </w:r>
            <w:r w:rsidR="003A7DCA">
              <w:rPr>
                <w:rFonts w:ascii="Arial Black" w:hAnsi="Arial Black"/>
                <w:caps/>
                <w:sz w:val="15"/>
              </w:rPr>
              <w:t> :</w:t>
            </w:r>
            <w:r>
              <w:rPr>
                <w:rFonts w:ascii="Arial Black" w:hAnsi="Arial Black"/>
                <w:caps/>
                <w:sz w:val="15"/>
              </w:rPr>
              <w:t xml:space="preserve"> </w:t>
            </w:r>
            <w:bookmarkStart w:id="2" w:name="Date"/>
            <w:bookmarkEnd w:id="2"/>
            <w:r>
              <w:rPr>
                <w:rFonts w:ascii="Arial Black" w:hAnsi="Arial Black"/>
                <w:caps/>
                <w:sz w:val="15"/>
              </w:rPr>
              <w:t>1</w:t>
            </w:r>
            <w:r w:rsidR="003A7DCA">
              <w:rPr>
                <w:rFonts w:ascii="Arial Black" w:hAnsi="Arial Black"/>
                <w:caps/>
                <w:sz w:val="15"/>
              </w:rPr>
              <w:t>8 février 20</w:t>
            </w:r>
            <w:r>
              <w:rPr>
                <w:rFonts w:ascii="Arial Black" w:hAnsi="Arial Black"/>
                <w:caps/>
                <w:sz w:val="15"/>
              </w:rPr>
              <w:t>19</w:t>
            </w:r>
            <w:r w:rsidRPr="0090731E">
              <w:rPr>
                <w:rFonts w:ascii="Arial Black" w:hAnsi="Arial Black"/>
                <w:caps/>
                <w:sz w:val="15"/>
              </w:rPr>
              <w:t xml:space="preserve"> </w:t>
            </w:r>
          </w:p>
        </w:tc>
      </w:tr>
    </w:tbl>
    <w:p w:rsidR="00430D8B" w:rsidRPr="008B2CC1" w:rsidRDefault="00430D8B" w:rsidP="00430D8B"/>
    <w:p w:rsidR="00430D8B" w:rsidRPr="008B2CC1" w:rsidRDefault="00430D8B" w:rsidP="00430D8B"/>
    <w:p w:rsidR="00430D8B" w:rsidRPr="008B2CC1" w:rsidRDefault="00430D8B" w:rsidP="00430D8B"/>
    <w:p w:rsidR="00430D8B" w:rsidRPr="008B2CC1" w:rsidRDefault="00430D8B" w:rsidP="00430D8B"/>
    <w:p w:rsidR="00430D8B" w:rsidRPr="008B2CC1" w:rsidRDefault="00430D8B" w:rsidP="00430D8B"/>
    <w:p w:rsidR="00430D8B" w:rsidRPr="003845C1" w:rsidRDefault="00430D8B" w:rsidP="00430D8B">
      <w:pPr>
        <w:rPr>
          <w:b/>
          <w:sz w:val="28"/>
          <w:szCs w:val="28"/>
        </w:rPr>
      </w:pPr>
      <w:r w:rsidRPr="00B31DEE">
        <w:rPr>
          <w:b/>
          <w:sz w:val="28"/>
          <w:szCs w:val="28"/>
          <w:lang w:val="fr-FR"/>
        </w:rPr>
        <w:t>Comité du développement et de la propriété intellectuelle (</w:t>
      </w:r>
      <w:proofErr w:type="spellStart"/>
      <w:r w:rsidRPr="00B31DEE">
        <w:rPr>
          <w:b/>
          <w:sz w:val="28"/>
          <w:szCs w:val="28"/>
          <w:lang w:val="fr-FR"/>
        </w:rPr>
        <w:t>CDIP</w:t>
      </w:r>
      <w:proofErr w:type="spellEnd"/>
      <w:r w:rsidRPr="00B31DEE">
        <w:rPr>
          <w:b/>
          <w:sz w:val="28"/>
          <w:szCs w:val="28"/>
          <w:lang w:val="fr-FR"/>
        </w:rPr>
        <w:t>)</w:t>
      </w:r>
    </w:p>
    <w:p w:rsidR="00430D8B" w:rsidRDefault="00430D8B" w:rsidP="00430D8B"/>
    <w:p w:rsidR="00430D8B" w:rsidRDefault="00430D8B" w:rsidP="00430D8B"/>
    <w:p w:rsidR="00430D8B" w:rsidRPr="003845C1" w:rsidRDefault="00430D8B" w:rsidP="00430D8B">
      <w:pPr>
        <w:rPr>
          <w:b/>
          <w:sz w:val="24"/>
          <w:szCs w:val="24"/>
        </w:rPr>
      </w:pPr>
      <w:r>
        <w:rPr>
          <w:b/>
          <w:sz w:val="24"/>
          <w:szCs w:val="24"/>
          <w:lang w:val="fr-FR"/>
        </w:rPr>
        <w:t>Vingt</w:t>
      </w:r>
      <w:r w:rsidR="003A7DCA">
        <w:rPr>
          <w:b/>
          <w:sz w:val="24"/>
          <w:szCs w:val="24"/>
          <w:lang w:val="fr-FR"/>
        </w:rPr>
        <w:t>-</w:t>
      </w:r>
      <w:r>
        <w:rPr>
          <w:b/>
          <w:sz w:val="24"/>
          <w:szCs w:val="24"/>
          <w:lang w:val="fr-FR"/>
        </w:rPr>
        <w:t>trois</w:t>
      </w:r>
      <w:r w:rsidR="003A7DCA">
        <w:rPr>
          <w:b/>
          <w:sz w:val="24"/>
          <w:szCs w:val="24"/>
          <w:lang w:val="fr-FR"/>
        </w:rPr>
        <w:t>ième session</w:t>
      </w:r>
    </w:p>
    <w:p w:rsidR="00430D8B" w:rsidRPr="003845C1" w:rsidRDefault="00430D8B" w:rsidP="00430D8B">
      <w:pPr>
        <w:rPr>
          <w:b/>
          <w:sz w:val="24"/>
          <w:szCs w:val="24"/>
        </w:rPr>
      </w:pPr>
      <w:r>
        <w:rPr>
          <w:b/>
          <w:sz w:val="24"/>
          <w:szCs w:val="24"/>
          <w:lang w:val="fr-FR"/>
        </w:rPr>
        <w:t>Genève, 20</w:t>
      </w:r>
      <w:r w:rsidRPr="00B31DEE">
        <w:rPr>
          <w:b/>
          <w:sz w:val="24"/>
          <w:szCs w:val="24"/>
          <w:lang w:val="fr-FR"/>
        </w:rPr>
        <w:t xml:space="preserve"> – </w:t>
      </w:r>
      <w:r>
        <w:rPr>
          <w:b/>
          <w:sz w:val="24"/>
          <w:szCs w:val="24"/>
          <w:lang w:val="fr-FR"/>
        </w:rPr>
        <w:t>24</w:t>
      </w:r>
      <w:r w:rsidRPr="00B31DEE">
        <w:rPr>
          <w:b/>
          <w:sz w:val="24"/>
          <w:szCs w:val="24"/>
          <w:lang w:val="fr-FR"/>
        </w:rPr>
        <w:t> </w:t>
      </w:r>
      <w:r>
        <w:rPr>
          <w:b/>
          <w:sz w:val="24"/>
          <w:szCs w:val="24"/>
          <w:lang w:val="fr-FR"/>
        </w:rPr>
        <w:t>mai 2019</w:t>
      </w:r>
    </w:p>
    <w:p w:rsidR="00430D8B" w:rsidRPr="008B2CC1" w:rsidRDefault="00430D8B" w:rsidP="00430D8B"/>
    <w:p w:rsidR="00430D8B" w:rsidRPr="008B2CC1" w:rsidRDefault="00430D8B" w:rsidP="00430D8B"/>
    <w:p w:rsidR="00430D8B" w:rsidRPr="008B2CC1" w:rsidRDefault="00430D8B" w:rsidP="00430D8B"/>
    <w:p w:rsidR="006A47C0" w:rsidRDefault="00A37AEF" w:rsidP="00430D8B">
      <w:pPr>
        <w:rPr>
          <w:caps/>
          <w:sz w:val="24"/>
          <w:lang w:val="fr-FR"/>
        </w:rPr>
      </w:pPr>
      <w:r w:rsidRPr="00430D8B">
        <w:rPr>
          <w:caps/>
          <w:sz w:val="24"/>
          <w:lang w:val="fr-FR"/>
        </w:rPr>
        <w:t xml:space="preserve">Contributions </w:t>
      </w:r>
      <w:r w:rsidR="00430D8B" w:rsidRPr="00430D8B">
        <w:rPr>
          <w:caps/>
          <w:sz w:val="24"/>
          <w:lang w:val="fr-FR"/>
        </w:rPr>
        <w:t xml:space="preserve">supplémentaires </w:t>
      </w:r>
      <w:r w:rsidRPr="00430D8B">
        <w:rPr>
          <w:caps/>
          <w:sz w:val="24"/>
          <w:lang w:val="fr-FR"/>
        </w:rPr>
        <w:t xml:space="preserve">reçues </w:t>
      </w:r>
      <w:r w:rsidR="00123443" w:rsidRPr="00430D8B">
        <w:rPr>
          <w:caps/>
          <w:sz w:val="24"/>
          <w:lang w:val="fr-FR"/>
        </w:rPr>
        <w:t>des</w:t>
      </w:r>
      <w:r w:rsidRPr="00430D8B">
        <w:rPr>
          <w:caps/>
          <w:sz w:val="24"/>
          <w:lang w:val="fr-FR"/>
        </w:rPr>
        <w:t xml:space="preserve"> État</w:t>
      </w:r>
      <w:r w:rsidR="00123443" w:rsidRPr="00430D8B">
        <w:rPr>
          <w:caps/>
          <w:sz w:val="24"/>
          <w:lang w:val="fr-FR"/>
        </w:rPr>
        <w:t>s</w:t>
      </w:r>
      <w:r w:rsidRPr="00430D8B">
        <w:rPr>
          <w:caps/>
          <w:sz w:val="24"/>
          <w:lang w:val="fr-FR"/>
        </w:rPr>
        <w:t xml:space="preserve"> membre</w:t>
      </w:r>
      <w:r w:rsidR="00123443" w:rsidRPr="00430D8B">
        <w:rPr>
          <w:caps/>
          <w:sz w:val="24"/>
          <w:lang w:val="fr-FR"/>
        </w:rPr>
        <w:t>s</w:t>
      </w:r>
      <w:r w:rsidRPr="00430D8B">
        <w:rPr>
          <w:caps/>
          <w:sz w:val="24"/>
          <w:lang w:val="fr-FR"/>
        </w:rPr>
        <w:t xml:space="preserve"> sur la voie à suivre en ce qui concerne les modalités et les stratégies de mise en œuvre des recommandations de l</w:t>
      </w:r>
      <w:r w:rsidR="003A7DCA">
        <w:rPr>
          <w:caps/>
          <w:sz w:val="24"/>
          <w:lang w:val="fr-FR"/>
        </w:rPr>
        <w:t>’</w:t>
      </w:r>
      <w:r w:rsidRPr="00430D8B">
        <w:rPr>
          <w:caps/>
          <w:sz w:val="24"/>
          <w:lang w:val="fr-FR"/>
        </w:rPr>
        <w:t>étude indépendante qui ont été adoptées</w:t>
      </w:r>
    </w:p>
    <w:p w:rsidR="00430D8B" w:rsidRPr="00430D8B" w:rsidRDefault="00430D8B" w:rsidP="00430D8B">
      <w:pPr>
        <w:rPr>
          <w:lang w:val="fr-FR"/>
        </w:rPr>
      </w:pPr>
    </w:p>
    <w:p w:rsidR="006A47C0" w:rsidRDefault="008E1D41" w:rsidP="00430D8B">
      <w:pPr>
        <w:rPr>
          <w:i/>
          <w:lang w:val="fr-FR"/>
        </w:rPr>
      </w:pPr>
      <w:bookmarkStart w:id="3" w:name="Prepared"/>
      <w:bookmarkEnd w:id="3"/>
      <w:r w:rsidRPr="00430D8B">
        <w:rPr>
          <w:i/>
          <w:lang w:val="fr-FR"/>
        </w:rPr>
        <w:t xml:space="preserve">Document </w:t>
      </w:r>
      <w:r w:rsidR="00DB3372" w:rsidRPr="00430D8B">
        <w:rPr>
          <w:i/>
          <w:lang w:val="fr-FR"/>
        </w:rPr>
        <w:t>établi par le Secrétariat</w:t>
      </w:r>
    </w:p>
    <w:p w:rsidR="00430D8B" w:rsidRDefault="00430D8B" w:rsidP="00430D8B">
      <w:pPr>
        <w:rPr>
          <w:lang w:val="fr-FR"/>
        </w:rPr>
      </w:pPr>
    </w:p>
    <w:p w:rsidR="00430D8B" w:rsidRDefault="00430D8B" w:rsidP="00430D8B">
      <w:pPr>
        <w:rPr>
          <w:lang w:val="fr-FR"/>
        </w:rPr>
      </w:pPr>
    </w:p>
    <w:p w:rsidR="00430D8B" w:rsidRDefault="00430D8B" w:rsidP="00430D8B">
      <w:pPr>
        <w:rPr>
          <w:lang w:val="fr-FR"/>
        </w:rPr>
      </w:pPr>
    </w:p>
    <w:p w:rsidR="00430D8B" w:rsidRPr="00430D8B" w:rsidRDefault="00430D8B" w:rsidP="00430D8B">
      <w:pPr>
        <w:rPr>
          <w:lang w:val="fr-FR"/>
        </w:rPr>
      </w:pPr>
    </w:p>
    <w:p w:rsidR="006A47C0" w:rsidRDefault="008E1D41" w:rsidP="00430D8B">
      <w:pPr>
        <w:pStyle w:val="ONUMFS"/>
        <w:rPr>
          <w:lang w:val="fr-FR"/>
        </w:rPr>
      </w:pPr>
      <w:r w:rsidRPr="00802BE1">
        <w:rPr>
          <w:lang w:val="fr-FR"/>
        </w:rPr>
        <w:t>À sa vingt</w:t>
      </w:r>
      <w:r w:rsidR="003A7DCA">
        <w:rPr>
          <w:lang w:val="fr-FR"/>
        </w:rPr>
        <w:t>-</w:t>
      </w:r>
      <w:r w:rsidR="00F140C8">
        <w:rPr>
          <w:lang w:val="fr-FR"/>
        </w:rPr>
        <w:t>deux</w:t>
      </w:r>
      <w:r w:rsidR="003A7DCA">
        <w:rPr>
          <w:lang w:val="fr-FR"/>
        </w:rPr>
        <w:t>ième session</w:t>
      </w:r>
      <w:r w:rsidRPr="00802BE1">
        <w:rPr>
          <w:lang w:val="fr-FR"/>
        </w:rPr>
        <w:t xml:space="preserve">, </w:t>
      </w:r>
      <w:r w:rsidR="00D20606" w:rsidRPr="00802BE1">
        <w:rPr>
          <w:lang w:val="fr-FR"/>
        </w:rPr>
        <w:t>le Comité du développement et de la propriété intellectuelle (</w:t>
      </w:r>
      <w:proofErr w:type="spellStart"/>
      <w:r w:rsidR="00D20606" w:rsidRPr="00802BE1">
        <w:rPr>
          <w:lang w:val="fr-FR"/>
        </w:rPr>
        <w:t>CDI</w:t>
      </w:r>
      <w:r w:rsidR="00DE2A7E" w:rsidRPr="00802BE1">
        <w:rPr>
          <w:lang w:val="fr-FR"/>
        </w:rPr>
        <w:t>P</w:t>
      </w:r>
      <w:proofErr w:type="spellEnd"/>
      <w:r w:rsidR="00DE2A7E" w:rsidRPr="00802BE1">
        <w:rPr>
          <w:lang w:val="fr-FR"/>
        </w:rPr>
        <w:t>) est convenu de ce qui suit quant aux</w:t>
      </w:r>
      <w:r w:rsidRPr="00802BE1">
        <w:rPr>
          <w:lang w:val="fr-FR"/>
        </w:rPr>
        <w:t xml:space="preserve"> contributions reçues des États membres en ce qui concerne les modalités et les stratégies de mise en </w:t>
      </w:r>
      <w:r w:rsidR="008E230C" w:rsidRPr="00802BE1">
        <w:rPr>
          <w:lang w:val="fr-FR"/>
        </w:rPr>
        <w:t>œuvre des recommandations de l</w:t>
      </w:r>
      <w:r w:rsidR="003A7DCA">
        <w:rPr>
          <w:lang w:val="fr-FR"/>
        </w:rPr>
        <w:t>’</w:t>
      </w:r>
      <w:r w:rsidR="008E230C" w:rsidRPr="00802BE1">
        <w:rPr>
          <w:lang w:val="fr-FR"/>
        </w:rPr>
        <w:t>étude indépendante qui ont été adoptées</w:t>
      </w:r>
      <w:r w:rsidR="00D20606" w:rsidRPr="00802BE1">
        <w:rPr>
          <w:lang w:val="fr-FR"/>
        </w:rPr>
        <w:t>,</w:t>
      </w:r>
      <w:r w:rsidR="008E230C" w:rsidRPr="00802BE1">
        <w:rPr>
          <w:lang w:val="fr-FR"/>
        </w:rPr>
        <w:t xml:space="preserve"> </w:t>
      </w:r>
      <w:r w:rsidR="007B418F">
        <w:rPr>
          <w:lang w:val="fr-FR"/>
        </w:rPr>
        <w:t xml:space="preserve">qui </w:t>
      </w:r>
      <w:r w:rsidR="008E230C" w:rsidRPr="00802BE1">
        <w:rPr>
          <w:lang w:val="fr-FR"/>
        </w:rPr>
        <w:t>figur</w:t>
      </w:r>
      <w:r w:rsidR="007B418F">
        <w:rPr>
          <w:lang w:val="fr-FR"/>
        </w:rPr>
        <w:t>e</w:t>
      </w:r>
      <w:r w:rsidR="008E230C" w:rsidRPr="00802BE1">
        <w:rPr>
          <w:lang w:val="fr-FR"/>
        </w:rPr>
        <w:t>nt dans le</w:t>
      </w:r>
      <w:r w:rsidR="00F140C8">
        <w:rPr>
          <w:lang w:val="fr-FR"/>
        </w:rPr>
        <w:t>s</w:t>
      </w:r>
      <w:r w:rsidR="008E230C" w:rsidRPr="00802BE1">
        <w:rPr>
          <w:lang w:val="fr-FR"/>
        </w:rPr>
        <w:t xml:space="preserve"> </w:t>
      </w:r>
      <w:r w:rsidR="003A7DCA" w:rsidRPr="00802BE1">
        <w:rPr>
          <w:lang w:val="fr-FR"/>
        </w:rPr>
        <w:t>document</w:t>
      </w:r>
      <w:r w:rsidR="003A7DCA">
        <w:rPr>
          <w:lang w:val="fr-FR"/>
        </w:rPr>
        <w:t xml:space="preserve">s </w:t>
      </w:r>
      <w:proofErr w:type="spellStart"/>
      <w:r w:rsidR="003A7DCA" w:rsidRPr="00802BE1">
        <w:rPr>
          <w:lang w:val="fr-FR"/>
        </w:rPr>
        <w:t>CD</w:t>
      </w:r>
      <w:r w:rsidR="00126C5B" w:rsidRPr="00802BE1">
        <w:rPr>
          <w:lang w:val="fr-FR"/>
        </w:rPr>
        <w:t>IP</w:t>
      </w:r>
      <w:proofErr w:type="spellEnd"/>
      <w:r w:rsidR="00126C5B" w:rsidRPr="00802BE1">
        <w:rPr>
          <w:lang w:val="fr-FR"/>
        </w:rPr>
        <w:t>/21/11</w:t>
      </w:r>
      <w:r w:rsidR="00F140C8">
        <w:rPr>
          <w:lang w:val="fr-FR"/>
        </w:rPr>
        <w:t xml:space="preserve"> et </w:t>
      </w:r>
      <w:proofErr w:type="spellStart"/>
      <w:r w:rsidR="00F140C8">
        <w:rPr>
          <w:lang w:val="fr-FR"/>
        </w:rPr>
        <w:t>CDIP</w:t>
      </w:r>
      <w:proofErr w:type="spellEnd"/>
      <w:r w:rsidR="00F140C8">
        <w:rPr>
          <w:lang w:val="fr-FR"/>
        </w:rPr>
        <w:t>/22/4</w:t>
      </w:r>
      <w:r w:rsidR="00FB6857">
        <w:rPr>
          <w:lang w:val="fr-FR"/>
        </w:rPr>
        <w:t> </w:t>
      </w:r>
      <w:proofErr w:type="spellStart"/>
      <w:r w:rsidR="00F140C8">
        <w:rPr>
          <w:lang w:val="fr-FR"/>
        </w:rPr>
        <w:t>Rev</w:t>
      </w:r>
      <w:proofErr w:type="spellEnd"/>
      <w:r w:rsidR="00F140C8">
        <w:rPr>
          <w:lang w:val="fr-FR"/>
        </w:rPr>
        <w:t>.</w:t>
      </w:r>
      <w:r w:rsidR="00FB6857">
        <w:rPr>
          <w:lang w:val="fr-FR"/>
        </w:rPr>
        <w:t xml:space="preserve">  :</w:t>
      </w:r>
      <w:r w:rsidR="00126C5B" w:rsidRPr="00802BE1">
        <w:rPr>
          <w:lang w:val="fr-FR"/>
        </w:rPr>
        <w:t xml:space="preserve"> </w:t>
      </w:r>
      <w:r w:rsidR="00DE3D7D" w:rsidRPr="00802BE1">
        <w:rPr>
          <w:lang w:val="fr-FR"/>
        </w:rPr>
        <w:t>“</w:t>
      </w:r>
      <w:r w:rsidR="00F140C8">
        <w:rPr>
          <w:lang w:val="fr-FR"/>
        </w:rPr>
        <w:t>[</w:t>
      </w:r>
      <w:r w:rsidR="00FB6857">
        <w:rPr>
          <w:lang w:val="fr-FR"/>
        </w:rPr>
        <w:t>…</w:t>
      </w:r>
      <w:r w:rsidR="00F140C8">
        <w:rPr>
          <w:lang w:val="fr-FR"/>
        </w:rPr>
        <w:t xml:space="preserve">] </w:t>
      </w:r>
      <w:r w:rsidR="00DE3D7D" w:rsidRPr="00802BE1">
        <w:rPr>
          <w:lang w:val="fr-FR"/>
        </w:rPr>
        <w:t>l</w:t>
      </w:r>
      <w:r w:rsidR="008E230C" w:rsidRPr="00802BE1">
        <w:rPr>
          <w:lang w:val="fr-FR"/>
        </w:rPr>
        <w:t xml:space="preserve">es </w:t>
      </w:r>
      <w:r w:rsidR="00F140C8">
        <w:rPr>
          <w:lang w:val="fr-FR"/>
        </w:rPr>
        <w:t>États membres</w:t>
      </w:r>
      <w:r w:rsidR="008E230C" w:rsidRPr="00802BE1">
        <w:rPr>
          <w:lang w:val="fr-FR"/>
        </w:rPr>
        <w:t xml:space="preserve"> intéressés pourraient soumettre des contributions supplémentaires au Secrétariat avant le </w:t>
      </w:r>
      <w:r w:rsidR="00F140C8">
        <w:rPr>
          <w:lang w:val="fr-FR"/>
        </w:rPr>
        <w:t>31</w:t>
      </w:r>
      <w:r w:rsidR="00454CD4">
        <w:rPr>
          <w:lang w:val="fr-FR"/>
        </w:rPr>
        <w:t> </w:t>
      </w:r>
      <w:r w:rsidR="00F140C8">
        <w:rPr>
          <w:lang w:val="fr-FR"/>
        </w:rPr>
        <w:t>janvier</w:t>
      </w:r>
      <w:r w:rsidR="00454CD4">
        <w:rPr>
          <w:lang w:val="fr-FR"/>
        </w:rPr>
        <w:t> </w:t>
      </w:r>
      <w:r w:rsidR="00F140C8">
        <w:rPr>
          <w:lang w:val="fr-FR"/>
        </w:rPr>
        <w:t>2019</w:t>
      </w:r>
      <w:r w:rsidR="008E230C" w:rsidRPr="00802BE1">
        <w:rPr>
          <w:lang w:val="fr-FR"/>
        </w:rPr>
        <w:t xml:space="preserve">.  </w:t>
      </w:r>
      <w:r w:rsidR="00F140C8" w:rsidRPr="00F140C8">
        <w:rPr>
          <w:lang w:val="fr-FR"/>
        </w:rPr>
        <w:t>Ces contributions, le cas échéant, devront être regroupées dans un document unique pour information de la vi</w:t>
      </w:r>
      <w:r w:rsidR="00842B48">
        <w:rPr>
          <w:lang w:val="fr-FR"/>
        </w:rPr>
        <w:t>ngt</w:t>
      </w:r>
      <w:r w:rsidR="003A7DCA">
        <w:rPr>
          <w:lang w:val="fr-FR"/>
        </w:rPr>
        <w:t>-</w:t>
      </w:r>
      <w:r w:rsidR="00842B48">
        <w:rPr>
          <w:lang w:val="fr-FR"/>
        </w:rPr>
        <w:t>trois</w:t>
      </w:r>
      <w:r w:rsidR="003A7DCA">
        <w:rPr>
          <w:lang w:val="fr-FR"/>
        </w:rPr>
        <w:t>ième session</w:t>
      </w:r>
      <w:r w:rsidR="00842B48">
        <w:rPr>
          <w:lang w:val="fr-FR"/>
        </w:rPr>
        <w:t xml:space="preserve"> du comité [</w:t>
      </w:r>
      <w:r w:rsidR="00FB6857">
        <w:rPr>
          <w:lang w:val="fr-FR"/>
        </w:rPr>
        <w:t>…</w:t>
      </w:r>
      <w:r w:rsidR="00842B48">
        <w:rPr>
          <w:lang w:val="fr-FR"/>
        </w:rPr>
        <w:t>]</w:t>
      </w:r>
      <w:r w:rsidR="00DE3D7D" w:rsidRPr="00802BE1">
        <w:rPr>
          <w:lang w:val="fr-FR"/>
        </w:rPr>
        <w:t>”</w:t>
      </w:r>
      <w:r w:rsidR="00842B48">
        <w:rPr>
          <w:lang w:val="fr-FR"/>
        </w:rPr>
        <w:t>.</w:t>
      </w:r>
    </w:p>
    <w:p w:rsidR="006A47C0" w:rsidRDefault="000A23DC" w:rsidP="00430D8B">
      <w:pPr>
        <w:pStyle w:val="ONUMFS"/>
        <w:rPr>
          <w:lang w:val="fr-FR"/>
        </w:rPr>
      </w:pPr>
      <w:r w:rsidRPr="00802BE1">
        <w:rPr>
          <w:lang w:val="fr-FR"/>
        </w:rPr>
        <w:t xml:space="preserve">On trouvera </w:t>
      </w:r>
      <w:r w:rsidR="00DE158F" w:rsidRPr="00802BE1">
        <w:rPr>
          <w:lang w:val="fr-FR"/>
        </w:rPr>
        <w:t>dans les</w:t>
      </w:r>
      <w:r w:rsidRPr="00802BE1">
        <w:rPr>
          <w:lang w:val="fr-FR"/>
        </w:rPr>
        <w:t xml:space="preserve"> annexe</w:t>
      </w:r>
      <w:r w:rsidR="00DE158F" w:rsidRPr="00802BE1">
        <w:rPr>
          <w:lang w:val="fr-FR"/>
        </w:rPr>
        <w:t>s</w:t>
      </w:r>
      <w:r w:rsidRPr="00802BE1">
        <w:rPr>
          <w:lang w:val="fr-FR"/>
        </w:rPr>
        <w:t xml:space="preserve"> du présent document</w:t>
      </w:r>
      <w:r w:rsidR="00D85F69" w:rsidRPr="00802BE1">
        <w:rPr>
          <w:lang w:val="fr-FR"/>
        </w:rPr>
        <w:t xml:space="preserve"> </w:t>
      </w:r>
      <w:r w:rsidR="00DE158F" w:rsidRPr="00802BE1">
        <w:rPr>
          <w:lang w:val="fr-FR"/>
        </w:rPr>
        <w:t>deux</w:t>
      </w:r>
      <w:r w:rsidR="00001CC6" w:rsidRPr="00802BE1">
        <w:rPr>
          <w:lang w:val="fr-FR"/>
        </w:rPr>
        <w:t> </w:t>
      </w:r>
      <w:r w:rsidRPr="00802BE1">
        <w:rPr>
          <w:lang w:val="fr-FR"/>
        </w:rPr>
        <w:t>contribution</w:t>
      </w:r>
      <w:r w:rsidR="00DE158F" w:rsidRPr="00802BE1">
        <w:rPr>
          <w:lang w:val="fr-FR"/>
        </w:rPr>
        <w:t>s</w:t>
      </w:r>
      <w:r w:rsidRPr="00802BE1">
        <w:rPr>
          <w:lang w:val="fr-FR"/>
        </w:rPr>
        <w:t xml:space="preserve"> sur le thème susmentionné</w:t>
      </w:r>
      <w:r w:rsidR="00DE2A7E" w:rsidRPr="00802BE1">
        <w:rPr>
          <w:lang w:val="fr-FR"/>
        </w:rPr>
        <w:t>,</w:t>
      </w:r>
      <w:r w:rsidRPr="00802BE1">
        <w:rPr>
          <w:lang w:val="fr-FR"/>
        </w:rPr>
        <w:t xml:space="preserve"> soumise</w:t>
      </w:r>
      <w:r w:rsidR="00DE158F" w:rsidRPr="00802BE1">
        <w:rPr>
          <w:lang w:val="fr-FR"/>
        </w:rPr>
        <w:t>s</w:t>
      </w:r>
      <w:r w:rsidRPr="00802BE1">
        <w:rPr>
          <w:lang w:val="fr-FR"/>
        </w:rPr>
        <w:t xml:space="preserve"> par l</w:t>
      </w:r>
      <w:r w:rsidR="00842B48">
        <w:rPr>
          <w:lang w:val="fr-FR"/>
        </w:rPr>
        <w:t>es</w:t>
      </w:r>
      <w:r w:rsidRPr="00802BE1">
        <w:rPr>
          <w:lang w:val="fr-FR"/>
        </w:rPr>
        <w:t xml:space="preserve"> délégation</w:t>
      </w:r>
      <w:r w:rsidR="00842B48">
        <w:rPr>
          <w:lang w:val="fr-FR"/>
        </w:rPr>
        <w:t>s</w:t>
      </w:r>
      <w:r w:rsidRPr="00802BE1">
        <w:rPr>
          <w:lang w:val="fr-FR"/>
        </w:rPr>
        <w:t xml:space="preserve"> </w:t>
      </w:r>
      <w:r w:rsidR="007A38A6" w:rsidRPr="00802BE1">
        <w:rPr>
          <w:lang w:val="fr-FR"/>
        </w:rPr>
        <w:t>de l</w:t>
      </w:r>
      <w:r w:rsidR="003A7DCA">
        <w:rPr>
          <w:lang w:val="fr-FR"/>
        </w:rPr>
        <w:t>’</w:t>
      </w:r>
      <w:r w:rsidR="007A38A6" w:rsidRPr="00802BE1">
        <w:rPr>
          <w:lang w:val="fr-FR"/>
        </w:rPr>
        <w:t>Afrique du Sud</w:t>
      </w:r>
      <w:r w:rsidR="00842B48">
        <w:rPr>
          <w:lang w:val="fr-FR"/>
        </w:rPr>
        <w:t xml:space="preserve"> et de République de l</w:t>
      </w:r>
      <w:r w:rsidR="003A7DCA">
        <w:rPr>
          <w:lang w:val="fr-FR"/>
        </w:rPr>
        <w:t>’</w:t>
      </w:r>
      <w:r w:rsidR="00842B48">
        <w:rPr>
          <w:lang w:val="fr-FR"/>
        </w:rPr>
        <w:t>Ouganda</w:t>
      </w:r>
      <w:r w:rsidRPr="00802BE1">
        <w:rPr>
          <w:lang w:val="fr-FR"/>
        </w:rPr>
        <w:t>.</w:t>
      </w:r>
    </w:p>
    <w:p w:rsidR="006A47C0" w:rsidRDefault="000A23DC" w:rsidP="00430D8B">
      <w:pPr>
        <w:pStyle w:val="ONUMFS"/>
        <w:ind w:left="5533"/>
        <w:rPr>
          <w:i/>
          <w:lang w:val="fr-FR"/>
        </w:rPr>
      </w:pPr>
      <w:r w:rsidRPr="00430D8B">
        <w:rPr>
          <w:i/>
          <w:lang w:val="fr-FR"/>
        </w:rPr>
        <w:t xml:space="preserve">Le </w:t>
      </w:r>
      <w:r w:rsidR="0045482D" w:rsidRPr="00430D8B">
        <w:rPr>
          <w:i/>
          <w:lang w:val="fr-FR"/>
        </w:rPr>
        <w:t xml:space="preserve">comité </w:t>
      </w:r>
      <w:r w:rsidRPr="00430D8B">
        <w:rPr>
          <w:i/>
          <w:lang w:val="fr-FR"/>
        </w:rPr>
        <w:t xml:space="preserve">est </w:t>
      </w:r>
      <w:r w:rsidR="00177D1B" w:rsidRPr="00430D8B">
        <w:rPr>
          <w:i/>
          <w:lang w:val="fr-FR"/>
        </w:rPr>
        <w:t>invité</w:t>
      </w:r>
      <w:r w:rsidRPr="00430D8B">
        <w:rPr>
          <w:i/>
          <w:lang w:val="fr-FR"/>
        </w:rPr>
        <w:t xml:space="preserve"> à </w:t>
      </w:r>
      <w:r w:rsidR="005341EF" w:rsidRPr="00430D8B">
        <w:rPr>
          <w:i/>
          <w:lang w:val="fr-FR"/>
        </w:rPr>
        <w:t>prendre note d</w:t>
      </w:r>
      <w:r w:rsidRPr="00430D8B">
        <w:rPr>
          <w:i/>
          <w:lang w:val="fr-FR"/>
        </w:rPr>
        <w:t xml:space="preserve">es informations </w:t>
      </w:r>
      <w:r w:rsidR="00DE2A7E" w:rsidRPr="00430D8B">
        <w:rPr>
          <w:i/>
          <w:lang w:val="fr-FR"/>
        </w:rPr>
        <w:t>contenues</w:t>
      </w:r>
      <w:r w:rsidRPr="00430D8B">
        <w:rPr>
          <w:i/>
          <w:lang w:val="fr-FR"/>
        </w:rPr>
        <w:t xml:space="preserve"> dans l</w:t>
      </w:r>
      <w:r w:rsidR="00BF62ED" w:rsidRPr="00430D8B">
        <w:rPr>
          <w:i/>
          <w:lang w:val="fr-FR"/>
        </w:rPr>
        <w:t xml:space="preserve">es </w:t>
      </w:r>
      <w:r w:rsidRPr="00430D8B">
        <w:rPr>
          <w:i/>
          <w:lang w:val="fr-FR"/>
        </w:rPr>
        <w:t>annexe</w:t>
      </w:r>
      <w:r w:rsidR="00BF62ED" w:rsidRPr="00430D8B">
        <w:rPr>
          <w:i/>
          <w:lang w:val="fr-FR"/>
        </w:rPr>
        <w:t>s</w:t>
      </w:r>
      <w:r w:rsidRPr="00430D8B">
        <w:rPr>
          <w:i/>
          <w:lang w:val="fr-FR"/>
        </w:rPr>
        <w:t xml:space="preserve"> du présent document</w:t>
      </w:r>
      <w:r w:rsidR="00C5216C" w:rsidRPr="00430D8B">
        <w:rPr>
          <w:i/>
          <w:lang w:val="fr-FR"/>
        </w:rPr>
        <w:t>.</w:t>
      </w:r>
    </w:p>
    <w:p w:rsidR="00430D8B" w:rsidRDefault="00430D8B" w:rsidP="00430D8B">
      <w:pPr>
        <w:rPr>
          <w:lang w:val="fr-FR"/>
        </w:rPr>
      </w:pPr>
    </w:p>
    <w:p w:rsidR="00430D8B" w:rsidRDefault="00430D8B">
      <w:pPr>
        <w:rPr>
          <w:lang w:val="fr-FR"/>
        </w:rPr>
      </w:pPr>
    </w:p>
    <w:p w:rsidR="00430D8B" w:rsidRPr="00430D8B" w:rsidRDefault="00430D8B" w:rsidP="00430D8B">
      <w:pPr>
        <w:rPr>
          <w:lang w:val="fr-FR"/>
        </w:rPr>
      </w:pPr>
    </w:p>
    <w:p w:rsidR="006A47C0" w:rsidRDefault="00DB3372" w:rsidP="00430D8B">
      <w:pPr>
        <w:pStyle w:val="Endofdocument-Annex"/>
        <w:rPr>
          <w:lang w:val="fr-FR"/>
        </w:rPr>
      </w:pPr>
      <w:r w:rsidRPr="00802BE1">
        <w:rPr>
          <w:lang w:val="fr-FR"/>
        </w:rPr>
        <w:t>[L</w:t>
      </w:r>
      <w:r w:rsidR="00DE158F" w:rsidRPr="00802BE1">
        <w:rPr>
          <w:lang w:val="fr-FR"/>
        </w:rPr>
        <w:t xml:space="preserve">es </w:t>
      </w:r>
      <w:r w:rsidRPr="00802BE1">
        <w:rPr>
          <w:lang w:val="fr-FR"/>
        </w:rPr>
        <w:t>annexe</w:t>
      </w:r>
      <w:r w:rsidR="00DE158F" w:rsidRPr="00802BE1">
        <w:rPr>
          <w:lang w:val="fr-FR"/>
        </w:rPr>
        <w:t>s</w:t>
      </w:r>
      <w:r w:rsidRPr="00802BE1">
        <w:rPr>
          <w:lang w:val="fr-FR"/>
        </w:rPr>
        <w:t xml:space="preserve"> sui</w:t>
      </w:r>
      <w:r w:rsidR="00DE158F" w:rsidRPr="00802BE1">
        <w:rPr>
          <w:lang w:val="fr-FR"/>
        </w:rPr>
        <w:t>ven</w:t>
      </w:r>
      <w:r w:rsidRPr="00802BE1">
        <w:rPr>
          <w:lang w:val="fr-FR"/>
        </w:rPr>
        <w:t>t</w:t>
      </w:r>
      <w:r w:rsidR="00C5216C" w:rsidRPr="00802BE1">
        <w:rPr>
          <w:lang w:val="fr-FR"/>
        </w:rPr>
        <w:t>]</w:t>
      </w:r>
    </w:p>
    <w:p w:rsidR="006A47C0" w:rsidRDefault="006A47C0" w:rsidP="00A37AEF">
      <w:pPr>
        <w:rPr>
          <w:lang w:val="fr-FR"/>
        </w:rPr>
      </w:pPr>
    </w:p>
    <w:p w:rsidR="00A37AEF" w:rsidRPr="00802BE1" w:rsidRDefault="00A37AEF" w:rsidP="00C5216C">
      <w:pPr>
        <w:pStyle w:val="Endofdocument-Annex"/>
        <w:rPr>
          <w:lang w:val="fr-FR"/>
        </w:rPr>
        <w:sectPr w:rsidR="00A37AEF" w:rsidRPr="00802BE1" w:rsidSect="00430D8B">
          <w:headerReference w:type="default" r:id="rId9"/>
          <w:endnotePr>
            <w:numFmt w:val="decimal"/>
          </w:endnotePr>
          <w:pgSz w:w="11907" w:h="16840" w:code="9"/>
          <w:pgMar w:top="567" w:right="1134" w:bottom="1417" w:left="1417" w:header="510" w:footer="1020" w:gutter="0"/>
          <w:cols w:space="720"/>
          <w:titlePg/>
          <w:docGrid w:linePitch="299"/>
        </w:sectPr>
      </w:pPr>
    </w:p>
    <w:p w:rsidR="006A47C0" w:rsidRDefault="00435FDF" w:rsidP="00430D8B">
      <w:pPr>
        <w:pStyle w:val="Heading1"/>
      </w:pPr>
      <w:r w:rsidRPr="00430D8B">
        <w:lastRenderedPageBreak/>
        <w:t xml:space="preserve">Contribution reçue par le Secrétariat soumise par la délégation </w:t>
      </w:r>
      <w:r w:rsidR="005430C8" w:rsidRPr="00430D8B">
        <w:t>de l</w:t>
      </w:r>
      <w:r w:rsidR="003A7DCA">
        <w:t>’</w:t>
      </w:r>
      <w:r w:rsidR="005430C8" w:rsidRPr="00430D8B">
        <w:t>A</w:t>
      </w:r>
      <w:r w:rsidRPr="00430D8B">
        <w:t>frique du sud</w:t>
      </w:r>
    </w:p>
    <w:p w:rsidR="00430D8B" w:rsidRPr="00430D8B" w:rsidRDefault="00430D8B" w:rsidP="00430D8B"/>
    <w:p w:rsidR="00417932" w:rsidRDefault="00F5166A" w:rsidP="00430D8B">
      <w:pPr>
        <w:pStyle w:val="ONUMFS"/>
        <w:numPr>
          <w:ilvl w:val="0"/>
          <w:numId w:val="0"/>
        </w:numPr>
        <w:rPr>
          <w:lang w:val="fr-FR"/>
        </w:rPr>
      </w:pPr>
      <w:r w:rsidRPr="00802BE1">
        <w:rPr>
          <w:lang w:val="fr-FR"/>
        </w:rPr>
        <w:t>La délégation de l</w:t>
      </w:r>
      <w:r w:rsidR="003A7DCA">
        <w:rPr>
          <w:lang w:val="fr-FR"/>
        </w:rPr>
        <w:t>’</w:t>
      </w:r>
      <w:r w:rsidRPr="00802BE1">
        <w:rPr>
          <w:lang w:val="fr-FR"/>
        </w:rPr>
        <w:t xml:space="preserve">Afrique du Sud a examiné les recommandations </w:t>
      </w:r>
      <w:r w:rsidR="005341EF">
        <w:rPr>
          <w:lang w:val="fr-FR"/>
        </w:rPr>
        <w:t>issues de l</w:t>
      </w:r>
      <w:r w:rsidR="003A7DCA">
        <w:rPr>
          <w:lang w:val="fr-FR"/>
        </w:rPr>
        <w:t>’</w:t>
      </w:r>
      <w:r w:rsidR="005341EF">
        <w:rPr>
          <w:lang w:val="fr-FR"/>
        </w:rPr>
        <w:t xml:space="preserve">étude indépendante </w:t>
      </w:r>
      <w:r w:rsidRPr="00802BE1">
        <w:rPr>
          <w:lang w:val="fr-FR"/>
        </w:rPr>
        <w:t xml:space="preserve">et </w:t>
      </w:r>
      <w:r w:rsidR="005341EF">
        <w:rPr>
          <w:lang w:val="fr-FR"/>
        </w:rPr>
        <w:t>présente</w:t>
      </w:r>
      <w:r w:rsidRPr="00802BE1">
        <w:rPr>
          <w:lang w:val="fr-FR"/>
        </w:rPr>
        <w:t xml:space="preserve"> ci</w:t>
      </w:r>
      <w:r w:rsidR="003A7DCA">
        <w:rPr>
          <w:lang w:val="fr-FR"/>
        </w:rPr>
        <w:t>-</w:t>
      </w:r>
      <w:r w:rsidRPr="00802BE1">
        <w:rPr>
          <w:lang w:val="fr-FR"/>
        </w:rPr>
        <w:t xml:space="preserve">après </w:t>
      </w:r>
      <w:r w:rsidR="005341EF" w:rsidRPr="005341EF">
        <w:rPr>
          <w:lang w:val="fr-FR"/>
        </w:rPr>
        <w:t xml:space="preserve">des </w:t>
      </w:r>
      <w:r w:rsidR="005341EF">
        <w:rPr>
          <w:lang w:val="fr-FR"/>
        </w:rPr>
        <w:t>propositions concernant</w:t>
      </w:r>
      <w:r w:rsidR="005341EF" w:rsidRPr="005341EF">
        <w:rPr>
          <w:lang w:val="fr-FR"/>
        </w:rPr>
        <w:t xml:space="preserve"> la meilleure </w:t>
      </w:r>
      <w:r w:rsidR="005341EF">
        <w:rPr>
          <w:lang w:val="fr-FR"/>
        </w:rPr>
        <w:t>manière de les mettre en œuvre</w:t>
      </w:r>
      <w:r w:rsidRPr="00802BE1">
        <w:rPr>
          <w:lang w:val="fr-FR"/>
        </w:rPr>
        <w:t>.</w:t>
      </w:r>
    </w:p>
    <w:tbl>
      <w:tblPr>
        <w:tblStyle w:val="TableGrid"/>
        <w:tblW w:w="5000" w:type="pct"/>
        <w:tblCellMar>
          <w:top w:w="28" w:type="dxa"/>
          <w:bottom w:w="28" w:type="dxa"/>
        </w:tblCellMar>
        <w:tblLook w:val="04A0" w:firstRow="1" w:lastRow="0" w:firstColumn="1" w:lastColumn="0" w:noHBand="0" w:noVBand="1"/>
      </w:tblPr>
      <w:tblGrid>
        <w:gridCol w:w="3149"/>
        <w:gridCol w:w="2149"/>
        <w:gridCol w:w="2358"/>
        <w:gridCol w:w="1690"/>
      </w:tblGrid>
      <w:tr w:rsidR="00CB3526" w:rsidRPr="00BA5CE5" w:rsidTr="00430D8B">
        <w:tc>
          <w:tcPr>
            <w:tcW w:w="3149" w:type="dxa"/>
          </w:tcPr>
          <w:p w:rsidR="00CB3526" w:rsidRPr="00802BE1" w:rsidRDefault="00CB3526" w:rsidP="00430D8B">
            <w:pPr>
              <w:rPr>
                <w:b/>
                <w:lang w:val="fr-FR"/>
              </w:rPr>
            </w:pPr>
            <w:r w:rsidRPr="00802BE1">
              <w:rPr>
                <w:b/>
                <w:lang w:val="fr-FR"/>
              </w:rPr>
              <w:t>RECOMMANDATIONS</w:t>
            </w:r>
          </w:p>
        </w:tc>
        <w:tc>
          <w:tcPr>
            <w:tcW w:w="6197" w:type="dxa"/>
            <w:gridSpan w:val="3"/>
          </w:tcPr>
          <w:p w:rsidR="00CB3526" w:rsidRPr="00802BE1" w:rsidRDefault="00CB3526" w:rsidP="00430D8B">
            <w:pPr>
              <w:tabs>
                <w:tab w:val="left" w:pos="3007"/>
              </w:tabs>
              <w:rPr>
                <w:b/>
                <w:highlight w:val="red"/>
                <w:lang w:val="fr-FR"/>
              </w:rPr>
            </w:pPr>
            <w:r w:rsidRPr="00802BE1">
              <w:rPr>
                <w:b/>
                <w:lang w:val="fr-FR"/>
              </w:rPr>
              <w:t>MESURE DEMANDÉE</w:t>
            </w:r>
          </w:p>
        </w:tc>
      </w:tr>
      <w:tr w:rsidR="00430D8B" w:rsidRPr="002F69A8" w:rsidTr="00430D8B">
        <w:tc>
          <w:tcPr>
            <w:tcW w:w="3149" w:type="dxa"/>
            <w:vMerge w:val="restart"/>
          </w:tcPr>
          <w:p w:rsidR="002A572A" w:rsidRDefault="00430D8B" w:rsidP="00430D8B">
            <w:pPr>
              <w:rPr>
                <w:b/>
                <w:lang w:val="fr-FR"/>
              </w:rPr>
            </w:pPr>
            <w:r w:rsidRPr="00802BE1">
              <w:rPr>
                <w:b/>
                <w:lang w:val="fr-FR"/>
              </w:rPr>
              <w:t>Recommandation n° 3</w:t>
            </w:r>
            <w:r w:rsidR="003A7DCA">
              <w:rPr>
                <w:b/>
                <w:lang w:val="fr-FR"/>
              </w:rPr>
              <w:t> :</w:t>
            </w:r>
          </w:p>
          <w:p w:rsidR="00430D8B" w:rsidRDefault="00430D8B" w:rsidP="00430D8B">
            <w:pPr>
              <w:rPr>
                <w:b/>
                <w:lang w:val="fr-FR"/>
              </w:rPr>
            </w:pPr>
            <w:r w:rsidRPr="002F69A8">
              <w:rPr>
                <w:lang w:val="fr-FR"/>
              </w:rPr>
              <w:t>L</w:t>
            </w:r>
            <w:r w:rsidR="003A7DCA">
              <w:rPr>
                <w:lang w:val="fr-FR"/>
              </w:rPr>
              <w:t>’</w:t>
            </w:r>
            <w:r w:rsidRPr="002F69A8">
              <w:rPr>
                <w:lang w:val="fr-FR"/>
              </w:rPr>
              <w:t>OMPI devrait continuer d</w:t>
            </w:r>
            <w:r w:rsidR="003A7DCA">
              <w:rPr>
                <w:lang w:val="fr-FR"/>
              </w:rPr>
              <w:t>’</w:t>
            </w:r>
            <w:r w:rsidRPr="002F69A8">
              <w:rPr>
                <w:lang w:val="fr-FR"/>
              </w:rPr>
              <w:t>assurer une coordination, un suivi, un retour d</w:t>
            </w:r>
            <w:r w:rsidR="003A7DCA">
              <w:rPr>
                <w:lang w:val="fr-FR"/>
              </w:rPr>
              <w:t>’</w:t>
            </w:r>
            <w:r w:rsidRPr="002F69A8">
              <w:rPr>
                <w:lang w:val="fr-FR"/>
              </w:rPr>
              <w:t>information, une évaluation et une prise en considération efficaces de la mise en œuvre des recommandations du Plan d</w:t>
            </w:r>
            <w:r w:rsidR="003A7DCA">
              <w:rPr>
                <w:lang w:val="fr-FR"/>
              </w:rPr>
              <w:t>’</w:t>
            </w:r>
            <w:r w:rsidRPr="002F69A8">
              <w:rPr>
                <w:lang w:val="fr-FR"/>
              </w:rPr>
              <w:t>action pour le développeme</w:t>
            </w:r>
            <w:r w:rsidR="00230E63" w:rsidRPr="002F69A8">
              <w:rPr>
                <w:lang w:val="fr-FR"/>
              </w:rPr>
              <w:t>nt</w:t>
            </w:r>
            <w:r w:rsidR="00230E63">
              <w:rPr>
                <w:lang w:val="fr-FR"/>
              </w:rPr>
              <w:t xml:space="preserve">.  </w:t>
            </w:r>
            <w:r w:rsidR="00230E63" w:rsidRPr="002F69A8">
              <w:rPr>
                <w:lang w:val="fr-FR"/>
              </w:rPr>
              <w:t>Le</w:t>
            </w:r>
            <w:r w:rsidRPr="002F69A8">
              <w:rPr>
                <w:lang w:val="fr-FR"/>
              </w:rPr>
              <w:t xml:space="preserve"> rôle de la Division de la coordination du Plan d</w:t>
            </w:r>
            <w:r w:rsidR="003A7DCA">
              <w:rPr>
                <w:lang w:val="fr-FR"/>
              </w:rPr>
              <w:t>’</w:t>
            </w:r>
            <w:r w:rsidRPr="002F69A8">
              <w:rPr>
                <w:lang w:val="fr-FR"/>
              </w:rPr>
              <w:t>action pour le développement devrait être renforcé.</w:t>
            </w:r>
          </w:p>
          <w:p w:rsidR="00430D8B" w:rsidRDefault="00430D8B" w:rsidP="00430D8B">
            <w:pPr>
              <w:rPr>
                <w:b/>
                <w:lang w:val="fr-FR"/>
              </w:rPr>
            </w:pPr>
          </w:p>
          <w:p w:rsidR="002A572A" w:rsidRDefault="00430D8B" w:rsidP="00430D8B">
            <w:pPr>
              <w:rPr>
                <w:b/>
                <w:lang w:val="fr-FR"/>
              </w:rPr>
            </w:pPr>
            <w:r w:rsidRPr="00802BE1">
              <w:rPr>
                <w:b/>
                <w:lang w:val="fr-FR"/>
              </w:rPr>
              <w:t>Recommandation n° 4</w:t>
            </w:r>
            <w:r w:rsidR="003A7DCA">
              <w:rPr>
                <w:b/>
                <w:lang w:val="fr-FR"/>
              </w:rPr>
              <w:t> :</w:t>
            </w:r>
          </w:p>
          <w:p w:rsidR="003A7DCA" w:rsidRDefault="00430D8B" w:rsidP="00430D8B">
            <w:pPr>
              <w:rPr>
                <w:lang w:val="fr-FR"/>
              </w:rPr>
            </w:pPr>
            <w:r w:rsidRPr="002F69A8">
              <w:rPr>
                <w:lang w:val="fr-FR"/>
              </w:rPr>
              <w:t>Dans la mise en œuvre des recommandations du Plan d</w:t>
            </w:r>
            <w:r w:rsidR="003A7DCA">
              <w:rPr>
                <w:lang w:val="fr-FR"/>
              </w:rPr>
              <w:t>’</w:t>
            </w:r>
            <w:r w:rsidRPr="002F69A8">
              <w:rPr>
                <w:lang w:val="fr-FR"/>
              </w:rPr>
              <w:t>action pour le développement, le </w:t>
            </w:r>
            <w:proofErr w:type="spellStart"/>
            <w:r w:rsidRPr="002F69A8">
              <w:rPr>
                <w:lang w:val="fr-FR"/>
              </w:rPr>
              <w:t>CDIP</w:t>
            </w:r>
            <w:proofErr w:type="spellEnd"/>
            <w:r w:rsidRPr="002F69A8">
              <w:rPr>
                <w:lang w:val="fr-FR"/>
              </w:rPr>
              <w:t xml:space="preserve"> devrait examiner les moyens de répondre au mieux à l</w:t>
            </w:r>
            <w:r w:rsidR="003A7DCA">
              <w:rPr>
                <w:lang w:val="fr-FR"/>
              </w:rPr>
              <w:t>’</w:t>
            </w:r>
            <w:r w:rsidRPr="002F69A8">
              <w:rPr>
                <w:lang w:val="fr-FR"/>
              </w:rPr>
              <w:t>évolution de la conjoncture et aux défis émergents en termes de développement auxquels est confronté le système de la propriété intellectuel</w:t>
            </w:r>
            <w:r w:rsidR="00230E63" w:rsidRPr="002F69A8">
              <w:rPr>
                <w:lang w:val="fr-FR"/>
              </w:rPr>
              <w:t>le</w:t>
            </w:r>
            <w:r w:rsidR="00230E63">
              <w:rPr>
                <w:lang w:val="fr-FR"/>
              </w:rPr>
              <w:t xml:space="preserve">.  </w:t>
            </w:r>
            <w:r w:rsidR="00230E63" w:rsidRPr="002F69A8">
              <w:rPr>
                <w:lang w:val="fr-FR"/>
              </w:rPr>
              <w:t>Pa</w:t>
            </w:r>
            <w:r w:rsidRPr="002F69A8">
              <w:rPr>
                <w:lang w:val="fr-FR"/>
              </w:rPr>
              <w:t>rallèlement, il conviendrait d</w:t>
            </w:r>
            <w:r w:rsidR="003A7DCA">
              <w:rPr>
                <w:lang w:val="fr-FR"/>
              </w:rPr>
              <w:t>’</w:t>
            </w:r>
            <w:r w:rsidRPr="002F69A8">
              <w:rPr>
                <w:lang w:val="fr-FR"/>
              </w:rPr>
              <w:t>associer étroitement d</w:t>
            </w:r>
            <w:r w:rsidR="003A7DCA">
              <w:rPr>
                <w:lang w:val="fr-FR"/>
              </w:rPr>
              <w:t>’</w:t>
            </w:r>
            <w:r w:rsidRPr="002F69A8">
              <w:rPr>
                <w:lang w:val="fr-FR"/>
              </w:rPr>
              <w:t xml:space="preserve">autres organismes des </w:t>
            </w:r>
            <w:r w:rsidR="003A7DCA">
              <w:rPr>
                <w:lang w:val="fr-FR"/>
              </w:rPr>
              <w:t>Nations Unies</w:t>
            </w:r>
            <w:r w:rsidRPr="002F69A8">
              <w:rPr>
                <w:lang w:val="fr-FR"/>
              </w:rPr>
              <w:t xml:space="preserve"> œuvrant dans le domaine du développement afin de tirer parti de leurs compétences aux fins de la mise en œuvre des recommandations du Plan d</w:t>
            </w:r>
            <w:r w:rsidR="003A7DCA">
              <w:rPr>
                <w:lang w:val="fr-FR"/>
              </w:rPr>
              <w:t>’</w:t>
            </w:r>
            <w:r w:rsidRPr="002F69A8">
              <w:rPr>
                <w:lang w:val="fr-FR"/>
              </w:rPr>
              <w:t>action pour le développement et de la promotion de la réalisation des objectifs de développement durable.</w:t>
            </w:r>
          </w:p>
          <w:p w:rsidR="00430D8B" w:rsidRDefault="00430D8B" w:rsidP="00430D8B">
            <w:pPr>
              <w:rPr>
                <w:b/>
                <w:lang w:val="fr-FR"/>
              </w:rPr>
            </w:pPr>
          </w:p>
          <w:p w:rsidR="00430D8B" w:rsidRDefault="00430D8B" w:rsidP="00430D8B">
            <w:pPr>
              <w:rPr>
                <w:b/>
                <w:lang w:val="fr-FR"/>
              </w:rPr>
            </w:pPr>
          </w:p>
          <w:p w:rsidR="00430D8B" w:rsidRDefault="00430D8B" w:rsidP="00430D8B">
            <w:pPr>
              <w:rPr>
                <w:lang w:val="fr-FR"/>
              </w:rPr>
            </w:pPr>
            <w:r w:rsidRPr="00802BE1">
              <w:rPr>
                <w:b/>
                <w:lang w:val="fr-FR"/>
              </w:rPr>
              <w:lastRenderedPageBreak/>
              <w:t>Recommandation n° 5</w:t>
            </w:r>
            <w:r w:rsidR="002A572A">
              <w:rPr>
                <w:b/>
                <w:lang w:val="fr-FR"/>
              </w:rPr>
              <w:t> :</w:t>
            </w:r>
          </w:p>
          <w:p w:rsidR="00430D8B" w:rsidRDefault="00430D8B" w:rsidP="00430D8B">
            <w:pPr>
              <w:rPr>
                <w:lang w:val="fr-FR"/>
              </w:rPr>
            </w:pPr>
            <w:r w:rsidRPr="002F69A8">
              <w:rPr>
                <w:lang w:val="fr-FR"/>
              </w:rPr>
              <w:t>L</w:t>
            </w:r>
            <w:r w:rsidR="003A7DCA">
              <w:rPr>
                <w:lang w:val="fr-FR"/>
              </w:rPr>
              <w:t>’</w:t>
            </w:r>
            <w:r w:rsidRPr="002F69A8">
              <w:rPr>
                <w:lang w:val="fr-FR"/>
              </w:rPr>
              <w:t>OMPI devrait envisager la possibilité d</w:t>
            </w:r>
            <w:r w:rsidR="003A7DCA">
              <w:rPr>
                <w:lang w:val="fr-FR"/>
              </w:rPr>
              <w:t>’</w:t>
            </w:r>
            <w:r w:rsidRPr="002F69A8">
              <w:rPr>
                <w:lang w:val="fr-FR"/>
              </w:rPr>
              <w:t>établir des liens entre les recommandations du Plan d</w:t>
            </w:r>
            <w:r w:rsidR="003A7DCA">
              <w:rPr>
                <w:lang w:val="fr-FR"/>
              </w:rPr>
              <w:t>’</w:t>
            </w:r>
            <w:r w:rsidRPr="002F69A8">
              <w:rPr>
                <w:lang w:val="fr-FR"/>
              </w:rPr>
              <w:t>action pour le développement et les résultats escomptés figurant dans le programme et budget lorsque c</w:t>
            </w:r>
            <w:r w:rsidR="003A7DCA">
              <w:rPr>
                <w:lang w:val="fr-FR"/>
              </w:rPr>
              <w:t>’</w:t>
            </w:r>
            <w:r w:rsidRPr="002F69A8">
              <w:rPr>
                <w:lang w:val="fr-FR"/>
              </w:rPr>
              <w:t>est possib</w:t>
            </w:r>
            <w:r w:rsidR="00230E63" w:rsidRPr="002F69A8">
              <w:rPr>
                <w:lang w:val="fr-FR"/>
              </w:rPr>
              <w:t>le</w:t>
            </w:r>
            <w:r w:rsidR="00230E63">
              <w:rPr>
                <w:lang w:val="fr-FR"/>
              </w:rPr>
              <w:t xml:space="preserve">.  </w:t>
            </w:r>
            <w:r w:rsidR="00230E63" w:rsidRPr="002F69A8">
              <w:rPr>
                <w:lang w:val="fr-FR"/>
              </w:rPr>
              <w:t>Le</w:t>
            </w:r>
            <w:r w:rsidRPr="002F69A8">
              <w:rPr>
                <w:lang w:val="fr-FR"/>
              </w:rPr>
              <w:t>s résultats escomptés peuvent être modifiés ou de nouveaux résultats peuvent être ajoutés afin d</w:t>
            </w:r>
            <w:r w:rsidR="003A7DCA">
              <w:rPr>
                <w:lang w:val="fr-FR"/>
              </w:rPr>
              <w:t>’</w:t>
            </w:r>
            <w:r w:rsidRPr="002F69A8">
              <w:rPr>
                <w:lang w:val="fr-FR"/>
              </w:rPr>
              <w:t>assurer plus efficacement et durablement l</w:t>
            </w:r>
            <w:r w:rsidR="003A7DCA">
              <w:rPr>
                <w:lang w:val="fr-FR"/>
              </w:rPr>
              <w:t>’</w:t>
            </w:r>
            <w:r w:rsidRPr="002F69A8">
              <w:rPr>
                <w:lang w:val="fr-FR"/>
              </w:rPr>
              <w:t>intégration des recommandations du Plan d</w:t>
            </w:r>
            <w:r w:rsidR="003A7DCA">
              <w:rPr>
                <w:lang w:val="fr-FR"/>
              </w:rPr>
              <w:t>’</w:t>
            </w:r>
            <w:r w:rsidRPr="002F69A8">
              <w:rPr>
                <w:lang w:val="fr-FR"/>
              </w:rPr>
              <w:t>action pour le développement dans les activités de l</w:t>
            </w:r>
            <w:r w:rsidR="003A7DCA">
              <w:rPr>
                <w:lang w:val="fr-FR"/>
              </w:rPr>
              <w:t>’</w:t>
            </w:r>
            <w:r w:rsidRPr="002F69A8">
              <w:rPr>
                <w:lang w:val="fr-FR"/>
              </w:rPr>
              <w:t>OMPI.</w:t>
            </w:r>
          </w:p>
          <w:p w:rsidR="00430D8B" w:rsidRDefault="00430D8B" w:rsidP="00430D8B">
            <w:pPr>
              <w:rPr>
                <w:lang w:val="fr-FR"/>
              </w:rPr>
            </w:pPr>
          </w:p>
          <w:p w:rsidR="003A7DCA" w:rsidRDefault="00430D8B" w:rsidP="00430D8B">
            <w:pPr>
              <w:rPr>
                <w:lang w:val="fr-FR"/>
              </w:rPr>
            </w:pPr>
            <w:r w:rsidRPr="00802BE1">
              <w:rPr>
                <w:b/>
                <w:lang w:val="fr-FR"/>
              </w:rPr>
              <w:t>Recommandation n° 6</w:t>
            </w:r>
            <w:r w:rsidR="003A7DCA">
              <w:rPr>
                <w:b/>
                <w:lang w:val="fr-FR"/>
              </w:rPr>
              <w:t> :</w:t>
            </w:r>
          </w:p>
          <w:p w:rsidR="00430D8B" w:rsidRDefault="00430D8B" w:rsidP="00430D8B">
            <w:pPr>
              <w:rPr>
                <w:lang w:val="fr-FR"/>
              </w:rPr>
            </w:pPr>
            <w:r w:rsidRPr="002F69A8">
              <w:rPr>
                <w:lang w:val="fr-FR"/>
              </w:rPr>
              <w:t>Les États membres sont encouragés à renforcer la coordination entre leurs missions à Genève et leurs offices de propriété intellectuelle et autres administrations dans les capitales de manière à établir une approche coordonnée des travaux du </w:t>
            </w:r>
            <w:proofErr w:type="spellStart"/>
            <w:r w:rsidRPr="002F69A8">
              <w:rPr>
                <w:lang w:val="fr-FR"/>
              </w:rPr>
              <w:t>CDIP</w:t>
            </w:r>
            <w:proofErr w:type="spellEnd"/>
            <w:r w:rsidRPr="002F69A8">
              <w:rPr>
                <w:lang w:val="fr-FR"/>
              </w:rPr>
              <w:t xml:space="preserve"> et à sensibiliser les parties prenantes aux avantages du Plan d</w:t>
            </w:r>
            <w:r w:rsidR="003A7DCA">
              <w:rPr>
                <w:lang w:val="fr-FR"/>
              </w:rPr>
              <w:t>’</w:t>
            </w:r>
            <w:r w:rsidRPr="002F69A8">
              <w:rPr>
                <w:lang w:val="fr-FR"/>
              </w:rPr>
              <w:t>action pour le développeme</w:t>
            </w:r>
            <w:r w:rsidR="00230E63" w:rsidRPr="002F69A8">
              <w:rPr>
                <w:lang w:val="fr-FR"/>
              </w:rPr>
              <w:t>nt</w:t>
            </w:r>
            <w:r w:rsidR="00230E63">
              <w:rPr>
                <w:lang w:val="fr-FR"/>
              </w:rPr>
              <w:t xml:space="preserve">.  </w:t>
            </w:r>
            <w:r w:rsidR="00230E63" w:rsidRPr="002F69A8">
              <w:rPr>
                <w:lang w:val="fr-FR"/>
              </w:rPr>
              <w:t>Un</w:t>
            </w:r>
            <w:r w:rsidRPr="002F69A8">
              <w:rPr>
                <w:lang w:val="fr-FR"/>
              </w:rPr>
              <w:t>e participation de plus haut niveau des experts nationaux aux travaux du comité devrait être favoris</w:t>
            </w:r>
            <w:r w:rsidR="00230E63" w:rsidRPr="002F69A8">
              <w:rPr>
                <w:lang w:val="fr-FR"/>
              </w:rPr>
              <w:t>ée</w:t>
            </w:r>
            <w:r w:rsidR="00230E63">
              <w:rPr>
                <w:lang w:val="fr-FR"/>
              </w:rPr>
              <w:t xml:space="preserve">.  </w:t>
            </w:r>
            <w:r w:rsidR="00230E63" w:rsidRPr="002F69A8">
              <w:rPr>
                <w:lang w:val="fr-FR"/>
              </w:rPr>
              <w:t>Le</w:t>
            </w:r>
            <w:r w:rsidRPr="002F69A8">
              <w:rPr>
                <w:lang w:val="fr-FR"/>
              </w:rPr>
              <w:t> </w:t>
            </w:r>
            <w:proofErr w:type="spellStart"/>
            <w:r w:rsidRPr="002F69A8">
              <w:rPr>
                <w:lang w:val="fr-FR"/>
              </w:rPr>
              <w:t>CDIP</w:t>
            </w:r>
            <w:proofErr w:type="spellEnd"/>
            <w:r w:rsidRPr="002F69A8">
              <w:rPr>
                <w:lang w:val="fr-FR"/>
              </w:rPr>
              <w:t xml:space="preserve"> devrait se pencher sur les modalités relatives au retour d</w:t>
            </w:r>
            <w:r w:rsidR="003A7DCA">
              <w:rPr>
                <w:lang w:val="fr-FR"/>
              </w:rPr>
              <w:t>’</w:t>
            </w:r>
            <w:r w:rsidRPr="002F69A8">
              <w:rPr>
                <w:lang w:val="fr-FR"/>
              </w:rPr>
              <w:t>information sur les mesures prises au niveau national pour mettre en œuvre les recommandations du Plan d</w:t>
            </w:r>
            <w:r w:rsidR="003A7DCA">
              <w:rPr>
                <w:lang w:val="fr-FR"/>
              </w:rPr>
              <w:t>’</w:t>
            </w:r>
            <w:r w:rsidRPr="002F69A8">
              <w:rPr>
                <w:lang w:val="fr-FR"/>
              </w:rPr>
              <w:t>action pour le développement.</w:t>
            </w:r>
          </w:p>
          <w:p w:rsidR="00430D8B" w:rsidRDefault="00430D8B" w:rsidP="00430D8B">
            <w:pPr>
              <w:rPr>
                <w:lang w:val="fr-FR"/>
              </w:rPr>
            </w:pPr>
          </w:p>
          <w:p w:rsidR="003A7DCA" w:rsidRDefault="00430D8B" w:rsidP="00430D8B">
            <w:pPr>
              <w:rPr>
                <w:lang w:val="fr-FR"/>
              </w:rPr>
            </w:pPr>
            <w:r w:rsidRPr="00802BE1">
              <w:rPr>
                <w:b/>
                <w:lang w:val="fr-FR"/>
              </w:rPr>
              <w:t>Recommandation n° 7</w:t>
            </w:r>
            <w:r w:rsidR="003A7DCA">
              <w:rPr>
                <w:b/>
                <w:lang w:val="fr-FR"/>
              </w:rPr>
              <w:t> :</w:t>
            </w:r>
          </w:p>
          <w:p w:rsidR="00430D8B" w:rsidRDefault="00430D8B" w:rsidP="00430D8B">
            <w:pPr>
              <w:rPr>
                <w:lang w:val="fr-FR"/>
              </w:rPr>
            </w:pPr>
            <w:r w:rsidRPr="002F69A8">
              <w:rPr>
                <w:lang w:val="fr-FR"/>
              </w:rPr>
              <w:t xml:space="preserve">Les États membres sont encouragés à formuler, compte tenu de leurs besoins nationaux, de nouvelles propositions de projets pour </w:t>
            </w:r>
            <w:r w:rsidRPr="002F69A8">
              <w:rPr>
                <w:lang w:val="fr-FR"/>
              </w:rPr>
              <w:lastRenderedPageBreak/>
              <w:t>examen par le </w:t>
            </w:r>
            <w:proofErr w:type="spellStart"/>
            <w:r w:rsidRPr="002F69A8">
              <w:rPr>
                <w:lang w:val="fr-FR"/>
              </w:rPr>
              <w:t>C</w:t>
            </w:r>
            <w:r w:rsidR="00230E63" w:rsidRPr="002F69A8">
              <w:rPr>
                <w:lang w:val="fr-FR"/>
              </w:rPr>
              <w:t>DIP</w:t>
            </w:r>
            <w:proofErr w:type="spellEnd"/>
            <w:r w:rsidR="00230E63">
              <w:rPr>
                <w:lang w:val="fr-FR"/>
              </w:rPr>
              <w:t xml:space="preserve">.  </w:t>
            </w:r>
            <w:r w:rsidR="00230E63" w:rsidRPr="002F69A8">
              <w:rPr>
                <w:lang w:val="fr-FR"/>
              </w:rPr>
              <w:t>Il</w:t>
            </w:r>
            <w:r w:rsidRPr="002F69A8">
              <w:rPr>
                <w:lang w:val="fr-FR"/>
              </w:rPr>
              <w:t>s devraient envisager l</w:t>
            </w:r>
            <w:r w:rsidR="003A7DCA">
              <w:rPr>
                <w:lang w:val="fr-FR"/>
              </w:rPr>
              <w:t>’</w:t>
            </w:r>
            <w:r w:rsidRPr="002F69A8">
              <w:rPr>
                <w:lang w:val="fr-FR"/>
              </w:rPr>
              <w:t>établissement d</w:t>
            </w:r>
            <w:r w:rsidR="003A7DCA">
              <w:rPr>
                <w:lang w:val="fr-FR"/>
              </w:rPr>
              <w:t>’</w:t>
            </w:r>
            <w:r w:rsidRPr="002F69A8">
              <w:rPr>
                <w:lang w:val="fr-FR"/>
              </w:rPr>
              <w:t>un mécanisme de retour d</w:t>
            </w:r>
            <w:r w:rsidR="003A7DCA">
              <w:rPr>
                <w:lang w:val="fr-FR"/>
              </w:rPr>
              <w:t>’</w:t>
            </w:r>
            <w:r w:rsidRPr="002F69A8">
              <w:rPr>
                <w:lang w:val="fr-FR"/>
              </w:rPr>
              <w:t>information sur les enseignements tirés et les pratiques recommandées des projets et activités du Plan d</w:t>
            </w:r>
            <w:r w:rsidR="003A7DCA">
              <w:rPr>
                <w:lang w:val="fr-FR"/>
              </w:rPr>
              <w:t>’</w:t>
            </w:r>
            <w:r w:rsidRPr="002F69A8">
              <w:rPr>
                <w:lang w:val="fr-FR"/>
              </w:rPr>
              <w:t xml:space="preserve">action pour </w:t>
            </w:r>
            <w:proofErr w:type="gramStart"/>
            <w:r w:rsidRPr="002F69A8">
              <w:rPr>
                <w:lang w:val="fr-FR"/>
              </w:rPr>
              <w:t>le développement couronnés</w:t>
            </w:r>
            <w:proofErr w:type="gramEnd"/>
            <w:r w:rsidRPr="002F69A8">
              <w:rPr>
                <w:lang w:val="fr-FR"/>
              </w:rPr>
              <w:t xml:space="preserve"> de succ</w:t>
            </w:r>
            <w:r w:rsidR="00230E63" w:rsidRPr="002F69A8">
              <w:rPr>
                <w:lang w:val="fr-FR"/>
              </w:rPr>
              <w:t>ès</w:t>
            </w:r>
            <w:r w:rsidR="00230E63">
              <w:rPr>
                <w:lang w:val="fr-FR"/>
              </w:rPr>
              <w:t xml:space="preserve">.  </w:t>
            </w:r>
            <w:r w:rsidR="00230E63" w:rsidRPr="002F69A8">
              <w:rPr>
                <w:lang w:val="fr-FR"/>
              </w:rPr>
              <w:t>Ce</w:t>
            </w:r>
            <w:r w:rsidRPr="002F69A8">
              <w:rPr>
                <w:lang w:val="fr-FR"/>
              </w:rPr>
              <w:t xml:space="preserve"> mécanisme d</w:t>
            </w:r>
            <w:r w:rsidR="003A7DCA">
              <w:rPr>
                <w:lang w:val="fr-FR"/>
              </w:rPr>
              <w:t>’</w:t>
            </w:r>
            <w:r w:rsidRPr="002F69A8">
              <w:rPr>
                <w:lang w:val="fr-FR"/>
              </w:rPr>
              <w:t>information devrait comprendre un examen périodique de la viabilité à long terme des projets achevés ou intégrés, ainsi que de l</w:t>
            </w:r>
            <w:r w:rsidR="003A7DCA">
              <w:rPr>
                <w:lang w:val="fr-FR"/>
              </w:rPr>
              <w:t>’</w:t>
            </w:r>
            <w:r w:rsidRPr="002F69A8">
              <w:rPr>
                <w:lang w:val="fr-FR"/>
              </w:rPr>
              <w:t>impact de ces projets sur les bénéficiaires.  L</w:t>
            </w:r>
            <w:r w:rsidR="003A7DCA">
              <w:rPr>
                <w:lang w:val="fr-FR"/>
              </w:rPr>
              <w:t>’</w:t>
            </w:r>
            <w:r w:rsidRPr="002F69A8">
              <w:rPr>
                <w:lang w:val="fr-FR"/>
              </w:rPr>
              <w:t>OMPI devrait établir une base de données des enseignements tirés et pratiques recommandées dans le cadre de la mise en œuvre des projets du Plan d</w:t>
            </w:r>
            <w:r w:rsidR="003A7DCA">
              <w:rPr>
                <w:lang w:val="fr-FR"/>
              </w:rPr>
              <w:t>’</w:t>
            </w:r>
            <w:r w:rsidRPr="002F69A8">
              <w:rPr>
                <w:lang w:val="fr-FR"/>
              </w:rPr>
              <w:t>action pour le développement.</w:t>
            </w:r>
          </w:p>
          <w:p w:rsidR="00430D8B" w:rsidRDefault="00430D8B" w:rsidP="00430D8B">
            <w:pPr>
              <w:rPr>
                <w:lang w:val="fr-FR"/>
              </w:rPr>
            </w:pPr>
          </w:p>
          <w:p w:rsidR="003A7DCA" w:rsidRDefault="00430D8B" w:rsidP="00430D8B">
            <w:pPr>
              <w:rPr>
                <w:lang w:val="fr-FR"/>
              </w:rPr>
            </w:pPr>
            <w:r w:rsidRPr="00802BE1">
              <w:rPr>
                <w:b/>
                <w:lang w:val="fr-FR"/>
              </w:rPr>
              <w:t>Recommandation n° 8</w:t>
            </w:r>
            <w:r w:rsidR="003A7DCA">
              <w:rPr>
                <w:b/>
                <w:lang w:val="fr-FR"/>
              </w:rPr>
              <w:t> :</w:t>
            </w:r>
          </w:p>
          <w:p w:rsidR="00430D8B" w:rsidRPr="002F69A8" w:rsidRDefault="00430D8B" w:rsidP="00430D8B">
            <w:pPr>
              <w:rPr>
                <w:lang w:val="fr-FR"/>
              </w:rPr>
            </w:pPr>
            <w:r w:rsidRPr="002F69A8">
              <w:rPr>
                <w:lang w:val="fr-FR"/>
              </w:rPr>
              <w:t>Les travaux futurs relatifs à l</w:t>
            </w:r>
            <w:r w:rsidR="003A7DCA">
              <w:rPr>
                <w:lang w:val="fr-FR"/>
              </w:rPr>
              <w:t>’</w:t>
            </w:r>
            <w:r w:rsidRPr="002F69A8">
              <w:rPr>
                <w:lang w:val="fr-FR"/>
              </w:rPr>
              <w:t>élaboration de nouveaux projets devraient être modulables et adaptables et tenir compte des capacités d</w:t>
            </w:r>
            <w:r w:rsidR="003A7DCA">
              <w:rPr>
                <w:lang w:val="fr-FR"/>
              </w:rPr>
              <w:t>’</w:t>
            </w:r>
            <w:r w:rsidRPr="002F69A8">
              <w:rPr>
                <w:lang w:val="fr-FR"/>
              </w:rPr>
              <w:t>assimilation et du niveau de connaissances des bénéficiair</w:t>
            </w:r>
            <w:r w:rsidR="00230E63" w:rsidRPr="002F69A8">
              <w:rPr>
                <w:lang w:val="fr-FR"/>
              </w:rPr>
              <w:t>es</w:t>
            </w:r>
            <w:r w:rsidR="00230E63">
              <w:rPr>
                <w:lang w:val="fr-FR"/>
              </w:rPr>
              <w:t xml:space="preserve">.  </w:t>
            </w:r>
            <w:r w:rsidR="00230E63" w:rsidRPr="002F69A8">
              <w:rPr>
                <w:lang w:val="fr-FR"/>
              </w:rPr>
              <w:t>Da</w:t>
            </w:r>
            <w:r w:rsidRPr="002F69A8">
              <w:rPr>
                <w:lang w:val="fr-FR"/>
              </w:rPr>
              <w:t>ns la mise en œuvre des projets au niveau national, l</w:t>
            </w:r>
            <w:r w:rsidR="003A7DCA">
              <w:rPr>
                <w:lang w:val="fr-FR"/>
              </w:rPr>
              <w:t>’</w:t>
            </w:r>
            <w:r w:rsidRPr="002F69A8">
              <w:rPr>
                <w:lang w:val="fr-FR"/>
              </w:rPr>
              <w:t xml:space="preserve">OMPI devrait étudier la possibilité de nouer des partenariats étroits avec les organismes des </w:t>
            </w:r>
            <w:r w:rsidR="003A7DCA">
              <w:rPr>
                <w:lang w:val="fr-FR"/>
              </w:rPr>
              <w:t>Nations Unies</w:t>
            </w:r>
            <w:r w:rsidRPr="002F69A8">
              <w:rPr>
                <w:lang w:val="fr-FR"/>
              </w:rPr>
              <w:t xml:space="preserve"> et d</w:t>
            </w:r>
            <w:r w:rsidR="003A7DCA">
              <w:rPr>
                <w:lang w:val="fr-FR"/>
              </w:rPr>
              <w:t>’</w:t>
            </w:r>
            <w:r w:rsidRPr="002F69A8">
              <w:rPr>
                <w:lang w:val="fr-FR"/>
              </w:rPr>
              <w:t>autres entités afin d</w:t>
            </w:r>
            <w:r w:rsidR="003A7DCA">
              <w:rPr>
                <w:lang w:val="fr-FR"/>
              </w:rPr>
              <w:t>’</w:t>
            </w:r>
            <w:r w:rsidRPr="002F69A8">
              <w:rPr>
                <w:lang w:val="fr-FR"/>
              </w:rPr>
              <w:t>améliorer l</w:t>
            </w:r>
            <w:r w:rsidR="003A7DCA">
              <w:rPr>
                <w:lang w:val="fr-FR"/>
              </w:rPr>
              <w:t>’</w:t>
            </w:r>
            <w:r w:rsidRPr="002F69A8">
              <w:rPr>
                <w:lang w:val="fr-FR"/>
              </w:rPr>
              <w:t>efficacité, l</w:t>
            </w:r>
            <w:r w:rsidR="003A7DCA">
              <w:rPr>
                <w:lang w:val="fr-FR"/>
              </w:rPr>
              <w:t>’</w:t>
            </w:r>
            <w:r w:rsidRPr="002F69A8">
              <w:rPr>
                <w:lang w:val="fr-FR"/>
              </w:rPr>
              <w:t>exhaustivité et la viabilité à long terme.</w:t>
            </w:r>
          </w:p>
        </w:tc>
        <w:tc>
          <w:tcPr>
            <w:tcW w:w="6197" w:type="dxa"/>
            <w:gridSpan w:val="3"/>
          </w:tcPr>
          <w:p w:rsidR="00430D8B" w:rsidRPr="002F69A8" w:rsidRDefault="00430D8B" w:rsidP="00430D8B">
            <w:pPr>
              <w:jc w:val="both"/>
              <w:rPr>
                <w:lang w:val="fr-FR"/>
              </w:rPr>
            </w:pPr>
            <w:r w:rsidRPr="00802BE1">
              <w:rPr>
                <w:lang w:val="fr-FR"/>
              </w:rPr>
              <w:lastRenderedPageBreak/>
              <w:t>Extrait de l</w:t>
            </w:r>
            <w:r w:rsidR="003A7DCA">
              <w:rPr>
                <w:lang w:val="fr-FR"/>
              </w:rPr>
              <w:t>’</w:t>
            </w:r>
            <w:r w:rsidRPr="00802BE1">
              <w:rPr>
                <w:lang w:val="fr-FR"/>
              </w:rPr>
              <w:t>objectif stratégique III</w:t>
            </w:r>
            <w:r w:rsidR="003A7DCA">
              <w:rPr>
                <w:lang w:val="fr-FR"/>
              </w:rPr>
              <w:t> :</w:t>
            </w:r>
            <w:r w:rsidRPr="00802BE1">
              <w:rPr>
                <w:lang w:val="fr-FR"/>
              </w:rPr>
              <w:t xml:space="preserve"> Favoriser l</w:t>
            </w:r>
            <w:r w:rsidR="003A7DCA">
              <w:rPr>
                <w:lang w:val="fr-FR"/>
              </w:rPr>
              <w:t>’</w:t>
            </w:r>
            <w:r w:rsidRPr="00802BE1">
              <w:rPr>
                <w:lang w:val="fr-FR"/>
              </w:rPr>
              <w:t>utilisation de la propriété intellectuelle au service du développement</w:t>
            </w:r>
            <w:r w:rsidR="003A7DCA">
              <w:rPr>
                <w:lang w:val="fr-FR"/>
              </w:rPr>
              <w:t> :</w:t>
            </w:r>
          </w:p>
        </w:tc>
      </w:tr>
      <w:tr w:rsidR="00430D8B" w:rsidRPr="00BA5CE5" w:rsidTr="00430D8B">
        <w:tc>
          <w:tcPr>
            <w:tcW w:w="3149" w:type="dxa"/>
            <w:vMerge/>
          </w:tcPr>
          <w:p w:rsidR="00430D8B" w:rsidRPr="002F69A8" w:rsidRDefault="00430D8B" w:rsidP="00430D8B">
            <w:pPr>
              <w:rPr>
                <w:b/>
                <w:lang w:val="fr-FR"/>
              </w:rPr>
            </w:pPr>
          </w:p>
        </w:tc>
        <w:tc>
          <w:tcPr>
            <w:tcW w:w="2149" w:type="dxa"/>
          </w:tcPr>
          <w:p w:rsidR="00430D8B" w:rsidRPr="00802BE1" w:rsidRDefault="00430D8B" w:rsidP="00430D8B">
            <w:pPr>
              <w:rPr>
                <w:b/>
                <w:lang w:val="fr-FR"/>
              </w:rPr>
            </w:pPr>
            <w:r w:rsidRPr="00802BE1">
              <w:rPr>
                <w:b/>
                <w:lang w:val="fr-FR"/>
              </w:rPr>
              <w:t>Résultat escompté</w:t>
            </w:r>
          </w:p>
        </w:tc>
        <w:tc>
          <w:tcPr>
            <w:tcW w:w="2358" w:type="dxa"/>
          </w:tcPr>
          <w:p w:rsidR="00430D8B" w:rsidRPr="00802BE1" w:rsidRDefault="00430D8B" w:rsidP="00430D8B">
            <w:pPr>
              <w:rPr>
                <w:b/>
                <w:lang w:val="fr-FR"/>
              </w:rPr>
            </w:pPr>
            <w:r w:rsidRPr="00802BE1">
              <w:rPr>
                <w:b/>
                <w:lang w:val="fr-FR"/>
              </w:rPr>
              <w:t>Indicateur d</w:t>
            </w:r>
            <w:r w:rsidR="003A7DCA">
              <w:rPr>
                <w:b/>
                <w:lang w:val="fr-FR"/>
              </w:rPr>
              <w:t>’</w:t>
            </w:r>
            <w:r w:rsidRPr="00802BE1">
              <w:rPr>
                <w:b/>
                <w:lang w:val="fr-FR"/>
              </w:rPr>
              <w:t>exécution</w:t>
            </w:r>
          </w:p>
        </w:tc>
        <w:tc>
          <w:tcPr>
            <w:tcW w:w="1690" w:type="dxa"/>
          </w:tcPr>
          <w:p w:rsidR="00430D8B" w:rsidRPr="00802BE1" w:rsidRDefault="00430D8B" w:rsidP="00430D8B">
            <w:pPr>
              <w:jc w:val="center"/>
              <w:rPr>
                <w:b/>
                <w:lang w:val="fr-FR"/>
              </w:rPr>
            </w:pPr>
            <w:r w:rsidRPr="00802BE1">
              <w:rPr>
                <w:b/>
                <w:lang w:val="fr-FR"/>
              </w:rPr>
              <w:t>Programme concerné</w:t>
            </w:r>
          </w:p>
        </w:tc>
      </w:tr>
      <w:tr w:rsidR="00430D8B" w:rsidRPr="00BA5CE5" w:rsidTr="00430D8B">
        <w:tc>
          <w:tcPr>
            <w:tcW w:w="3149" w:type="dxa"/>
            <w:vMerge/>
          </w:tcPr>
          <w:p w:rsidR="00430D8B" w:rsidRDefault="00430D8B" w:rsidP="00430D8B">
            <w:pPr>
              <w:rPr>
                <w:b/>
                <w:lang w:val="en-GB"/>
              </w:rPr>
            </w:pPr>
          </w:p>
        </w:tc>
        <w:tc>
          <w:tcPr>
            <w:tcW w:w="2149" w:type="dxa"/>
            <w:vMerge w:val="restart"/>
          </w:tcPr>
          <w:p w:rsidR="00430D8B" w:rsidRPr="00802BE1" w:rsidRDefault="00430D8B" w:rsidP="00430D8B">
            <w:pPr>
              <w:rPr>
                <w:lang w:val="fr-FR"/>
              </w:rPr>
            </w:pPr>
            <w:r w:rsidRPr="00802BE1">
              <w:rPr>
                <w:lang w:val="fr-FR"/>
              </w:rPr>
              <w:t xml:space="preserve">III.1 Stratégies et plans nationaux en matière de propriété intellectuelle conformes aux objectifs de développement nationaux </w:t>
            </w:r>
          </w:p>
        </w:tc>
        <w:tc>
          <w:tcPr>
            <w:tcW w:w="2358" w:type="dxa"/>
          </w:tcPr>
          <w:p w:rsidR="00430D8B" w:rsidRPr="00802BE1" w:rsidRDefault="00430D8B" w:rsidP="00430D8B">
            <w:pPr>
              <w:rPr>
                <w:lang w:val="fr-FR"/>
              </w:rPr>
            </w:pPr>
            <w:r w:rsidRPr="00802BE1">
              <w:rPr>
                <w:lang w:val="fr-FR"/>
              </w:rPr>
              <w:t>Nombre de pays en voie d</w:t>
            </w:r>
            <w:r w:rsidR="003A7DCA">
              <w:rPr>
                <w:lang w:val="fr-FR"/>
              </w:rPr>
              <w:t>’</w:t>
            </w:r>
            <w:r w:rsidRPr="00802BE1">
              <w:rPr>
                <w:lang w:val="fr-FR"/>
              </w:rPr>
              <w:t>élaboration d</w:t>
            </w:r>
            <w:r w:rsidR="003A7DCA">
              <w:rPr>
                <w:lang w:val="fr-FR"/>
              </w:rPr>
              <w:t>’</w:t>
            </w:r>
            <w:r w:rsidRPr="00802BE1">
              <w:rPr>
                <w:lang w:val="fr-FR"/>
              </w:rPr>
              <w:t>une stratégie nationale en matière de droit d</w:t>
            </w:r>
            <w:r w:rsidR="003A7DCA">
              <w:rPr>
                <w:lang w:val="fr-FR"/>
              </w:rPr>
              <w:t>’</w:t>
            </w:r>
            <w:r w:rsidRPr="00802BE1">
              <w:rPr>
                <w:lang w:val="fr-FR"/>
              </w:rPr>
              <w:t>auteur dans le cadre de leur stratégie nationale de propriété intellectuelle</w:t>
            </w:r>
          </w:p>
        </w:tc>
        <w:tc>
          <w:tcPr>
            <w:tcW w:w="1690" w:type="dxa"/>
          </w:tcPr>
          <w:p w:rsidR="00430D8B" w:rsidRPr="00802BE1" w:rsidRDefault="00430D8B" w:rsidP="00430D8B">
            <w:pPr>
              <w:jc w:val="center"/>
              <w:rPr>
                <w:lang w:val="fr-FR"/>
              </w:rPr>
            </w:pPr>
            <w:r w:rsidRPr="00802BE1">
              <w:rPr>
                <w:lang w:val="fr-FR"/>
              </w:rPr>
              <w:t>Programme 3</w:t>
            </w:r>
          </w:p>
        </w:tc>
      </w:tr>
      <w:tr w:rsidR="00430D8B" w:rsidRPr="00BA5CE5" w:rsidTr="00430D8B">
        <w:tc>
          <w:tcPr>
            <w:tcW w:w="3149" w:type="dxa"/>
            <w:vMerge/>
          </w:tcPr>
          <w:p w:rsidR="00430D8B" w:rsidRDefault="00430D8B" w:rsidP="00430D8B">
            <w:pPr>
              <w:rPr>
                <w:b/>
                <w:lang w:val="en-GB"/>
              </w:rPr>
            </w:pPr>
          </w:p>
        </w:tc>
        <w:tc>
          <w:tcPr>
            <w:tcW w:w="2149" w:type="dxa"/>
            <w:vMerge/>
          </w:tcPr>
          <w:p w:rsidR="00430D8B" w:rsidRPr="00716E97" w:rsidRDefault="00430D8B" w:rsidP="00430D8B"/>
        </w:tc>
        <w:tc>
          <w:tcPr>
            <w:tcW w:w="2358" w:type="dxa"/>
          </w:tcPr>
          <w:p w:rsidR="00430D8B" w:rsidRPr="002F69A8" w:rsidRDefault="00430D8B" w:rsidP="00430D8B">
            <w:pPr>
              <w:rPr>
                <w:lang w:val="fr-FR"/>
              </w:rPr>
            </w:pPr>
            <w:r w:rsidRPr="00802BE1">
              <w:rPr>
                <w:lang w:val="fr-FR"/>
              </w:rPr>
              <w:t>Nombre de pays ayant adopté une stratégie nationale en matière de droit d</w:t>
            </w:r>
            <w:r w:rsidR="003A7DCA">
              <w:rPr>
                <w:lang w:val="fr-FR"/>
              </w:rPr>
              <w:t>’</w:t>
            </w:r>
            <w:r w:rsidRPr="00802BE1">
              <w:rPr>
                <w:lang w:val="fr-FR"/>
              </w:rPr>
              <w:t>auteur dans le cadre de leur stratégie nationale de propriété intellectuelle</w:t>
            </w:r>
            <w:r>
              <w:rPr>
                <w:lang w:val="fr-FR"/>
              </w:rPr>
              <w:t>.</w:t>
            </w:r>
          </w:p>
        </w:tc>
        <w:tc>
          <w:tcPr>
            <w:tcW w:w="1690" w:type="dxa"/>
          </w:tcPr>
          <w:p w:rsidR="00430D8B" w:rsidRPr="00716E97" w:rsidRDefault="00430D8B" w:rsidP="00430D8B">
            <w:pPr>
              <w:jc w:val="center"/>
            </w:pPr>
            <w:r w:rsidRPr="00802BE1">
              <w:rPr>
                <w:lang w:val="fr-FR"/>
              </w:rPr>
              <w:t>Programme 3</w:t>
            </w:r>
          </w:p>
        </w:tc>
      </w:tr>
      <w:tr w:rsidR="00430D8B" w:rsidRPr="00BA5CE5" w:rsidTr="00430D8B">
        <w:tc>
          <w:tcPr>
            <w:tcW w:w="3149" w:type="dxa"/>
            <w:vMerge/>
          </w:tcPr>
          <w:p w:rsidR="00430D8B" w:rsidRDefault="00430D8B" w:rsidP="00430D8B">
            <w:pPr>
              <w:rPr>
                <w:b/>
                <w:lang w:val="en-GB"/>
              </w:rPr>
            </w:pPr>
          </w:p>
        </w:tc>
        <w:tc>
          <w:tcPr>
            <w:tcW w:w="2149" w:type="dxa"/>
            <w:vMerge/>
          </w:tcPr>
          <w:p w:rsidR="00430D8B" w:rsidRPr="00716E97" w:rsidRDefault="00430D8B" w:rsidP="00430D8B"/>
        </w:tc>
        <w:tc>
          <w:tcPr>
            <w:tcW w:w="2358" w:type="dxa"/>
          </w:tcPr>
          <w:p w:rsidR="00430D8B" w:rsidRPr="002F69A8" w:rsidRDefault="00430D8B" w:rsidP="00430D8B">
            <w:pPr>
              <w:rPr>
                <w:lang w:val="fr-FR"/>
              </w:rPr>
            </w:pPr>
            <w:r w:rsidRPr="00802BE1">
              <w:rPr>
                <w:lang w:val="fr-FR"/>
              </w:rPr>
              <w:t>Nombre de pays ayant commencé à formuler des stratégies nationales de propriété intellectuelle</w:t>
            </w:r>
          </w:p>
        </w:tc>
        <w:tc>
          <w:tcPr>
            <w:tcW w:w="1690" w:type="dxa"/>
          </w:tcPr>
          <w:p w:rsidR="00430D8B" w:rsidRPr="00716E97" w:rsidRDefault="00430D8B" w:rsidP="00430D8B">
            <w:pPr>
              <w:jc w:val="center"/>
            </w:pPr>
            <w:r w:rsidRPr="00802BE1">
              <w:rPr>
                <w:lang w:val="fr-FR"/>
              </w:rPr>
              <w:t>Programme 9</w:t>
            </w:r>
          </w:p>
        </w:tc>
      </w:tr>
      <w:tr w:rsidR="00430D8B" w:rsidRPr="00BA5CE5" w:rsidTr="00430D8B">
        <w:tc>
          <w:tcPr>
            <w:tcW w:w="3149" w:type="dxa"/>
            <w:vMerge/>
          </w:tcPr>
          <w:p w:rsidR="00430D8B" w:rsidRDefault="00430D8B" w:rsidP="00430D8B">
            <w:pPr>
              <w:rPr>
                <w:b/>
                <w:lang w:val="en-GB"/>
              </w:rPr>
            </w:pPr>
          </w:p>
        </w:tc>
        <w:tc>
          <w:tcPr>
            <w:tcW w:w="2149" w:type="dxa"/>
            <w:vMerge/>
          </w:tcPr>
          <w:p w:rsidR="00430D8B" w:rsidRPr="00716E97" w:rsidRDefault="00430D8B" w:rsidP="00430D8B"/>
        </w:tc>
        <w:tc>
          <w:tcPr>
            <w:tcW w:w="2358" w:type="dxa"/>
          </w:tcPr>
          <w:p w:rsidR="00430D8B" w:rsidRPr="002F69A8" w:rsidRDefault="00430D8B" w:rsidP="00430D8B">
            <w:pPr>
              <w:rPr>
                <w:lang w:val="fr-FR"/>
              </w:rPr>
            </w:pPr>
            <w:r w:rsidRPr="00802BE1">
              <w:rPr>
                <w:lang w:val="fr-FR"/>
              </w:rPr>
              <w:t>Nombre de pays qui mettent en œuvre actuellement des stratégies en matière de propriété intellectuelle et des plans de développement relatifs à la propriété intellectuelle à l</w:t>
            </w:r>
            <w:r w:rsidR="003A7DCA">
              <w:rPr>
                <w:lang w:val="fr-FR"/>
              </w:rPr>
              <w:t>’</w:t>
            </w:r>
            <w:r w:rsidRPr="00802BE1">
              <w:rPr>
                <w:lang w:val="fr-FR"/>
              </w:rPr>
              <w:t>échelle nationale</w:t>
            </w:r>
          </w:p>
        </w:tc>
        <w:tc>
          <w:tcPr>
            <w:tcW w:w="1690" w:type="dxa"/>
          </w:tcPr>
          <w:p w:rsidR="00430D8B" w:rsidRPr="00716E97" w:rsidRDefault="00430D8B" w:rsidP="00430D8B">
            <w:pPr>
              <w:jc w:val="center"/>
            </w:pPr>
            <w:r w:rsidRPr="00802BE1">
              <w:rPr>
                <w:lang w:val="fr-FR"/>
              </w:rPr>
              <w:t>Programme 9</w:t>
            </w:r>
          </w:p>
        </w:tc>
      </w:tr>
      <w:tr w:rsidR="00430D8B" w:rsidRPr="00BA5CE5" w:rsidTr="00430D8B">
        <w:tc>
          <w:tcPr>
            <w:tcW w:w="3149" w:type="dxa"/>
            <w:vMerge/>
          </w:tcPr>
          <w:p w:rsidR="00430D8B" w:rsidRDefault="00430D8B" w:rsidP="00430D8B">
            <w:pPr>
              <w:rPr>
                <w:b/>
                <w:lang w:val="en-GB"/>
              </w:rPr>
            </w:pPr>
          </w:p>
        </w:tc>
        <w:tc>
          <w:tcPr>
            <w:tcW w:w="2149" w:type="dxa"/>
            <w:vMerge/>
          </w:tcPr>
          <w:p w:rsidR="00430D8B" w:rsidRPr="00716E97" w:rsidRDefault="00430D8B" w:rsidP="00430D8B"/>
        </w:tc>
        <w:tc>
          <w:tcPr>
            <w:tcW w:w="2358" w:type="dxa"/>
          </w:tcPr>
          <w:p w:rsidR="00430D8B" w:rsidRPr="00802BE1" w:rsidRDefault="00430D8B" w:rsidP="00430D8B">
            <w:pPr>
              <w:rPr>
                <w:lang w:val="fr-FR"/>
              </w:rPr>
            </w:pPr>
            <w:r w:rsidRPr="00802BE1">
              <w:rPr>
                <w:lang w:val="fr-FR"/>
              </w:rPr>
              <w:t>Nombre de pays ayant adopté une stratégie nationale en matière de propriété intellectuelle</w:t>
            </w:r>
          </w:p>
        </w:tc>
        <w:tc>
          <w:tcPr>
            <w:tcW w:w="1690" w:type="dxa"/>
          </w:tcPr>
          <w:p w:rsidR="00430D8B" w:rsidRDefault="00430D8B" w:rsidP="00430D8B">
            <w:pPr>
              <w:jc w:val="center"/>
              <w:rPr>
                <w:lang w:val="fr-FR"/>
              </w:rPr>
            </w:pPr>
            <w:r w:rsidRPr="00802BE1">
              <w:rPr>
                <w:lang w:val="fr-FR"/>
              </w:rPr>
              <w:t>Programme 9</w:t>
            </w:r>
          </w:p>
          <w:p w:rsidR="00430D8B" w:rsidRPr="00802BE1" w:rsidRDefault="00430D8B" w:rsidP="00430D8B">
            <w:pPr>
              <w:jc w:val="center"/>
              <w:rPr>
                <w:lang w:val="fr-FR"/>
              </w:rPr>
            </w:pPr>
            <w:r w:rsidRPr="00802BE1">
              <w:rPr>
                <w:lang w:val="fr-FR"/>
              </w:rPr>
              <w:t>Programme 10</w:t>
            </w:r>
          </w:p>
        </w:tc>
      </w:tr>
      <w:tr w:rsidR="00430D8B" w:rsidRPr="00BA5CE5" w:rsidTr="00430D8B">
        <w:tc>
          <w:tcPr>
            <w:tcW w:w="3149" w:type="dxa"/>
            <w:vMerge/>
          </w:tcPr>
          <w:p w:rsidR="00430D8B" w:rsidRDefault="00430D8B" w:rsidP="00430D8B">
            <w:pPr>
              <w:rPr>
                <w:b/>
                <w:lang w:val="en-GB"/>
              </w:rPr>
            </w:pPr>
          </w:p>
        </w:tc>
        <w:tc>
          <w:tcPr>
            <w:tcW w:w="2149" w:type="dxa"/>
            <w:vMerge/>
          </w:tcPr>
          <w:p w:rsidR="00430D8B" w:rsidRPr="00716E97" w:rsidRDefault="00430D8B" w:rsidP="00430D8B"/>
        </w:tc>
        <w:tc>
          <w:tcPr>
            <w:tcW w:w="2358" w:type="dxa"/>
          </w:tcPr>
          <w:p w:rsidR="00430D8B" w:rsidRPr="002F69A8" w:rsidRDefault="00430D8B" w:rsidP="00430D8B">
            <w:pPr>
              <w:rPr>
                <w:lang w:val="fr-FR"/>
              </w:rPr>
            </w:pPr>
            <w:r w:rsidRPr="00802BE1">
              <w:rPr>
                <w:lang w:val="fr-FR"/>
              </w:rPr>
              <w:t>Nombre de pays ayant élaboré des stratégies ou des plans nationaux de propriété intellectuelle conformes aux objectifs nationaux de développement</w:t>
            </w:r>
          </w:p>
        </w:tc>
        <w:tc>
          <w:tcPr>
            <w:tcW w:w="1690" w:type="dxa"/>
          </w:tcPr>
          <w:p w:rsidR="00430D8B" w:rsidRPr="00716E97" w:rsidRDefault="00430D8B" w:rsidP="00430D8B">
            <w:pPr>
              <w:jc w:val="center"/>
            </w:pPr>
            <w:r w:rsidRPr="00802BE1">
              <w:rPr>
                <w:lang w:val="fr-FR"/>
              </w:rPr>
              <w:t>Programme 10</w:t>
            </w:r>
          </w:p>
        </w:tc>
      </w:tr>
      <w:tr w:rsidR="00430D8B" w:rsidRPr="00BA5CE5" w:rsidTr="00430D8B">
        <w:tc>
          <w:tcPr>
            <w:tcW w:w="3149" w:type="dxa"/>
            <w:vMerge/>
          </w:tcPr>
          <w:p w:rsidR="00430D8B" w:rsidRDefault="00430D8B" w:rsidP="00430D8B">
            <w:pPr>
              <w:rPr>
                <w:b/>
                <w:lang w:val="en-GB"/>
              </w:rPr>
            </w:pPr>
          </w:p>
        </w:tc>
        <w:tc>
          <w:tcPr>
            <w:tcW w:w="2149" w:type="dxa"/>
            <w:vMerge/>
            <w:tcBorders>
              <w:bottom w:val="single" w:sz="4" w:space="0" w:color="auto"/>
            </w:tcBorders>
          </w:tcPr>
          <w:p w:rsidR="00430D8B" w:rsidRPr="00716E97" w:rsidRDefault="00430D8B" w:rsidP="00430D8B"/>
        </w:tc>
        <w:tc>
          <w:tcPr>
            <w:tcW w:w="2358" w:type="dxa"/>
            <w:tcBorders>
              <w:bottom w:val="single" w:sz="4" w:space="0" w:color="auto"/>
            </w:tcBorders>
          </w:tcPr>
          <w:p w:rsidR="00430D8B" w:rsidRPr="002F69A8" w:rsidRDefault="00430D8B" w:rsidP="00430D8B">
            <w:pPr>
              <w:rPr>
                <w:lang w:val="fr-FR"/>
              </w:rPr>
            </w:pPr>
            <w:r w:rsidRPr="00802BE1">
              <w:rPr>
                <w:lang w:val="fr-FR"/>
              </w:rPr>
              <w:t>Nombre de pays révisant leurs stratégies de propriété intellectuelle</w:t>
            </w:r>
          </w:p>
        </w:tc>
        <w:tc>
          <w:tcPr>
            <w:tcW w:w="1690" w:type="dxa"/>
            <w:tcBorders>
              <w:bottom w:val="single" w:sz="4" w:space="0" w:color="auto"/>
            </w:tcBorders>
          </w:tcPr>
          <w:p w:rsidR="00430D8B" w:rsidRPr="00716E97" w:rsidRDefault="00430D8B" w:rsidP="00430D8B">
            <w:pPr>
              <w:jc w:val="center"/>
            </w:pPr>
            <w:r w:rsidRPr="00802BE1">
              <w:rPr>
                <w:lang w:val="fr-FR"/>
              </w:rPr>
              <w:t>Programme 9</w:t>
            </w:r>
          </w:p>
        </w:tc>
      </w:tr>
      <w:tr w:rsidR="00430D8B" w:rsidRPr="001D126E" w:rsidTr="00430D8B">
        <w:tc>
          <w:tcPr>
            <w:tcW w:w="3149" w:type="dxa"/>
            <w:vMerge/>
            <w:tcBorders>
              <w:bottom w:val="single" w:sz="4" w:space="0" w:color="auto"/>
            </w:tcBorders>
          </w:tcPr>
          <w:p w:rsidR="00430D8B" w:rsidRDefault="00430D8B" w:rsidP="00430D8B">
            <w:pPr>
              <w:rPr>
                <w:b/>
                <w:lang w:val="en-GB"/>
              </w:rPr>
            </w:pPr>
          </w:p>
        </w:tc>
        <w:tc>
          <w:tcPr>
            <w:tcW w:w="6197" w:type="dxa"/>
            <w:gridSpan w:val="3"/>
            <w:tcBorders>
              <w:bottom w:val="single" w:sz="4" w:space="0" w:color="auto"/>
            </w:tcBorders>
          </w:tcPr>
          <w:p w:rsidR="00430D8B" w:rsidRDefault="00430D8B" w:rsidP="00430D8B">
            <w:pPr>
              <w:rPr>
                <w:lang w:val="fr-FR"/>
              </w:rPr>
            </w:pPr>
            <w:r w:rsidRPr="001D126E">
              <w:rPr>
                <w:lang w:val="fr-FR"/>
              </w:rPr>
              <w:t>Le tableau ci</w:t>
            </w:r>
            <w:r w:rsidR="003A7DCA">
              <w:rPr>
                <w:lang w:val="fr-FR"/>
              </w:rPr>
              <w:t>-</w:t>
            </w:r>
            <w:r w:rsidRPr="001D126E">
              <w:rPr>
                <w:lang w:val="fr-FR"/>
              </w:rPr>
              <w:t>dessus n</w:t>
            </w:r>
            <w:r w:rsidR="003A7DCA">
              <w:rPr>
                <w:lang w:val="fr-FR"/>
              </w:rPr>
              <w:t>’</w:t>
            </w:r>
            <w:r w:rsidRPr="001D126E">
              <w:rPr>
                <w:lang w:val="fr-FR"/>
              </w:rPr>
              <w:t>est ni exhaustif ni inclusif, et ne permet pas non plus de déterminer si les recommandations du Plan d</w:t>
            </w:r>
            <w:r w:rsidR="003A7DCA">
              <w:rPr>
                <w:lang w:val="fr-FR"/>
              </w:rPr>
              <w:t>’</w:t>
            </w:r>
            <w:r w:rsidRPr="001D126E">
              <w:rPr>
                <w:lang w:val="fr-FR"/>
              </w:rPr>
              <w:t xml:space="preserve">action pour le développement ont effectivement une incidence et </w:t>
            </w:r>
            <w:r>
              <w:rPr>
                <w:lang w:val="fr-FR"/>
              </w:rPr>
              <w:t>constituent dès lors un progrès</w:t>
            </w:r>
            <w:r w:rsidRPr="001D126E">
              <w:rPr>
                <w:lang w:val="fr-FR"/>
              </w:rPr>
              <w:t>.</w:t>
            </w:r>
          </w:p>
          <w:p w:rsidR="00430D8B" w:rsidRDefault="00430D8B" w:rsidP="00430D8B">
            <w:pPr>
              <w:rPr>
                <w:lang w:val="fr-FR"/>
              </w:rPr>
            </w:pPr>
          </w:p>
          <w:p w:rsidR="00430D8B" w:rsidRDefault="00430D8B" w:rsidP="00430D8B">
            <w:pPr>
              <w:rPr>
                <w:lang w:val="fr-FR"/>
              </w:rPr>
            </w:pPr>
            <w:r w:rsidRPr="00802BE1">
              <w:rPr>
                <w:lang w:val="fr-FR"/>
              </w:rPr>
              <w:t>La délégation de l</w:t>
            </w:r>
            <w:r w:rsidR="003A7DCA">
              <w:rPr>
                <w:lang w:val="fr-FR"/>
              </w:rPr>
              <w:t>’</w:t>
            </w:r>
            <w:r w:rsidRPr="00802BE1">
              <w:rPr>
                <w:lang w:val="fr-FR"/>
              </w:rPr>
              <w:t>Afrique du Sud demande donc ce qui suit</w:t>
            </w:r>
            <w:r w:rsidR="003A7DCA">
              <w:rPr>
                <w:lang w:val="fr-FR"/>
              </w:rPr>
              <w:t> :</w:t>
            </w:r>
          </w:p>
          <w:p w:rsidR="00430D8B" w:rsidRDefault="00430D8B" w:rsidP="00430D8B">
            <w:pPr>
              <w:rPr>
                <w:lang w:val="fr-FR"/>
              </w:rPr>
            </w:pPr>
          </w:p>
          <w:p w:rsidR="00430D8B" w:rsidRDefault="00430D8B" w:rsidP="00430D8B">
            <w:pPr>
              <w:pStyle w:val="ListParagraph"/>
              <w:keepNext/>
              <w:keepLines/>
              <w:ind w:left="567" w:hanging="567"/>
              <w:rPr>
                <w:lang w:val="fr-FR"/>
              </w:rPr>
            </w:pPr>
            <w:r>
              <w:rPr>
                <w:lang w:val="fr-FR"/>
              </w:rPr>
              <w:t>a)</w:t>
            </w:r>
            <w:r>
              <w:rPr>
                <w:lang w:val="fr-FR"/>
              </w:rPr>
              <w:tab/>
            </w:r>
            <w:r w:rsidR="00FB6857">
              <w:rPr>
                <w:lang w:val="fr-FR"/>
              </w:rPr>
              <w:t>Puisque aucun</w:t>
            </w:r>
            <w:r>
              <w:rPr>
                <w:lang w:val="fr-FR"/>
              </w:rPr>
              <w:t xml:space="preserve"> </w:t>
            </w:r>
            <w:r w:rsidRPr="00802BE1">
              <w:rPr>
                <w:lang w:val="fr-FR"/>
              </w:rPr>
              <w:t xml:space="preserve">lien </w:t>
            </w:r>
            <w:r>
              <w:rPr>
                <w:lang w:val="fr-FR"/>
              </w:rPr>
              <w:t>n</w:t>
            </w:r>
            <w:r w:rsidR="003A7DCA">
              <w:rPr>
                <w:lang w:val="fr-FR"/>
              </w:rPr>
              <w:t>’</w:t>
            </w:r>
            <w:r>
              <w:rPr>
                <w:lang w:val="fr-FR"/>
              </w:rPr>
              <w:t xml:space="preserve">est </w:t>
            </w:r>
            <w:r w:rsidRPr="00802BE1">
              <w:rPr>
                <w:lang w:val="fr-FR"/>
              </w:rPr>
              <w:t>établi entre les 45 recommandations du Plan d</w:t>
            </w:r>
            <w:r w:rsidR="003A7DCA">
              <w:rPr>
                <w:lang w:val="fr-FR"/>
              </w:rPr>
              <w:t>’</w:t>
            </w:r>
            <w:r w:rsidRPr="00802BE1">
              <w:rPr>
                <w:lang w:val="fr-FR"/>
              </w:rPr>
              <w:t xml:space="preserve">action pour le développement et un résultat escompté </w:t>
            </w:r>
            <w:r w:rsidRPr="001D126E">
              <w:rPr>
                <w:lang w:val="fr-FR"/>
              </w:rPr>
              <w:t>(même s</w:t>
            </w:r>
            <w:r w:rsidR="003A7DCA">
              <w:rPr>
                <w:lang w:val="fr-FR"/>
              </w:rPr>
              <w:t>’</w:t>
            </w:r>
            <w:r w:rsidRPr="001D126E">
              <w:rPr>
                <w:lang w:val="fr-FR"/>
              </w:rPr>
              <w:t xml:space="preserve">il </w:t>
            </w:r>
            <w:r>
              <w:rPr>
                <w:lang w:val="fr-FR"/>
              </w:rPr>
              <w:t xml:space="preserve">en </w:t>
            </w:r>
            <w:r w:rsidRPr="001D126E">
              <w:rPr>
                <w:lang w:val="fr-FR"/>
              </w:rPr>
              <w:t xml:space="preserve">sera </w:t>
            </w:r>
            <w:r>
              <w:rPr>
                <w:lang w:val="fr-FR"/>
              </w:rPr>
              <w:t>désormais</w:t>
            </w:r>
            <w:r w:rsidRPr="001D126E">
              <w:rPr>
                <w:lang w:val="fr-FR"/>
              </w:rPr>
              <w:t xml:space="preserve"> </w:t>
            </w:r>
            <w:r>
              <w:rPr>
                <w:lang w:val="fr-FR"/>
              </w:rPr>
              <w:t>“rendu compte”</w:t>
            </w:r>
            <w:r w:rsidRPr="001D126E">
              <w:rPr>
                <w:lang w:val="fr-FR"/>
              </w:rPr>
              <w:t xml:space="preserve"> dans le rapport du DG)</w:t>
            </w:r>
            <w:r w:rsidRPr="002F69A8">
              <w:rPr>
                <w:lang w:val="fr-FR"/>
              </w:rPr>
              <w:t xml:space="preserve"> </w:t>
            </w:r>
            <w:r w:rsidRPr="00802BE1">
              <w:rPr>
                <w:lang w:val="fr-FR"/>
              </w:rPr>
              <w:t xml:space="preserve">et </w:t>
            </w:r>
            <w:r>
              <w:rPr>
                <w:lang w:val="fr-FR"/>
              </w:rPr>
              <w:t>qu</w:t>
            </w:r>
            <w:r w:rsidR="003A7DCA">
              <w:rPr>
                <w:lang w:val="fr-FR"/>
              </w:rPr>
              <w:t>’</w:t>
            </w:r>
            <w:r>
              <w:rPr>
                <w:lang w:val="fr-FR"/>
              </w:rPr>
              <w:t>il n</w:t>
            </w:r>
            <w:r w:rsidR="003A7DCA">
              <w:rPr>
                <w:lang w:val="fr-FR"/>
              </w:rPr>
              <w:t>’</w:t>
            </w:r>
            <w:r>
              <w:rPr>
                <w:lang w:val="fr-FR"/>
              </w:rPr>
              <w:t>existe en outre pas</w:t>
            </w:r>
            <w:r w:rsidRPr="00802BE1">
              <w:rPr>
                <w:lang w:val="fr-FR"/>
              </w:rPr>
              <w:t xml:space="preserve"> d</w:t>
            </w:r>
            <w:r w:rsidR="003A7DCA">
              <w:rPr>
                <w:lang w:val="fr-FR"/>
              </w:rPr>
              <w:t>’</w:t>
            </w:r>
            <w:r w:rsidRPr="00802BE1">
              <w:rPr>
                <w:lang w:val="fr-FR"/>
              </w:rPr>
              <w:t>indicateurs permettant le suivi de la mise en œuvre du Plan d</w:t>
            </w:r>
            <w:r w:rsidR="003A7DCA">
              <w:rPr>
                <w:lang w:val="fr-FR"/>
              </w:rPr>
              <w:t>’</w:t>
            </w:r>
            <w:r w:rsidRPr="00802BE1">
              <w:rPr>
                <w:lang w:val="fr-FR"/>
              </w:rPr>
              <w:t>action pour le développement, il est impossible de déterminer si les indicateurs figurant dans le programme et budget sont pertinents et permettent le suivi de la mise en œuvre des recommandations du Plan d</w:t>
            </w:r>
            <w:r w:rsidR="003A7DCA">
              <w:rPr>
                <w:lang w:val="fr-FR"/>
              </w:rPr>
              <w:t>’</w:t>
            </w:r>
            <w:r w:rsidRPr="00802BE1">
              <w:rPr>
                <w:lang w:val="fr-FR"/>
              </w:rPr>
              <w:t>action pour le développement.</w:t>
            </w:r>
          </w:p>
          <w:p w:rsidR="00430D8B" w:rsidRDefault="00430D8B" w:rsidP="00430D8B">
            <w:pPr>
              <w:pStyle w:val="ListParagraph"/>
              <w:keepNext/>
              <w:keepLines/>
              <w:ind w:left="0"/>
              <w:rPr>
                <w:lang w:val="fr-FR"/>
              </w:rPr>
            </w:pPr>
          </w:p>
          <w:p w:rsidR="003A7DCA" w:rsidRDefault="00430D8B" w:rsidP="00430D8B">
            <w:pPr>
              <w:pStyle w:val="ListParagraph"/>
              <w:ind w:left="567"/>
              <w:rPr>
                <w:lang w:val="fr-FR"/>
              </w:rPr>
            </w:pPr>
            <w:r>
              <w:rPr>
                <w:lang w:val="fr-FR"/>
              </w:rPr>
              <w:t>Onze</w:t>
            </w:r>
            <w:r w:rsidRPr="00802BE1">
              <w:rPr>
                <w:lang w:val="fr-FR"/>
              </w:rPr>
              <w:t xml:space="preserve"> ans après la mise en œuvre du Plan d</w:t>
            </w:r>
            <w:r w:rsidR="003A7DCA">
              <w:rPr>
                <w:lang w:val="fr-FR"/>
              </w:rPr>
              <w:t>’</w:t>
            </w:r>
            <w:r w:rsidRPr="00802BE1">
              <w:rPr>
                <w:lang w:val="fr-FR"/>
              </w:rPr>
              <w:t>action pour le développement, aucun indicateur n</w:t>
            </w:r>
            <w:r w:rsidR="003A7DCA">
              <w:rPr>
                <w:lang w:val="fr-FR"/>
              </w:rPr>
              <w:t>’</w:t>
            </w:r>
            <w:r w:rsidRPr="00802BE1">
              <w:rPr>
                <w:lang w:val="fr-FR"/>
              </w:rPr>
              <w:t xml:space="preserve">a été élaboré. </w:t>
            </w:r>
            <w:r w:rsidR="00FB6857">
              <w:rPr>
                <w:lang w:val="fr-FR"/>
              </w:rPr>
              <w:t xml:space="preserve"> </w:t>
            </w:r>
          </w:p>
          <w:p w:rsidR="00430D8B" w:rsidRDefault="00430D8B" w:rsidP="00430D8B">
            <w:pPr>
              <w:pStyle w:val="ListParagraph"/>
              <w:ind w:left="567"/>
              <w:rPr>
                <w:lang w:val="fr-FR"/>
              </w:rPr>
            </w:pPr>
          </w:p>
          <w:p w:rsidR="00430D8B" w:rsidRPr="001D126E" w:rsidRDefault="00430D8B" w:rsidP="00430D8B">
            <w:pPr>
              <w:pStyle w:val="ListParagraph"/>
              <w:ind w:left="567"/>
              <w:rPr>
                <w:lang w:val="fr-FR"/>
              </w:rPr>
            </w:pPr>
            <w:r w:rsidRPr="003277F5">
              <w:rPr>
                <w:b/>
                <w:lang w:val="fr-FR"/>
              </w:rPr>
              <w:t>DEMANDE</w:t>
            </w:r>
            <w:r w:rsidR="003A7DCA">
              <w:rPr>
                <w:b/>
                <w:lang w:val="fr-FR"/>
              </w:rPr>
              <w:t> :</w:t>
            </w:r>
            <w:r>
              <w:rPr>
                <w:lang w:val="fr-FR"/>
              </w:rPr>
              <w:t xml:space="preserve"> l</w:t>
            </w:r>
            <w:r w:rsidR="003A7DCA">
              <w:rPr>
                <w:lang w:val="fr-FR"/>
              </w:rPr>
              <w:t>’</w:t>
            </w:r>
            <w:r>
              <w:rPr>
                <w:lang w:val="fr-FR"/>
              </w:rPr>
              <w:t>Afrique du Sud demande au Secrétariat d</w:t>
            </w:r>
            <w:r w:rsidR="003A7DCA">
              <w:rPr>
                <w:lang w:val="fr-FR"/>
              </w:rPr>
              <w:t>’</w:t>
            </w:r>
            <w:r>
              <w:rPr>
                <w:lang w:val="fr-FR"/>
              </w:rPr>
              <w:t>élaborer des indicateurs permettant d</w:t>
            </w:r>
            <w:r w:rsidR="003A7DCA">
              <w:rPr>
                <w:lang w:val="fr-FR"/>
              </w:rPr>
              <w:t>’</w:t>
            </w:r>
            <w:r>
              <w:rPr>
                <w:lang w:val="fr-FR"/>
              </w:rPr>
              <w:t>évaluer l</w:t>
            </w:r>
            <w:r w:rsidR="003A7DCA">
              <w:rPr>
                <w:lang w:val="fr-FR"/>
              </w:rPr>
              <w:t>’</w:t>
            </w:r>
            <w:r>
              <w:rPr>
                <w:lang w:val="fr-FR"/>
              </w:rPr>
              <w:t>incidence des recommandations du Plan d</w:t>
            </w:r>
            <w:r w:rsidR="003A7DCA">
              <w:rPr>
                <w:lang w:val="fr-FR"/>
              </w:rPr>
              <w:t>’</w:t>
            </w:r>
            <w:r>
              <w:rPr>
                <w:lang w:val="fr-FR"/>
              </w:rPr>
              <w:t>action pour le développeme</w:t>
            </w:r>
            <w:r w:rsidR="00230E63">
              <w:rPr>
                <w:lang w:val="fr-FR"/>
              </w:rPr>
              <w:t>nt.  Le</w:t>
            </w:r>
            <w:r>
              <w:rPr>
                <w:lang w:val="fr-FR"/>
              </w:rPr>
              <w:t>s projets d</w:t>
            </w:r>
            <w:r w:rsidR="003A7DCA">
              <w:rPr>
                <w:lang w:val="fr-FR"/>
              </w:rPr>
              <w:t>’</w:t>
            </w:r>
            <w:r>
              <w:rPr>
                <w:lang w:val="fr-FR"/>
              </w:rPr>
              <w:t>indicateurs peuvent être élaborés en vue de leur présentation</w:t>
            </w:r>
            <w:r w:rsidR="003A7DCA">
              <w:rPr>
                <w:lang w:val="fr-FR"/>
              </w:rPr>
              <w:t xml:space="preserve"> au </w:t>
            </w:r>
            <w:proofErr w:type="spellStart"/>
            <w:r w:rsidR="003A7DCA">
              <w:rPr>
                <w:lang w:val="fr-FR"/>
              </w:rPr>
              <w:t>CDI</w:t>
            </w:r>
            <w:r>
              <w:rPr>
                <w:lang w:val="fr-FR"/>
              </w:rPr>
              <w:t>P</w:t>
            </w:r>
            <w:proofErr w:type="spellEnd"/>
            <w:r>
              <w:rPr>
                <w:lang w:val="fr-FR"/>
              </w:rPr>
              <w:t xml:space="preserve"> pour examen à sa vingt</w:t>
            </w:r>
            <w:r w:rsidR="003A7DCA">
              <w:rPr>
                <w:lang w:val="fr-FR"/>
              </w:rPr>
              <w:t>-</w:t>
            </w:r>
            <w:r>
              <w:rPr>
                <w:lang w:val="fr-FR"/>
              </w:rPr>
              <w:t>quatr</w:t>
            </w:r>
            <w:r w:rsidR="003A7DCA">
              <w:rPr>
                <w:lang w:val="fr-FR"/>
              </w:rPr>
              <w:t>ième session</w:t>
            </w:r>
            <w:r>
              <w:rPr>
                <w:lang w:val="fr-FR"/>
              </w:rPr>
              <w:t>.</w:t>
            </w:r>
            <w:r w:rsidRPr="001D126E">
              <w:rPr>
                <w:lang w:val="fr-FR"/>
              </w:rPr>
              <w:t xml:space="preserve">  </w:t>
            </w:r>
          </w:p>
        </w:tc>
      </w:tr>
    </w:tbl>
    <w:p w:rsidR="006A47C0" w:rsidRDefault="006A47C0" w:rsidP="00430D8B">
      <w:pPr>
        <w:rPr>
          <w:lang w:val="fr-FR"/>
        </w:rPr>
      </w:pPr>
    </w:p>
    <w:p w:rsidR="00430D8B" w:rsidRDefault="00430D8B" w:rsidP="00430D8B">
      <w:pPr>
        <w:rPr>
          <w:lang w:val="fr-FR"/>
        </w:rPr>
      </w:pPr>
    </w:p>
    <w:p w:rsidR="00430D8B" w:rsidRDefault="00430D8B" w:rsidP="00430D8B">
      <w:pPr>
        <w:rPr>
          <w:lang w:val="fr-FR"/>
        </w:rPr>
      </w:pPr>
    </w:p>
    <w:p w:rsidR="006A47C0" w:rsidRDefault="001D126E" w:rsidP="00430D8B">
      <w:pPr>
        <w:pStyle w:val="Endofdocument-Annex"/>
      </w:pPr>
      <w:r w:rsidRPr="00B56E11">
        <w:t>[</w:t>
      </w:r>
      <w:proofErr w:type="spellStart"/>
      <w:r w:rsidRPr="00B56E11">
        <w:t>L</w:t>
      </w:r>
      <w:r w:rsidR="003A7DCA">
        <w:t>’</w:t>
      </w:r>
      <w:r w:rsidRPr="00B56E11">
        <w:t>annexe</w:t>
      </w:r>
      <w:proofErr w:type="spellEnd"/>
      <w:r w:rsidR="00454CD4">
        <w:t> </w:t>
      </w:r>
      <w:r w:rsidRPr="00B56E11">
        <w:t>II suit]</w:t>
      </w:r>
    </w:p>
    <w:p w:rsidR="00430D8B" w:rsidRDefault="00430D8B" w:rsidP="006A47C0">
      <w:pPr>
        <w:pStyle w:val="Heading1"/>
        <w:rPr>
          <w:szCs w:val="22"/>
          <w:lang w:val="fr-FR"/>
        </w:rPr>
        <w:sectPr w:rsidR="00430D8B" w:rsidSect="00430D8B">
          <w:headerReference w:type="default" r:id="rId10"/>
          <w:headerReference w:type="first" r:id="rId11"/>
          <w:endnotePr>
            <w:numFmt w:val="decimal"/>
          </w:endnotePr>
          <w:pgSz w:w="11907" w:h="16840" w:code="9"/>
          <w:pgMar w:top="567" w:right="1134" w:bottom="1417" w:left="1417" w:header="510" w:footer="1020" w:gutter="0"/>
          <w:pgNumType w:start="1"/>
          <w:cols w:space="720"/>
          <w:titlePg/>
          <w:docGrid w:linePitch="299"/>
        </w:sectPr>
      </w:pPr>
    </w:p>
    <w:p w:rsidR="006A47C0" w:rsidRPr="006A47C0" w:rsidRDefault="00430D8B" w:rsidP="00430D8B">
      <w:pPr>
        <w:pStyle w:val="Heading1"/>
        <w:rPr>
          <w:lang w:val="fr-FR"/>
        </w:rPr>
      </w:pPr>
      <w:r>
        <w:rPr>
          <w:lang w:val="fr-FR"/>
        </w:rPr>
        <w:lastRenderedPageBreak/>
        <w:t>Contribution reçue par le Secrétariat soumise par la délégation de la République de l</w:t>
      </w:r>
      <w:r w:rsidR="003A7DCA">
        <w:rPr>
          <w:lang w:val="fr-FR"/>
        </w:rPr>
        <w:t>’</w:t>
      </w:r>
      <w:r>
        <w:rPr>
          <w:lang w:val="fr-FR"/>
        </w:rPr>
        <w:t>Ouganda</w:t>
      </w:r>
    </w:p>
    <w:p w:rsidR="006A47C0" w:rsidRPr="006A47C0" w:rsidRDefault="006A47C0" w:rsidP="00B56E11">
      <w:pPr>
        <w:rPr>
          <w:lang w:val="fr-FR"/>
        </w:rPr>
      </w:pPr>
    </w:p>
    <w:p w:rsidR="006A47C0" w:rsidRPr="00C175B7" w:rsidRDefault="00C175B7" w:rsidP="00430D8B">
      <w:pPr>
        <w:pStyle w:val="ONUMFS"/>
        <w:numPr>
          <w:ilvl w:val="0"/>
          <w:numId w:val="0"/>
        </w:numPr>
        <w:rPr>
          <w:lang w:val="fr-FR"/>
        </w:rPr>
      </w:pPr>
      <w:r w:rsidRPr="00C175B7">
        <w:rPr>
          <w:lang w:val="fr-FR"/>
        </w:rPr>
        <w:t>À sa vingt</w:t>
      </w:r>
      <w:r w:rsidR="003A7DCA">
        <w:rPr>
          <w:lang w:val="fr-FR"/>
        </w:rPr>
        <w:t>-</w:t>
      </w:r>
      <w:r w:rsidRPr="00C175B7">
        <w:rPr>
          <w:lang w:val="fr-FR"/>
        </w:rPr>
        <w:t>deux</w:t>
      </w:r>
      <w:r w:rsidR="003A7DCA">
        <w:rPr>
          <w:lang w:val="fr-FR"/>
        </w:rPr>
        <w:t>ième session</w:t>
      </w:r>
      <w:r w:rsidRPr="00C175B7">
        <w:rPr>
          <w:lang w:val="fr-FR"/>
        </w:rPr>
        <w:t>, le Comité du développement et de la propriété intellectuelle (</w:t>
      </w:r>
      <w:proofErr w:type="spellStart"/>
      <w:r w:rsidRPr="00C175B7">
        <w:rPr>
          <w:lang w:val="fr-FR"/>
        </w:rPr>
        <w:t>CDIP</w:t>
      </w:r>
      <w:proofErr w:type="spellEnd"/>
      <w:r w:rsidRPr="00C175B7">
        <w:rPr>
          <w:lang w:val="fr-FR"/>
        </w:rPr>
        <w:t>), après examen de l</w:t>
      </w:r>
      <w:r w:rsidR="003A7DCA">
        <w:rPr>
          <w:lang w:val="fr-FR"/>
        </w:rPr>
        <w:t>’</w:t>
      </w:r>
      <w:r w:rsidRPr="00C175B7">
        <w:rPr>
          <w:lang w:val="fr-FR"/>
        </w:rPr>
        <w:t xml:space="preserve">ensemble des contributions reçues des États membres en ce qui concerne les modalités et les stratégies de mise en </w:t>
      </w:r>
      <w:r w:rsidR="006C5767" w:rsidRPr="00C175B7">
        <w:rPr>
          <w:lang w:val="fr-FR"/>
        </w:rPr>
        <w:t>œuvre</w:t>
      </w:r>
      <w:r w:rsidRPr="00C175B7">
        <w:rPr>
          <w:lang w:val="fr-FR"/>
        </w:rPr>
        <w:t xml:space="preserve"> des recommandations de l</w:t>
      </w:r>
      <w:r w:rsidR="003A7DCA">
        <w:rPr>
          <w:lang w:val="fr-FR"/>
        </w:rPr>
        <w:t>’</w:t>
      </w:r>
      <w:r w:rsidRPr="00C175B7">
        <w:rPr>
          <w:lang w:val="fr-FR"/>
        </w:rPr>
        <w:t xml:space="preserve">étude indépendante qui ont été adoptées, objet des </w:t>
      </w:r>
      <w:r w:rsidR="003A7DCA" w:rsidRPr="00C175B7">
        <w:rPr>
          <w:lang w:val="fr-FR"/>
        </w:rPr>
        <w:t>documents</w:t>
      </w:r>
      <w:r w:rsidR="003A7DCA">
        <w:rPr>
          <w:lang w:val="fr-FR"/>
        </w:rPr>
        <w:t xml:space="preserve"> </w:t>
      </w:r>
      <w:proofErr w:type="spellStart"/>
      <w:r w:rsidR="003A7DCA" w:rsidRPr="00C175B7">
        <w:rPr>
          <w:lang w:val="fr-FR"/>
        </w:rPr>
        <w:t>CD</w:t>
      </w:r>
      <w:r w:rsidRPr="00C175B7">
        <w:rPr>
          <w:lang w:val="fr-FR"/>
        </w:rPr>
        <w:t>IP</w:t>
      </w:r>
      <w:proofErr w:type="spellEnd"/>
      <w:r w:rsidRPr="00C175B7">
        <w:rPr>
          <w:lang w:val="fr-FR"/>
        </w:rPr>
        <w:t>/22/4</w:t>
      </w:r>
      <w:r w:rsidR="00FB6857">
        <w:rPr>
          <w:lang w:val="fr-FR"/>
        </w:rPr>
        <w:t> </w:t>
      </w:r>
      <w:proofErr w:type="spellStart"/>
      <w:r w:rsidRPr="00C175B7">
        <w:rPr>
          <w:lang w:val="fr-FR"/>
        </w:rPr>
        <w:t>Rev</w:t>
      </w:r>
      <w:proofErr w:type="spellEnd"/>
      <w:r w:rsidRPr="00C175B7">
        <w:rPr>
          <w:lang w:val="fr-FR"/>
        </w:rPr>
        <w:t xml:space="preserve">. </w:t>
      </w:r>
      <w:proofErr w:type="gramStart"/>
      <w:r w:rsidRPr="00C175B7">
        <w:rPr>
          <w:lang w:val="fr-FR"/>
        </w:rPr>
        <w:t>et</w:t>
      </w:r>
      <w:proofErr w:type="gramEnd"/>
      <w:r w:rsidRPr="00C175B7">
        <w:rPr>
          <w:lang w:val="fr-FR"/>
        </w:rPr>
        <w:t xml:space="preserve"> </w:t>
      </w:r>
      <w:proofErr w:type="spellStart"/>
      <w:r w:rsidRPr="00C175B7">
        <w:rPr>
          <w:lang w:val="fr-FR"/>
        </w:rPr>
        <w:t>CDIP</w:t>
      </w:r>
      <w:proofErr w:type="spellEnd"/>
      <w:r w:rsidRPr="00C175B7">
        <w:rPr>
          <w:lang w:val="fr-FR"/>
        </w:rPr>
        <w:t>/21/11, a décidé ce qui suit</w:t>
      </w:r>
      <w:r w:rsidR="003A7DCA">
        <w:rPr>
          <w:lang w:val="fr-FR"/>
        </w:rPr>
        <w:t> :</w:t>
      </w:r>
    </w:p>
    <w:p w:rsidR="006A47C0" w:rsidRPr="00C175B7" w:rsidRDefault="00C175B7" w:rsidP="00430D8B">
      <w:pPr>
        <w:pStyle w:val="ONUMFS"/>
        <w:numPr>
          <w:ilvl w:val="2"/>
          <w:numId w:val="36"/>
        </w:numPr>
        <w:ind w:hanging="567"/>
        <w:rPr>
          <w:lang w:val="fr-FR"/>
        </w:rPr>
      </w:pPr>
      <w:r w:rsidRPr="00C175B7">
        <w:rPr>
          <w:lang w:val="fr-FR"/>
        </w:rPr>
        <w:t xml:space="preserve">Les États membres intéressés pourraient soumettre des contributions supplémentaires au Secrétariat […]. </w:t>
      </w:r>
      <w:r w:rsidR="00454CD4">
        <w:rPr>
          <w:lang w:val="fr-FR"/>
        </w:rPr>
        <w:t xml:space="preserve"> C</w:t>
      </w:r>
      <w:r w:rsidRPr="00C175B7">
        <w:rPr>
          <w:lang w:val="fr-FR"/>
        </w:rPr>
        <w:t>es contributions, le cas échéant, devront être regroupées dans un document unique pour information de la vi</w:t>
      </w:r>
      <w:r w:rsidR="009301EF">
        <w:rPr>
          <w:lang w:val="fr-FR"/>
        </w:rPr>
        <w:t>ngt</w:t>
      </w:r>
      <w:r w:rsidR="003A7DCA">
        <w:rPr>
          <w:lang w:val="fr-FR"/>
        </w:rPr>
        <w:t>-</w:t>
      </w:r>
      <w:r w:rsidR="009301EF">
        <w:rPr>
          <w:lang w:val="fr-FR"/>
        </w:rPr>
        <w:t>trois</w:t>
      </w:r>
      <w:r w:rsidR="003A7DCA">
        <w:rPr>
          <w:lang w:val="fr-FR"/>
        </w:rPr>
        <w:t>ième session</w:t>
      </w:r>
      <w:r w:rsidR="009301EF">
        <w:rPr>
          <w:lang w:val="fr-FR"/>
        </w:rPr>
        <w:t xml:space="preserve"> du comité</w:t>
      </w:r>
      <w:r w:rsidR="00430D8B">
        <w:rPr>
          <w:lang w:val="fr-FR"/>
        </w:rPr>
        <w:t>;</w:t>
      </w:r>
    </w:p>
    <w:p w:rsidR="006A47C0" w:rsidRPr="00C175B7" w:rsidRDefault="00C175B7" w:rsidP="00430D8B">
      <w:pPr>
        <w:pStyle w:val="ONUMFS"/>
        <w:numPr>
          <w:ilvl w:val="0"/>
          <w:numId w:val="0"/>
        </w:numPr>
        <w:rPr>
          <w:lang w:val="fr-FR"/>
        </w:rPr>
      </w:pPr>
      <w:r w:rsidRPr="00C175B7">
        <w:rPr>
          <w:lang w:val="fr-FR"/>
        </w:rPr>
        <w:t>La République de l</w:t>
      </w:r>
      <w:r w:rsidR="003A7DCA">
        <w:rPr>
          <w:lang w:val="fr-FR"/>
        </w:rPr>
        <w:t>’</w:t>
      </w:r>
      <w:r w:rsidRPr="00C175B7">
        <w:rPr>
          <w:lang w:val="fr-FR"/>
        </w:rPr>
        <w:t xml:space="preserve">Ouganda a le plaisir de présenter les contributions </w:t>
      </w:r>
      <w:r w:rsidR="009301EF">
        <w:rPr>
          <w:lang w:val="fr-FR"/>
        </w:rPr>
        <w:t>ci</w:t>
      </w:r>
      <w:r w:rsidR="003A7DCA">
        <w:rPr>
          <w:lang w:val="fr-FR"/>
        </w:rPr>
        <w:t>-</w:t>
      </w:r>
      <w:r w:rsidR="009301EF">
        <w:rPr>
          <w:lang w:val="fr-FR"/>
        </w:rPr>
        <w:t>après</w:t>
      </w:r>
      <w:r w:rsidRPr="00C175B7">
        <w:rPr>
          <w:lang w:val="fr-FR"/>
        </w:rPr>
        <w:t>.</w:t>
      </w:r>
    </w:p>
    <w:tbl>
      <w:tblPr>
        <w:tblStyle w:val="TableGrid"/>
        <w:tblW w:w="5000" w:type="pct"/>
        <w:tblCellMar>
          <w:top w:w="28" w:type="dxa"/>
          <w:bottom w:w="28" w:type="dxa"/>
        </w:tblCellMar>
        <w:tblLook w:val="04A0" w:firstRow="1" w:lastRow="0" w:firstColumn="1" w:lastColumn="0" w:noHBand="0" w:noVBand="1"/>
      </w:tblPr>
      <w:tblGrid>
        <w:gridCol w:w="3208"/>
        <w:gridCol w:w="6138"/>
      </w:tblGrid>
      <w:tr w:rsidR="00802BE1" w:rsidRPr="00802BE1" w:rsidTr="00430D8B">
        <w:tc>
          <w:tcPr>
            <w:tcW w:w="3114" w:type="dxa"/>
          </w:tcPr>
          <w:p w:rsidR="00DE158F" w:rsidRPr="00802BE1" w:rsidRDefault="00B56E11" w:rsidP="00430D8B">
            <w:pPr>
              <w:rPr>
                <w:b/>
                <w:lang w:val="fr-FR"/>
              </w:rPr>
            </w:pPr>
            <w:r w:rsidRPr="00802BE1">
              <w:rPr>
                <w:b/>
                <w:lang w:val="fr-FR"/>
              </w:rPr>
              <w:t>Recommandations</w:t>
            </w:r>
            <w:r>
              <w:rPr>
                <w:b/>
                <w:lang w:val="fr-FR"/>
              </w:rPr>
              <w:t xml:space="preserve"> issues de l</w:t>
            </w:r>
            <w:r w:rsidR="003A7DCA">
              <w:rPr>
                <w:b/>
                <w:lang w:val="fr-FR"/>
              </w:rPr>
              <w:t>’</w:t>
            </w:r>
            <w:r>
              <w:rPr>
                <w:b/>
                <w:lang w:val="fr-FR"/>
              </w:rPr>
              <w:t>étude indépendante</w:t>
            </w:r>
          </w:p>
        </w:tc>
        <w:tc>
          <w:tcPr>
            <w:tcW w:w="5957" w:type="dxa"/>
          </w:tcPr>
          <w:p w:rsidR="00DE158F" w:rsidRPr="00802BE1" w:rsidRDefault="00C175B7" w:rsidP="00430D8B">
            <w:pPr>
              <w:rPr>
                <w:b/>
                <w:lang w:val="fr-FR"/>
              </w:rPr>
            </w:pPr>
            <w:r>
              <w:rPr>
                <w:b/>
                <w:lang w:val="fr-FR"/>
              </w:rPr>
              <w:t>Modalités de mise en œuvre proposées</w:t>
            </w:r>
          </w:p>
        </w:tc>
      </w:tr>
      <w:tr w:rsidR="00802BE1" w:rsidRPr="002F537A" w:rsidTr="00430D8B">
        <w:tc>
          <w:tcPr>
            <w:tcW w:w="3114" w:type="dxa"/>
          </w:tcPr>
          <w:p w:rsidR="006A47C0" w:rsidRDefault="009301EF" w:rsidP="00430D8B">
            <w:pPr>
              <w:rPr>
                <w:lang w:val="fr-FR"/>
              </w:rPr>
            </w:pPr>
            <w:r w:rsidRPr="00802BE1">
              <w:rPr>
                <w:b/>
                <w:lang w:val="fr-FR"/>
              </w:rPr>
              <w:t xml:space="preserve">Recommandation </w:t>
            </w:r>
            <w:r w:rsidR="001A7960" w:rsidRPr="00802BE1">
              <w:rPr>
                <w:b/>
                <w:lang w:val="fr-FR"/>
              </w:rPr>
              <w:t>n°</w:t>
            </w:r>
            <w:r w:rsidR="00D4347A" w:rsidRPr="00802BE1">
              <w:rPr>
                <w:b/>
                <w:lang w:val="fr-FR"/>
              </w:rPr>
              <w:t> </w:t>
            </w:r>
            <w:r w:rsidR="001A7960" w:rsidRPr="00802BE1">
              <w:rPr>
                <w:b/>
                <w:lang w:val="fr-FR"/>
              </w:rPr>
              <w:t>1</w:t>
            </w:r>
            <w:r w:rsidR="002A572A">
              <w:rPr>
                <w:b/>
                <w:lang w:val="fr-FR"/>
              </w:rPr>
              <w:t> :</w:t>
            </w:r>
            <w:bookmarkStart w:id="5" w:name="_GoBack"/>
            <w:bookmarkEnd w:id="5"/>
          </w:p>
          <w:p w:rsidR="00DE158F" w:rsidRPr="00802BE1" w:rsidRDefault="002F0494" w:rsidP="00430D8B">
            <w:pPr>
              <w:rPr>
                <w:lang w:val="fr-FR"/>
              </w:rPr>
            </w:pPr>
            <w:r w:rsidRPr="00802BE1">
              <w:t>Les progrès réalisés au sein</w:t>
            </w:r>
            <w:r w:rsidR="00D03B29" w:rsidRPr="00802BE1">
              <w:t xml:space="preserve"> du </w:t>
            </w:r>
            <w:proofErr w:type="spellStart"/>
            <w:r w:rsidR="00D03B29" w:rsidRPr="00802BE1">
              <w:t>CDI</w:t>
            </w:r>
            <w:r w:rsidRPr="00802BE1">
              <w:t>P</w:t>
            </w:r>
            <w:proofErr w:type="spellEnd"/>
            <w:r w:rsidRPr="00802BE1">
              <w:t xml:space="preserve"> doivent être consolidés moyennant l</w:t>
            </w:r>
            <w:r w:rsidR="003A7DCA">
              <w:t>’</w:t>
            </w:r>
            <w:r w:rsidRPr="00802BE1">
              <w:t>instauration d</w:t>
            </w:r>
            <w:r w:rsidR="003A7DCA">
              <w:t>’</w:t>
            </w:r>
            <w:r w:rsidRPr="00802BE1">
              <w:t>un débat plus large visant à répondre aux besoins nouveaux et à passer en revue les travaux de l</w:t>
            </w:r>
            <w:r w:rsidR="003A7DCA">
              <w:t>’</w:t>
            </w:r>
            <w:r w:rsidRPr="00802BE1">
              <w:t>Organisation sur les questions émergentes relatives aux droits de propriété intellectuel</w:t>
            </w:r>
            <w:r w:rsidR="00230E63" w:rsidRPr="00802BE1">
              <w:t>le</w:t>
            </w:r>
            <w:r w:rsidR="00230E63">
              <w:t xml:space="preserve">.  </w:t>
            </w:r>
            <w:r w:rsidR="00230E63" w:rsidRPr="00802BE1">
              <w:t>Le</w:t>
            </w:r>
            <w:r w:rsidRPr="00802BE1">
              <w:t xml:space="preserve"> comité devrait également faciliter l</w:t>
            </w:r>
            <w:r w:rsidR="003A7DCA">
              <w:t>’</w:t>
            </w:r>
            <w:r w:rsidRPr="00802BE1">
              <w:t>échange de stratégies et de pratiques recommandées par les États membres à partir de leur expérience du traitement de la propriété intellectuelle et des préoccupations en matière de développement.</w:t>
            </w:r>
          </w:p>
        </w:tc>
        <w:tc>
          <w:tcPr>
            <w:tcW w:w="5957" w:type="dxa"/>
          </w:tcPr>
          <w:p w:rsidR="006A47C0" w:rsidRPr="00CD6AD9" w:rsidRDefault="00CD6AD9" w:rsidP="00430D8B">
            <w:pPr>
              <w:pStyle w:val="ListParagraph"/>
              <w:numPr>
                <w:ilvl w:val="0"/>
                <w:numId w:val="27"/>
              </w:numPr>
              <w:ind w:left="567" w:hanging="567"/>
              <w:rPr>
                <w:rFonts w:eastAsia="Times New Roman"/>
                <w:lang w:val="fr-FR" w:eastAsia="en-US"/>
              </w:rPr>
            </w:pPr>
            <w:r>
              <w:rPr>
                <w:rFonts w:eastAsia="Times New Roman"/>
                <w:color w:val="000000"/>
                <w:lang w:val="fr-FR" w:eastAsia="en-US"/>
              </w:rPr>
              <w:t>Pour qu</w:t>
            </w:r>
            <w:r w:rsidR="003A7DCA">
              <w:rPr>
                <w:rFonts w:eastAsia="Times New Roman"/>
                <w:color w:val="000000"/>
                <w:lang w:val="fr-FR" w:eastAsia="en-US"/>
              </w:rPr>
              <w:t>’</w:t>
            </w:r>
            <w:r>
              <w:rPr>
                <w:rFonts w:eastAsia="Times New Roman"/>
                <w:color w:val="000000"/>
                <w:lang w:val="fr-FR" w:eastAsia="en-US"/>
              </w:rPr>
              <w:t>un débat plus large puisse être fructueux,</w:t>
            </w:r>
            <w:r w:rsidR="003A7DCA">
              <w:rPr>
                <w:rFonts w:eastAsia="Times New Roman"/>
                <w:color w:val="000000"/>
                <w:lang w:val="fr-FR" w:eastAsia="en-US"/>
              </w:rPr>
              <w:t xml:space="preserve"> le </w:t>
            </w:r>
            <w:proofErr w:type="spellStart"/>
            <w:r w:rsidR="003A7DCA">
              <w:rPr>
                <w:rFonts w:eastAsia="Times New Roman"/>
                <w:color w:val="000000"/>
                <w:lang w:val="fr-FR" w:eastAsia="en-US"/>
              </w:rPr>
              <w:t>CDI</w:t>
            </w:r>
            <w:r>
              <w:rPr>
                <w:rFonts w:eastAsia="Times New Roman"/>
                <w:color w:val="000000"/>
                <w:lang w:val="fr-FR" w:eastAsia="en-US"/>
              </w:rPr>
              <w:t>P</w:t>
            </w:r>
            <w:proofErr w:type="spellEnd"/>
            <w:r>
              <w:rPr>
                <w:rFonts w:eastAsia="Times New Roman"/>
                <w:color w:val="000000"/>
                <w:lang w:val="fr-FR" w:eastAsia="en-US"/>
              </w:rPr>
              <w:t xml:space="preserve"> aura non seulement besoin des contributions des délégués nationaux à l</w:t>
            </w:r>
            <w:r w:rsidR="003A7DCA">
              <w:rPr>
                <w:rFonts w:eastAsia="Times New Roman"/>
                <w:color w:val="000000"/>
                <w:lang w:val="fr-FR" w:eastAsia="en-US"/>
              </w:rPr>
              <w:t>’</w:t>
            </w:r>
            <w:r>
              <w:rPr>
                <w:rFonts w:eastAsia="Times New Roman"/>
                <w:color w:val="000000"/>
                <w:lang w:val="fr-FR" w:eastAsia="en-US"/>
              </w:rPr>
              <w:t>OMPI ou</w:t>
            </w:r>
            <w:r w:rsidR="00004EFF">
              <w:rPr>
                <w:rFonts w:eastAsia="Times New Roman"/>
                <w:color w:val="000000"/>
                <w:lang w:val="fr-FR" w:eastAsia="en-US"/>
              </w:rPr>
              <w:t xml:space="preserve"> du Secrétariat, mais aussi d</w:t>
            </w:r>
            <w:r w:rsidR="003A7DCA">
              <w:rPr>
                <w:rFonts w:eastAsia="Times New Roman"/>
                <w:color w:val="000000"/>
                <w:lang w:val="fr-FR" w:eastAsia="en-US"/>
              </w:rPr>
              <w:t>’</w:t>
            </w:r>
            <w:r>
              <w:rPr>
                <w:rFonts w:eastAsia="Times New Roman"/>
                <w:color w:val="000000"/>
                <w:lang w:val="fr-FR" w:eastAsia="en-US"/>
              </w:rPr>
              <w:t>universitaires, de la société civile et d</w:t>
            </w:r>
            <w:r w:rsidR="003A7DCA">
              <w:rPr>
                <w:rFonts w:eastAsia="Times New Roman"/>
                <w:color w:val="000000"/>
                <w:lang w:val="fr-FR" w:eastAsia="en-US"/>
              </w:rPr>
              <w:t>’</w:t>
            </w:r>
            <w:r>
              <w:rPr>
                <w:rFonts w:eastAsia="Times New Roman"/>
                <w:color w:val="000000"/>
                <w:lang w:val="fr-FR" w:eastAsia="en-US"/>
              </w:rPr>
              <w:t>autres institutions et organes spécialisés</w:t>
            </w:r>
            <w:r w:rsidR="00004EFF">
              <w:rPr>
                <w:rFonts w:eastAsia="Times New Roman"/>
                <w:color w:val="000000"/>
                <w:lang w:val="fr-FR" w:eastAsia="en-US"/>
              </w:rPr>
              <w:t xml:space="preserve"> des </w:t>
            </w:r>
            <w:r w:rsidR="003A7DCA">
              <w:rPr>
                <w:rFonts w:eastAsia="Times New Roman"/>
                <w:color w:val="000000"/>
                <w:lang w:val="fr-FR" w:eastAsia="en-US"/>
              </w:rPr>
              <w:t>Nations Unies</w:t>
            </w:r>
            <w:r w:rsidR="00004EFF">
              <w:rPr>
                <w:rFonts w:eastAsia="Times New Roman"/>
                <w:color w:val="000000"/>
                <w:lang w:val="fr-FR" w:eastAsia="en-US"/>
              </w:rPr>
              <w:t>,</w:t>
            </w:r>
            <w:r>
              <w:rPr>
                <w:rFonts w:eastAsia="Times New Roman"/>
                <w:color w:val="000000"/>
                <w:lang w:val="fr-FR" w:eastAsia="en-US"/>
              </w:rPr>
              <w:t xml:space="preserve"> tels que le Groupe de haut niveau sur l</w:t>
            </w:r>
            <w:r w:rsidR="003A7DCA">
              <w:rPr>
                <w:rFonts w:eastAsia="Times New Roman"/>
                <w:color w:val="000000"/>
                <w:lang w:val="fr-FR" w:eastAsia="en-US"/>
              </w:rPr>
              <w:t>’</w:t>
            </w:r>
            <w:r>
              <w:rPr>
                <w:rFonts w:eastAsia="Times New Roman"/>
                <w:color w:val="000000"/>
                <w:lang w:val="fr-FR" w:eastAsia="en-US"/>
              </w:rPr>
              <w:t>accès aux médicaments du Secré</w:t>
            </w:r>
            <w:r w:rsidR="00004EFF">
              <w:rPr>
                <w:rFonts w:eastAsia="Times New Roman"/>
                <w:color w:val="000000"/>
                <w:lang w:val="fr-FR" w:eastAsia="en-US"/>
              </w:rPr>
              <w:t xml:space="preserve">taire général des </w:t>
            </w:r>
            <w:r w:rsidR="003A7DCA">
              <w:rPr>
                <w:rFonts w:eastAsia="Times New Roman"/>
                <w:color w:val="000000"/>
                <w:lang w:val="fr-FR" w:eastAsia="en-US"/>
              </w:rPr>
              <w:t>Nations Unies</w:t>
            </w:r>
            <w:r>
              <w:rPr>
                <w:rFonts w:eastAsia="Times New Roman"/>
                <w:color w:val="000000"/>
                <w:lang w:val="fr-FR" w:eastAsia="en-US"/>
              </w:rPr>
              <w:t xml:space="preserve">, le Secrétariat de la Convention sur la diversité biologique </w:t>
            </w:r>
            <w:r w:rsidRPr="00CD6AD9">
              <w:rPr>
                <w:rFonts w:eastAsia="Times New Roman"/>
                <w:color w:val="000000"/>
                <w:lang w:val="fr-FR" w:eastAsia="en-US"/>
              </w:rPr>
              <w:t>et</w:t>
            </w:r>
            <w:r w:rsidR="003A7DCA" w:rsidRPr="00CD6AD9">
              <w:rPr>
                <w:rFonts w:eastAsia="Times New Roman"/>
                <w:color w:val="000000"/>
                <w:lang w:val="fr-FR" w:eastAsia="en-US"/>
              </w:rPr>
              <w:t xml:space="preserve"> la</w:t>
            </w:r>
            <w:r w:rsidR="003A7DCA">
              <w:rPr>
                <w:rFonts w:eastAsia="Times New Roman"/>
                <w:color w:val="000000"/>
                <w:lang w:val="fr-FR" w:eastAsia="en-US"/>
              </w:rPr>
              <w:t> </w:t>
            </w:r>
            <w:r w:rsidR="003A7DCA" w:rsidRPr="00CD6AD9">
              <w:rPr>
                <w:rFonts w:eastAsia="Times New Roman"/>
                <w:color w:val="000000"/>
                <w:lang w:val="fr-FR" w:eastAsia="en-US"/>
              </w:rPr>
              <w:t>FAO</w:t>
            </w:r>
            <w:r w:rsidRPr="00CD6AD9">
              <w:rPr>
                <w:rFonts w:eastAsia="Times New Roman"/>
                <w:color w:val="000000"/>
                <w:lang w:val="fr-FR" w:eastAsia="en-US"/>
              </w:rPr>
              <w:t>.</w:t>
            </w:r>
          </w:p>
          <w:p w:rsidR="006A47C0" w:rsidRPr="00CD6AD9" w:rsidRDefault="006A47C0" w:rsidP="00430D8B">
            <w:pPr>
              <w:ind w:left="567" w:hanging="567"/>
              <w:rPr>
                <w:rFonts w:eastAsia="Times New Roman"/>
                <w:lang w:val="fr-FR" w:eastAsia="en-US"/>
              </w:rPr>
            </w:pPr>
          </w:p>
          <w:p w:rsidR="00DE158F" w:rsidRPr="002F537A" w:rsidRDefault="00004EFF" w:rsidP="00430D8B">
            <w:pPr>
              <w:pStyle w:val="ListParagraph"/>
              <w:numPr>
                <w:ilvl w:val="0"/>
                <w:numId w:val="27"/>
              </w:numPr>
              <w:ind w:left="567" w:hanging="567"/>
              <w:rPr>
                <w:lang w:val="fr-FR"/>
              </w:rPr>
            </w:pPr>
            <w:r>
              <w:rPr>
                <w:rFonts w:eastAsia="Times New Roman"/>
                <w:lang w:val="fr-FR" w:eastAsia="en-US"/>
              </w:rPr>
              <w:t>L</w:t>
            </w:r>
            <w:r w:rsidR="003A7DCA">
              <w:rPr>
                <w:rFonts w:eastAsia="Times New Roman"/>
                <w:lang w:val="fr-FR" w:eastAsia="en-US"/>
              </w:rPr>
              <w:t>’</w:t>
            </w:r>
            <w:r>
              <w:rPr>
                <w:rFonts w:eastAsia="Times New Roman"/>
                <w:lang w:val="fr-FR" w:eastAsia="en-US"/>
              </w:rPr>
              <w:t>implication</w:t>
            </w:r>
            <w:r w:rsidR="002F537A" w:rsidRPr="002F537A">
              <w:rPr>
                <w:rFonts w:eastAsia="Times New Roman"/>
                <w:lang w:val="fr-FR" w:eastAsia="en-US"/>
              </w:rPr>
              <w:t xml:space="preserve"> d</w:t>
            </w:r>
            <w:r w:rsidR="003A7DCA">
              <w:rPr>
                <w:rFonts w:eastAsia="Times New Roman"/>
                <w:lang w:val="fr-FR" w:eastAsia="en-US"/>
              </w:rPr>
              <w:t>’</w:t>
            </w:r>
            <w:r w:rsidR="002F537A" w:rsidRPr="002F537A">
              <w:rPr>
                <w:rFonts w:eastAsia="Times New Roman"/>
                <w:lang w:val="fr-FR" w:eastAsia="en-US"/>
              </w:rPr>
              <w:t xml:space="preserve">autres institutions des </w:t>
            </w:r>
            <w:r w:rsidR="003A7DCA">
              <w:rPr>
                <w:rFonts w:eastAsia="Times New Roman"/>
                <w:lang w:val="fr-FR" w:eastAsia="en-US"/>
              </w:rPr>
              <w:t>Nations Unies</w:t>
            </w:r>
            <w:r w:rsidR="002F537A" w:rsidRPr="002F537A">
              <w:rPr>
                <w:rFonts w:eastAsia="Times New Roman"/>
                <w:lang w:val="fr-FR" w:eastAsia="en-US"/>
              </w:rPr>
              <w:t xml:space="preserve"> aux plus hauts niveaux pourrait être le moyen </w:t>
            </w:r>
            <w:r>
              <w:rPr>
                <w:rFonts w:eastAsia="Times New Roman"/>
                <w:lang w:val="fr-FR" w:eastAsia="en-US"/>
              </w:rPr>
              <w:t>d</w:t>
            </w:r>
            <w:r w:rsidR="003A7DCA">
              <w:rPr>
                <w:rFonts w:eastAsia="Times New Roman"/>
                <w:lang w:val="fr-FR" w:eastAsia="en-US"/>
              </w:rPr>
              <w:t>’</w:t>
            </w:r>
            <w:r>
              <w:rPr>
                <w:rFonts w:eastAsia="Times New Roman"/>
                <w:lang w:val="fr-FR" w:eastAsia="en-US"/>
              </w:rPr>
              <w:t>ancrer plus solidement le concept</w:t>
            </w:r>
            <w:r w:rsidR="002F537A" w:rsidRPr="002F537A">
              <w:rPr>
                <w:rFonts w:eastAsia="Times New Roman"/>
                <w:lang w:val="fr-FR" w:eastAsia="en-US"/>
              </w:rPr>
              <w:t xml:space="preserve"> de développement dans le discours mondial sur la propriété intellectuelle à l</w:t>
            </w:r>
            <w:r w:rsidR="003A7DCA">
              <w:rPr>
                <w:rFonts w:eastAsia="Times New Roman"/>
                <w:lang w:val="fr-FR" w:eastAsia="en-US"/>
              </w:rPr>
              <w:t>’</w:t>
            </w:r>
            <w:r w:rsidR="002F537A" w:rsidRPr="002F537A">
              <w:rPr>
                <w:rFonts w:eastAsia="Times New Roman"/>
                <w:lang w:val="fr-FR" w:eastAsia="en-US"/>
              </w:rPr>
              <w:t xml:space="preserve">OMPI et </w:t>
            </w:r>
            <w:r>
              <w:rPr>
                <w:rFonts w:eastAsia="Times New Roman"/>
                <w:lang w:val="fr-FR" w:eastAsia="en-US"/>
              </w:rPr>
              <w:t>ailleu</w:t>
            </w:r>
            <w:r w:rsidR="00230E63">
              <w:rPr>
                <w:rFonts w:eastAsia="Times New Roman"/>
                <w:lang w:val="fr-FR" w:eastAsia="en-US"/>
              </w:rPr>
              <w:t xml:space="preserve">rs.  </w:t>
            </w:r>
            <w:r w:rsidR="00230E63" w:rsidRPr="002F537A">
              <w:rPr>
                <w:rFonts w:eastAsia="Times New Roman"/>
                <w:lang w:val="fr-FR" w:eastAsia="en-US"/>
              </w:rPr>
              <w:t>Ce</w:t>
            </w:r>
            <w:r w:rsidR="002F537A" w:rsidRPr="002F537A">
              <w:rPr>
                <w:rFonts w:eastAsia="Times New Roman"/>
                <w:lang w:val="fr-FR" w:eastAsia="en-US"/>
              </w:rPr>
              <w:t>s interactions permettraient à l</w:t>
            </w:r>
            <w:r w:rsidR="003A7DCA">
              <w:rPr>
                <w:rFonts w:eastAsia="Times New Roman"/>
                <w:lang w:val="fr-FR" w:eastAsia="en-US"/>
              </w:rPr>
              <w:t>’</w:t>
            </w:r>
            <w:r w:rsidR="002F537A" w:rsidRPr="002F537A">
              <w:rPr>
                <w:rFonts w:eastAsia="Times New Roman"/>
                <w:lang w:val="fr-FR" w:eastAsia="en-US"/>
              </w:rPr>
              <w:t>OMPI d</w:t>
            </w:r>
            <w:r w:rsidR="003A7DCA">
              <w:rPr>
                <w:rFonts w:eastAsia="Times New Roman"/>
                <w:lang w:val="fr-FR" w:eastAsia="en-US"/>
              </w:rPr>
              <w:t>’</w:t>
            </w:r>
            <w:r w:rsidR="002F537A" w:rsidRPr="002F537A">
              <w:rPr>
                <w:rFonts w:eastAsia="Times New Roman"/>
                <w:lang w:val="fr-FR" w:eastAsia="en-US"/>
              </w:rPr>
              <w:t xml:space="preserve">agir </w:t>
            </w:r>
            <w:r>
              <w:rPr>
                <w:rFonts w:eastAsia="Times New Roman"/>
                <w:lang w:val="fr-FR" w:eastAsia="en-US"/>
              </w:rPr>
              <w:t>plus systématiquement</w:t>
            </w:r>
            <w:r w:rsidR="002F537A" w:rsidRPr="002F537A">
              <w:rPr>
                <w:rFonts w:eastAsia="Times New Roman"/>
                <w:lang w:val="fr-FR" w:eastAsia="en-US"/>
              </w:rPr>
              <w:t xml:space="preserve"> </w:t>
            </w:r>
            <w:r>
              <w:rPr>
                <w:rFonts w:eastAsia="Times New Roman"/>
                <w:lang w:val="fr-FR" w:eastAsia="en-US"/>
              </w:rPr>
              <w:t>en conformité avec les</w:t>
            </w:r>
            <w:r w:rsidR="002F537A" w:rsidRPr="002F537A">
              <w:rPr>
                <w:rFonts w:eastAsia="Times New Roman"/>
                <w:lang w:val="fr-FR" w:eastAsia="en-US"/>
              </w:rPr>
              <w:t xml:space="preserve"> normes de développement qui sous</w:t>
            </w:r>
            <w:r w:rsidR="003A7DCA">
              <w:rPr>
                <w:rFonts w:eastAsia="Times New Roman"/>
                <w:lang w:val="fr-FR" w:eastAsia="en-US"/>
              </w:rPr>
              <w:t>-</w:t>
            </w:r>
            <w:r w:rsidR="002F537A" w:rsidRPr="002F537A">
              <w:rPr>
                <w:rFonts w:eastAsia="Times New Roman"/>
                <w:lang w:val="fr-FR" w:eastAsia="en-US"/>
              </w:rPr>
              <w:t>tendent l</w:t>
            </w:r>
            <w:r w:rsidR="003A7DCA">
              <w:rPr>
                <w:rFonts w:eastAsia="Times New Roman"/>
                <w:lang w:val="fr-FR" w:eastAsia="en-US"/>
              </w:rPr>
              <w:t>’</w:t>
            </w:r>
            <w:r w:rsidR="002F537A" w:rsidRPr="002F537A">
              <w:rPr>
                <w:rFonts w:eastAsia="Times New Roman"/>
                <w:lang w:val="fr-FR" w:eastAsia="en-US"/>
              </w:rPr>
              <w:t>action de l</w:t>
            </w:r>
            <w:r w:rsidR="003A7DCA">
              <w:rPr>
                <w:rFonts w:eastAsia="Times New Roman"/>
                <w:lang w:val="fr-FR" w:eastAsia="en-US"/>
              </w:rPr>
              <w:t>’</w:t>
            </w:r>
            <w:r w:rsidR="002F537A" w:rsidRPr="002F537A">
              <w:rPr>
                <w:rFonts w:eastAsia="Times New Roman"/>
                <w:lang w:val="fr-FR" w:eastAsia="en-US"/>
              </w:rPr>
              <w:t>ONU en général.</w:t>
            </w:r>
          </w:p>
        </w:tc>
      </w:tr>
      <w:tr w:rsidR="008B364C" w:rsidRPr="002F537A" w:rsidTr="00430D8B">
        <w:tc>
          <w:tcPr>
            <w:tcW w:w="3114" w:type="dxa"/>
          </w:tcPr>
          <w:p w:rsidR="003A7DCA" w:rsidRDefault="009301EF" w:rsidP="00430D8B">
            <w:pPr>
              <w:rPr>
                <w:b/>
                <w:lang w:val="fr-FR"/>
              </w:rPr>
            </w:pPr>
            <w:r w:rsidRPr="00802BE1">
              <w:rPr>
                <w:b/>
                <w:lang w:val="fr-FR"/>
              </w:rPr>
              <w:t xml:space="preserve">Recommandation </w:t>
            </w:r>
            <w:r w:rsidR="008B364C" w:rsidRPr="00802BE1">
              <w:rPr>
                <w:b/>
                <w:lang w:val="fr-FR"/>
              </w:rPr>
              <w:t>n° 2</w:t>
            </w:r>
            <w:r w:rsidR="003A7DCA">
              <w:rPr>
                <w:b/>
                <w:lang w:val="fr-FR"/>
              </w:rPr>
              <w:t> :</w:t>
            </w:r>
          </w:p>
          <w:p w:rsidR="008B364C" w:rsidRPr="00802BE1" w:rsidRDefault="008B364C" w:rsidP="00430D8B">
            <w:pPr>
              <w:rPr>
                <w:lang w:val="fr-FR"/>
              </w:rPr>
            </w:pPr>
            <w:r w:rsidRPr="00802BE1">
              <w:t>Les États membres devraient prendre des mesures pour résoudre les questions en suspens relatives au mandat du comité et à l</w:t>
            </w:r>
            <w:r w:rsidR="003A7DCA">
              <w:t>’</w:t>
            </w:r>
            <w:r w:rsidRPr="00802BE1">
              <w:t>application du mécanisme de coordination.</w:t>
            </w:r>
          </w:p>
        </w:tc>
        <w:tc>
          <w:tcPr>
            <w:tcW w:w="5957" w:type="dxa"/>
          </w:tcPr>
          <w:p w:rsidR="008B364C" w:rsidRPr="002F537A" w:rsidRDefault="002F537A" w:rsidP="00430D8B">
            <w:pPr>
              <w:pStyle w:val="ListParagraph"/>
              <w:numPr>
                <w:ilvl w:val="0"/>
                <w:numId w:val="27"/>
              </w:numPr>
              <w:ind w:left="567" w:hanging="567"/>
              <w:rPr>
                <w:rFonts w:eastAsia="Times New Roman"/>
                <w:lang w:val="fr-FR" w:eastAsia="en-US"/>
              </w:rPr>
            </w:pPr>
            <w:r w:rsidRPr="002F537A">
              <w:rPr>
                <w:rFonts w:eastAsia="Times New Roman"/>
                <w:lang w:val="fr-FR" w:eastAsia="en-US"/>
              </w:rPr>
              <w:t>Tous les comités compétents de l</w:t>
            </w:r>
            <w:r w:rsidR="003A7DCA">
              <w:rPr>
                <w:rFonts w:eastAsia="Times New Roman"/>
                <w:lang w:val="fr-FR" w:eastAsia="en-US"/>
              </w:rPr>
              <w:t>’</w:t>
            </w:r>
            <w:r w:rsidRPr="002F537A">
              <w:rPr>
                <w:rFonts w:eastAsia="Times New Roman"/>
                <w:lang w:val="fr-FR" w:eastAsia="en-US"/>
              </w:rPr>
              <w:t xml:space="preserve">OMPI, </w:t>
            </w:r>
            <w:r w:rsidR="003A7DCA">
              <w:rPr>
                <w:rFonts w:eastAsia="Times New Roman"/>
                <w:lang w:val="fr-FR" w:eastAsia="en-US"/>
              </w:rPr>
              <w:t>à savoir</w:t>
            </w:r>
            <w:r w:rsidRPr="002F537A">
              <w:rPr>
                <w:rFonts w:eastAsia="Times New Roman"/>
                <w:lang w:val="fr-FR" w:eastAsia="en-US"/>
              </w:rPr>
              <w:t xml:space="preserve"> le Comité </w:t>
            </w:r>
            <w:proofErr w:type="spellStart"/>
            <w:r w:rsidRPr="002F537A">
              <w:rPr>
                <w:rFonts w:eastAsia="Times New Roman"/>
                <w:lang w:val="fr-FR" w:eastAsia="en-US"/>
              </w:rPr>
              <w:t>intergouvernemental</w:t>
            </w:r>
            <w:proofErr w:type="spellEnd"/>
            <w:r w:rsidRPr="002F537A">
              <w:rPr>
                <w:rFonts w:eastAsia="Times New Roman"/>
                <w:lang w:val="fr-FR" w:eastAsia="en-US"/>
              </w:rPr>
              <w:t xml:space="preserve"> de la propriété intellectuelle relative aux ressources génétiques, aux savoirs traditionnels et au </w:t>
            </w:r>
            <w:r w:rsidR="00004EFF">
              <w:rPr>
                <w:rFonts w:eastAsia="Times New Roman"/>
                <w:lang w:val="fr-FR" w:eastAsia="en-US"/>
              </w:rPr>
              <w:t>f</w:t>
            </w:r>
            <w:r w:rsidRPr="002F537A">
              <w:rPr>
                <w:rFonts w:eastAsia="Times New Roman"/>
                <w:lang w:val="fr-FR" w:eastAsia="en-US"/>
              </w:rPr>
              <w:t>olklore (</w:t>
            </w:r>
            <w:proofErr w:type="spellStart"/>
            <w:r w:rsidRPr="002F537A">
              <w:rPr>
                <w:rFonts w:eastAsia="Times New Roman"/>
                <w:lang w:val="fr-FR" w:eastAsia="en-US"/>
              </w:rPr>
              <w:t>IGC</w:t>
            </w:r>
            <w:proofErr w:type="spellEnd"/>
            <w:r w:rsidRPr="002F537A">
              <w:rPr>
                <w:rFonts w:eastAsia="Times New Roman"/>
                <w:lang w:val="fr-FR" w:eastAsia="en-US"/>
              </w:rPr>
              <w:t>), le Comité permanent du droit des brevets (</w:t>
            </w:r>
            <w:proofErr w:type="spellStart"/>
            <w:r w:rsidRPr="002F537A">
              <w:rPr>
                <w:rFonts w:eastAsia="Times New Roman"/>
                <w:lang w:val="fr-FR" w:eastAsia="en-US"/>
              </w:rPr>
              <w:t>SCP</w:t>
            </w:r>
            <w:proofErr w:type="spellEnd"/>
            <w:r w:rsidRPr="002F537A">
              <w:rPr>
                <w:rFonts w:eastAsia="Times New Roman"/>
                <w:lang w:val="fr-FR" w:eastAsia="en-US"/>
              </w:rPr>
              <w:t>), le Comité permanent du droit des marques, des dessins et modèles industriels et des indications géographiques (SCT), et le Comité permanent du droit d</w:t>
            </w:r>
            <w:r w:rsidR="003A7DCA">
              <w:rPr>
                <w:rFonts w:eastAsia="Times New Roman"/>
                <w:lang w:val="fr-FR" w:eastAsia="en-US"/>
              </w:rPr>
              <w:t>’</w:t>
            </w:r>
            <w:r w:rsidRPr="002F537A">
              <w:rPr>
                <w:rFonts w:eastAsia="Times New Roman"/>
                <w:lang w:val="fr-FR" w:eastAsia="en-US"/>
              </w:rPr>
              <w:t>auteur et des droits connexes (</w:t>
            </w:r>
            <w:proofErr w:type="spellStart"/>
            <w:r w:rsidRPr="002F537A">
              <w:rPr>
                <w:rFonts w:eastAsia="Times New Roman"/>
                <w:lang w:val="fr-FR" w:eastAsia="en-US"/>
              </w:rPr>
              <w:t>SCCR</w:t>
            </w:r>
            <w:proofErr w:type="spellEnd"/>
            <w:r w:rsidRPr="002F537A">
              <w:rPr>
                <w:rFonts w:eastAsia="Times New Roman"/>
                <w:lang w:val="fr-FR" w:eastAsia="en-US"/>
              </w:rPr>
              <w:t>), devraient se conformer à la décision de l</w:t>
            </w:r>
            <w:r w:rsidR="003A7DCA">
              <w:rPr>
                <w:rFonts w:eastAsia="Times New Roman"/>
                <w:lang w:val="fr-FR" w:eastAsia="en-US"/>
              </w:rPr>
              <w:t>’</w:t>
            </w:r>
            <w:r w:rsidRPr="002F537A">
              <w:rPr>
                <w:rFonts w:eastAsia="Times New Roman"/>
                <w:lang w:val="fr-FR" w:eastAsia="en-US"/>
              </w:rPr>
              <w:t>Assemblée générale sur le mécanisme de coordinati</w:t>
            </w:r>
            <w:r w:rsidR="00230E63" w:rsidRPr="002F537A">
              <w:rPr>
                <w:rFonts w:eastAsia="Times New Roman"/>
                <w:lang w:val="fr-FR" w:eastAsia="en-US"/>
              </w:rPr>
              <w:t>on</w:t>
            </w:r>
            <w:r w:rsidR="00230E63">
              <w:rPr>
                <w:rFonts w:eastAsia="Times New Roman"/>
                <w:lang w:val="fr-FR" w:eastAsia="en-US"/>
              </w:rPr>
              <w:t>.  Ch</w:t>
            </w:r>
            <w:r>
              <w:rPr>
                <w:rFonts w:eastAsia="Times New Roman"/>
                <w:lang w:val="fr-FR" w:eastAsia="en-US"/>
              </w:rPr>
              <w:t>aque comité, lors d</w:t>
            </w:r>
            <w:r w:rsidR="003A7DCA">
              <w:rPr>
                <w:rFonts w:eastAsia="Times New Roman"/>
                <w:lang w:val="fr-FR" w:eastAsia="en-US"/>
              </w:rPr>
              <w:t>’</w:t>
            </w:r>
            <w:r>
              <w:rPr>
                <w:rFonts w:eastAsia="Times New Roman"/>
                <w:lang w:val="fr-FR" w:eastAsia="en-US"/>
              </w:rPr>
              <w:t>une session précédant l</w:t>
            </w:r>
            <w:r w:rsidR="003A7DCA">
              <w:rPr>
                <w:rFonts w:eastAsia="Times New Roman"/>
                <w:lang w:val="fr-FR" w:eastAsia="en-US"/>
              </w:rPr>
              <w:t>’</w:t>
            </w:r>
            <w:r>
              <w:rPr>
                <w:rFonts w:eastAsia="Times New Roman"/>
                <w:lang w:val="fr-FR" w:eastAsia="en-US"/>
              </w:rPr>
              <w:t xml:space="preserve">Assemblée générale, devrait présenter à </w:t>
            </w:r>
            <w:r w:rsidR="00004EFF">
              <w:rPr>
                <w:rFonts w:eastAsia="Times New Roman"/>
                <w:lang w:val="fr-FR" w:eastAsia="en-US"/>
              </w:rPr>
              <w:t>celle</w:t>
            </w:r>
            <w:r w:rsidR="003A7DCA">
              <w:rPr>
                <w:rFonts w:eastAsia="Times New Roman"/>
                <w:lang w:val="fr-FR" w:eastAsia="en-US"/>
              </w:rPr>
              <w:t>-</w:t>
            </w:r>
            <w:r w:rsidR="00004EFF">
              <w:rPr>
                <w:rFonts w:eastAsia="Times New Roman"/>
                <w:lang w:val="fr-FR" w:eastAsia="en-US"/>
              </w:rPr>
              <w:t>ci</w:t>
            </w:r>
            <w:r>
              <w:rPr>
                <w:rFonts w:eastAsia="Times New Roman"/>
                <w:lang w:val="fr-FR" w:eastAsia="en-US"/>
              </w:rPr>
              <w:t xml:space="preserve"> un rapport indiquant les activités entreprises </w:t>
            </w:r>
            <w:r>
              <w:rPr>
                <w:rFonts w:eastAsia="Times New Roman"/>
                <w:lang w:val="fr-FR" w:eastAsia="en-US"/>
              </w:rPr>
              <w:lastRenderedPageBreak/>
              <w:t xml:space="preserve">pour mettre en </w:t>
            </w:r>
            <w:r w:rsidR="00004EFF">
              <w:rPr>
                <w:rFonts w:eastAsia="Times New Roman"/>
                <w:lang w:val="fr-FR" w:eastAsia="en-US"/>
              </w:rPr>
              <w:t>œuvre</w:t>
            </w:r>
            <w:r>
              <w:rPr>
                <w:rFonts w:eastAsia="Times New Roman"/>
                <w:lang w:val="fr-FR" w:eastAsia="en-US"/>
              </w:rPr>
              <w:t xml:space="preserve"> les recommandations pertinentes du Plan d</w:t>
            </w:r>
            <w:r w:rsidR="003A7DCA">
              <w:rPr>
                <w:rFonts w:eastAsia="Times New Roman"/>
                <w:lang w:val="fr-FR" w:eastAsia="en-US"/>
              </w:rPr>
              <w:t>’</w:t>
            </w:r>
            <w:r>
              <w:rPr>
                <w:rFonts w:eastAsia="Times New Roman"/>
                <w:lang w:val="fr-FR" w:eastAsia="en-US"/>
              </w:rPr>
              <w:t>action pour le développement.</w:t>
            </w:r>
          </w:p>
        </w:tc>
      </w:tr>
      <w:tr w:rsidR="00230865" w:rsidRPr="00984CCB" w:rsidTr="00430D8B">
        <w:tc>
          <w:tcPr>
            <w:tcW w:w="3114" w:type="dxa"/>
          </w:tcPr>
          <w:p w:rsidR="006A47C0" w:rsidRDefault="009301EF" w:rsidP="00430D8B">
            <w:pPr>
              <w:rPr>
                <w:lang w:val="fr-FR"/>
              </w:rPr>
            </w:pPr>
            <w:r w:rsidRPr="00802BE1">
              <w:rPr>
                <w:b/>
                <w:lang w:val="fr-FR"/>
              </w:rPr>
              <w:lastRenderedPageBreak/>
              <w:t xml:space="preserve">Recommandation </w:t>
            </w:r>
            <w:r w:rsidR="00230865" w:rsidRPr="00802BE1">
              <w:rPr>
                <w:b/>
                <w:lang w:val="fr-FR"/>
              </w:rPr>
              <w:t>n° 3</w:t>
            </w:r>
            <w:r w:rsidR="003A7DCA">
              <w:rPr>
                <w:b/>
                <w:lang w:val="fr-FR"/>
              </w:rPr>
              <w:t> :</w:t>
            </w:r>
          </w:p>
          <w:p w:rsidR="00230865" w:rsidRPr="00802BE1" w:rsidRDefault="00230865" w:rsidP="00430D8B">
            <w:pPr>
              <w:rPr>
                <w:lang w:val="fr-FR"/>
              </w:rPr>
            </w:pPr>
            <w:r w:rsidRPr="00802BE1">
              <w:rPr>
                <w:lang w:val="fr-FR"/>
              </w:rPr>
              <w:t>L</w:t>
            </w:r>
            <w:r w:rsidR="003A7DCA">
              <w:rPr>
                <w:lang w:val="fr-FR"/>
              </w:rPr>
              <w:t>’</w:t>
            </w:r>
            <w:r w:rsidRPr="00802BE1">
              <w:rPr>
                <w:lang w:val="fr-FR"/>
              </w:rPr>
              <w:t>OMPI devrait continuer d</w:t>
            </w:r>
            <w:r w:rsidR="003A7DCA">
              <w:rPr>
                <w:lang w:val="fr-FR"/>
              </w:rPr>
              <w:t>’</w:t>
            </w:r>
            <w:r w:rsidRPr="00802BE1">
              <w:rPr>
                <w:lang w:val="fr-FR"/>
              </w:rPr>
              <w:t>assurer une coordination, un suivi, un retour d</w:t>
            </w:r>
            <w:r w:rsidR="003A7DCA">
              <w:rPr>
                <w:lang w:val="fr-FR"/>
              </w:rPr>
              <w:t>’</w:t>
            </w:r>
            <w:r w:rsidRPr="00802BE1">
              <w:rPr>
                <w:lang w:val="fr-FR"/>
              </w:rPr>
              <w:t>information, une évaluation et une prise en considération efficaces de la mise en œuvre des recommandations du Plan d</w:t>
            </w:r>
            <w:r w:rsidR="003A7DCA">
              <w:rPr>
                <w:lang w:val="fr-FR"/>
              </w:rPr>
              <w:t>’</w:t>
            </w:r>
            <w:r w:rsidRPr="00802BE1">
              <w:rPr>
                <w:lang w:val="fr-FR"/>
              </w:rPr>
              <w:t>action pour le développeme</w:t>
            </w:r>
            <w:r w:rsidR="00230E63" w:rsidRPr="00802BE1">
              <w:rPr>
                <w:lang w:val="fr-FR"/>
              </w:rPr>
              <w:t>nt</w:t>
            </w:r>
            <w:r w:rsidR="00230E63">
              <w:rPr>
                <w:lang w:val="fr-FR"/>
              </w:rPr>
              <w:t xml:space="preserve">.  </w:t>
            </w:r>
            <w:r w:rsidR="00230E63" w:rsidRPr="00802BE1">
              <w:rPr>
                <w:lang w:val="fr-FR"/>
              </w:rPr>
              <w:t>Le</w:t>
            </w:r>
            <w:r w:rsidRPr="00802BE1">
              <w:rPr>
                <w:lang w:val="fr-FR"/>
              </w:rPr>
              <w:t xml:space="preserve"> rôle de la Division de la coordination du Plan d</w:t>
            </w:r>
            <w:r w:rsidR="003A7DCA">
              <w:rPr>
                <w:lang w:val="fr-FR"/>
              </w:rPr>
              <w:t>’</w:t>
            </w:r>
            <w:r w:rsidRPr="00802BE1">
              <w:rPr>
                <w:lang w:val="fr-FR"/>
              </w:rPr>
              <w:t>action pour le développement devrait être renforcé.</w:t>
            </w:r>
          </w:p>
        </w:tc>
        <w:tc>
          <w:tcPr>
            <w:tcW w:w="5957" w:type="dxa"/>
          </w:tcPr>
          <w:p w:rsidR="003A7DCA" w:rsidRDefault="002F537A" w:rsidP="00430D8B">
            <w:pPr>
              <w:pStyle w:val="ListParagraph"/>
              <w:numPr>
                <w:ilvl w:val="0"/>
                <w:numId w:val="28"/>
              </w:numPr>
              <w:ind w:left="567" w:hanging="567"/>
              <w:rPr>
                <w:lang w:val="fr-FR"/>
              </w:rPr>
            </w:pPr>
            <w:r w:rsidRPr="002F537A">
              <w:rPr>
                <w:lang w:val="fr-FR"/>
              </w:rPr>
              <w:t>L</w:t>
            </w:r>
            <w:r w:rsidR="003A7DCA">
              <w:rPr>
                <w:lang w:val="fr-FR"/>
              </w:rPr>
              <w:t>’</w:t>
            </w:r>
            <w:r w:rsidRPr="002F537A">
              <w:rPr>
                <w:lang w:val="fr-FR"/>
              </w:rPr>
              <w:t>étude indépendante n</w:t>
            </w:r>
            <w:r w:rsidR="003A7DCA">
              <w:rPr>
                <w:lang w:val="fr-FR"/>
              </w:rPr>
              <w:t>’</w:t>
            </w:r>
            <w:r w:rsidRPr="002F537A">
              <w:rPr>
                <w:lang w:val="fr-FR"/>
              </w:rPr>
              <w:t xml:space="preserve">indique pas quels domaines de la Division de la </w:t>
            </w:r>
            <w:r w:rsidR="0034735D">
              <w:rPr>
                <w:lang w:val="fr-FR"/>
              </w:rPr>
              <w:t>c</w:t>
            </w:r>
            <w:r w:rsidRPr="002F537A">
              <w:rPr>
                <w:lang w:val="fr-FR"/>
              </w:rPr>
              <w:t>oordination du Plan d</w:t>
            </w:r>
            <w:r w:rsidR="003A7DCA">
              <w:rPr>
                <w:lang w:val="fr-FR"/>
              </w:rPr>
              <w:t>’</w:t>
            </w:r>
            <w:r w:rsidRPr="002F537A">
              <w:rPr>
                <w:lang w:val="fr-FR"/>
              </w:rPr>
              <w:t>action pour le développement devraient être renforc</w:t>
            </w:r>
            <w:r w:rsidR="00230E63" w:rsidRPr="002F537A">
              <w:rPr>
                <w:lang w:val="fr-FR"/>
              </w:rPr>
              <w:t>és</w:t>
            </w:r>
            <w:r w:rsidR="00230E63">
              <w:rPr>
                <w:lang w:val="fr-FR"/>
              </w:rPr>
              <w:t>.  La</w:t>
            </w:r>
            <w:r>
              <w:rPr>
                <w:lang w:val="fr-FR"/>
              </w:rPr>
              <w:t xml:space="preserve"> Division de la coordination du Plan d</w:t>
            </w:r>
            <w:r w:rsidR="003A7DCA">
              <w:rPr>
                <w:lang w:val="fr-FR"/>
              </w:rPr>
              <w:t>’</w:t>
            </w:r>
            <w:r>
              <w:rPr>
                <w:lang w:val="fr-FR"/>
              </w:rPr>
              <w:t>action pour le développement pourrait soumettre un rapport sur son rôle</w:t>
            </w:r>
            <w:r w:rsidR="003A7DCA">
              <w:rPr>
                <w:lang w:val="fr-FR"/>
              </w:rPr>
              <w:t xml:space="preserve"> au </w:t>
            </w:r>
            <w:proofErr w:type="spellStart"/>
            <w:r w:rsidR="003A7DCA">
              <w:rPr>
                <w:lang w:val="fr-FR"/>
              </w:rPr>
              <w:t>CDI</w:t>
            </w:r>
            <w:r>
              <w:rPr>
                <w:lang w:val="fr-FR"/>
              </w:rPr>
              <w:t>P</w:t>
            </w:r>
            <w:proofErr w:type="spellEnd"/>
            <w:r>
              <w:rPr>
                <w:lang w:val="fr-FR"/>
              </w:rPr>
              <w:t xml:space="preserve"> et sur ses relations avec d</w:t>
            </w:r>
            <w:r w:rsidR="003A7DCA">
              <w:rPr>
                <w:lang w:val="fr-FR"/>
              </w:rPr>
              <w:t>’</w:t>
            </w:r>
            <w:r>
              <w:rPr>
                <w:lang w:val="fr-FR"/>
              </w:rPr>
              <w:t xml:space="preserve">autres programmes </w:t>
            </w:r>
            <w:r w:rsidR="0034735D">
              <w:rPr>
                <w:lang w:val="fr-FR"/>
              </w:rPr>
              <w:t>essentiels</w:t>
            </w:r>
            <w:r>
              <w:rPr>
                <w:lang w:val="fr-FR"/>
              </w:rPr>
              <w:t xml:space="preserve"> de l</w:t>
            </w:r>
            <w:r w:rsidR="003A7DCA">
              <w:rPr>
                <w:lang w:val="fr-FR"/>
              </w:rPr>
              <w:t>’</w:t>
            </w:r>
            <w:r>
              <w:rPr>
                <w:lang w:val="fr-FR"/>
              </w:rPr>
              <w:t xml:space="preserve">OMPI et les bureaux régionaux </w:t>
            </w:r>
            <w:r w:rsidR="0034735D">
              <w:rPr>
                <w:lang w:val="fr-FR"/>
              </w:rPr>
              <w:t>afin de</w:t>
            </w:r>
            <w:r>
              <w:rPr>
                <w:lang w:val="fr-FR"/>
              </w:rPr>
              <w:t xml:space="preserve"> permettre aux États membres de déterminer renforcer</w:t>
            </w:r>
            <w:r w:rsidR="0034735D">
              <w:rPr>
                <w:lang w:val="fr-FR"/>
              </w:rPr>
              <w:t xml:space="preserve"> son rôle</w:t>
            </w:r>
            <w:r>
              <w:rPr>
                <w:lang w:val="fr-FR"/>
              </w:rPr>
              <w:t>.</w:t>
            </w:r>
          </w:p>
          <w:p w:rsidR="006A47C0" w:rsidRPr="002F537A" w:rsidRDefault="006A47C0" w:rsidP="00430D8B">
            <w:pPr>
              <w:ind w:left="567" w:hanging="567"/>
              <w:rPr>
                <w:lang w:val="fr-FR"/>
              </w:rPr>
            </w:pPr>
          </w:p>
          <w:p w:rsidR="003A7DCA" w:rsidRDefault="002F3379" w:rsidP="00430D8B">
            <w:pPr>
              <w:pStyle w:val="ListParagraph"/>
              <w:numPr>
                <w:ilvl w:val="0"/>
                <w:numId w:val="28"/>
              </w:numPr>
              <w:ind w:left="567" w:hanging="567"/>
              <w:rPr>
                <w:lang w:val="fr-FR"/>
              </w:rPr>
            </w:pPr>
            <w:r w:rsidRPr="002F3379">
              <w:rPr>
                <w:lang w:val="fr-FR"/>
              </w:rPr>
              <w:t>L</w:t>
            </w:r>
            <w:r w:rsidR="003A7DCA">
              <w:rPr>
                <w:lang w:val="fr-FR"/>
              </w:rPr>
              <w:t>’</w:t>
            </w:r>
            <w:r w:rsidRPr="002F3379">
              <w:rPr>
                <w:lang w:val="fr-FR"/>
              </w:rPr>
              <w:t>évaluation des activités de l</w:t>
            </w:r>
            <w:r w:rsidR="003A7DCA">
              <w:rPr>
                <w:lang w:val="fr-FR"/>
              </w:rPr>
              <w:t>’</w:t>
            </w:r>
            <w:r w:rsidRPr="002F3379">
              <w:rPr>
                <w:lang w:val="fr-FR"/>
              </w:rPr>
              <w:t>OMPI devrait être menée de façon globale et équilibr</w:t>
            </w:r>
            <w:r w:rsidR="00230E63" w:rsidRPr="002F3379">
              <w:rPr>
                <w:lang w:val="fr-FR"/>
              </w:rPr>
              <w:t>ée</w:t>
            </w:r>
            <w:r w:rsidR="00230E63">
              <w:rPr>
                <w:lang w:val="fr-FR"/>
              </w:rPr>
              <w:t xml:space="preserve">.  </w:t>
            </w:r>
            <w:r w:rsidR="00230E63" w:rsidRPr="002F3379">
              <w:rPr>
                <w:lang w:val="fr-FR"/>
              </w:rPr>
              <w:t>Le</w:t>
            </w:r>
            <w:r w:rsidRPr="002F3379">
              <w:rPr>
                <w:lang w:val="fr-FR"/>
              </w:rPr>
              <w:t xml:space="preserve"> paradigme de développement de l</w:t>
            </w:r>
            <w:r w:rsidR="003A7DCA">
              <w:rPr>
                <w:lang w:val="fr-FR"/>
              </w:rPr>
              <w:t>’</w:t>
            </w:r>
            <w:r w:rsidRPr="002F3379">
              <w:rPr>
                <w:lang w:val="fr-FR"/>
              </w:rPr>
              <w:t xml:space="preserve">OMPI devrait non seulement promouvoir la compréhension et la protection des droits de propriété intellectuelle conformément aux obligations internationales, mais aussi faire connaître les </w:t>
            </w:r>
            <w:r w:rsidR="0034735D">
              <w:rPr>
                <w:lang w:val="fr-FR"/>
              </w:rPr>
              <w:t>difficultés</w:t>
            </w:r>
            <w:r w:rsidRPr="002F3379">
              <w:rPr>
                <w:lang w:val="fr-FR"/>
              </w:rPr>
              <w:t xml:space="preserve"> d</w:t>
            </w:r>
            <w:r w:rsidR="003A7DCA">
              <w:rPr>
                <w:lang w:val="fr-FR"/>
              </w:rPr>
              <w:t>’</w:t>
            </w:r>
            <w:r w:rsidRPr="002F3379">
              <w:rPr>
                <w:lang w:val="fr-FR"/>
              </w:rPr>
              <w:t xml:space="preserve">accès aux </w:t>
            </w:r>
            <w:r w:rsidR="0034735D">
              <w:rPr>
                <w:lang w:val="fr-FR"/>
              </w:rPr>
              <w:t>savoirs</w:t>
            </w:r>
            <w:r w:rsidRPr="002F3379">
              <w:rPr>
                <w:lang w:val="fr-FR"/>
              </w:rPr>
              <w:t xml:space="preserve"> et aux technologies </w:t>
            </w:r>
            <w:r>
              <w:rPr>
                <w:lang w:val="fr-FR"/>
              </w:rPr>
              <w:t>dans les pays en développement.</w:t>
            </w:r>
          </w:p>
          <w:p w:rsidR="006A47C0" w:rsidRPr="002F3379" w:rsidRDefault="006A47C0" w:rsidP="00430D8B">
            <w:pPr>
              <w:ind w:left="567" w:hanging="567"/>
              <w:rPr>
                <w:lang w:val="fr-FR"/>
              </w:rPr>
            </w:pPr>
          </w:p>
          <w:p w:rsidR="00230865" w:rsidRPr="00984CCB" w:rsidRDefault="0034735D" w:rsidP="00430D8B">
            <w:pPr>
              <w:pStyle w:val="ListParagraph"/>
              <w:numPr>
                <w:ilvl w:val="0"/>
                <w:numId w:val="28"/>
              </w:numPr>
              <w:ind w:left="567" w:hanging="567"/>
              <w:rPr>
                <w:lang w:val="fr-FR"/>
              </w:rPr>
            </w:pPr>
            <w:r>
              <w:rPr>
                <w:lang w:val="fr-FR"/>
              </w:rPr>
              <w:t>L</w:t>
            </w:r>
            <w:r w:rsidR="00984CCB" w:rsidRPr="00984CCB">
              <w:rPr>
                <w:lang w:val="fr-FR"/>
              </w:rPr>
              <w:t xml:space="preserve">es questions auxquelles il convient de répondre </w:t>
            </w:r>
            <w:r>
              <w:rPr>
                <w:lang w:val="fr-FR"/>
              </w:rPr>
              <w:t>sont</w:t>
            </w:r>
            <w:r w:rsidR="00984CCB" w:rsidRPr="00984CCB">
              <w:rPr>
                <w:lang w:val="fr-FR"/>
              </w:rPr>
              <w:t xml:space="preserve"> les suivantes</w:t>
            </w:r>
            <w:r w:rsidR="003A7DCA">
              <w:rPr>
                <w:lang w:val="fr-FR"/>
              </w:rPr>
              <w:t> :</w:t>
            </w:r>
            <w:r w:rsidR="00984CCB" w:rsidRPr="00984CCB">
              <w:rPr>
                <w:lang w:val="fr-FR"/>
              </w:rPr>
              <w:t xml:space="preserve"> </w:t>
            </w:r>
            <w:r>
              <w:rPr>
                <w:lang w:val="fr-FR"/>
              </w:rPr>
              <w:t>en quoi</w:t>
            </w:r>
            <w:r w:rsidR="00984CCB" w:rsidRPr="00984CCB">
              <w:rPr>
                <w:lang w:val="fr-FR"/>
              </w:rPr>
              <w:t xml:space="preserve"> l</w:t>
            </w:r>
            <w:r w:rsidR="003A7DCA">
              <w:rPr>
                <w:lang w:val="fr-FR"/>
              </w:rPr>
              <w:t>’</w:t>
            </w:r>
            <w:r w:rsidR="00984CCB" w:rsidRPr="00984CCB">
              <w:rPr>
                <w:lang w:val="fr-FR"/>
              </w:rPr>
              <w:t>assistance technique de l</w:t>
            </w:r>
            <w:r w:rsidR="003A7DCA">
              <w:rPr>
                <w:lang w:val="fr-FR"/>
              </w:rPr>
              <w:t>’</w:t>
            </w:r>
            <w:r w:rsidR="00984CCB" w:rsidRPr="00984CCB">
              <w:rPr>
                <w:lang w:val="fr-FR"/>
              </w:rPr>
              <w:t>OMPI contribue</w:t>
            </w:r>
            <w:r w:rsidR="003A7DCA">
              <w:rPr>
                <w:lang w:val="fr-FR"/>
              </w:rPr>
              <w:t>-</w:t>
            </w:r>
            <w:r w:rsidR="00984CCB" w:rsidRPr="00984CCB">
              <w:rPr>
                <w:lang w:val="fr-FR"/>
              </w:rPr>
              <w:t>t</w:t>
            </w:r>
            <w:r w:rsidR="003A7DCA">
              <w:rPr>
                <w:lang w:val="fr-FR"/>
              </w:rPr>
              <w:t>-</w:t>
            </w:r>
            <w:r w:rsidR="00984CCB" w:rsidRPr="00984CCB">
              <w:rPr>
                <w:lang w:val="fr-FR"/>
              </w:rPr>
              <w:t xml:space="preserve">elle au développement (plutôt </w:t>
            </w:r>
            <w:r>
              <w:rPr>
                <w:lang w:val="fr-FR"/>
              </w:rPr>
              <w:t>que de mesurer son incidence sur</w:t>
            </w:r>
            <w:r w:rsidR="00984CCB" w:rsidRPr="00984CCB">
              <w:rPr>
                <w:lang w:val="fr-FR"/>
              </w:rPr>
              <w:t xml:space="preserve"> l</w:t>
            </w:r>
            <w:r w:rsidR="003A7DCA">
              <w:rPr>
                <w:lang w:val="fr-FR"/>
              </w:rPr>
              <w:t>’</w:t>
            </w:r>
            <w:r w:rsidR="00984CCB" w:rsidRPr="00984CCB">
              <w:rPr>
                <w:lang w:val="fr-FR"/>
              </w:rPr>
              <w:t xml:space="preserve">application des normes internationales en matière de propriété intellectuelle); </w:t>
            </w:r>
            <w:r w:rsidR="00FB6857">
              <w:rPr>
                <w:lang w:val="fr-FR"/>
              </w:rPr>
              <w:t xml:space="preserve"> </w:t>
            </w:r>
            <w:r w:rsidR="00984CCB" w:rsidRPr="00984CCB">
              <w:rPr>
                <w:lang w:val="fr-FR"/>
              </w:rPr>
              <w:t>l</w:t>
            </w:r>
            <w:r w:rsidR="003A7DCA">
              <w:rPr>
                <w:lang w:val="fr-FR"/>
              </w:rPr>
              <w:t>’</w:t>
            </w:r>
            <w:r w:rsidR="00984CCB" w:rsidRPr="00984CCB">
              <w:rPr>
                <w:lang w:val="fr-FR"/>
              </w:rPr>
              <w:t xml:space="preserve">assistance technique </w:t>
            </w:r>
            <w:r>
              <w:rPr>
                <w:lang w:val="fr-FR"/>
              </w:rPr>
              <w:t>comprend</w:t>
            </w:r>
            <w:r w:rsidR="003A7DCA">
              <w:rPr>
                <w:lang w:val="fr-FR"/>
              </w:rPr>
              <w:t>-</w:t>
            </w:r>
            <w:r w:rsidR="00984CCB" w:rsidRPr="00984CCB">
              <w:rPr>
                <w:lang w:val="fr-FR"/>
              </w:rPr>
              <w:t xml:space="preserve">elle des formations sur les moyens </w:t>
            </w:r>
            <w:r>
              <w:rPr>
                <w:lang w:val="fr-FR"/>
              </w:rPr>
              <w:t>de tirer parti de</w:t>
            </w:r>
            <w:r w:rsidR="00984CCB" w:rsidRPr="00984CCB">
              <w:rPr>
                <w:lang w:val="fr-FR"/>
              </w:rPr>
              <w:t xml:space="preserve"> la souplesse du système international de la propriété intellectuelle; </w:t>
            </w:r>
            <w:r w:rsidR="00FB6857">
              <w:rPr>
                <w:lang w:val="fr-FR"/>
              </w:rPr>
              <w:t xml:space="preserve"> </w:t>
            </w:r>
            <w:r>
              <w:rPr>
                <w:lang w:val="fr-FR"/>
              </w:rPr>
              <w:t>perme</w:t>
            </w:r>
            <w:r w:rsidR="00984CCB" w:rsidRPr="00984CCB">
              <w:rPr>
                <w:lang w:val="fr-FR"/>
              </w:rPr>
              <w:t>t</w:t>
            </w:r>
            <w:r w:rsidR="003A7DCA">
              <w:rPr>
                <w:lang w:val="fr-FR"/>
              </w:rPr>
              <w:t>-</w:t>
            </w:r>
            <w:r w:rsidR="00984CCB" w:rsidRPr="00984CCB">
              <w:rPr>
                <w:lang w:val="fr-FR"/>
              </w:rPr>
              <w:t xml:space="preserve">elle aux </w:t>
            </w:r>
            <w:r w:rsidRPr="00984CCB">
              <w:rPr>
                <w:lang w:val="fr-FR"/>
              </w:rPr>
              <w:t>États</w:t>
            </w:r>
            <w:r w:rsidR="00984CCB" w:rsidRPr="00984CCB">
              <w:rPr>
                <w:lang w:val="fr-FR"/>
              </w:rPr>
              <w:t xml:space="preserve"> membres de comprendre </w:t>
            </w:r>
            <w:r w:rsidR="006101AA">
              <w:rPr>
                <w:lang w:val="fr-FR"/>
              </w:rPr>
              <w:t xml:space="preserve">aussi bien </w:t>
            </w:r>
            <w:r>
              <w:rPr>
                <w:lang w:val="fr-FR"/>
              </w:rPr>
              <w:t>l</w:t>
            </w:r>
            <w:r w:rsidR="003A7DCA">
              <w:rPr>
                <w:lang w:val="fr-FR"/>
              </w:rPr>
              <w:t>’</w:t>
            </w:r>
            <w:r>
              <w:rPr>
                <w:lang w:val="fr-FR"/>
              </w:rPr>
              <w:t>incidence</w:t>
            </w:r>
            <w:r w:rsidR="00984CCB" w:rsidRPr="00984CCB">
              <w:rPr>
                <w:lang w:val="fr-FR"/>
              </w:rPr>
              <w:t xml:space="preserve"> </w:t>
            </w:r>
            <w:r w:rsidRPr="00984CCB">
              <w:rPr>
                <w:lang w:val="fr-FR"/>
              </w:rPr>
              <w:t xml:space="preserve">positive </w:t>
            </w:r>
            <w:r w:rsidR="00984CCB" w:rsidRPr="00984CCB">
              <w:rPr>
                <w:lang w:val="fr-FR"/>
              </w:rPr>
              <w:t xml:space="preserve">que </w:t>
            </w:r>
            <w:r w:rsidR="006101AA">
              <w:rPr>
                <w:lang w:val="fr-FR"/>
              </w:rPr>
              <w:t xml:space="preserve">les effets </w:t>
            </w:r>
            <w:r w:rsidRPr="00984CCB">
              <w:rPr>
                <w:lang w:val="fr-FR"/>
              </w:rPr>
              <w:t>négati</w:t>
            </w:r>
            <w:r w:rsidR="006101AA">
              <w:rPr>
                <w:lang w:val="fr-FR"/>
              </w:rPr>
              <w:t>fs</w:t>
            </w:r>
            <w:r w:rsidRPr="00984CCB">
              <w:rPr>
                <w:lang w:val="fr-FR"/>
              </w:rPr>
              <w:t xml:space="preserve"> </w:t>
            </w:r>
            <w:r w:rsidR="00984CCB" w:rsidRPr="00984CCB">
              <w:rPr>
                <w:lang w:val="fr-FR"/>
              </w:rPr>
              <w:t>de l</w:t>
            </w:r>
            <w:r w:rsidR="003A7DCA">
              <w:rPr>
                <w:lang w:val="fr-FR"/>
              </w:rPr>
              <w:t>’</w:t>
            </w:r>
            <w:r w:rsidR="00984CCB" w:rsidRPr="00984CCB">
              <w:rPr>
                <w:lang w:val="fr-FR"/>
              </w:rPr>
              <w:t>utilisation de la propriété intellectuelle en tant qu</w:t>
            </w:r>
            <w:r w:rsidR="003A7DCA">
              <w:rPr>
                <w:lang w:val="fr-FR"/>
              </w:rPr>
              <w:t>’</w:t>
            </w:r>
            <w:r w:rsidR="00984CCB" w:rsidRPr="00984CCB">
              <w:rPr>
                <w:lang w:val="fr-FR"/>
              </w:rPr>
              <w:t>instrument politique;</w:t>
            </w:r>
            <w:r w:rsidR="006101AA">
              <w:rPr>
                <w:lang w:val="fr-FR"/>
              </w:rPr>
              <w:t xml:space="preserve"> </w:t>
            </w:r>
            <w:r w:rsidR="00FB6857">
              <w:rPr>
                <w:lang w:val="fr-FR"/>
              </w:rPr>
              <w:t xml:space="preserve"> </w:t>
            </w:r>
            <w:r w:rsidR="006101AA">
              <w:rPr>
                <w:lang w:val="fr-FR"/>
              </w:rPr>
              <w:t>à</w:t>
            </w:r>
            <w:r w:rsidR="00984CCB" w:rsidRPr="00984CCB">
              <w:rPr>
                <w:lang w:val="fr-FR"/>
              </w:rPr>
              <w:t xml:space="preserve"> quelles autres solutions les États membres </w:t>
            </w:r>
            <w:r w:rsidR="006101AA">
              <w:rPr>
                <w:lang w:val="fr-FR"/>
              </w:rPr>
              <w:t>pourraient</w:t>
            </w:r>
            <w:r w:rsidR="003A7DCA">
              <w:rPr>
                <w:lang w:val="fr-FR"/>
              </w:rPr>
              <w:t>-</w:t>
            </w:r>
            <w:r w:rsidR="006101AA">
              <w:rPr>
                <w:lang w:val="fr-FR"/>
              </w:rPr>
              <w:t>ils avoir recours pour</w:t>
            </w:r>
            <w:r w:rsidR="00984CCB" w:rsidRPr="00984CCB">
              <w:rPr>
                <w:lang w:val="fr-FR"/>
              </w:rPr>
              <w:t xml:space="preserve"> renforcer la capacité d</w:t>
            </w:r>
            <w:r w:rsidR="003A7DCA">
              <w:rPr>
                <w:lang w:val="fr-FR"/>
              </w:rPr>
              <w:t>’</w:t>
            </w:r>
            <w:r w:rsidR="00984CCB" w:rsidRPr="00984CCB">
              <w:rPr>
                <w:lang w:val="fr-FR"/>
              </w:rPr>
              <w:t xml:space="preserve">innovation; </w:t>
            </w:r>
            <w:r w:rsidR="00FB6857">
              <w:rPr>
                <w:lang w:val="fr-FR"/>
              </w:rPr>
              <w:t xml:space="preserve"> </w:t>
            </w:r>
            <w:r w:rsidR="00984CCB" w:rsidRPr="00984CCB">
              <w:rPr>
                <w:lang w:val="fr-FR"/>
              </w:rPr>
              <w:t>quels sont les types d</w:t>
            </w:r>
            <w:r w:rsidR="003A7DCA">
              <w:rPr>
                <w:lang w:val="fr-FR"/>
              </w:rPr>
              <w:t>’</w:t>
            </w:r>
            <w:r w:rsidR="00984CCB" w:rsidRPr="00984CCB">
              <w:rPr>
                <w:lang w:val="fr-FR"/>
              </w:rPr>
              <w:t xml:space="preserve">activités </w:t>
            </w:r>
            <w:proofErr w:type="spellStart"/>
            <w:r w:rsidR="00984CCB" w:rsidRPr="00984CCB">
              <w:rPr>
                <w:lang w:val="fr-FR"/>
              </w:rPr>
              <w:t>anticoncurrentielles</w:t>
            </w:r>
            <w:proofErr w:type="spellEnd"/>
            <w:r w:rsidR="00984CCB" w:rsidRPr="00984CCB">
              <w:rPr>
                <w:lang w:val="fr-FR"/>
              </w:rPr>
              <w:t xml:space="preserve"> que les droits de propriété intellectuelle pourraient </w:t>
            </w:r>
            <w:r w:rsidR="006101AA">
              <w:rPr>
                <w:lang w:val="fr-FR"/>
              </w:rPr>
              <w:t>induire;</w:t>
            </w:r>
            <w:r w:rsidR="00984CCB" w:rsidRPr="00984CCB">
              <w:rPr>
                <w:lang w:val="fr-FR"/>
              </w:rPr>
              <w:t xml:space="preserve"> </w:t>
            </w:r>
            <w:r w:rsidR="00FB6857">
              <w:rPr>
                <w:lang w:val="fr-FR"/>
              </w:rPr>
              <w:t xml:space="preserve"> </w:t>
            </w:r>
            <w:r w:rsidR="00984CCB" w:rsidRPr="00984CCB">
              <w:rPr>
                <w:lang w:val="fr-FR"/>
              </w:rPr>
              <w:t>et comment éviter les atteintes aux droits de propriété intellectuelle?</w:t>
            </w:r>
            <w:r w:rsidR="00230865" w:rsidRPr="00984CCB">
              <w:rPr>
                <w:lang w:val="fr-FR"/>
              </w:rPr>
              <w:t xml:space="preserve">  </w:t>
            </w:r>
            <w:r w:rsidR="006101AA">
              <w:rPr>
                <w:lang w:val="fr-FR"/>
              </w:rPr>
              <w:t>C</w:t>
            </w:r>
            <w:r w:rsidR="00984CCB" w:rsidRPr="00984CCB">
              <w:rPr>
                <w:lang w:val="fr-FR"/>
              </w:rPr>
              <w:t>es questions</w:t>
            </w:r>
            <w:r w:rsidR="006101AA">
              <w:rPr>
                <w:lang w:val="fr-FR"/>
              </w:rPr>
              <w:t xml:space="preserve"> peuvent servir de base à l</w:t>
            </w:r>
            <w:r w:rsidR="003A7DCA">
              <w:rPr>
                <w:lang w:val="fr-FR"/>
              </w:rPr>
              <w:t>’</w:t>
            </w:r>
            <w:r w:rsidR="006101AA">
              <w:rPr>
                <w:lang w:val="fr-FR"/>
              </w:rPr>
              <w:t>élaboration d</w:t>
            </w:r>
            <w:r w:rsidR="003A7DCA">
              <w:rPr>
                <w:lang w:val="fr-FR"/>
              </w:rPr>
              <w:t>’</w:t>
            </w:r>
            <w:r w:rsidR="00984CCB" w:rsidRPr="00984CCB">
              <w:rPr>
                <w:lang w:val="fr-FR"/>
              </w:rPr>
              <w:t xml:space="preserve">un </w:t>
            </w:r>
            <w:r w:rsidR="006101AA">
              <w:rPr>
                <w:lang w:val="fr-FR"/>
              </w:rPr>
              <w:t>ensemble</w:t>
            </w:r>
            <w:r w:rsidR="00984CCB" w:rsidRPr="00984CCB">
              <w:rPr>
                <w:lang w:val="fr-FR"/>
              </w:rPr>
              <w:t xml:space="preserve"> d</w:t>
            </w:r>
            <w:r w:rsidR="003A7DCA">
              <w:rPr>
                <w:lang w:val="fr-FR"/>
              </w:rPr>
              <w:t>’</w:t>
            </w:r>
            <w:r w:rsidR="00984CCB" w:rsidRPr="00984CCB">
              <w:rPr>
                <w:lang w:val="fr-FR"/>
              </w:rPr>
              <w:t xml:space="preserve">indicateurs quantitatifs </w:t>
            </w:r>
            <w:r w:rsidR="006101AA">
              <w:rPr>
                <w:lang w:val="fr-FR"/>
              </w:rPr>
              <w:t>permettant de</w:t>
            </w:r>
            <w:r w:rsidR="00984CCB" w:rsidRPr="00984CCB">
              <w:rPr>
                <w:lang w:val="fr-FR"/>
              </w:rPr>
              <w:t xml:space="preserve"> mesurer les effets de l</w:t>
            </w:r>
            <w:r w:rsidR="003A7DCA">
              <w:rPr>
                <w:lang w:val="fr-FR"/>
              </w:rPr>
              <w:t>’</w:t>
            </w:r>
            <w:r w:rsidR="00984CCB" w:rsidRPr="00984CCB">
              <w:rPr>
                <w:lang w:val="fr-FR"/>
              </w:rPr>
              <w:t xml:space="preserve">assistance technique, </w:t>
            </w:r>
            <w:r w:rsidR="003A7DCA">
              <w:rPr>
                <w:lang w:val="fr-FR"/>
              </w:rPr>
              <w:t>y compris</w:t>
            </w:r>
            <w:r w:rsidR="00984CCB" w:rsidRPr="00984CCB">
              <w:rPr>
                <w:lang w:val="fr-FR"/>
              </w:rPr>
              <w:t xml:space="preserve"> </w:t>
            </w:r>
            <w:r w:rsidR="006101AA">
              <w:rPr>
                <w:lang w:val="fr-FR"/>
              </w:rPr>
              <w:t>en utilisant des</w:t>
            </w:r>
            <w:r w:rsidR="00984CCB" w:rsidRPr="00984CCB">
              <w:rPr>
                <w:lang w:val="fr-FR"/>
              </w:rPr>
              <w:t xml:space="preserve"> scénarios avec/sans assistance et avant/après l</w:t>
            </w:r>
            <w:r w:rsidR="003A7DCA">
              <w:rPr>
                <w:lang w:val="fr-FR"/>
              </w:rPr>
              <w:t>’</w:t>
            </w:r>
            <w:r w:rsidR="00984CCB" w:rsidRPr="00984CCB">
              <w:rPr>
                <w:lang w:val="fr-FR"/>
              </w:rPr>
              <w:t>assistance.</w:t>
            </w:r>
          </w:p>
        </w:tc>
      </w:tr>
      <w:tr w:rsidR="008B364C" w:rsidRPr="00FC6961" w:rsidTr="00430D8B">
        <w:tc>
          <w:tcPr>
            <w:tcW w:w="3114" w:type="dxa"/>
          </w:tcPr>
          <w:p w:rsidR="006A47C0" w:rsidRDefault="008B364C" w:rsidP="00430D8B">
            <w:pPr>
              <w:rPr>
                <w:lang w:val="fr-FR"/>
              </w:rPr>
            </w:pPr>
            <w:r w:rsidRPr="00802BE1">
              <w:rPr>
                <w:b/>
                <w:lang w:val="fr-FR"/>
              </w:rPr>
              <w:t>Recommandation n° 4</w:t>
            </w:r>
            <w:r w:rsidR="003A7DCA">
              <w:rPr>
                <w:b/>
                <w:lang w:val="fr-FR"/>
              </w:rPr>
              <w:t> :</w:t>
            </w:r>
          </w:p>
          <w:p w:rsidR="008B364C" w:rsidRPr="00802BE1" w:rsidRDefault="008B364C" w:rsidP="002A572A">
            <w:pPr>
              <w:rPr>
                <w:lang w:val="fr-FR"/>
              </w:rPr>
            </w:pPr>
            <w:r w:rsidRPr="00802BE1">
              <w:t>Dans la mise en œuvre des recommandations du Plan d</w:t>
            </w:r>
            <w:r w:rsidR="003A7DCA">
              <w:t>’</w:t>
            </w:r>
            <w:r w:rsidRPr="00802BE1">
              <w:t>action pour le développement, le </w:t>
            </w:r>
            <w:proofErr w:type="spellStart"/>
            <w:r w:rsidRPr="00802BE1">
              <w:t>CDIP</w:t>
            </w:r>
            <w:proofErr w:type="spellEnd"/>
            <w:r w:rsidRPr="00802BE1">
              <w:t xml:space="preserve"> devrait examiner les moyens de répondre au mieux à l</w:t>
            </w:r>
            <w:r w:rsidR="003A7DCA">
              <w:t>’</w:t>
            </w:r>
            <w:r w:rsidRPr="00802BE1">
              <w:t xml:space="preserve">évolution de la conjoncture et aux défis émergents en termes de développement </w:t>
            </w:r>
            <w:r w:rsidRPr="00802BE1">
              <w:lastRenderedPageBreak/>
              <w:t>auxquels est confronté le système de la propriété intellectuel</w:t>
            </w:r>
            <w:r w:rsidR="00230E63" w:rsidRPr="00802BE1">
              <w:t>le</w:t>
            </w:r>
            <w:r w:rsidR="00230E63">
              <w:t xml:space="preserve">.  </w:t>
            </w:r>
            <w:r w:rsidR="00230E63" w:rsidRPr="00802BE1">
              <w:t>Pa</w:t>
            </w:r>
            <w:r w:rsidRPr="00802BE1">
              <w:t>rallèlement, il conviendrait d</w:t>
            </w:r>
            <w:r w:rsidR="003A7DCA">
              <w:t>’</w:t>
            </w:r>
            <w:r w:rsidRPr="00802BE1">
              <w:t>associer étroitement d</w:t>
            </w:r>
            <w:r w:rsidR="003A7DCA">
              <w:t>’</w:t>
            </w:r>
            <w:r w:rsidRPr="00802BE1">
              <w:t xml:space="preserve">autres organismes des </w:t>
            </w:r>
            <w:r w:rsidR="003A7DCA">
              <w:t>Nations Unies</w:t>
            </w:r>
            <w:r w:rsidRPr="00802BE1">
              <w:t xml:space="preserve"> œuvrant dans le domaine du développement afin de tirer parti de leurs compétences aux fins de la mise en œuvre des recommandations du Plan d</w:t>
            </w:r>
            <w:r w:rsidR="003A7DCA">
              <w:t>’</w:t>
            </w:r>
            <w:r w:rsidRPr="00802BE1">
              <w:t>action pour le développement et de la promotion de la réalisation des objectifs de développement durable.</w:t>
            </w:r>
          </w:p>
        </w:tc>
        <w:tc>
          <w:tcPr>
            <w:tcW w:w="5957" w:type="dxa"/>
          </w:tcPr>
          <w:p w:rsidR="008B364C" w:rsidRPr="00FC6961" w:rsidRDefault="00FC6961" w:rsidP="00430D8B">
            <w:pPr>
              <w:pStyle w:val="ListParagraph"/>
              <w:numPr>
                <w:ilvl w:val="0"/>
                <w:numId w:val="28"/>
              </w:numPr>
              <w:ind w:left="567" w:hanging="567"/>
              <w:rPr>
                <w:lang w:val="fr-FR"/>
              </w:rPr>
            </w:pPr>
            <w:r w:rsidRPr="00FC6961">
              <w:rPr>
                <w:lang w:val="fr-FR"/>
              </w:rPr>
              <w:lastRenderedPageBreak/>
              <w:t xml:space="preserve">Le renforcement des partenariats officiels et non officiels avec la famille des </w:t>
            </w:r>
            <w:r w:rsidR="006101AA">
              <w:rPr>
                <w:lang w:val="fr-FR"/>
              </w:rPr>
              <w:t>institutions</w:t>
            </w:r>
            <w:r w:rsidRPr="00FC6961">
              <w:rPr>
                <w:lang w:val="fr-FR"/>
              </w:rPr>
              <w:t xml:space="preserve"> internationa</w:t>
            </w:r>
            <w:r w:rsidR="006101AA">
              <w:rPr>
                <w:lang w:val="fr-FR"/>
              </w:rPr>
              <w:t>les</w:t>
            </w:r>
            <w:r w:rsidRPr="00FC6961">
              <w:rPr>
                <w:lang w:val="fr-FR"/>
              </w:rPr>
              <w:t xml:space="preserve"> et les processus </w:t>
            </w:r>
            <w:proofErr w:type="spellStart"/>
            <w:r w:rsidRPr="00FC6961">
              <w:rPr>
                <w:lang w:val="fr-FR"/>
              </w:rPr>
              <w:t>intergouvernementaux</w:t>
            </w:r>
            <w:proofErr w:type="spellEnd"/>
            <w:r w:rsidRPr="00FC6961">
              <w:rPr>
                <w:lang w:val="fr-FR"/>
              </w:rPr>
              <w:t xml:space="preserve"> aideront l</w:t>
            </w:r>
            <w:r w:rsidR="003A7DCA">
              <w:rPr>
                <w:lang w:val="fr-FR"/>
              </w:rPr>
              <w:t>’</w:t>
            </w:r>
            <w:r w:rsidRPr="00FC6961">
              <w:rPr>
                <w:lang w:val="fr-FR"/>
              </w:rPr>
              <w:t>OMPI à déterminer comment l</w:t>
            </w:r>
            <w:r w:rsidR="003A7DCA">
              <w:rPr>
                <w:lang w:val="fr-FR"/>
              </w:rPr>
              <w:t>’</w:t>
            </w:r>
            <w:r w:rsidRPr="00FC6961">
              <w:rPr>
                <w:lang w:val="fr-FR"/>
              </w:rPr>
              <w:t xml:space="preserve">Organisation et le Programme de développement peuvent contribuer à la concrétisation des priorités globales des </w:t>
            </w:r>
            <w:r w:rsidR="003A7DCA">
              <w:rPr>
                <w:lang w:val="fr-FR"/>
              </w:rPr>
              <w:t>Nations Unies</w:t>
            </w:r>
            <w:r w:rsidRPr="00FC6961">
              <w:rPr>
                <w:lang w:val="fr-FR"/>
              </w:rPr>
              <w:t>, telles que la réalisation des objectifs d</w:t>
            </w:r>
            <w:r w:rsidR="00CA4CBC">
              <w:rPr>
                <w:lang w:val="fr-FR"/>
              </w:rPr>
              <w:t>e</w:t>
            </w:r>
            <w:r w:rsidRPr="00FC6961">
              <w:rPr>
                <w:lang w:val="fr-FR"/>
              </w:rPr>
              <w:t xml:space="preserve"> développement durable.</w:t>
            </w:r>
            <w:r w:rsidR="00230865" w:rsidRPr="00FC6961">
              <w:rPr>
                <w:lang w:val="fr-FR"/>
              </w:rPr>
              <w:t xml:space="preserve"> </w:t>
            </w:r>
            <w:r w:rsidR="006101AA">
              <w:rPr>
                <w:lang w:val="fr-FR"/>
              </w:rPr>
              <w:t xml:space="preserve"> </w:t>
            </w:r>
            <w:r>
              <w:rPr>
                <w:lang w:val="fr-FR"/>
              </w:rPr>
              <w:t>L</w:t>
            </w:r>
            <w:r w:rsidR="003A7DCA">
              <w:rPr>
                <w:lang w:val="fr-FR"/>
              </w:rPr>
              <w:t>’</w:t>
            </w:r>
            <w:r>
              <w:rPr>
                <w:lang w:val="fr-FR"/>
              </w:rPr>
              <w:t xml:space="preserve">OMPI pourrait également jouer un rôle plus actif au sein du système des </w:t>
            </w:r>
            <w:r w:rsidR="003A7DCA">
              <w:rPr>
                <w:lang w:val="fr-FR"/>
              </w:rPr>
              <w:t>Nations Unies</w:t>
            </w:r>
            <w:r>
              <w:rPr>
                <w:lang w:val="fr-FR"/>
              </w:rPr>
              <w:t xml:space="preserve"> en </w:t>
            </w:r>
            <w:proofErr w:type="spellStart"/>
            <w:r>
              <w:rPr>
                <w:lang w:val="fr-FR"/>
              </w:rPr>
              <w:t>coorganisant</w:t>
            </w:r>
            <w:proofErr w:type="spellEnd"/>
            <w:r>
              <w:rPr>
                <w:lang w:val="fr-FR"/>
              </w:rPr>
              <w:t xml:space="preserve"> des débats politique</w:t>
            </w:r>
            <w:r w:rsidR="00CA4CBC">
              <w:rPr>
                <w:lang w:val="fr-FR"/>
              </w:rPr>
              <w:t>s</w:t>
            </w:r>
            <w:r>
              <w:rPr>
                <w:lang w:val="fr-FR"/>
              </w:rPr>
              <w:t xml:space="preserve"> </w:t>
            </w:r>
            <w:r>
              <w:rPr>
                <w:lang w:val="fr-FR"/>
              </w:rPr>
              <w:lastRenderedPageBreak/>
              <w:t xml:space="preserve">sur le système mondial de la propriété intellectuelle et sur son importance pour un large éventail de questions, </w:t>
            </w:r>
            <w:r w:rsidR="00CA4CBC">
              <w:rPr>
                <w:lang w:val="fr-FR"/>
              </w:rPr>
              <w:t>parmi lesquelles</w:t>
            </w:r>
            <w:r>
              <w:rPr>
                <w:lang w:val="fr-FR"/>
              </w:rPr>
              <w:t xml:space="preserve"> l</w:t>
            </w:r>
            <w:r w:rsidR="003A7DCA">
              <w:rPr>
                <w:lang w:val="fr-FR"/>
              </w:rPr>
              <w:t>’</w:t>
            </w:r>
            <w:r>
              <w:rPr>
                <w:lang w:val="fr-FR"/>
              </w:rPr>
              <w:t>innovation, l</w:t>
            </w:r>
            <w:r w:rsidR="003A7DCA">
              <w:rPr>
                <w:lang w:val="fr-FR"/>
              </w:rPr>
              <w:t>’</w:t>
            </w:r>
            <w:r>
              <w:rPr>
                <w:lang w:val="fr-FR"/>
              </w:rPr>
              <w:t>accès au savoir, le développement, le commerce, le climat, l</w:t>
            </w:r>
            <w:r w:rsidR="003A7DCA">
              <w:rPr>
                <w:lang w:val="fr-FR"/>
              </w:rPr>
              <w:t>’</w:t>
            </w:r>
            <w:r>
              <w:rPr>
                <w:lang w:val="fr-FR"/>
              </w:rPr>
              <w:t>environnement, l</w:t>
            </w:r>
            <w:r w:rsidR="003A7DCA">
              <w:rPr>
                <w:lang w:val="fr-FR"/>
              </w:rPr>
              <w:t>’</w:t>
            </w:r>
            <w:r>
              <w:rPr>
                <w:lang w:val="fr-FR"/>
              </w:rPr>
              <w:t>agriculture et la santé publique.</w:t>
            </w:r>
          </w:p>
        </w:tc>
      </w:tr>
      <w:tr w:rsidR="008B364C" w:rsidRPr="00FC6961" w:rsidTr="00430D8B">
        <w:tc>
          <w:tcPr>
            <w:tcW w:w="3114" w:type="dxa"/>
          </w:tcPr>
          <w:p w:rsidR="006A47C0" w:rsidRDefault="008B364C" w:rsidP="00430D8B">
            <w:pPr>
              <w:rPr>
                <w:lang w:val="fr-FR"/>
              </w:rPr>
            </w:pPr>
            <w:r w:rsidRPr="00802BE1">
              <w:rPr>
                <w:b/>
                <w:lang w:val="fr-FR"/>
              </w:rPr>
              <w:lastRenderedPageBreak/>
              <w:t>Recommandation n° 6</w:t>
            </w:r>
            <w:r w:rsidR="003A7DCA">
              <w:rPr>
                <w:b/>
                <w:lang w:val="fr-FR"/>
              </w:rPr>
              <w:t> :</w:t>
            </w:r>
          </w:p>
          <w:p w:rsidR="008B364C" w:rsidRPr="00802BE1" w:rsidRDefault="008B364C" w:rsidP="00430D8B">
            <w:pPr>
              <w:rPr>
                <w:lang w:val="fr-FR"/>
              </w:rPr>
            </w:pPr>
            <w:r w:rsidRPr="00802BE1">
              <w:t>Les États membres sont encouragés à renforcer la coordination entre leurs missions à Genève et leurs offices de propriété intellectuelle et autres administrations dans les capitales de manière à établir une approche coordonnée des travaux du </w:t>
            </w:r>
            <w:proofErr w:type="spellStart"/>
            <w:r w:rsidRPr="00802BE1">
              <w:t>CDIP</w:t>
            </w:r>
            <w:proofErr w:type="spellEnd"/>
            <w:r w:rsidRPr="00802BE1">
              <w:t xml:space="preserve"> et à sensibiliser les parties prenantes aux avantages du Plan d</w:t>
            </w:r>
            <w:r w:rsidR="003A7DCA">
              <w:t>’</w:t>
            </w:r>
            <w:r w:rsidRPr="00802BE1">
              <w:t>action pour le développeme</w:t>
            </w:r>
            <w:r w:rsidR="00230E63" w:rsidRPr="00802BE1">
              <w:t>nt</w:t>
            </w:r>
            <w:r w:rsidR="00230E63">
              <w:t xml:space="preserve">.  </w:t>
            </w:r>
            <w:r w:rsidR="00230E63" w:rsidRPr="00802BE1">
              <w:t>Un</w:t>
            </w:r>
            <w:r w:rsidRPr="00802BE1">
              <w:t>e participation de plus haut niveau des experts nationaux aux travaux du comité devrait être favoris</w:t>
            </w:r>
            <w:r w:rsidR="00230E63" w:rsidRPr="00802BE1">
              <w:t>ée</w:t>
            </w:r>
            <w:r w:rsidR="00230E63">
              <w:t xml:space="preserve">.  </w:t>
            </w:r>
            <w:r w:rsidR="00230E63" w:rsidRPr="00802BE1">
              <w:t>Le</w:t>
            </w:r>
            <w:r w:rsidRPr="00802BE1">
              <w:t> </w:t>
            </w:r>
            <w:proofErr w:type="spellStart"/>
            <w:r w:rsidRPr="00802BE1">
              <w:t>CDIP</w:t>
            </w:r>
            <w:proofErr w:type="spellEnd"/>
            <w:r w:rsidRPr="00802BE1">
              <w:t xml:space="preserve"> devrait se pencher sur les modalités relatives au retour d</w:t>
            </w:r>
            <w:r w:rsidR="003A7DCA">
              <w:t>’</w:t>
            </w:r>
            <w:r w:rsidRPr="00802BE1">
              <w:t>information sur les mesures prises au niveau national pour mettre en œuvre les recommandations du Plan d</w:t>
            </w:r>
            <w:r w:rsidR="003A7DCA">
              <w:t>’</w:t>
            </w:r>
            <w:r w:rsidRPr="00802BE1">
              <w:t>action pour le développement.</w:t>
            </w:r>
          </w:p>
        </w:tc>
        <w:tc>
          <w:tcPr>
            <w:tcW w:w="5957" w:type="dxa"/>
          </w:tcPr>
          <w:p w:rsidR="008B364C" w:rsidRPr="00FC6961" w:rsidRDefault="00FC6961" w:rsidP="00430D8B">
            <w:pPr>
              <w:rPr>
                <w:lang w:val="fr-FR"/>
              </w:rPr>
            </w:pPr>
            <w:r w:rsidRPr="00FC6961">
              <w:rPr>
                <w:lang w:val="fr-FR"/>
              </w:rPr>
              <w:t>Bien que cette recommandation s</w:t>
            </w:r>
            <w:r w:rsidR="003A7DCA">
              <w:rPr>
                <w:lang w:val="fr-FR"/>
              </w:rPr>
              <w:t>’</w:t>
            </w:r>
            <w:r w:rsidRPr="00FC6961">
              <w:rPr>
                <w:lang w:val="fr-FR"/>
              </w:rPr>
              <w:t>adresse plus particulièrement aux États membres, il importe de veiller à ce que le Secrétariat poursuive et renforce sa collaboration avec les représentants des États membres en poste à Genève, notamment en ce qui concerne la planification et la mise en œuvre de l</w:t>
            </w:r>
            <w:r w:rsidR="003A7DCA">
              <w:rPr>
                <w:lang w:val="fr-FR"/>
              </w:rPr>
              <w:t>’</w:t>
            </w:r>
            <w:r w:rsidRPr="00FC6961">
              <w:rPr>
                <w:lang w:val="fr-FR"/>
              </w:rPr>
              <w:t xml:space="preserve">assistance technique et </w:t>
            </w:r>
            <w:r w:rsidR="00CA4CBC">
              <w:rPr>
                <w:lang w:val="fr-FR"/>
              </w:rPr>
              <w:t>d</w:t>
            </w:r>
            <w:r w:rsidR="003A7DCA">
              <w:rPr>
                <w:lang w:val="fr-FR"/>
              </w:rPr>
              <w:t>’</w:t>
            </w:r>
            <w:r w:rsidRPr="00FC6961">
              <w:rPr>
                <w:lang w:val="fr-FR"/>
              </w:rPr>
              <w:t>autres activités.</w:t>
            </w:r>
          </w:p>
        </w:tc>
      </w:tr>
      <w:tr w:rsidR="008B364C" w:rsidRPr="004768E5" w:rsidTr="00430D8B">
        <w:tc>
          <w:tcPr>
            <w:tcW w:w="3114" w:type="dxa"/>
          </w:tcPr>
          <w:p w:rsidR="006A47C0" w:rsidRDefault="008B364C" w:rsidP="00430D8B">
            <w:pPr>
              <w:rPr>
                <w:lang w:val="fr-FR"/>
              </w:rPr>
            </w:pPr>
            <w:r w:rsidRPr="00802BE1">
              <w:rPr>
                <w:b/>
                <w:lang w:val="fr-FR"/>
              </w:rPr>
              <w:t>Recommandation n° 7</w:t>
            </w:r>
            <w:r w:rsidR="003A7DCA">
              <w:rPr>
                <w:b/>
                <w:lang w:val="fr-FR"/>
              </w:rPr>
              <w:t> :</w:t>
            </w:r>
          </w:p>
          <w:p w:rsidR="008B364C" w:rsidRPr="00802BE1" w:rsidRDefault="008B364C" w:rsidP="00430D8B">
            <w:pPr>
              <w:rPr>
                <w:lang w:val="fr-FR"/>
              </w:rPr>
            </w:pPr>
            <w:r w:rsidRPr="00802BE1">
              <w:t>Les États membres sont encouragés à formuler, compte tenu de leurs besoins nationaux, de nouvelles propositions de projets pour examen par le </w:t>
            </w:r>
            <w:proofErr w:type="spellStart"/>
            <w:r w:rsidRPr="00802BE1">
              <w:t>C</w:t>
            </w:r>
            <w:r w:rsidR="00230E63" w:rsidRPr="00802BE1">
              <w:t>DIP</w:t>
            </w:r>
            <w:proofErr w:type="spellEnd"/>
            <w:r w:rsidR="00230E63">
              <w:t xml:space="preserve">.  </w:t>
            </w:r>
            <w:r w:rsidR="00230E63" w:rsidRPr="00802BE1">
              <w:t>Il</w:t>
            </w:r>
            <w:r w:rsidRPr="00802BE1">
              <w:t>s devraient envisager l</w:t>
            </w:r>
            <w:r w:rsidR="003A7DCA">
              <w:t>’</w:t>
            </w:r>
            <w:r w:rsidRPr="00802BE1">
              <w:t>établissement d</w:t>
            </w:r>
            <w:r w:rsidR="003A7DCA">
              <w:t>’</w:t>
            </w:r>
            <w:r w:rsidRPr="00802BE1">
              <w:t>un mécanisme de retour d</w:t>
            </w:r>
            <w:r w:rsidR="003A7DCA">
              <w:t>’</w:t>
            </w:r>
            <w:r w:rsidRPr="00802BE1">
              <w:t xml:space="preserve">information sur les </w:t>
            </w:r>
            <w:r w:rsidRPr="00802BE1">
              <w:lastRenderedPageBreak/>
              <w:t>enseignements tirés et les pratiques recommandées des projets et activités du Plan d</w:t>
            </w:r>
            <w:r w:rsidR="003A7DCA">
              <w:t>’</w:t>
            </w:r>
            <w:r w:rsidRPr="00802BE1">
              <w:t xml:space="preserve">action pour </w:t>
            </w:r>
            <w:proofErr w:type="gramStart"/>
            <w:r w:rsidRPr="00802BE1">
              <w:t>le développement couronnés</w:t>
            </w:r>
            <w:proofErr w:type="gramEnd"/>
            <w:r w:rsidRPr="00802BE1">
              <w:t xml:space="preserve"> de succ</w:t>
            </w:r>
            <w:r w:rsidR="00230E63" w:rsidRPr="00802BE1">
              <w:t>ès</w:t>
            </w:r>
            <w:r w:rsidR="00230E63">
              <w:t xml:space="preserve">.  </w:t>
            </w:r>
            <w:r w:rsidR="00230E63" w:rsidRPr="00802BE1">
              <w:t>Ce</w:t>
            </w:r>
            <w:r w:rsidRPr="00802BE1">
              <w:t xml:space="preserve"> mécanisme d</w:t>
            </w:r>
            <w:r w:rsidR="003A7DCA">
              <w:t>’</w:t>
            </w:r>
            <w:r w:rsidRPr="00802BE1">
              <w:t>information devrait comprendre un examen périodique de la viabilité à long terme des projets achevés ou intégrés, ainsi que de l</w:t>
            </w:r>
            <w:r w:rsidR="003A7DCA">
              <w:t>’</w:t>
            </w:r>
            <w:r w:rsidRPr="00802BE1">
              <w:t>impact de ces projets sur les bénéficiaires.  L</w:t>
            </w:r>
            <w:r w:rsidR="003A7DCA">
              <w:t>’</w:t>
            </w:r>
            <w:r w:rsidRPr="00802BE1">
              <w:t>OMPI devrait établir une base de données des enseignements tirés et pratiques recommandées dans le cadre de la mise en œuvre des projets du Plan d</w:t>
            </w:r>
            <w:r w:rsidR="003A7DCA">
              <w:t>’</w:t>
            </w:r>
            <w:r w:rsidRPr="00802BE1">
              <w:t>action pour le développement.</w:t>
            </w:r>
          </w:p>
        </w:tc>
        <w:tc>
          <w:tcPr>
            <w:tcW w:w="5957" w:type="dxa"/>
          </w:tcPr>
          <w:p w:rsidR="003A7DCA" w:rsidRDefault="00FC6961" w:rsidP="00430D8B">
            <w:pPr>
              <w:pStyle w:val="ListParagraph"/>
              <w:numPr>
                <w:ilvl w:val="0"/>
                <w:numId w:val="29"/>
              </w:numPr>
              <w:ind w:left="567" w:hanging="567"/>
              <w:rPr>
                <w:lang w:val="fr-FR"/>
              </w:rPr>
            </w:pPr>
            <w:r w:rsidRPr="00FC6961">
              <w:rPr>
                <w:lang w:val="fr-FR"/>
              </w:rPr>
              <w:lastRenderedPageBreak/>
              <w:t>En général, un État membre s</w:t>
            </w:r>
            <w:r w:rsidR="003A7DCA">
              <w:rPr>
                <w:lang w:val="fr-FR"/>
              </w:rPr>
              <w:t>’</w:t>
            </w:r>
            <w:r w:rsidRPr="00FC6961">
              <w:rPr>
                <w:lang w:val="fr-FR"/>
              </w:rPr>
              <w:t>adresse au Secrétariat pour obtenir une assistance technique dans un domaine particuli</w:t>
            </w:r>
            <w:r w:rsidR="00230E63" w:rsidRPr="00FC6961">
              <w:rPr>
                <w:lang w:val="fr-FR"/>
              </w:rPr>
              <w:t>er</w:t>
            </w:r>
            <w:r w:rsidR="00230E63">
              <w:rPr>
                <w:lang w:val="fr-FR"/>
              </w:rPr>
              <w:t>.  Le</w:t>
            </w:r>
            <w:r>
              <w:rPr>
                <w:lang w:val="fr-FR"/>
              </w:rPr>
              <w:t xml:space="preserve"> Secrétariat devrait lui indiquer s</w:t>
            </w:r>
            <w:r w:rsidR="003A7DCA">
              <w:rPr>
                <w:lang w:val="fr-FR"/>
              </w:rPr>
              <w:t>’</w:t>
            </w:r>
            <w:r>
              <w:rPr>
                <w:lang w:val="fr-FR"/>
              </w:rPr>
              <w:t xml:space="preserve">il est préférable que </w:t>
            </w:r>
            <w:r w:rsidR="00CA4CBC">
              <w:rPr>
                <w:lang w:val="fr-FR"/>
              </w:rPr>
              <w:t>cette assistance lui</w:t>
            </w:r>
            <w:r>
              <w:rPr>
                <w:lang w:val="fr-FR"/>
              </w:rPr>
              <w:t xml:space="preserve"> soit fournie dans le cadre d</w:t>
            </w:r>
            <w:r w:rsidR="003A7DCA">
              <w:rPr>
                <w:lang w:val="fr-FR"/>
              </w:rPr>
              <w:t>’</w:t>
            </w:r>
            <w:r>
              <w:rPr>
                <w:lang w:val="fr-FR"/>
              </w:rPr>
              <w:t>un projet</w:t>
            </w:r>
            <w:r w:rsidR="003A7DCA">
              <w:rPr>
                <w:lang w:val="fr-FR"/>
              </w:rPr>
              <w:t xml:space="preserve"> du </w:t>
            </w:r>
            <w:proofErr w:type="spellStart"/>
            <w:r w:rsidR="003A7DCA">
              <w:rPr>
                <w:lang w:val="fr-FR"/>
              </w:rPr>
              <w:t>CDI</w:t>
            </w:r>
            <w:r>
              <w:rPr>
                <w:lang w:val="fr-FR"/>
              </w:rPr>
              <w:t>P</w:t>
            </w:r>
            <w:proofErr w:type="spellEnd"/>
            <w:r>
              <w:rPr>
                <w:lang w:val="fr-FR"/>
              </w:rPr>
              <w:t xml:space="preserve"> ou d</w:t>
            </w:r>
            <w:r w:rsidR="003A7DCA">
              <w:rPr>
                <w:lang w:val="fr-FR"/>
              </w:rPr>
              <w:t>’</w:t>
            </w:r>
            <w:r>
              <w:rPr>
                <w:lang w:val="fr-FR"/>
              </w:rPr>
              <w:t>un programme ordinaire de l</w:t>
            </w:r>
            <w:r w:rsidR="003A7DCA">
              <w:rPr>
                <w:lang w:val="fr-FR"/>
              </w:rPr>
              <w:t>’</w:t>
            </w:r>
            <w:r>
              <w:rPr>
                <w:lang w:val="fr-FR"/>
              </w:rPr>
              <w:t>OMPI.</w:t>
            </w:r>
          </w:p>
          <w:p w:rsidR="006A47C0" w:rsidRPr="00FC6961" w:rsidRDefault="006A47C0" w:rsidP="00430D8B">
            <w:pPr>
              <w:ind w:left="567" w:hanging="567"/>
              <w:rPr>
                <w:lang w:val="fr-FR"/>
              </w:rPr>
            </w:pPr>
          </w:p>
          <w:p w:rsidR="008B364C" w:rsidRPr="004768E5" w:rsidRDefault="00FC6961" w:rsidP="00430D8B">
            <w:pPr>
              <w:pStyle w:val="ListParagraph"/>
              <w:numPr>
                <w:ilvl w:val="0"/>
                <w:numId w:val="29"/>
              </w:numPr>
              <w:ind w:left="567" w:hanging="567"/>
              <w:rPr>
                <w:lang w:val="fr-FR"/>
              </w:rPr>
            </w:pPr>
            <w:r w:rsidRPr="00FC6961">
              <w:rPr>
                <w:lang w:val="fr-FR"/>
              </w:rPr>
              <w:t>Les projets</w:t>
            </w:r>
            <w:r w:rsidR="003A7DCA" w:rsidRPr="00FC6961">
              <w:rPr>
                <w:lang w:val="fr-FR"/>
              </w:rPr>
              <w:t xml:space="preserve"> du</w:t>
            </w:r>
            <w:r w:rsidR="003A7DCA">
              <w:rPr>
                <w:lang w:val="fr-FR"/>
              </w:rPr>
              <w:t> </w:t>
            </w:r>
            <w:proofErr w:type="spellStart"/>
            <w:r w:rsidR="003A7DCA" w:rsidRPr="00FC6961">
              <w:rPr>
                <w:lang w:val="fr-FR"/>
              </w:rPr>
              <w:t>CDI</w:t>
            </w:r>
            <w:r w:rsidRPr="00FC6961">
              <w:rPr>
                <w:lang w:val="fr-FR"/>
              </w:rPr>
              <w:t>P</w:t>
            </w:r>
            <w:proofErr w:type="spellEnd"/>
            <w:r w:rsidRPr="00FC6961">
              <w:rPr>
                <w:lang w:val="fr-FR"/>
              </w:rPr>
              <w:t xml:space="preserve"> sont élaborés par les États membres en concertation avec le Secrétariat de l</w:t>
            </w:r>
            <w:r w:rsidR="003A7DCA">
              <w:rPr>
                <w:lang w:val="fr-FR"/>
              </w:rPr>
              <w:t>’</w:t>
            </w:r>
            <w:r w:rsidRPr="00FC6961">
              <w:rPr>
                <w:lang w:val="fr-FR"/>
              </w:rPr>
              <w:t>O</w:t>
            </w:r>
            <w:r w:rsidR="00230E63" w:rsidRPr="00FC6961">
              <w:rPr>
                <w:lang w:val="fr-FR"/>
              </w:rPr>
              <w:t>MPI</w:t>
            </w:r>
            <w:r w:rsidR="00230E63">
              <w:rPr>
                <w:lang w:val="fr-FR"/>
              </w:rPr>
              <w:t>.  Lo</w:t>
            </w:r>
            <w:r w:rsidR="004768E5">
              <w:rPr>
                <w:lang w:val="fr-FR"/>
              </w:rPr>
              <w:t>rsqu</w:t>
            </w:r>
            <w:r w:rsidR="003A7DCA">
              <w:rPr>
                <w:lang w:val="fr-FR"/>
              </w:rPr>
              <w:t>’</w:t>
            </w:r>
            <w:r w:rsidR="004768E5">
              <w:rPr>
                <w:lang w:val="fr-FR"/>
              </w:rPr>
              <w:t>il présente un nouveau projet</w:t>
            </w:r>
            <w:r w:rsidR="003A7DCA">
              <w:rPr>
                <w:lang w:val="fr-FR"/>
              </w:rPr>
              <w:t xml:space="preserve"> au </w:t>
            </w:r>
            <w:proofErr w:type="spellStart"/>
            <w:r w:rsidR="003A7DCA">
              <w:rPr>
                <w:lang w:val="fr-FR"/>
              </w:rPr>
              <w:t>CDI</w:t>
            </w:r>
            <w:r w:rsidR="004768E5">
              <w:rPr>
                <w:lang w:val="fr-FR"/>
              </w:rPr>
              <w:t>P</w:t>
            </w:r>
            <w:proofErr w:type="spellEnd"/>
            <w:r w:rsidR="004768E5">
              <w:rPr>
                <w:lang w:val="fr-FR"/>
              </w:rPr>
              <w:t xml:space="preserve">, le Secrétariat devrait inclure une déclaration </w:t>
            </w:r>
            <w:r w:rsidR="004768E5">
              <w:rPr>
                <w:lang w:val="fr-FR"/>
              </w:rPr>
              <w:lastRenderedPageBreak/>
              <w:t>sur la pertinence du mode de prestation choisi d</w:t>
            </w:r>
            <w:r w:rsidR="003A7DCA">
              <w:rPr>
                <w:lang w:val="fr-FR"/>
              </w:rPr>
              <w:t>’</w:t>
            </w:r>
            <w:r w:rsidR="004768E5">
              <w:rPr>
                <w:lang w:val="fr-FR"/>
              </w:rPr>
              <w:t>un programme d</w:t>
            </w:r>
            <w:r w:rsidR="003A7DCA">
              <w:rPr>
                <w:lang w:val="fr-FR"/>
              </w:rPr>
              <w:t>’</w:t>
            </w:r>
            <w:r w:rsidR="004768E5">
              <w:rPr>
                <w:lang w:val="fr-FR"/>
              </w:rPr>
              <w:t>assistance technique.</w:t>
            </w:r>
          </w:p>
        </w:tc>
      </w:tr>
      <w:tr w:rsidR="008B364C" w:rsidRPr="004768E5" w:rsidTr="00430D8B">
        <w:tc>
          <w:tcPr>
            <w:tcW w:w="3114" w:type="dxa"/>
          </w:tcPr>
          <w:p w:rsidR="006A47C0" w:rsidRDefault="008B364C" w:rsidP="00430D8B">
            <w:pPr>
              <w:rPr>
                <w:lang w:val="fr-FR"/>
              </w:rPr>
            </w:pPr>
            <w:r w:rsidRPr="00802BE1">
              <w:rPr>
                <w:b/>
                <w:lang w:val="fr-FR"/>
              </w:rPr>
              <w:lastRenderedPageBreak/>
              <w:t>Recommandation n° 8</w:t>
            </w:r>
            <w:r w:rsidR="003A7DCA">
              <w:rPr>
                <w:b/>
                <w:lang w:val="fr-FR"/>
              </w:rPr>
              <w:t> :</w:t>
            </w:r>
          </w:p>
          <w:p w:rsidR="008B364C" w:rsidRPr="00802BE1" w:rsidRDefault="008B364C" w:rsidP="00430D8B">
            <w:pPr>
              <w:rPr>
                <w:lang w:val="fr-FR"/>
              </w:rPr>
            </w:pPr>
            <w:r w:rsidRPr="00802BE1">
              <w:t>Les travaux futurs relatifs à l</w:t>
            </w:r>
            <w:r w:rsidR="003A7DCA">
              <w:t>’</w:t>
            </w:r>
            <w:r w:rsidRPr="00802BE1">
              <w:t>élaboration de nouveaux projets devraient être modulables et adaptables et tenir compte des capacités d</w:t>
            </w:r>
            <w:r w:rsidR="003A7DCA">
              <w:t>’</w:t>
            </w:r>
            <w:r w:rsidRPr="00802BE1">
              <w:t>assimilation et du niveau de connaissances des bénéficiair</w:t>
            </w:r>
            <w:r w:rsidR="00230E63" w:rsidRPr="00802BE1">
              <w:t>es</w:t>
            </w:r>
            <w:r w:rsidR="00230E63">
              <w:t xml:space="preserve">.  </w:t>
            </w:r>
            <w:r w:rsidR="00230E63" w:rsidRPr="00802BE1">
              <w:t>Da</w:t>
            </w:r>
            <w:r w:rsidRPr="00802BE1">
              <w:t>ns la mise en œuvre des projets au niveau national, l</w:t>
            </w:r>
            <w:r w:rsidR="003A7DCA">
              <w:t>’</w:t>
            </w:r>
            <w:r w:rsidRPr="00802BE1">
              <w:t xml:space="preserve">OMPI devrait étudier la possibilité de nouer des partenariats étroits avec les organismes des </w:t>
            </w:r>
            <w:r w:rsidR="003A7DCA">
              <w:t>Nations Unies</w:t>
            </w:r>
            <w:r w:rsidRPr="00802BE1">
              <w:t xml:space="preserve"> et d</w:t>
            </w:r>
            <w:r w:rsidR="003A7DCA">
              <w:t>’</w:t>
            </w:r>
            <w:r w:rsidRPr="00802BE1">
              <w:t>autres entités afin d</w:t>
            </w:r>
            <w:r w:rsidR="003A7DCA">
              <w:t>’</w:t>
            </w:r>
            <w:r w:rsidRPr="00802BE1">
              <w:t>améliorer l</w:t>
            </w:r>
            <w:r w:rsidR="003A7DCA">
              <w:t>’</w:t>
            </w:r>
            <w:r w:rsidRPr="00802BE1">
              <w:t>efficacité, l</w:t>
            </w:r>
            <w:r w:rsidR="003A7DCA">
              <w:t>’</w:t>
            </w:r>
            <w:r w:rsidRPr="00802BE1">
              <w:t>exhaustivité et la viabilité à long terme.</w:t>
            </w:r>
          </w:p>
        </w:tc>
        <w:tc>
          <w:tcPr>
            <w:tcW w:w="5957" w:type="dxa"/>
          </w:tcPr>
          <w:p w:rsidR="003A7DCA" w:rsidRDefault="004768E5" w:rsidP="00430D8B">
            <w:pPr>
              <w:pStyle w:val="ListParagraph"/>
              <w:numPr>
                <w:ilvl w:val="0"/>
                <w:numId w:val="30"/>
              </w:numPr>
              <w:ind w:left="567" w:hanging="567"/>
              <w:rPr>
                <w:lang w:val="fr-FR"/>
              </w:rPr>
            </w:pPr>
            <w:r w:rsidRPr="004768E5">
              <w:rPr>
                <w:lang w:val="fr-FR"/>
              </w:rPr>
              <w:t>La fourniture d</w:t>
            </w:r>
            <w:r w:rsidR="003A7DCA">
              <w:rPr>
                <w:lang w:val="fr-FR"/>
              </w:rPr>
              <w:t>’</w:t>
            </w:r>
            <w:r w:rsidRPr="004768E5">
              <w:rPr>
                <w:lang w:val="fr-FR"/>
              </w:rPr>
              <w:t>une assistance technique et le renforcement des capacités devraient être liés à des études diagnostiques évalu</w:t>
            </w:r>
            <w:r w:rsidR="00CA4CBC">
              <w:rPr>
                <w:lang w:val="fr-FR"/>
              </w:rPr>
              <w:t>a</w:t>
            </w:r>
            <w:r w:rsidRPr="004768E5">
              <w:rPr>
                <w:lang w:val="fr-FR"/>
              </w:rPr>
              <w:t xml:space="preserve">nt les besoins à </w:t>
            </w:r>
            <w:r w:rsidR="00CA4CBC">
              <w:rPr>
                <w:lang w:val="fr-FR"/>
              </w:rPr>
              <w:t>l</w:t>
            </w:r>
            <w:r w:rsidR="003A7DCA">
              <w:rPr>
                <w:lang w:val="fr-FR"/>
              </w:rPr>
              <w:t>’</w:t>
            </w:r>
            <w:r w:rsidR="00CA4CBC">
              <w:rPr>
                <w:lang w:val="fr-FR"/>
              </w:rPr>
              <w:t>aune</w:t>
            </w:r>
            <w:r w:rsidRPr="004768E5">
              <w:rPr>
                <w:lang w:val="fr-FR"/>
              </w:rPr>
              <w:t xml:space="preserve"> des objectifs </w:t>
            </w:r>
            <w:r w:rsidR="00CA4CBC" w:rsidRPr="004768E5">
              <w:rPr>
                <w:lang w:val="fr-FR"/>
              </w:rPr>
              <w:t xml:space="preserve">nationaux </w:t>
            </w:r>
            <w:r w:rsidR="00CA4CBC">
              <w:rPr>
                <w:lang w:val="fr-FR"/>
              </w:rPr>
              <w:t xml:space="preserve">en matière </w:t>
            </w:r>
            <w:r w:rsidRPr="004768E5">
              <w:rPr>
                <w:lang w:val="fr-FR"/>
              </w:rPr>
              <w:t>de développement et de réduction de la pauvreté et s</w:t>
            </w:r>
            <w:r w:rsidR="003A7DCA">
              <w:rPr>
                <w:lang w:val="fr-FR"/>
              </w:rPr>
              <w:t>’</w:t>
            </w:r>
            <w:r w:rsidRPr="004768E5">
              <w:rPr>
                <w:lang w:val="fr-FR"/>
              </w:rPr>
              <w:t>appu</w:t>
            </w:r>
            <w:r w:rsidR="00CA4CBC">
              <w:rPr>
                <w:lang w:val="fr-FR"/>
              </w:rPr>
              <w:t>ya</w:t>
            </w:r>
            <w:r w:rsidRPr="004768E5">
              <w:rPr>
                <w:lang w:val="fr-FR"/>
              </w:rPr>
              <w:t xml:space="preserve">nt sur des </w:t>
            </w:r>
            <w:r w:rsidR="00CA4CBC">
              <w:rPr>
                <w:lang w:val="fr-FR"/>
              </w:rPr>
              <w:t>consultations</w:t>
            </w:r>
            <w:r w:rsidRPr="004768E5">
              <w:rPr>
                <w:lang w:val="fr-FR"/>
              </w:rPr>
              <w:t xml:space="preserve"> au niveau nation</w:t>
            </w:r>
            <w:r w:rsidR="00230E63" w:rsidRPr="004768E5">
              <w:rPr>
                <w:lang w:val="fr-FR"/>
              </w:rPr>
              <w:t>al</w:t>
            </w:r>
            <w:r w:rsidR="00230E63">
              <w:rPr>
                <w:lang w:val="fr-FR"/>
              </w:rPr>
              <w:t>.  Le</w:t>
            </w:r>
            <w:r w:rsidR="00CA4CBC">
              <w:rPr>
                <w:lang w:val="fr-FR"/>
              </w:rPr>
              <w:t xml:space="preserve"> processus inclurait</w:t>
            </w:r>
            <w:r>
              <w:rPr>
                <w:lang w:val="fr-FR"/>
              </w:rPr>
              <w:t xml:space="preserve"> également la participation d</w:t>
            </w:r>
            <w:r w:rsidR="003A7DCA">
              <w:rPr>
                <w:lang w:val="fr-FR"/>
              </w:rPr>
              <w:t>’</w:t>
            </w:r>
            <w:r>
              <w:rPr>
                <w:lang w:val="fr-FR"/>
              </w:rPr>
              <w:t xml:space="preserve">autres institutions des </w:t>
            </w:r>
            <w:r w:rsidR="003A7DCA">
              <w:rPr>
                <w:lang w:val="fr-FR"/>
              </w:rPr>
              <w:t>Nations Unies</w:t>
            </w:r>
            <w:r>
              <w:rPr>
                <w:lang w:val="fr-FR"/>
              </w:rPr>
              <w:t xml:space="preserve"> </w:t>
            </w:r>
            <w:r w:rsidR="00CA4CBC">
              <w:rPr>
                <w:lang w:val="fr-FR"/>
              </w:rPr>
              <w:t xml:space="preserve">œuvrant </w:t>
            </w:r>
            <w:r>
              <w:rPr>
                <w:lang w:val="fr-FR"/>
              </w:rPr>
              <w:t>sur d</w:t>
            </w:r>
            <w:r w:rsidR="003A7DCA">
              <w:rPr>
                <w:lang w:val="fr-FR"/>
              </w:rPr>
              <w:t>’</w:t>
            </w:r>
            <w:r>
              <w:rPr>
                <w:lang w:val="fr-FR"/>
              </w:rPr>
              <w:t>autres aspects des besoins du pays en matière de développement</w:t>
            </w:r>
            <w:r w:rsidR="00CA4CBC">
              <w:rPr>
                <w:lang w:val="fr-FR"/>
              </w:rPr>
              <w:t>,</w:t>
            </w:r>
            <w:r>
              <w:rPr>
                <w:lang w:val="fr-FR"/>
              </w:rPr>
              <w:t xml:space="preserve"> ainsi que de parties prenantes au niveau national.</w:t>
            </w:r>
          </w:p>
          <w:p w:rsidR="008B364C" w:rsidRPr="004768E5" w:rsidRDefault="004768E5" w:rsidP="00430D8B">
            <w:pPr>
              <w:pStyle w:val="ListParagraph"/>
              <w:numPr>
                <w:ilvl w:val="0"/>
                <w:numId w:val="30"/>
              </w:numPr>
              <w:ind w:left="567" w:hanging="567"/>
              <w:rPr>
                <w:lang w:val="fr-FR"/>
              </w:rPr>
            </w:pPr>
            <w:r w:rsidRPr="004768E5">
              <w:rPr>
                <w:lang w:val="fr-FR"/>
              </w:rPr>
              <w:t>Les projets d</w:t>
            </w:r>
            <w:r w:rsidR="003A7DCA">
              <w:rPr>
                <w:lang w:val="fr-FR"/>
              </w:rPr>
              <w:t>’</w:t>
            </w:r>
            <w:r w:rsidRPr="004768E5">
              <w:rPr>
                <w:lang w:val="fr-FR"/>
              </w:rPr>
              <w:t xml:space="preserve">assistance technique devraient, le cas échéant, inclure une composante de renforcement des capacités </w:t>
            </w:r>
            <w:r w:rsidR="00CA4CBC">
              <w:rPr>
                <w:lang w:val="fr-FR"/>
              </w:rPr>
              <w:t>afin d</w:t>
            </w:r>
            <w:r w:rsidR="003A7DCA">
              <w:rPr>
                <w:lang w:val="fr-FR"/>
              </w:rPr>
              <w:t>’</w:t>
            </w:r>
            <w:r w:rsidRPr="004768E5">
              <w:rPr>
                <w:lang w:val="fr-FR"/>
              </w:rPr>
              <w:t>a</w:t>
            </w:r>
            <w:r w:rsidR="00CA4CBC">
              <w:rPr>
                <w:lang w:val="fr-FR"/>
              </w:rPr>
              <w:t>méliorer</w:t>
            </w:r>
            <w:r w:rsidRPr="004768E5">
              <w:rPr>
                <w:lang w:val="fr-FR"/>
              </w:rPr>
              <w:t xml:space="preserve"> la capacité d</w:t>
            </w:r>
            <w:r w:rsidR="003A7DCA">
              <w:rPr>
                <w:lang w:val="fr-FR"/>
              </w:rPr>
              <w:t>’</w:t>
            </w:r>
            <w:r w:rsidRPr="004768E5">
              <w:rPr>
                <w:lang w:val="fr-FR"/>
              </w:rPr>
              <w:t>absorption des pays bénéficiaires.</w:t>
            </w:r>
            <w:r w:rsidR="007705BC" w:rsidRPr="004768E5">
              <w:rPr>
                <w:lang w:val="fr-FR"/>
              </w:rPr>
              <w:t xml:space="preserve"> </w:t>
            </w:r>
            <w:r w:rsidR="00FB6857">
              <w:rPr>
                <w:lang w:val="fr-FR"/>
              </w:rPr>
              <w:t xml:space="preserve"> </w:t>
            </w:r>
          </w:p>
        </w:tc>
      </w:tr>
      <w:tr w:rsidR="008B364C" w:rsidRPr="00E91EF1" w:rsidTr="00430D8B">
        <w:tc>
          <w:tcPr>
            <w:tcW w:w="3114" w:type="dxa"/>
          </w:tcPr>
          <w:p w:rsidR="006A47C0" w:rsidRDefault="008B364C" w:rsidP="00430D8B">
            <w:pPr>
              <w:rPr>
                <w:lang w:val="fr-FR"/>
              </w:rPr>
            </w:pPr>
            <w:r w:rsidRPr="00802BE1">
              <w:rPr>
                <w:b/>
                <w:lang w:val="fr-FR"/>
              </w:rPr>
              <w:t>Recommandation n° 9</w:t>
            </w:r>
            <w:r w:rsidR="003A7DCA">
              <w:rPr>
                <w:b/>
                <w:lang w:val="fr-FR"/>
              </w:rPr>
              <w:t> :</w:t>
            </w:r>
          </w:p>
          <w:p w:rsidR="00A57E6F" w:rsidRPr="00802BE1" w:rsidRDefault="008B364C" w:rsidP="00430D8B">
            <w:pPr>
              <w:rPr>
                <w:lang w:val="fr-FR"/>
              </w:rPr>
            </w:pPr>
            <w:r w:rsidRPr="00802BE1">
              <w:t>L</w:t>
            </w:r>
            <w:r w:rsidR="003A7DCA">
              <w:t>’</w:t>
            </w:r>
            <w:r w:rsidRPr="00802BE1">
              <w:t>OMPI devrait s</w:t>
            </w:r>
            <w:r w:rsidR="003A7DCA">
              <w:t>’</w:t>
            </w:r>
            <w:r w:rsidRPr="00802BE1">
              <w:t xml:space="preserve">attacher davantage à recruter des experts qui connaissent particulièrement bien la situation </w:t>
            </w:r>
            <w:proofErr w:type="spellStart"/>
            <w:r w:rsidRPr="00802BE1">
              <w:t>socioéconomique</w:t>
            </w:r>
            <w:proofErr w:type="spellEnd"/>
            <w:r w:rsidRPr="00802BE1">
              <w:t xml:space="preserve"> des pays bénéficiair</w:t>
            </w:r>
            <w:r w:rsidR="00230E63" w:rsidRPr="00802BE1">
              <w:t>es</w:t>
            </w:r>
            <w:r w:rsidR="00230E63">
              <w:t xml:space="preserve">.  </w:t>
            </w:r>
            <w:r w:rsidR="00230E63" w:rsidRPr="00802BE1">
              <w:t>Le</w:t>
            </w:r>
            <w:r w:rsidRPr="00802BE1">
              <w:t>s pays bénéficiaires devraient assurer un degré de coordination élevé entre leurs divers organismes afin de faciliter la mise en œuvre et la viabilité à long terme des projets.</w:t>
            </w:r>
          </w:p>
        </w:tc>
        <w:tc>
          <w:tcPr>
            <w:tcW w:w="5957" w:type="dxa"/>
          </w:tcPr>
          <w:p w:rsidR="003A7DCA" w:rsidRDefault="004768E5" w:rsidP="00430D8B">
            <w:pPr>
              <w:pStyle w:val="ListParagraph"/>
              <w:numPr>
                <w:ilvl w:val="0"/>
                <w:numId w:val="31"/>
              </w:numPr>
              <w:ind w:left="567" w:hanging="567"/>
              <w:rPr>
                <w:lang w:val="fr-FR"/>
              </w:rPr>
            </w:pPr>
            <w:r>
              <w:rPr>
                <w:lang w:val="fr-FR"/>
              </w:rPr>
              <w:t>Le Secrétariat de l</w:t>
            </w:r>
            <w:r w:rsidR="003A7DCA">
              <w:rPr>
                <w:lang w:val="fr-FR"/>
              </w:rPr>
              <w:t>’</w:t>
            </w:r>
            <w:r>
              <w:rPr>
                <w:lang w:val="fr-FR"/>
              </w:rPr>
              <w:t>OMPI</w:t>
            </w:r>
            <w:r w:rsidR="00CA4CBC">
              <w:rPr>
                <w:lang w:val="fr-FR"/>
              </w:rPr>
              <w:t xml:space="preserve"> devrait</w:t>
            </w:r>
            <w:r>
              <w:rPr>
                <w:lang w:val="fr-FR"/>
              </w:rPr>
              <w:t xml:space="preserve"> </w:t>
            </w:r>
            <w:r w:rsidR="00CA4CBC">
              <w:rPr>
                <w:lang w:val="fr-FR"/>
              </w:rPr>
              <w:t>intensifier</w:t>
            </w:r>
            <w:r>
              <w:rPr>
                <w:lang w:val="fr-FR"/>
              </w:rPr>
              <w:t xml:space="preserve"> sa pratique consist</w:t>
            </w:r>
            <w:r w:rsidR="00CA4CBC">
              <w:rPr>
                <w:lang w:val="fr-FR"/>
              </w:rPr>
              <w:t>ant</w:t>
            </w:r>
            <w:r>
              <w:rPr>
                <w:lang w:val="fr-FR"/>
              </w:rPr>
              <w:t xml:space="preserve"> à recruter des experts ayant une connaissance approfondie des conditions </w:t>
            </w:r>
            <w:proofErr w:type="spellStart"/>
            <w:r>
              <w:rPr>
                <w:lang w:val="fr-FR"/>
              </w:rPr>
              <w:t>socioéconomiques</w:t>
            </w:r>
            <w:proofErr w:type="spellEnd"/>
            <w:r>
              <w:rPr>
                <w:lang w:val="fr-FR"/>
              </w:rPr>
              <w:t xml:space="preserve"> des pays bénéficiair</w:t>
            </w:r>
            <w:r w:rsidR="00230E63">
              <w:rPr>
                <w:lang w:val="fr-FR"/>
              </w:rPr>
              <w:t>es.  Ce</w:t>
            </w:r>
            <w:r w:rsidR="00CA4CBC">
              <w:rPr>
                <w:lang w:val="fr-FR"/>
              </w:rPr>
              <w:t>s experts</w:t>
            </w:r>
            <w:r w:rsidR="00E91EF1">
              <w:rPr>
                <w:lang w:val="fr-FR"/>
              </w:rPr>
              <w:t xml:space="preserve"> devraient démontrer leur capacité à </w:t>
            </w:r>
            <w:r w:rsidR="00CA4CBC">
              <w:rPr>
                <w:lang w:val="fr-FR"/>
              </w:rPr>
              <w:t>transmettre</w:t>
            </w:r>
            <w:r w:rsidR="00E91EF1">
              <w:rPr>
                <w:lang w:val="fr-FR"/>
              </w:rPr>
              <w:t xml:space="preserve"> </w:t>
            </w:r>
            <w:r w:rsidR="00CA4CBC">
              <w:rPr>
                <w:lang w:val="fr-FR"/>
              </w:rPr>
              <w:t>d</w:t>
            </w:r>
            <w:r w:rsidR="00E91EF1">
              <w:rPr>
                <w:lang w:val="fr-FR"/>
              </w:rPr>
              <w:t>es savoirs par l</w:t>
            </w:r>
            <w:r w:rsidR="003A7DCA">
              <w:rPr>
                <w:lang w:val="fr-FR"/>
              </w:rPr>
              <w:t>’</w:t>
            </w:r>
            <w:r w:rsidR="00E91EF1">
              <w:rPr>
                <w:lang w:val="fr-FR"/>
              </w:rPr>
              <w:t>intermédiaire des bénéficiaires.</w:t>
            </w:r>
          </w:p>
          <w:p w:rsidR="006A47C0" w:rsidRPr="00E91EF1" w:rsidRDefault="006A47C0" w:rsidP="00430D8B">
            <w:pPr>
              <w:ind w:left="567" w:hanging="567"/>
              <w:rPr>
                <w:lang w:val="fr-FR"/>
              </w:rPr>
            </w:pPr>
          </w:p>
          <w:p w:rsidR="007705BC" w:rsidRPr="00E91EF1" w:rsidRDefault="00E91EF1" w:rsidP="00430D8B">
            <w:pPr>
              <w:pStyle w:val="ListParagraph"/>
              <w:numPr>
                <w:ilvl w:val="0"/>
                <w:numId w:val="31"/>
              </w:numPr>
              <w:ind w:left="567" w:hanging="567"/>
              <w:rPr>
                <w:lang w:val="fr-FR"/>
              </w:rPr>
            </w:pPr>
            <w:r w:rsidRPr="00E91EF1">
              <w:rPr>
                <w:lang w:val="fr-FR"/>
              </w:rPr>
              <w:t>Le cas échéant, et en fonction de la portée d</w:t>
            </w:r>
            <w:r w:rsidR="003A7DCA">
              <w:rPr>
                <w:lang w:val="fr-FR"/>
              </w:rPr>
              <w:t>’</w:t>
            </w:r>
            <w:r w:rsidRPr="00E91EF1">
              <w:rPr>
                <w:lang w:val="fr-FR"/>
              </w:rPr>
              <w:t>une activité ou d</w:t>
            </w:r>
            <w:r w:rsidR="003A7DCA">
              <w:rPr>
                <w:lang w:val="fr-FR"/>
              </w:rPr>
              <w:t>’</w:t>
            </w:r>
            <w:r w:rsidRPr="00E91EF1">
              <w:rPr>
                <w:lang w:val="fr-FR"/>
              </w:rPr>
              <w:t>un projet donné, les services nationaux compétents</w:t>
            </w:r>
            <w:r w:rsidR="00A57E6F">
              <w:rPr>
                <w:lang w:val="fr-FR"/>
              </w:rPr>
              <w:t>,</w:t>
            </w:r>
            <w:r w:rsidRPr="00E91EF1">
              <w:rPr>
                <w:lang w:val="fr-FR"/>
              </w:rPr>
              <w:t xml:space="preserve"> outre l</w:t>
            </w:r>
            <w:r w:rsidR="003A7DCA">
              <w:rPr>
                <w:lang w:val="fr-FR"/>
              </w:rPr>
              <w:t>’</w:t>
            </w:r>
            <w:r w:rsidRPr="00E91EF1">
              <w:rPr>
                <w:lang w:val="fr-FR"/>
              </w:rPr>
              <w:t>office de propriété intellectuelle</w:t>
            </w:r>
            <w:r w:rsidR="00A57E6F">
              <w:rPr>
                <w:lang w:val="fr-FR"/>
              </w:rPr>
              <w:t>,</w:t>
            </w:r>
            <w:r w:rsidRPr="00E91EF1">
              <w:rPr>
                <w:lang w:val="fr-FR"/>
              </w:rPr>
              <w:t xml:space="preserve"> peuvent être consultés lors de la conception et de la mise en </w:t>
            </w:r>
            <w:r w:rsidR="00A57E6F" w:rsidRPr="00E91EF1">
              <w:rPr>
                <w:lang w:val="fr-FR"/>
              </w:rPr>
              <w:t>œuvre</w:t>
            </w:r>
            <w:r w:rsidRPr="00E91EF1">
              <w:rPr>
                <w:lang w:val="fr-FR"/>
              </w:rPr>
              <w:t xml:space="preserve"> des projets.</w:t>
            </w:r>
          </w:p>
        </w:tc>
      </w:tr>
      <w:tr w:rsidR="00632A1F" w:rsidRPr="00E91EF1" w:rsidTr="00430D8B">
        <w:tc>
          <w:tcPr>
            <w:tcW w:w="3114" w:type="dxa"/>
          </w:tcPr>
          <w:p w:rsidR="00A57E6F" w:rsidRDefault="00632A1F" w:rsidP="00430D8B">
            <w:pPr>
              <w:rPr>
                <w:b/>
                <w:lang w:val="fr-FR"/>
              </w:rPr>
            </w:pPr>
            <w:r w:rsidRPr="00802BE1">
              <w:rPr>
                <w:b/>
                <w:lang w:val="fr-FR"/>
              </w:rPr>
              <w:lastRenderedPageBreak/>
              <w:t>Recommandation n° 10</w:t>
            </w:r>
            <w:r w:rsidR="003A7DCA">
              <w:rPr>
                <w:b/>
                <w:lang w:val="fr-FR"/>
              </w:rPr>
              <w:t> :</w:t>
            </w:r>
          </w:p>
          <w:p w:rsidR="00A57E6F" w:rsidRPr="00802BE1" w:rsidRDefault="00632A1F" w:rsidP="00430D8B">
            <w:pPr>
              <w:rPr>
                <w:b/>
                <w:lang w:val="fr-FR"/>
              </w:rPr>
            </w:pPr>
            <w:r w:rsidRPr="00802BE1">
              <w:t>Les rapports d</w:t>
            </w:r>
            <w:r w:rsidR="003A7DCA">
              <w:t>’</w:t>
            </w:r>
            <w:r w:rsidRPr="00802BE1">
              <w:t>étape soumis par le Secrétariat au </w:t>
            </w:r>
            <w:proofErr w:type="spellStart"/>
            <w:r w:rsidRPr="00802BE1">
              <w:t>CDIP</w:t>
            </w:r>
            <w:proofErr w:type="spellEnd"/>
            <w:r w:rsidRPr="00802BE1">
              <w:t xml:space="preserve"> devraient comprendre des informations sur l</w:t>
            </w:r>
            <w:r w:rsidR="003A7DCA">
              <w:t>’</w:t>
            </w:r>
            <w:r w:rsidRPr="00802BE1">
              <w:t>utilisation des ressources humaines et financières relatives aux projets du Plan d</w:t>
            </w:r>
            <w:r w:rsidR="003A7DCA">
              <w:t>’</w:t>
            </w:r>
            <w:r w:rsidRPr="00802BE1">
              <w:t>action pour le développeme</w:t>
            </w:r>
            <w:r w:rsidR="00230E63" w:rsidRPr="00802BE1">
              <w:t>nt</w:t>
            </w:r>
            <w:r w:rsidR="00230E63">
              <w:t xml:space="preserve">.  </w:t>
            </w:r>
            <w:r w:rsidR="00230E63" w:rsidRPr="00802BE1">
              <w:t>Il</w:t>
            </w:r>
            <w:r w:rsidRPr="00802BE1">
              <w:t xml:space="preserve"> conviendrait d</w:t>
            </w:r>
            <w:r w:rsidR="003A7DCA">
              <w:t>’</w:t>
            </w:r>
            <w:r w:rsidRPr="00802BE1">
              <w:t>éviter d</w:t>
            </w:r>
            <w:r w:rsidR="003A7DCA">
              <w:t>’</w:t>
            </w:r>
            <w:r w:rsidRPr="00802BE1">
              <w:t>attribuer de manière simultanée plusieurs projets à un même responsable.</w:t>
            </w:r>
          </w:p>
        </w:tc>
        <w:tc>
          <w:tcPr>
            <w:tcW w:w="5957" w:type="dxa"/>
          </w:tcPr>
          <w:p w:rsidR="00632A1F" w:rsidRPr="00E91EF1" w:rsidRDefault="00E91EF1" w:rsidP="00430D8B">
            <w:pPr>
              <w:rPr>
                <w:lang w:val="fr-FR"/>
              </w:rPr>
            </w:pPr>
            <w:r w:rsidRPr="00E91EF1">
              <w:rPr>
                <w:lang w:val="fr-FR"/>
              </w:rPr>
              <w:t>Les rapports d</w:t>
            </w:r>
            <w:r w:rsidR="003A7DCA">
              <w:rPr>
                <w:lang w:val="fr-FR"/>
              </w:rPr>
              <w:t>’</w:t>
            </w:r>
            <w:r w:rsidRPr="00E91EF1">
              <w:rPr>
                <w:lang w:val="fr-FR"/>
              </w:rPr>
              <w:t>ét</w:t>
            </w:r>
            <w:r w:rsidR="00A57E6F">
              <w:rPr>
                <w:lang w:val="fr-FR"/>
              </w:rPr>
              <w:t>ape devraient faire la preuve d</w:t>
            </w:r>
            <w:r w:rsidR="003A7DCA">
              <w:rPr>
                <w:lang w:val="fr-FR"/>
              </w:rPr>
              <w:t>’</w:t>
            </w:r>
            <w:r w:rsidR="00A57E6F">
              <w:rPr>
                <w:lang w:val="fr-FR"/>
              </w:rPr>
              <w:t xml:space="preserve">une </w:t>
            </w:r>
            <w:r w:rsidRPr="00E91EF1">
              <w:rPr>
                <w:lang w:val="fr-FR"/>
              </w:rPr>
              <w:t xml:space="preserve">utilisation efficace des ressources budgétaires et humaines mobilisées pour la mise en </w:t>
            </w:r>
            <w:r w:rsidR="00A57E6F" w:rsidRPr="00E91EF1">
              <w:rPr>
                <w:lang w:val="fr-FR"/>
              </w:rPr>
              <w:t>œuvre</w:t>
            </w:r>
            <w:r w:rsidRPr="00E91EF1">
              <w:rPr>
                <w:lang w:val="fr-FR"/>
              </w:rPr>
              <w:t xml:space="preserve"> d</w:t>
            </w:r>
            <w:r w:rsidR="00A57E6F">
              <w:rPr>
                <w:lang w:val="fr-FR"/>
              </w:rPr>
              <w:t>es</w:t>
            </w:r>
            <w:r w:rsidRPr="00E91EF1">
              <w:rPr>
                <w:lang w:val="fr-FR"/>
              </w:rPr>
              <w:t xml:space="preserve"> projet</w:t>
            </w:r>
            <w:r w:rsidR="00A57E6F">
              <w:rPr>
                <w:lang w:val="fr-FR"/>
              </w:rPr>
              <w:t>s</w:t>
            </w:r>
            <w:r w:rsidRPr="00E91EF1">
              <w:rPr>
                <w:lang w:val="fr-FR"/>
              </w:rPr>
              <w:t>.</w:t>
            </w:r>
          </w:p>
        </w:tc>
      </w:tr>
      <w:tr w:rsidR="00632A1F" w:rsidRPr="00B22AC6" w:rsidTr="00430D8B">
        <w:tc>
          <w:tcPr>
            <w:tcW w:w="3114" w:type="dxa"/>
          </w:tcPr>
          <w:p w:rsidR="00A57E6F" w:rsidRDefault="00632A1F" w:rsidP="00430D8B">
            <w:pPr>
              <w:rPr>
                <w:b/>
                <w:lang w:val="fr-FR"/>
              </w:rPr>
            </w:pPr>
            <w:r w:rsidRPr="00802BE1">
              <w:rPr>
                <w:b/>
                <w:lang w:val="fr-FR"/>
              </w:rPr>
              <w:t>Recommandation n° 12</w:t>
            </w:r>
            <w:r w:rsidR="003A7DCA">
              <w:rPr>
                <w:b/>
                <w:lang w:val="fr-FR"/>
              </w:rPr>
              <w:t> :</w:t>
            </w:r>
          </w:p>
          <w:p w:rsidR="00632A1F" w:rsidRPr="00A57E6F" w:rsidRDefault="00632A1F" w:rsidP="00430D8B">
            <w:pPr>
              <w:rPr>
                <w:lang w:val="fr-FR"/>
              </w:rPr>
            </w:pPr>
            <w:r w:rsidRPr="00802BE1">
              <w:t>Les États membres et le Secrétariat devaient examiner les moyens de mieux diffuser l</w:t>
            </w:r>
            <w:r w:rsidR="003A7DCA">
              <w:t>’</w:t>
            </w:r>
            <w:r w:rsidRPr="00802BE1">
              <w:t>information relative au Plan d</w:t>
            </w:r>
            <w:r w:rsidR="003A7DCA">
              <w:t>’</w:t>
            </w:r>
            <w:r w:rsidRPr="00802BE1">
              <w:t>action pour le développement et à sa mise en œuvre.</w:t>
            </w:r>
          </w:p>
        </w:tc>
        <w:tc>
          <w:tcPr>
            <w:tcW w:w="5957" w:type="dxa"/>
          </w:tcPr>
          <w:p w:rsidR="006A47C0" w:rsidRPr="00E91EF1" w:rsidRDefault="00E91EF1" w:rsidP="00430D8B">
            <w:pPr>
              <w:pStyle w:val="ListParagraph"/>
              <w:numPr>
                <w:ilvl w:val="0"/>
                <w:numId w:val="33"/>
              </w:numPr>
              <w:ind w:left="567" w:hanging="567"/>
              <w:rPr>
                <w:lang w:val="fr-FR"/>
              </w:rPr>
            </w:pPr>
            <w:r w:rsidRPr="00E91EF1">
              <w:rPr>
                <w:lang w:val="fr-FR"/>
              </w:rPr>
              <w:t>Améliorer les méthodes du Secrétariat de l</w:t>
            </w:r>
            <w:r w:rsidR="003A7DCA">
              <w:rPr>
                <w:lang w:val="fr-FR"/>
              </w:rPr>
              <w:t>’</w:t>
            </w:r>
            <w:r w:rsidRPr="00E91EF1">
              <w:rPr>
                <w:lang w:val="fr-FR"/>
              </w:rPr>
              <w:t>OMPI pour diffuser des informations sur le Plan d</w:t>
            </w:r>
            <w:r w:rsidR="003A7DCA">
              <w:rPr>
                <w:lang w:val="fr-FR"/>
              </w:rPr>
              <w:t>’</w:t>
            </w:r>
            <w:r w:rsidRPr="00E91EF1">
              <w:rPr>
                <w:lang w:val="fr-FR"/>
              </w:rPr>
              <w:t>action pour le développement.</w:t>
            </w:r>
          </w:p>
          <w:p w:rsidR="006A47C0" w:rsidRPr="00E91EF1" w:rsidRDefault="006A47C0" w:rsidP="00430D8B">
            <w:pPr>
              <w:ind w:left="567" w:hanging="567"/>
              <w:rPr>
                <w:lang w:val="fr-FR"/>
              </w:rPr>
            </w:pPr>
          </w:p>
          <w:p w:rsidR="00A57E6F" w:rsidRPr="00B22AC6" w:rsidRDefault="00B22AC6" w:rsidP="00430D8B">
            <w:pPr>
              <w:pStyle w:val="ListParagraph"/>
              <w:numPr>
                <w:ilvl w:val="0"/>
                <w:numId w:val="32"/>
              </w:numPr>
              <w:ind w:left="567" w:hanging="567"/>
              <w:rPr>
                <w:lang w:val="fr-FR"/>
              </w:rPr>
            </w:pPr>
            <w:r w:rsidRPr="00B22AC6">
              <w:rPr>
                <w:lang w:val="fr-FR"/>
              </w:rPr>
              <w:t>La présentation du rapport de l</w:t>
            </w:r>
            <w:r w:rsidR="003A7DCA">
              <w:rPr>
                <w:lang w:val="fr-FR"/>
              </w:rPr>
              <w:t>’</w:t>
            </w:r>
            <w:r w:rsidRPr="00B22AC6">
              <w:rPr>
                <w:lang w:val="fr-FR"/>
              </w:rPr>
              <w:t xml:space="preserve">OMPI sur la mise en </w:t>
            </w:r>
            <w:r w:rsidR="00A57E6F" w:rsidRPr="00B22AC6">
              <w:rPr>
                <w:lang w:val="fr-FR"/>
              </w:rPr>
              <w:t>œuvre</w:t>
            </w:r>
            <w:r w:rsidRPr="00B22AC6">
              <w:rPr>
                <w:lang w:val="fr-FR"/>
              </w:rPr>
              <w:t xml:space="preserve"> des recommandations du Plan d</w:t>
            </w:r>
            <w:r w:rsidR="003A7DCA">
              <w:rPr>
                <w:lang w:val="fr-FR"/>
              </w:rPr>
              <w:t>’</w:t>
            </w:r>
            <w:r w:rsidRPr="00B22AC6">
              <w:rPr>
                <w:lang w:val="fr-FR"/>
              </w:rPr>
              <w:t>action pour le développement au Conseil économique et social (</w:t>
            </w:r>
            <w:proofErr w:type="spellStart"/>
            <w:r w:rsidRPr="00B22AC6">
              <w:rPr>
                <w:lang w:val="fr-FR"/>
              </w:rPr>
              <w:t>ECOSOC</w:t>
            </w:r>
            <w:proofErr w:type="spellEnd"/>
            <w:r w:rsidRPr="00B22AC6">
              <w:rPr>
                <w:lang w:val="fr-FR"/>
              </w:rPr>
              <w:t>) serait un autre moyen de diffuser des informations sur le Plan d</w:t>
            </w:r>
            <w:r w:rsidR="003A7DCA">
              <w:rPr>
                <w:lang w:val="fr-FR"/>
              </w:rPr>
              <w:t>’</w:t>
            </w:r>
            <w:r w:rsidRPr="00B22AC6">
              <w:rPr>
                <w:lang w:val="fr-FR"/>
              </w:rPr>
              <w:t xml:space="preserve">action pour le développement au sein des </w:t>
            </w:r>
            <w:r w:rsidR="003A7DCA">
              <w:rPr>
                <w:lang w:val="fr-FR"/>
              </w:rPr>
              <w:t>Nations Unies</w:t>
            </w:r>
            <w:r w:rsidRPr="00B22AC6">
              <w:rPr>
                <w:lang w:val="fr-FR"/>
              </w:rPr>
              <w:t>.</w:t>
            </w:r>
          </w:p>
        </w:tc>
      </w:tr>
    </w:tbl>
    <w:p w:rsidR="00430D8B" w:rsidRDefault="00430D8B" w:rsidP="00430D8B">
      <w:pPr>
        <w:rPr>
          <w:lang w:val="fr-FR"/>
        </w:rPr>
      </w:pPr>
    </w:p>
    <w:p w:rsidR="00430D8B" w:rsidRDefault="00430D8B" w:rsidP="00430D8B">
      <w:pPr>
        <w:rPr>
          <w:lang w:val="fr-FR"/>
        </w:rPr>
      </w:pPr>
    </w:p>
    <w:p w:rsidR="00430D8B" w:rsidRDefault="00430D8B" w:rsidP="00430D8B">
      <w:pPr>
        <w:rPr>
          <w:lang w:val="fr-FR"/>
        </w:rPr>
      </w:pPr>
    </w:p>
    <w:p w:rsidR="006A47C0" w:rsidRDefault="00417932" w:rsidP="00F62FD7">
      <w:pPr>
        <w:pStyle w:val="Endofdocument-Annex"/>
      </w:pPr>
      <w:r w:rsidRPr="00802BE1">
        <w:t xml:space="preserve">[Fin de </w:t>
      </w:r>
      <w:proofErr w:type="spellStart"/>
      <w:r w:rsidRPr="00802BE1">
        <w:t>l</w:t>
      </w:r>
      <w:r w:rsidR="003A7DCA">
        <w:t>’</w:t>
      </w:r>
      <w:r w:rsidR="003A7DCA" w:rsidRPr="00802BE1">
        <w:t>annexe</w:t>
      </w:r>
      <w:proofErr w:type="spellEnd"/>
      <w:r w:rsidR="003A7DCA">
        <w:t> I</w:t>
      </w:r>
      <w:r w:rsidR="00F62FD7">
        <w:t>I</w:t>
      </w:r>
      <w:r w:rsidRPr="00802BE1">
        <w:t xml:space="preserve"> </w:t>
      </w:r>
      <w:proofErr w:type="gramStart"/>
      <w:r w:rsidRPr="00802BE1">
        <w:t>et</w:t>
      </w:r>
      <w:proofErr w:type="gramEnd"/>
      <w:r w:rsidRPr="00802BE1">
        <w:t xml:space="preserve"> du document</w:t>
      </w:r>
      <w:r w:rsidRPr="00802BE1">
        <w:rPr>
          <w:sz w:val="24"/>
        </w:rPr>
        <w:t>]</w:t>
      </w:r>
    </w:p>
    <w:sectPr w:rsidR="006A47C0" w:rsidSect="00430D8B">
      <w:headerReference w:type="default" r:id="rId12"/>
      <w:headerReference w:type="first" r:id="rId13"/>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1E5" w:rsidRDefault="00A811E5">
      <w:r>
        <w:separator/>
      </w:r>
    </w:p>
  </w:endnote>
  <w:endnote w:type="continuationSeparator" w:id="0">
    <w:p w:rsidR="00A811E5" w:rsidRDefault="00A811E5" w:rsidP="003B38C1">
      <w:r>
        <w:separator/>
      </w:r>
    </w:p>
    <w:p w:rsidR="00A811E5" w:rsidRPr="00792D33" w:rsidRDefault="00A811E5" w:rsidP="003B38C1">
      <w:pPr>
        <w:spacing w:after="60"/>
        <w:rPr>
          <w:sz w:val="17"/>
          <w:lang w:val="en-US"/>
        </w:rPr>
      </w:pPr>
      <w:r w:rsidRPr="00792D33">
        <w:rPr>
          <w:sz w:val="17"/>
          <w:lang w:val="en-US"/>
        </w:rPr>
        <w:t>[Endnote continued from previous page]</w:t>
      </w:r>
    </w:p>
  </w:endnote>
  <w:endnote w:type="continuationNotice" w:id="1">
    <w:p w:rsidR="00A811E5" w:rsidRPr="00792D33" w:rsidRDefault="00A811E5" w:rsidP="003B38C1">
      <w:pPr>
        <w:spacing w:before="60"/>
        <w:jc w:val="right"/>
        <w:rPr>
          <w:sz w:val="17"/>
          <w:szCs w:val="17"/>
          <w:lang w:val="en-US"/>
        </w:rPr>
      </w:pPr>
      <w:r w:rsidRPr="00792D33">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1E5" w:rsidRDefault="00A811E5">
      <w:r>
        <w:separator/>
      </w:r>
    </w:p>
  </w:footnote>
  <w:footnote w:type="continuationSeparator" w:id="0">
    <w:p w:rsidR="00A811E5" w:rsidRDefault="00A811E5" w:rsidP="008B60B2">
      <w:r>
        <w:separator/>
      </w:r>
    </w:p>
    <w:p w:rsidR="00A811E5" w:rsidRPr="00792D33" w:rsidRDefault="00A811E5" w:rsidP="008B60B2">
      <w:pPr>
        <w:spacing w:after="60"/>
        <w:rPr>
          <w:sz w:val="17"/>
          <w:szCs w:val="17"/>
          <w:lang w:val="en-US"/>
        </w:rPr>
      </w:pPr>
      <w:r w:rsidRPr="00792D33">
        <w:rPr>
          <w:sz w:val="17"/>
          <w:szCs w:val="17"/>
          <w:lang w:val="en-US"/>
        </w:rPr>
        <w:t>[Footnote continued from previous page]</w:t>
      </w:r>
    </w:p>
  </w:footnote>
  <w:footnote w:type="continuationNotice" w:id="1">
    <w:p w:rsidR="00A811E5" w:rsidRPr="00792D33" w:rsidRDefault="00A811E5" w:rsidP="008B60B2">
      <w:pPr>
        <w:spacing w:before="60"/>
        <w:jc w:val="right"/>
        <w:rPr>
          <w:sz w:val="17"/>
          <w:szCs w:val="17"/>
          <w:lang w:val="en-US"/>
        </w:rPr>
      </w:pPr>
      <w:r w:rsidRPr="00792D33">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1E5" w:rsidRDefault="00A811E5" w:rsidP="00477D6B">
    <w:pPr>
      <w:jc w:val="right"/>
    </w:pPr>
    <w:bookmarkStart w:id="4" w:name="Code2"/>
    <w:bookmarkEnd w:id="4"/>
    <w:proofErr w:type="spellStart"/>
    <w:r>
      <w:t>CDIP</w:t>
    </w:r>
    <w:proofErr w:type="spellEnd"/>
    <w:r>
      <w:t>/</w:t>
    </w:r>
    <w:r w:rsidR="00430D8B">
      <w:t>23/3</w:t>
    </w:r>
  </w:p>
  <w:p w:rsidR="00A811E5" w:rsidRDefault="00A811E5" w:rsidP="00477D6B">
    <w:pPr>
      <w:jc w:val="right"/>
    </w:pPr>
    <w:r>
      <w:t>page </w:t>
    </w:r>
    <w:r>
      <w:fldChar w:fldCharType="begin"/>
    </w:r>
    <w:r>
      <w:instrText xml:space="preserve"> PAGE  \* MERGEFORMAT </w:instrText>
    </w:r>
    <w:r>
      <w:fldChar w:fldCharType="separate"/>
    </w:r>
    <w:r w:rsidR="00430D8B">
      <w:rPr>
        <w:noProof/>
      </w:rPr>
      <w:t>2</w:t>
    </w:r>
    <w:r>
      <w:fldChar w:fldCharType="end"/>
    </w:r>
  </w:p>
  <w:p w:rsidR="00A811E5" w:rsidRDefault="00A811E5" w:rsidP="00477D6B">
    <w:pPr>
      <w:jc w:val="right"/>
    </w:pPr>
  </w:p>
  <w:p w:rsidR="00A811E5" w:rsidRDefault="00A811E5"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1E5" w:rsidRDefault="00A811E5" w:rsidP="00477D6B">
    <w:pPr>
      <w:jc w:val="right"/>
    </w:pPr>
    <w:proofErr w:type="spellStart"/>
    <w:r>
      <w:t>CDIP</w:t>
    </w:r>
    <w:proofErr w:type="spellEnd"/>
    <w:r>
      <w:t>/</w:t>
    </w:r>
    <w:r w:rsidR="00430D8B">
      <w:t>23/3</w:t>
    </w:r>
  </w:p>
  <w:p w:rsidR="00A811E5" w:rsidRDefault="00430D8B" w:rsidP="00477D6B">
    <w:pPr>
      <w:jc w:val="right"/>
    </w:pPr>
    <w:r>
      <w:t>Annexe I</w:t>
    </w:r>
    <w:r w:rsidR="00A811E5">
      <w:t xml:space="preserve">, page </w:t>
    </w:r>
    <w:r w:rsidR="00A811E5">
      <w:fldChar w:fldCharType="begin"/>
    </w:r>
    <w:r w:rsidR="00A811E5">
      <w:instrText xml:space="preserve"> PAGE  \* MERGEFORMAT </w:instrText>
    </w:r>
    <w:r w:rsidR="00A811E5">
      <w:fldChar w:fldCharType="separate"/>
    </w:r>
    <w:r w:rsidR="002A572A">
      <w:rPr>
        <w:noProof/>
      </w:rPr>
      <w:t>3</w:t>
    </w:r>
    <w:r w:rsidR="00A811E5">
      <w:fldChar w:fldCharType="end"/>
    </w:r>
  </w:p>
  <w:p w:rsidR="00A811E5" w:rsidRDefault="00A811E5" w:rsidP="00477D6B">
    <w:pPr>
      <w:jc w:val="right"/>
    </w:pPr>
  </w:p>
  <w:p w:rsidR="00A811E5" w:rsidRDefault="00A811E5"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1E5" w:rsidRDefault="00A811E5" w:rsidP="00A37AEF">
    <w:pPr>
      <w:jc w:val="right"/>
    </w:pPr>
    <w:proofErr w:type="spellStart"/>
    <w:r>
      <w:t>CDIP</w:t>
    </w:r>
    <w:proofErr w:type="spellEnd"/>
    <w:r>
      <w:t>/</w:t>
    </w:r>
    <w:r w:rsidR="00430D8B">
      <w:t>23/3</w:t>
    </w:r>
  </w:p>
  <w:p w:rsidR="00A811E5" w:rsidRDefault="00430D8B" w:rsidP="00A37AEF">
    <w:pPr>
      <w:jc w:val="right"/>
    </w:pPr>
    <w:r>
      <w:t>ANNEXE I</w:t>
    </w:r>
  </w:p>
  <w:p w:rsidR="00A811E5" w:rsidRDefault="00A811E5" w:rsidP="00A37AEF">
    <w:pPr>
      <w:jc w:val="right"/>
    </w:pPr>
  </w:p>
  <w:p w:rsidR="00A811E5" w:rsidRPr="00D10829" w:rsidRDefault="00A811E5" w:rsidP="00A37AEF">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D8B" w:rsidRDefault="00430D8B" w:rsidP="00477D6B">
    <w:pPr>
      <w:jc w:val="right"/>
    </w:pPr>
    <w:proofErr w:type="spellStart"/>
    <w:r>
      <w:t>CDIP</w:t>
    </w:r>
    <w:proofErr w:type="spellEnd"/>
    <w:r>
      <w:t>/23/3</w:t>
    </w:r>
  </w:p>
  <w:p w:rsidR="00430D8B" w:rsidRDefault="00430D8B" w:rsidP="00477D6B">
    <w:pPr>
      <w:jc w:val="right"/>
    </w:pPr>
    <w:r>
      <w:t xml:space="preserve">Annexe II, page </w:t>
    </w:r>
    <w:r>
      <w:fldChar w:fldCharType="begin"/>
    </w:r>
    <w:r>
      <w:instrText xml:space="preserve"> PAGE  \* MERGEFORMAT </w:instrText>
    </w:r>
    <w:r>
      <w:fldChar w:fldCharType="separate"/>
    </w:r>
    <w:r w:rsidR="002A572A">
      <w:rPr>
        <w:noProof/>
      </w:rPr>
      <w:t>5</w:t>
    </w:r>
    <w:r>
      <w:fldChar w:fldCharType="end"/>
    </w:r>
  </w:p>
  <w:p w:rsidR="00430D8B" w:rsidRDefault="00430D8B" w:rsidP="00477D6B">
    <w:pPr>
      <w:jc w:val="right"/>
    </w:pPr>
  </w:p>
  <w:p w:rsidR="00430D8B" w:rsidRDefault="00430D8B"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D8B" w:rsidRDefault="00430D8B" w:rsidP="00A37AEF">
    <w:pPr>
      <w:jc w:val="right"/>
    </w:pPr>
    <w:proofErr w:type="spellStart"/>
    <w:r>
      <w:t>CDIP</w:t>
    </w:r>
    <w:proofErr w:type="spellEnd"/>
    <w:r>
      <w:t>/23/3</w:t>
    </w:r>
  </w:p>
  <w:p w:rsidR="00430D8B" w:rsidRDefault="00430D8B" w:rsidP="00A37AEF">
    <w:pPr>
      <w:jc w:val="right"/>
    </w:pPr>
    <w:r>
      <w:t>ANNEXE II</w:t>
    </w:r>
  </w:p>
  <w:p w:rsidR="00430D8B" w:rsidRDefault="00430D8B" w:rsidP="00A37AEF">
    <w:pPr>
      <w:jc w:val="right"/>
    </w:pPr>
  </w:p>
  <w:p w:rsidR="00430D8B" w:rsidRPr="00D10829" w:rsidRDefault="00430D8B" w:rsidP="00A37AE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E97CE3"/>
    <w:multiLevelType w:val="hybridMultilevel"/>
    <w:tmpl w:val="DDA0D188"/>
    <w:lvl w:ilvl="0" w:tplc="868E5AB8">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98C64A5"/>
    <w:multiLevelType w:val="hybridMultilevel"/>
    <w:tmpl w:val="9A1CAE64"/>
    <w:lvl w:ilvl="0" w:tplc="AD00546E">
      <w:start w:val="1"/>
      <w:numFmt w:val="decimal"/>
      <w:lvlText w:val="%1."/>
      <w:lvlJc w:val="left"/>
      <w:pPr>
        <w:ind w:left="720" w:hanging="360"/>
      </w:pPr>
      <w:rPr>
        <w:rFonts w:cstheme="minorBidi" w:hint="default"/>
        <w:i w:val="0"/>
        <w:color w:val="auto"/>
        <w:u w:val="no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3717CF2"/>
    <w:multiLevelType w:val="hybridMultilevel"/>
    <w:tmpl w:val="ABBE2E1C"/>
    <w:lvl w:ilvl="0" w:tplc="05ACF1AC">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42C06DA"/>
    <w:multiLevelType w:val="hybridMultilevel"/>
    <w:tmpl w:val="144883E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A891FDF"/>
    <w:multiLevelType w:val="hybridMultilevel"/>
    <w:tmpl w:val="2040C0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18A6800"/>
    <w:multiLevelType w:val="hybridMultilevel"/>
    <w:tmpl w:val="1298C6A8"/>
    <w:lvl w:ilvl="0" w:tplc="05ACF1AC">
      <w:start w:val="1"/>
      <w:numFmt w:val="bullet"/>
      <w:lvlText w:val=""/>
      <w:lvlJc w:val="left"/>
      <w:pPr>
        <w:ind w:left="801" w:hanging="360"/>
      </w:pPr>
      <w:rPr>
        <w:rFonts w:ascii="Symbol" w:hAnsi="Symbol" w:hint="default"/>
      </w:rPr>
    </w:lvl>
    <w:lvl w:ilvl="1" w:tplc="100C0003" w:tentative="1">
      <w:start w:val="1"/>
      <w:numFmt w:val="bullet"/>
      <w:lvlText w:val="o"/>
      <w:lvlJc w:val="left"/>
      <w:pPr>
        <w:ind w:left="1521" w:hanging="360"/>
      </w:pPr>
      <w:rPr>
        <w:rFonts w:ascii="Courier New" w:hAnsi="Courier New" w:cs="Courier New" w:hint="default"/>
      </w:rPr>
    </w:lvl>
    <w:lvl w:ilvl="2" w:tplc="100C0005" w:tentative="1">
      <w:start w:val="1"/>
      <w:numFmt w:val="bullet"/>
      <w:lvlText w:val=""/>
      <w:lvlJc w:val="left"/>
      <w:pPr>
        <w:ind w:left="2241" w:hanging="360"/>
      </w:pPr>
      <w:rPr>
        <w:rFonts w:ascii="Wingdings" w:hAnsi="Wingdings" w:hint="default"/>
      </w:rPr>
    </w:lvl>
    <w:lvl w:ilvl="3" w:tplc="100C0001" w:tentative="1">
      <w:start w:val="1"/>
      <w:numFmt w:val="bullet"/>
      <w:lvlText w:val=""/>
      <w:lvlJc w:val="left"/>
      <w:pPr>
        <w:ind w:left="2961" w:hanging="360"/>
      </w:pPr>
      <w:rPr>
        <w:rFonts w:ascii="Symbol" w:hAnsi="Symbol" w:hint="default"/>
      </w:rPr>
    </w:lvl>
    <w:lvl w:ilvl="4" w:tplc="100C0003" w:tentative="1">
      <w:start w:val="1"/>
      <w:numFmt w:val="bullet"/>
      <w:lvlText w:val="o"/>
      <w:lvlJc w:val="left"/>
      <w:pPr>
        <w:ind w:left="3681" w:hanging="360"/>
      </w:pPr>
      <w:rPr>
        <w:rFonts w:ascii="Courier New" w:hAnsi="Courier New" w:cs="Courier New" w:hint="default"/>
      </w:rPr>
    </w:lvl>
    <w:lvl w:ilvl="5" w:tplc="100C0005" w:tentative="1">
      <w:start w:val="1"/>
      <w:numFmt w:val="bullet"/>
      <w:lvlText w:val=""/>
      <w:lvlJc w:val="left"/>
      <w:pPr>
        <w:ind w:left="4401" w:hanging="360"/>
      </w:pPr>
      <w:rPr>
        <w:rFonts w:ascii="Wingdings" w:hAnsi="Wingdings" w:hint="default"/>
      </w:rPr>
    </w:lvl>
    <w:lvl w:ilvl="6" w:tplc="100C0001" w:tentative="1">
      <w:start w:val="1"/>
      <w:numFmt w:val="bullet"/>
      <w:lvlText w:val=""/>
      <w:lvlJc w:val="left"/>
      <w:pPr>
        <w:ind w:left="5121" w:hanging="360"/>
      </w:pPr>
      <w:rPr>
        <w:rFonts w:ascii="Symbol" w:hAnsi="Symbol" w:hint="default"/>
      </w:rPr>
    </w:lvl>
    <w:lvl w:ilvl="7" w:tplc="100C0003" w:tentative="1">
      <w:start w:val="1"/>
      <w:numFmt w:val="bullet"/>
      <w:lvlText w:val="o"/>
      <w:lvlJc w:val="left"/>
      <w:pPr>
        <w:ind w:left="5841" w:hanging="360"/>
      </w:pPr>
      <w:rPr>
        <w:rFonts w:ascii="Courier New" w:hAnsi="Courier New" w:cs="Courier New" w:hint="default"/>
      </w:rPr>
    </w:lvl>
    <w:lvl w:ilvl="8" w:tplc="100C0005" w:tentative="1">
      <w:start w:val="1"/>
      <w:numFmt w:val="bullet"/>
      <w:lvlText w:val=""/>
      <w:lvlJc w:val="left"/>
      <w:pPr>
        <w:ind w:left="6561" w:hanging="360"/>
      </w:pPr>
      <w:rPr>
        <w:rFonts w:ascii="Wingdings" w:hAnsi="Wingdings" w:hint="default"/>
      </w:rPr>
    </w:lvl>
  </w:abstractNum>
  <w:abstractNum w:abstractNumId="10" w15:restartNumberingAfterBreak="0">
    <w:nsid w:val="2AA943C6"/>
    <w:multiLevelType w:val="hybridMultilevel"/>
    <w:tmpl w:val="EBE8B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75194"/>
    <w:multiLevelType w:val="hybridMultilevel"/>
    <w:tmpl w:val="CCC65642"/>
    <w:lvl w:ilvl="0" w:tplc="0FF0A5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5E775B"/>
    <w:multiLevelType w:val="hybridMultilevel"/>
    <w:tmpl w:val="76A8A2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B155FD7"/>
    <w:multiLevelType w:val="hybridMultilevel"/>
    <w:tmpl w:val="187CA93A"/>
    <w:lvl w:ilvl="0" w:tplc="0CE87738">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94102A3"/>
    <w:multiLevelType w:val="hybridMultilevel"/>
    <w:tmpl w:val="47645B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0E2CCE"/>
    <w:multiLevelType w:val="hybridMultilevel"/>
    <w:tmpl w:val="EFB0EE7C"/>
    <w:lvl w:ilvl="0" w:tplc="040C001B">
      <w:start w:val="1"/>
      <w:numFmt w:val="lowerRoman"/>
      <w:lvlText w:val="%1."/>
      <w:lvlJc w:val="righ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BEE0419"/>
    <w:multiLevelType w:val="hybridMultilevel"/>
    <w:tmpl w:val="D15AEA1A"/>
    <w:lvl w:ilvl="0" w:tplc="05ACF1AC">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61204935"/>
    <w:multiLevelType w:val="hybridMultilevel"/>
    <w:tmpl w:val="582266BC"/>
    <w:lvl w:ilvl="0" w:tplc="0FF0A5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B237C9"/>
    <w:multiLevelType w:val="hybridMultilevel"/>
    <w:tmpl w:val="8EA4B648"/>
    <w:lvl w:ilvl="0" w:tplc="0FF0A5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307D93"/>
    <w:multiLevelType w:val="hybridMultilevel"/>
    <w:tmpl w:val="5C12762E"/>
    <w:lvl w:ilvl="0" w:tplc="A1220F96">
      <w:start w:val="1"/>
      <w:numFmt w:val="decimal"/>
      <w:lvlText w:val="%1."/>
      <w:lvlJc w:val="left"/>
      <w:pPr>
        <w:ind w:left="990" w:hanging="6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3FF0539"/>
    <w:multiLevelType w:val="hybridMultilevel"/>
    <w:tmpl w:val="05F4D4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7AF6ECD"/>
    <w:multiLevelType w:val="hybridMultilevel"/>
    <w:tmpl w:val="1A7C7E06"/>
    <w:lvl w:ilvl="0" w:tplc="A1220F96">
      <w:start w:val="1"/>
      <w:numFmt w:val="decimal"/>
      <w:lvlText w:val="%1."/>
      <w:lvlJc w:val="left"/>
      <w:pPr>
        <w:ind w:left="990" w:hanging="6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96525CA"/>
    <w:multiLevelType w:val="hybridMultilevel"/>
    <w:tmpl w:val="C48CE15A"/>
    <w:lvl w:ilvl="0" w:tplc="0FF0A56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E16674"/>
    <w:multiLevelType w:val="hybridMultilevel"/>
    <w:tmpl w:val="25EE7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0"/>
  </w:num>
  <w:num w:numId="4">
    <w:abstractNumId w:val="16"/>
  </w:num>
  <w:num w:numId="5">
    <w:abstractNumId w:val="2"/>
  </w:num>
  <w:num w:numId="6">
    <w:abstractNumId w:val="8"/>
  </w:num>
  <w:num w:numId="7">
    <w:abstractNumId w:val="1"/>
  </w:num>
  <w:num w:numId="8">
    <w:abstractNumId w:val="25"/>
  </w:num>
  <w:num w:numId="9">
    <w:abstractNumId w:val="5"/>
  </w:num>
  <w:num w:numId="10">
    <w:abstractNumId w:val="3"/>
  </w:num>
  <w:num w:numId="11">
    <w:abstractNumId w:val="15"/>
  </w:num>
  <w:num w:numId="12">
    <w:abstractNumId w:val="12"/>
  </w:num>
  <w:num w:numId="13">
    <w:abstractNumId w:val="21"/>
  </w:num>
  <w:num w:numId="14">
    <w:abstractNumId w:val="16"/>
  </w:num>
  <w:num w:numId="15">
    <w:abstractNumId w:val="2"/>
  </w:num>
  <w:num w:numId="16">
    <w:abstractNumId w:val="8"/>
  </w:num>
  <w:num w:numId="17">
    <w:abstractNumId w:val="23"/>
  </w:num>
  <w:num w:numId="18">
    <w:abstractNumId w:val="22"/>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7"/>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4"/>
  </w:num>
  <w:num w:numId="28">
    <w:abstractNumId w:val="11"/>
  </w:num>
  <w:num w:numId="29">
    <w:abstractNumId w:val="19"/>
  </w:num>
  <w:num w:numId="30">
    <w:abstractNumId w:val="20"/>
  </w:num>
  <w:num w:numId="31">
    <w:abstractNumId w:val="4"/>
  </w:num>
  <w:num w:numId="32">
    <w:abstractNumId w:val="9"/>
  </w:num>
  <w:num w:numId="33">
    <w:abstractNumId w:val="18"/>
  </w:num>
  <w:num w:numId="34">
    <w:abstractNumId w:val="16"/>
  </w:num>
  <w:num w:numId="35">
    <w:abstractNumId w:val="2"/>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Patents|TextBase TMs\WorkspaceFTS\xLegacy\Trademarks|TextBase TMs\WorkspaceFTS\xLegacy\Treaties"/>
    <w:docVar w:name="TextBaseURL" w:val="empty"/>
    <w:docVar w:name="UILng" w:val="en"/>
  </w:docVars>
  <w:rsids>
    <w:rsidRoot w:val="00996BC6"/>
    <w:rsid w:val="00000117"/>
    <w:rsid w:val="00001CC6"/>
    <w:rsid w:val="00004EFF"/>
    <w:rsid w:val="00006C42"/>
    <w:rsid w:val="000152E1"/>
    <w:rsid w:val="00024128"/>
    <w:rsid w:val="00043CAA"/>
    <w:rsid w:val="00046BCE"/>
    <w:rsid w:val="000515FF"/>
    <w:rsid w:val="00075432"/>
    <w:rsid w:val="00077F3F"/>
    <w:rsid w:val="00080BD9"/>
    <w:rsid w:val="000951DA"/>
    <w:rsid w:val="000968ED"/>
    <w:rsid w:val="000973C0"/>
    <w:rsid w:val="000A23DC"/>
    <w:rsid w:val="000B69AA"/>
    <w:rsid w:val="000C10AC"/>
    <w:rsid w:val="000E24DC"/>
    <w:rsid w:val="000E27AD"/>
    <w:rsid w:val="000F1462"/>
    <w:rsid w:val="000F5E56"/>
    <w:rsid w:val="00123443"/>
    <w:rsid w:val="0012386D"/>
    <w:rsid w:val="00126C5B"/>
    <w:rsid w:val="001362EE"/>
    <w:rsid w:val="0015072E"/>
    <w:rsid w:val="00153522"/>
    <w:rsid w:val="001566E1"/>
    <w:rsid w:val="00165EE7"/>
    <w:rsid w:val="00177D1B"/>
    <w:rsid w:val="001831E9"/>
    <w:rsid w:val="001832A6"/>
    <w:rsid w:val="0019177B"/>
    <w:rsid w:val="001932B5"/>
    <w:rsid w:val="001A7960"/>
    <w:rsid w:val="001B246C"/>
    <w:rsid w:val="001C3EAF"/>
    <w:rsid w:val="001D126E"/>
    <w:rsid w:val="001D4888"/>
    <w:rsid w:val="001E4EDC"/>
    <w:rsid w:val="001F0F5E"/>
    <w:rsid w:val="00223119"/>
    <w:rsid w:val="00224A31"/>
    <w:rsid w:val="00230865"/>
    <w:rsid w:val="00230E63"/>
    <w:rsid w:val="002326AD"/>
    <w:rsid w:val="0023713F"/>
    <w:rsid w:val="00237642"/>
    <w:rsid w:val="0024389B"/>
    <w:rsid w:val="00252076"/>
    <w:rsid w:val="00252823"/>
    <w:rsid w:val="0025713B"/>
    <w:rsid w:val="00262206"/>
    <w:rsid w:val="002634C4"/>
    <w:rsid w:val="00274336"/>
    <w:rsid w:val="0027720B"/>
    <w:rsid w:val="002842F5"/>
    <w:rsid w:val="002928D3"/>
    <w:rsid w:val="002A572A"/>
    <w:rsid w:val="002B0BA4"/>
    <w:rsid w:val="002B1F8F"/>
    <w:rsid w:val="002C5E38"/>
    <w:rsid w:val="002D52B5"/>
    <w:rsid w:val="002D639E"/>
    <w:rsid w:val="002F0494"/>
    <w:rsid w:val="002F1FE6"/>
    <w:rsid w:val="002F2E3F"/>
    <w:rsid w:val="002F3379"/>
    <w:rsid w:val="002F4E68"/>
    <w:rsid w:val="002F537A"/>
    <w:rsid w:val="003077F1"/>
    <w:rsid w:val="003079EA"/>
    <w:rsid w:val="00312F7F"/>
    <w:rsid w:val="003172E9"/>
    <w:rsid w:val="00322C61"/>
    <w:rsid w:val="003277F5"/>
    <w:rsid w:val="00327A34"/>
    <w:rsid w:val="003334E4"/>
    <w:rsid w:val="00337F4F"/>
    <w:rsid w:val="00341012"/>
    <w:rsid w:val="0034268E"/>
    <w:rsid w:val="0034735D"/>
    <w:rsid w:val="00351F22"/>
    <w:rsid w:val="00361450"/>
    <w:rsid w:val="003673CF"/>
    <w:rsid w:val="00374AA2"/>
    <w:rsid w:val="00374E37"/>
    <w:rsid w:val="003769FE"/>
    <w:rsid w:val="00382ACD"/>
    <w:rsid w:val="003845C1"/>
    <w:rsid w:val="003905D5"/>
    <w:rsid w:val="003A6F89"/>
    <w:rsid w:val="003A7DCA"/>
    <w:rsid w:val="003B03E1"/>
    <w:rsid w:val="003B38C1"/>
    <w:rsid w:val="003B526B"/>
    <w:rsid w:val="003D2B20"/>
    <w:rsid w:val="003D7A6A"/>
    <w:rsid w:val="00417932"/>
    <w:rsid w:val="00421E8B"/>
    <w:rsid w:val="00423E3E"/>
    <w:rsid w:val="00427AF4"/>
    <w:rsid w:val="00430D8B"/>
    <w:rsid w:val="00432E03"/>
    <w:rsid w:val="00435FDF"/>
    <w:rsid w:val="004379CE"/>
    <w:rsid w:val="00447E44"/>
    <w:rsid w:val="0045482D"/>
    <w:rsid w:val="00454CD4"/>
    <w:rsid w:val="004647DA"/>
    <w:rsid w:val="00474062"/>
    <w:rsid w:val="004768E5"/>
    <w:rsid w:val="00477D6B"/>
    <w:rsid w:val="004C32C6"/>
    <w:rsid w:val="004C3FF2"/>
    <w:rsid w:val="004E1C43"/>
    <w:rsid w:val="004F3BBF"/>
    <w:rsid w:val="004F4DD1"/>
    <w:rsid w:val="004F7935"/>
    <w:rsid w:val="005019FF"/>
    <w:rsid w:val="00504939"/>
    <w:rsid w:val="00510520"/>
    <w:rsid w:val="005127AE"/>
    <w:rsid w:val="00526837"/>
    <w:rsid w:val="005273B9"/>
    <w:rsid w:val="00527E6F"/>
    <w:rsid w:val="0053057A"/>
    <w:rsid w:val="00533856"/>
    <w:rsid w:val="005341EF"/>
    <w:rsid w:val="005341F4"/>
    <w:rsid w:val="005430C8"/>
    <w:rsid w:val="005576F6"/>
    <w:rsid w:val="00560A29"/>
    <w:rsid w:val="005840E0"/>
    <w:rsid w:val="00586852"/>
    <w:rsid w:val="005A7EC0"/>
    <w:rsid w:val="005B3389"/>
    <w:rsid w:val="005C38D0"/>
    <w:rsid w:val="005C55F1"/>
    <w:rsid w:val="005C64B2"/>
    <w:rsid w:val="005C6649"/>
    <w:rsid w:val="005D4EFE"/>
    <w:rsid w:val="005D5ECD"/>
    <w:rsid w:val="005D7281"/>
    <w:rsid w:val="005F36FC"/>
    <w:rsid w:val="00605827"/>
    <w:rsid w:val="006101AA"/>
    <w:rsid w:val="00617232"/>
    <w:rsid w:val="00620212"/>
    <w:rsid w:val="006204EC"/>
    <w:rsid w:val="00632A1F"/>
    <w:rsid w:val="0064150C"/>
    <w:rsid w:val="00641EF7"/>
    <w:rsid w:val="00646050"/>
    <w:rsid w:val="006503A8"/>
    <w:rsid w:val="00657EE9"/>
    <w:rsid w:val="006610ED"/>
    <w:rsid w:val="00663EC6"/>
    <w:rsid w:val="006713CA"/>
    <w:rsid w:val="00672B65"/>
    <w:rsid w:val="00675DFC"/>
    <w:rsid w:val="00676C5C"/>
    <w:rsid w:val="0068499A"/>
    <w:rsid w:val="0068667B"/>
    <w:rsid w:val="00687099"/>
    <w:rsid w:val="00693C44"/>
    <w:rsid w:val="006A47C0"/>
    <w:rsid w:val="006A5FEF"/>
    <w:rsid w:val="006B4EED"/>
    <w:rsid w:val="006B6E7E"/>
    <w:rsid w:val="006C43B4"/>
    <w:rsid w:val="006C5767"/>
    <w:rsid w:val="006D434E"/>
    <w:rsid w:val="006D6352"/>
    <w:rsid w:val="006E76B4"/>
    <w:rsid w:val="006F3D93"/>
    <w:rsid w:val="006F6EB9"/>
    <w:rsid w:val="0071058F"/>
    <w:rsid w:val="00712658"/>
    <w:rsid w:val="00714EA1"/>
    <w:rsid w:val="00723C19"/>
    <w:rsid w:val="007252C3"/>
    <w:rsid w:val="00740D07"/>
    <w:rsid w:val="00745569"/>
    <w:rsid w:val="00745EBB"/>
    <w:rsid w:val="00752679"/>
    <w:rsid w:val="0075429E"/>
    <w:rsid w:val="00754DFE"/>
    <w:rsid w:val="00765337"/>
    <w:rsid w:val="007705BC"/>
    <w:rsid w:val="0077559F"/>
    <w:rsid w:val="00792D33"/>
    <w:rsid w:val="007A38A6"/>
    <w:rsid w:val="007A7223"/>
    <w:rsid w:val="007B418F"/>
    <w:rsid w:val="007C17F4"/>
    <w:rsid w:val="007C4887"/>
    <w:rsid w:val="007D1613"/>
    <w:rsid w:val="007D4FB5"/>
    <w:rsid w:val="007E760A"/>
    <w:rsid w:val="00802BE1"/>
    <w:rsid w:val="00812305"/>
    <w:rsid w:val="00842B48"/>
    <w:rsid w:val="00852E7E"/>
    <w:rsid w:val="00870743"/>
    <w:rsid w:val="0087131F"/>
    <w:rsid w:val="00896A5F"/>
    <w:rsid w:val="008A3A3C"/>
    <w:rsid w:val="008B2CC1"/>
    <w:rsid w:val="008B364C"/>
    <w:rsid w:val="008B60B2"/>
    <w:rsid w:val="008B7ACB"/>
    <w:rsid w:val="008C1012"/>
    <w:rsid w:val="008C7E64"/>
    <w:rsid w:val="008D1D00"/>
    <w:rsid w:val="008E1D41"/>
    <w:rsid w:val="008E230C"/>
    <w:rsid w:val="008E2D8C"/>
    <w:rsid w:val="008F1712"/>
    <w:rsid w:val="008F19CB"/>
    <w:rsid w:val="008F59C3"/>
    <w:rsid w:val="00902885"/>
    <w:rsid w:val="0090708C"/>
    <w:rsid w:val="0090731E"/>
    <w:rsid w:val="00915D05"/>
    <w:rsid w:val="00916EE2"/>
    <w:rsid w:val="0092239F"/>
    <w:rsid w:val="00926686"/>
    <w:rsid w:val="00927250"/>
    <w:rsid w:val="009301EF"/>
    <w:rsid w:val="00931A26"/>
    <w:rsid w:val="00934A1B"/>
    <w:rsid w:val="0093768F"/>
    <w:rsid w:val="009427E9"/>
    <w:rsid w:val="00942D9A"/>
    <w:rsid w:val="00944FDF"/>
    <w:rsid w:val="00945B3F"/>
    <w:rsid w:val="0094736D"/>
    <w:rsid w:val="009503C3"/>
    <w:rsid w:val="00966A22"/>
    <w:rsid w:val="0096722F"/>
    <w:rsid w:val="00970611"/>
    <w:rsid w:val="00970B0A"/>
    <w:rsid w:val="00980843"/>
    <w:rsid w:val="00982293"/>
    <w:rsid w:val="00982C6E"/>
    <w:rsid w:val="00982C91"/>
    <w:rsid w:val="00984CCB"/>
    <w:rsid w:val="0098522C"/>
    <w:rsid w:val="0099655C"/>
    <w:rsid w:val="00996BC6"/>
    <w:rsid w:val="009A1213"/>
    <w:rsid w:val="009C0248"/>
    <w:rsid w:val="009E2791"/>
    <w:rsid w:val="009E3F6F"/>
    <w:rsid w:val="009F499F"/>
    <w:rsid w:val="00A15D36"/>
    <w:rsid w:val="00A212EB"/>
    <w:rsid w:val="00A2207C"/>
    <w:rsid w:val="00A26C10"/>
    <w:rsid w:val="00A31CEC"/>
    <w:rsid w:val="00A35E9B"/>
    <w:rsid w:val="00A37AEF"/>
    <w:rsid w:val="00A413CF"/>
    <w:rsid w:val="00A42DAF"/>
    <w:rsid w:val="00A45836"/>
    <w:rsid w:val="00A45BD8"/>
    <w:rsid w:val="00A52CC3"/>
    <w:rsid w:val="00A57E6F"/>
    <w:rsid w:val="00A66ED0"/>
    <w:rsid w:val="00A726BA"/>
    <w:rsid w:val="00A811E5"/>
    <w:rsid w:val="00A869B7"/>
    <w:rsid w:val="00A92B52"/>
    <w:rsid w:val="00AA126D"/>
    <w:rsid w:val="00AC205C"/>
    <w:rsid w:val="00AC338E"/>
    <w:rsid w:val="00AD391B"/>
    <w:rsid w:val="00AD4FC6"/>
    <w:rsid w:val="00AD5CBB"/>
    <w:rsid w:val="00AE30EB"/>
    <w:rsid w:val="00AF0A6B"/>
    <w:rsid w:val="00AF39CF"/>
    <w:rsid w:val="00B05A69"/>
    <w:rsid w:val="00B15293"/>
    <w:rsid w:val="00B22AC6"/>
    <w:rsid w:val="00B2368B"/>
    <w:rsid w:val="00B41513"/>
    <w:rsid w:val="00B449E3"/>
    <w:rsid w:val="00B46B27"/>
    <w:rsid w:val="00B56E11"/>
    <w:rsid w:val="00B660E8"/>
    <w:rsid w:val="00B709F8"/>
    <w:rsid w:val="00B72187"/>
    <w:rsid w:val="00B94317"/>
    <w:rsid w:val="00B9734B"/>
    <w:rsid w:val="00BA17B5"/>
    <w:rsid w:val="00BA30E2"/>
    <w:rsid w:val="00BA5CE5"/>
    <w:rsid w:val="00BC2B8C"/>
    <w:rsid w:val="00BC370A"/>
    <w:rsid w:val="00BE21F1"/>
    <w:rsid w:val="00BE5536"/>
    <w:rsid w:val="00BF62ED"/>
    <w:rsid w:val="00C11BFE"/>
    <w:rsid w:val="00C16076"/>
    <w:rsid w:val="00C175B7"/>
    <w:rsid w:val="00C23113"/>
    <w:rsid w:val="00C265E2"/>
    <w:rsid w:val="00C36BEA"/>
    <w:rsid w:val="00C40727"/>
    <w:rsid w:val="00C40902"/>
    <w:rsid w:val="00C5216C"/>
    <w:rsid w:val="00C607B3"/>
    <w:rsid w:val="00C6760E"/>
    <w:rsid w:val="00C72070"/>
    <w:rsid w:val="00C740E2"/>
    <w:rsid w:val="00C838CE"/>
    <w:rsid w:val="00C85077"/>
    <w:rsid w:val="00C90E1A"/>
    <w:rsid w:val="00C93753"/>
    <w:rsid w:val="00CA4CBC"/>
    <w:rsid w:val="00CA6676"/>
    <w:rsid w:val="00CA7FD9"/>
    <w:rsid w:val="00CB3526"/>
    <w:rsid w:val="00CC069F"/>
    <w:rsid w:val="00CC1273"/>
    <w:rsid w:val="00CD04F1"/>
    <w:rsid w:val="00CD6AD9"/>
    <w:rsid w:val="00CF2F4E"/>
    <w:rsid w:val="00CF4A3B"/>
    <w:rsid w:val="00D00FBA"/>
    <w:rsid w:val="00D033EB"/>
    <w:rsid w:val="00D03B29"/>
    <w:rsid w:val="00D10829"/>
    <w:rsid w:val="00D179B7"/>
    <w:rsid w:val="00D20606"/>
    <w:rsid w:val="00D233A9"/>
    <w:rsid w:val="00D37420"/>
    <w:rsid w:val="00D4347A"/>
    <w:rsid w:val="00D43EC2"/>
    <w:rsid w:val="00D45252"/>
    <w:rsid w:val="00D54098"/>
    <w:rsid w:val="00D55136"/>
    <w:rsid w:val="00D65B67"/>
    <w:rsid w:val="00D66B26"/>
    <w:rsid w:val="00D71B4D"/>
    <w:rsid w:val="00D841F6"/>
    <w:rsid w:val="00D85F69"/>
    <w:rsid w:val="00D93D55"/>
    <w:rsid w:val="00D96C6B"/>
    <w:rsid w:val="00DA4896"/>
    <w:rsid w:val="00DB3372"/>
    <w:rsid w:val="00DD4382"/>
    <w:rsid w:val="00DE158F"/>
    <w:rsid w:val="00DE2A7E"/>
    <w:rsid w:val="00DE3D7D"/>
    <w:rsid w:val="00E001F5"/>
    <w:rsid w:val="00E16EDC"/>
    <w:rsid w:val="00E21DAD"/>
    <w:rsid w:val="00E25451"/>
    <w:rsid w:val="00E27091"/>
    <w:rsid w:val="00E335FE"/>
    <w:rsid w:val="00E4250F"/>
    <w:rsid w:val="00E45FB6"/>
    <w:rsid w:val="00E46C2C"/>
    <w:rsid w:val="00E5090E"/>
    <w:rsid w:val="00E54033"/>
    <w:rsid w:val="00E8159B"/>
    <w:rsid w:val="00E87EB9"/>
    <w:rsid w:val="00E91EF1"/>
    <w:rsid w:val="00EA0872"/>
    <w:rsid w:val="00EB0E8A"/>
    <w:rsid w:val="00EC4E49"/>
    <w:rsid w:val="00ED77FB"/>
    <w:rsid w:val="00EE45FA"/>
    <w:rsid w:val="00EE5FCC"/>
    <w:rsid w:val="00EF1875"/>
    <w:rsid w:val="00F140C8"/>
    <w:rsid w:val="00F360C5"/>
    <w:rsid w:val="00F5047F"/>
    <w:rsid w:val="00F5166A"/>
    <w:rsid w:val="00F62FD7"/>
    <w:rsid w:val="00F66152"/>
    <w:rsid w:val="00F95F3A"/>
    <w:rsid w:val="00FB0FDE"/>
    <w:rsid w:val="00FB6857"/>
    <w:rsid w:val="00FC08A8"/>
    <w:rsid w:val="00FC6961"/>
    <w:rsid w:val="00FE4014"/>
    <w:rsid w:val="00FE4FD9"/>
    <w:rsid w:val="00FE51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ECA82D1"/>
  <w15:docId w15:val="{4F7FF207-981B-480B-A6A5-6915C3AD0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D8B"/>
    <w:rPr>
      <w:rFonts w:ascii="Arial" w:eastAsia="SimSun" w:hAnsi="Arial" w:cs="Arial"/>
      <w:sz w:val="22"/>
      <w:lang w:val="fr-CH" w:eastAsia="zh-CN"/>
    </w:rPr>
  </w:style>
  <w:style w:type="paragraph" w:styleId="Heading1">
    <w:name w:val="heading 1"/>
    <w:basedOn w:val="Normal"/>
    <w:next w:val="Normal"/>
    <w:qFormat/>
    <w:rsid w:val="00430D8B"/>
    <w:pPr>
      <w:keepNext/>
      <w:spacing w:before="240" w:after="60"/>
      <w:outlineLvl w:val="0"/>
    </w:pPr>
    <w:rPr>
      <w:b/>
      <w:bCs/>
      <w:caps/>
      <w:kern w:val="32"/>
      <w:szCs w:val="32"/>
    </w:rPr>
  </w:style>
  <w:style w:type="paragraph" w:styleId="Heading2">
    <w:name w:val="heading 2"/>
    <w:basedOn w:val="Normal"/>
    <w:next w:val="Normal"/>
    <w:qFormat/>
    <w:rsid w:val="00430D8B"/>
    <w:pPr>
      <w:keepNext/>
      <w:spacing w:before="240" w:after="60"/>
      <w:outlineLvl w:val="1"/>
    </w:pPr>
    <w:rPr>
      <w:bCs/>
      <w:iCs/>
      <w:caps/>
      <w:szCs w:val="28"/>
    </w:rPr>
  </w:style>
  <w:style w:type="paragraph" w:styleId="Heading3">
    <w:name w:val="heading 3"/>
    <w:basedOn w:val="Normal"/>
    <w:next w:val="Normal"/>
    <w:qFormat/>
    <w:rsid w:val="00430D8B"/>
    <w:pPr>
      <w:keepNext/>
      <w:spacing w:before="240" w:after="60"/>
      <w:outlineLvl w:val="2"/>
    </w:pPr>
    <w:rPr>
      <w:bCs/>
      <w:szCs w:val="26"/>
      <w:u w:val="single"/>
    </w:rPr>
  </w:style>
  <w:style w:type="paragraph" w:styleId="Heading4">
    <w:name w:val="heading 4"/>
    <w:basedOn w:val="Normal"/>
    <w:next w:val="Normal"/>
    <w:qFormat/>
    <w:rsid w:val="00430D8B"/>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430D8B"/>
    <w:pPr>
      <w:ind w:left="5534"/>
    </w:pPr>
    <w:rPr>
      <w:lang w:val="en-US"/>
    </w:rPr>
  </w:style>
  <w:style w:type="paragraph" w:styleId="BodyText">
    <w:name w:val="Body Text"/>
    <w:basedOn w:val="Normal"/>
    <w:rsid w:val="00430D8B"/>
    <w:pPr>
      <w:spacing w:after="220"/>
    </w:pPr>
  </w:style>
  <w:style w:type="paragraph" w:styleId="Caption">
    <w:name w:val="caption"/>
    <w:basedOn w:val="Normal"/>
    <w:next w:val="Normal"/>
    <w:qFormat/>
    <w:rsid w:val="00430D8B"/>
    <w:rPr>
      <w:b/>
      <w:bCs/>
      <w:sz w:val="18"/>
    </w:rPr>
  </w:style>
  <w:style w:type="paragraph" w:styleId="CommentText">
    <w:name w:val="annotation text"/>
    <w:basedOn w:val="Normal"/>
    <w:semiHidden/>
    <w:rsid w:val="00430D8B"/>
    <w:rPr>
      <w:sz w:val="18"/>
    </w:rPr>
  </w:style>
  <w:style w:type="paragraph" w:styleId="EndnoteText">
    <w:name w:val="endnote text"/>
    <w:basedOn w:val="Normal"/>
    <w:semiHidden/>
    <w:rsid w:val="00430D8B"/>
    <w:rPr>
      <w:sz w:val="18"/>
    </w:rPr>
  </w:style>
  <w:style w:type="paragraph" w:styleId="Footer">
    <w:name w:val="footer"/>
    <w:basedOn w:val="Normal"/>
    <w:semiHidden/>
    <w:rsid w:val="00430D8B"/>
    <w:pPr>
      <w:tabs>
        <w:tab w:val="center" w:pos="4320"/>
        <w:tab w:val="right" w:pos="8640"/>
      </w:tabs>
    </w:pPr>
  </w:style>
  <w:style w:type="paragraph" w:styleId="FootnoteText">
    <w:name w:val="footnote text"/>
    <w:basedOn w:val="Normal"/>
    <w:link w:val="FootnoteTextChar"/>
    <w:semiHidden/>
    <w:rsid w:val="00430D8B"/>
    <w:rPr>
      <w:sz w:val="18"/>
    </w:rPr>
  </w:style>
  <w:style w:type="paragraph" w:styleId="Header">
    <w:name w:val="header"/>
    <w:basedOn w:val="Normal"/>
    <w:semiHidden/>
    <w:rsid w:val="00430D8B"/>
    <w:pPr>
      <w:tabs>
        <w:tab w:val="center" w:pos="4536"/>
        <w:tab w:val="right" w:pos="9072"/>
      </w:tabs>
    </w:pPr>
  </w:style>
  <w:style w:type="paragraph" w:styleId="ListNumber">
    <w:name w:val="List Number"/>
    <w:basedOn w:val="Normal"/>
    <w:semiHidden/>
    <w:rsid w:val="00430D8B"/>
    <w:pPr>
      <w:numPr>
        <w:numId w:val="34"/>
      </w:numPr>
    </w:pPr>
  </w:style>
  <w:style w:type="paragraph" w:customStyle="1" w:styleId="ONUME">
    <w:name w:val="ONUM E"/>
    <w:basedOn w:val="BodyText"/>
    <w:rsid w:val="00430D8B"/>
    <w:pPr>
      <w:numPr>
        <w:numId w:val="35"/>
      </w:numPr>
    </w:pPr>
  </w:style>
  <w:style w:type="paragraph" w:customStyle="1" w:styleId="ONUMFS">
    <w:name w:val="ONUM FS"/>
    <w:basedOn w:val="BodyText"/>
    <w:link w:val="ONUMFSChar"/>
    <w:rsid w:val="00430D8B"/>
    <w:pPr>
      <w:numPr>
        <w:numId w:val="36"/>
      </w:numPr>
    </w:pPr>
  </w:style>
  <w:style w:type="paragraph" w:styleId="Salutation">
    <w:name w:val="Salutation"/>
    <w:basedOn w:val="Normal"/>
    <w:next w:val="Normal"/>
    <w:semiHidden/>
    <w:rsid w:val="00430D8B"/>
  </w:style>
  <w:style w:type="paragraph" w:styleId="Signature">
    <w:name w:val="Signature"/>
    <w:basedOn w:val="Normal"/>
    <w:semiHidden/>
    <w:rsid w:val="00430D8B"/>
    <w:pPr>
      <w:ind w:left="5250"/>
    </w:pPr>
  </w:style>
  <w:style w:type="paragraph" w:styleId="BalloonText">
    <w:name w:val="Balloon Text"/>
    <w:basedOn w:val="Normal"/>
    <w:link w:val="BalloonTextChar"/>
    <w:rsid w:val="00996BC6"/>
    <w:rPr>
      <w:rFonts w:ascii="Tahoma" w:hAnsi="Tahoma" w:cs="Tahoma"/>
      <w:sz w:val="16"/>
      <w:szCs w:val="16"/>
    </w:rPr>
  </w:style>
  <w:style w:type="character" w:customStyle="1" w:styleId="BalloonTextChar">
    <w:name w:val="Balloon Text Char"/>
    <w:basedOn w:val="DefaultParagraphFont"/>
    <w:link w:val="BalloonText"/>
    <w:rsid w:val="00996BC6"/>
    <w:rPr>
      <w:rFonts w:ascii="Tahoma" w:eastAsia="SimSun" w:hAnsi="Tahoma" w:cs="Tahoma"/>
      <w:sz w:val="16"/>
      <w:szCs w:val="16"/>
      <w:lang w:eastAsia="zh-CN"/>
    </w:rPr>
  </w:style>
  <w:style w:type="character" w:customStyle="1" w:styleId="Endofdocument-AnnexChar">
    <w:name w:val="[End of document - Annex] Char"/>
    <w:link w:val="Endofdocument-Annex"/>
    <w:rsid w:val="00C5216C"/>
    <w:rPr>
      <w:rFonts w:ascii="Arial" w:eastAsia="SimSun" w:hAnsi="Arial" w:cs="Arial"/>
      <w:sz w:val="22"/>
      <w:lang w:eastAsia="zh-CN"/>
    </w:rPr>
  </w:style>
  <w:style w:type="character" w:customStyle="1" w:styleId="ONUMFSChar">
    <w:name w:val="ONUM FS Char"/>
    <w:basedOn w:val="DefaultParagraphFont"/>
    <w:link w:val="ONUMFS"/>
    <w:rsid w:val="00C5216C"/>
    <w:rPr>
      <w:rFonts w:ascii="Arial" w:eastAsia="SimSun" w:hAnsi="Arial" w:cs="Arial"/>
      <w:sz w:val="22"/>
      <w:lang w:val="fr-CH" w:eastAsia="zh-CN"/>
    </w:rPr>
  </w:style>
  <w:style w:type="character" w:styleId="FootnoteReference">
    <w:name w:val="footnote reference"/>
    <w:basedOn w:val="DefaultParagraphFont"/>
    <w:rsid w:val="007C17F4"/>
    <w:rPr>
      <w:vertAlign w:val="superscript"/>
    </w:rPr>
  </w:style>
  <w:style w:type="paragraph" w:styleId="ListParagraph">
    <w:name w:val="List Paragraph"/>
    <w:basedOn w:val="Normal"/>
    <w:uiPriority w:val="34"/>
    <w:qFormat/>
    <w:rsid w:val="00430D8B"/>
    <w:pPr>
      <w:ind w:left="720"/>
      <w:contextualSpacing/>
    </w:pPr>
  </w:style>
  <w:style w:type="paragraph" w:styleId="PlainText">
    <w:name w:val="Plain Text"/>
    <w:basedOn w:val="Normal"/>
    <w:link w:val="PlainTextChar"/>
    <w:uiPriority w:val="99"/>
    <w:unhideWhenUsed/>
    <w:rsid w:val="00252823"/>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252823"/>
    <w:rPr>
      <w:rFonts w:ascii="Calibri" w:eastAsiaTheme="minorHAnsi" w:hAnsi="Calibri" w:cstheme="minorBidi"/>
      <w:sz w:val="22"/>
      <w:szCs w:val="21"/>
    </w:rPr>
  </w:style>
  <w:style w:type="character" w:customStyle="1" w:styleId="FootnoteTextChar">
    <w:name w:val="Footnote Text Char"/>
    <w:basedOn w:val="DefaultParagraphFont"/>
    <w:link w:val="FootnoteText"/>
    <w:semiHidden/>
    <w:rsid w:val="00AF39CF"/>
    <w:rPr>
      <w:rFonts w:ascii="Arial" w:eastAsia="SimSun" w:hAnsi="Arial" w:cs="Arial"/>
      <w:sz w:val="18"/>
      <w:lang w:val="fr-CH" w:eastAsia="zh-CN"/>
    </w:rPr>
  </w:style>
  <w:style w:type="table" w:styleId="TableGrid">
    <w:name w:val="Table Grid"/>
    <w:basedOn w:val="TableNormal"/>
    <w:uiPriority w:val="39"/>
    <w:rsid w:val="00D37420"/>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placedate">
    <w:name w:val="Meeting place &amp; date"/>
    <w:basedOn w:val="Normal"/>
    <w:next w:val="Normal"/>
    <w:rsid w:val="00430D8B"/>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430D8B"/>
    <w:pPr>
      <w:spacing w:line="336" w:lineRule="exact"/>
      <w:ind w:left="1021"/>
    </w:pPr>
    <w:rPr>
      <w:rFonts w:eastAsia="Times New Roman" w:cs="Times New Roman"/>
      <w:b/>
      <w:sz w:val="28"/>
      <w:lang w:val="fr-FR" w:eastAsia="en-US"/>
    </w:rPr>
  </w:style>
  <w:style w:type="character" w:styleId="Hyperlink">
    <w:name w:val="Hyperlink"/>
    <w:basedOn w:val="DefaultParagraphFont"/>
    <w:semiHidden/>
    <w:unhideWhenUsed/>
    <w:rsid w:val="004548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9152">
      <w:bodyDiv w:val="1"/>
      <w:marLeft w:val="0"/>
      <w:marRight w:val="0"/>
      <w:marTop w:val="0"/>
      <w:marBottom w:val="0"/>
      <w:divBdr>
        <w:top w:val="none" w:sz="0" w:space="0" w:color="auto"/>
        <w:left w:val="none" w:sz="0" w:space="0" w:color="auto"/>
        <w:bottom w:val="none" w:sz="0" w:space="0" w:color="auto"/>
        <w:right w:val="none" w:sz="0" w:space="0" w:color="auto"/>
      </w:divBdr>
    </w:div>
    <w:div w:id="109138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6B1B6-F539-4B28-9ADC-614BD19E1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9</Pages>
  <Words>2971</Words>
  <Characters>17219</Characters>
  <Application>Microsoft Office Word</Application>
  <DocSecurity>0</DocSecurity>
  <Lines>302</Lines>
  <Paragraphs>154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CDIP/18/</vt:lpstr>
      <vt:lpstr>CDIP/18/</vt:lpstr>
    </vt:vector>
  </TitlesOfParts>
  <Company>WIPO</Company>
  <LinksUpToDate>false</LinksUpToDate>
  <CharactersWithSpaces>20036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CDIP/18/</dc:title>
  <dc:creator>BRACI Biljana</dc:creator>
  <cp:lastModifiedBy>COUTURE Sébastien</cp:lastModifiedBy>
  <cp:revision>19</cp:revision>
  <cp:lastPrinted>2018-10-05T14:45:00Z</cp:lastPrinted>
  <dcterms:created xsi:type="dcterms:W3CDTF">2019-03-07T07:59:00Z</dcterms:created>
  <dcterms:modified xsi:type="dcterms:W3CDTF">2019-03-08T12:05:00Z</dcterms:modified>
</cp:coreProperties>
</file>