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74F00" w:rsidRPr="008918F0" w:rsidTr="00F2657E">
        <w:tc>
          <w:tcPr>
            <w:tcW w:w="4513" w:type="dxa"/>
            <w:tcBorders>
              <w:bottom w:val="single" w:sz="4" w:space="0" w:color="auto"/>
            </w:tcBorders>
            <w:tcMar>
              <w:bottom w:w="170" w:type="dxa"/>
            </w:tcMar>
          </w:tcPr>
          <w:p w:rsidR="00774F00" w:rsidRPr="008918F0" w:rsidRDefault="00774F00" w:rsidP="00F2657E">
            <w:pPr>
              <w:rPr>
                <w:lang w:val="fr-FR"/>
              </w:rPr>
            </w:pPr>
            <w:bookmarkStart w:id="0" w:name="OLE_LINK2"/>
            <w:bookmarkStart w:id="1" w:name="OLE_LINK3"/>
            <w:bookmarkStart w:id="2" w:name="_GoBack"/>
            <w:bookmarkEnd w:id="2"/>
          </w:p>
        </w:tc>
        <w:tc>
          <w:tcPr>
            <w:tcW w:w="4337" w:type="dxa"/>
            <w:tcBorders>
              <w:bottom w:val="single" w:sz="4" w:space="0" w:color="auto"/>
            </w:tcBorders>
            <w:tcMar>
              <w:left w:w="0" w:type="dxa"/>
              <w:right w:w="0" w:type="dxa"/>
            </w:tcMar>
          </w:tcPr>
          <w:p w:rsidR="00774F00" w:rsidRPr="008918F0" w:rsidRDefault="00774F00" w:rsidP="00F2657E">
            <w:pPr>
              <w:rPr>
                <w:lang w:val="fr-FR"/>
              </w:rPr>
            </w:pPr>
            <w:r w:rsidRPr="008918F0">
              <w:rPr>
                <w:noProof/>
                <w:lang w:val="en-US" w:eastAsia="en-US"/>
              </w:rPr>
              <w:drawing>
                <wp:inline distT="0" distB="0" distL="0" distR="0" wp14:anchorId="0BF043CE" wp14:editId="1B65FCD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74F00" w:rsidRPr="008918F0" w:rsidRDefault="00774F00" w:rsidP="00F2657E">
            <w:pPr>
              <w:jc w:val="right"/>
              <w:rPr>
                <w:lang w:val="fr-FR"/>
              </w:rPr>
            </w:pPr>
            <w:r w:rsidRPr="008918F0">
              <w:rPr>
                <w:b/>
                <w:sz w:val="40"/>
                <w:szCs w:val="40"/>
                <w:lang w:val="fr-FR"/>
              </w:rPr>
              <w:t>F</w:t>
            </w:r>
          </w:p>
        </w:tc>
      </w:tr>
      <w:tr w:rsidR="00774F00" w:rsidRPr="008918F0" w:rsidTr="00F2657E">
        <w:trPr>
          <w:trHeight w:hRule="exact" w:val="357"/>
        </w:trPr>
        <w:tc>
          <w:tcPr>
            <w:tcW w:w="9356" w:type="dxa"/>
            <w:gridSpan w:val="3"/>
            <w:tcBorders>
              <w:top w:val="single" w:sz="4" w:space="0" w:color="auto"/>
            </w:tcBorders>
            <w:tcMar>
              <w:top w:w="170" w:type="dxa"/>
              <w:left w:w="0" w:type="dxa"/>
              <w:right w:w="0" w:type="dxa"/>
            </w:tcMar>
            <w:vAlign w:val="bottom"/>
          </w:tcPr>
          <w:p w:rsidR="00774F00" w:rsidRPr="008918F0" w:rsidRDefault="00774F00" w:rsidP="00774F00">
            <w:pPr>
              <w:jc w:val="right"/>
              <w:rPr>
                <w:rFonts w:ascii="Arial Black" w:hAnsi="Arial Black"/>
                <w:caps/>
                <w:sz w:val="15"/>
                <w:lang w:val="fr-FR"/>
              </w:rPr>
            </w:pPr>
            <w:r w:rsidRPr="008918F0">
              <w:rPr>
                <w:rFonts w:ascii="Arial Black" w:hAnsi="Arial Black"/>
                <w:caps/>
                <w:sz w:val="15"/>
                <w:lang w:val="fr-FR"/>
              </w:rPr>
              <w:t>CDIP/24/</w:t>
            </w:r>
            <w:bookmarkStart w:id="3" w:name="Code"/>
            <w:bookmarkEnd w:id="3"/>
            <w:r w:rsidRPr="008918F0">
              <w:rPr>
                <w:rFonts w:ascii="Arial Black" w:hAnsi="Arial Black"/>
                <w:caps/>
                <w:sz w:val="15"/>
                <w:lang w:val="fr-FR"/>
              </w:rPr>
              <w:t>11</w:t>
            </w:r>
          </w:p>
        </w:tc>
      </w:tr>
      <w:tr w:rsidR="00774F00" w:rsidRPr="008918F0" w:rsidTr="00F2657E">
        <w:trPr>
          <w:trHeight w:hRule="exact" w:val="170"/>
        </w:trPr>
        <w:tc>
          <w:tcPr>
            <w:tcW w:w="9356" w:type="dxa"/>
            <w:gridSpan w:val="3"/>
            <w:noWrap/>
            <w:tcMar>
              <w:left w:w="0" w:type="dxa"/>
              <w:right w:w="0" w:type="dxa"/>
            </w:tcMar>
            <w:vAlign w:val="bottom"/>
          </w:tcPr>
          <w:p w:rsidR="00774F00" w:rsidRPr="008918F0" w:rsidRDefault="00774F00" w:rsidP="00F2657E">
            <w:pPr>
              <w:jc w:val="right"/>
              <w:rPr>
                <w:rFonts w:ascii="Arial Black" w:hAnsi="Arial Black"/>
                <w:caps/>
                <w:sz w:val="15"/>
                <w:lang w:val="fr-FR"/>
              </w:rPr>
            </w:pPr>
            <w:r w:rsidRPr="008918F0">
              <w:rPr>
                <w:rFonts w:ascii="Arial Black" w:hAnsi="Arial Black"/>
                <w:caps/>
                <w:sz w:val="15"/>
                <w:lang w:val="fr-FR"/>
              </w:rPr>
              <w:t>ORIGINAL</w:t>
            </w:r>
            <w:r w:rsidR="00C959B2" w:rsidRPr="008918F0">
              <w:rPr>
                <w:rFonts w:ascii="Arial Black" w:hAnsi="Arial Black"/>
                <w:caps/>
                <w:sz w:val="15"/>
                <w:lang w:val="fr-FR"/>
              </w:rPr>
              <w:t> :</w:t>
            </w:r>
            <w:r w:rsidRPr="008918F0">
              <w:rPr>
                <w:rFonts w:ascii="Arial Black" w:hAnsi="Arial Black"/>
                <w:caps/>
                <w:sz w:val="15"/>
                <w:lang w:val="fr-FR"/>
              </w:rPr>
              <w:t xml:space="preserve"> </w:t>
            </w:r>
            <w:bookmarkStart w:id="4" w:name="Original"/>
            <w:bookmarkEnd w:id="4"/>
            <w:r w:rsidRPr="008918F0">
              <w:rPr>
                <w:rFonts w:ascii="Arial Black" w:hAnsi="Arial Black"/>
                <w:caps/>
                <w:sz w:val="15"/>
                <w:lang w:val="fr-FR"/>
              </w:rPr>
              <w:t xml:space="preserve">anglais </w:t>
            </w:r>
          </w:p>
        </w:tc>
      </w:tr>
      <w:tr w:rsidR="00774F00" w:rsidRPr="008918F0" w:rsidTr="00F2657E">
        <w:trPr>
          <w:trHeight w:hRule="exact" w:val="198"/>
        </w:trPr>
        <w:tc>
          <w:tcPr>
            <w:tcW w:w="9356" w:type="dxa"/>
            <w:gridSpan w:val="3"/>
            <w:tcMar>
              <w:left w:w="0" w:type="dxa"/>
              <w:right w:w="0" w:type="dxa"/>
            </w:tcMar>
            <w:vAlign w:val="bottom"/>
          </w:tcPr>
          <w:p w:rsidR="00774F00" w:rsidRPr="008918F0" w:rsidRDefault="00774F00" w:rsidP="00774F00">
            <w:pPr>
              <w:jc w:val="right"/>
              <w:rPr>
                <w:rFonts w:ascii="Arial Black" w:hAnsi="Arial Black"/>
                <w:caps/>
                <w:sz w:val="15"/>
                <w:lang w:val="fr-FR"/>
              </w:rPr>
            </w:pPr>
            <w:r w:rsidRPr="008918F0">
              <w:rPr>
                <w:rFonts w:ascii="Arial Black" w:hAnsi="Arial Black"/>
                <w:caps/>
                <w:sz w:val="15"/>
                <w:lang w:val="fr-FR"/>
              </w:rPr>
              <w:t>DATE</w:t>
            </w:r>
            <w:r w:rsidR="00C959B2" w:rsidRPr="008918F0">
              <w:rPr>
                <w:rFonts w:ascii="Arial Black" w:hAnsi="Arial Black"/>
                <w:caps/>
                <w:sz w:val="15"/>
                <w:lang w:val="fr-FR"/>
              </w:rPr>
              <w:t> :</w:t>
            </w:r>
            <w:r w:rsidRPr="008918F0">
              <w:rPr>
                <w:rFonts w:ascii="Arial Black" w:hAnsi="Arial Black"/>
                <w:caps/>
                <w:sz w:val="15"/>
                <w:lang w:val="fr-FR"/>
              </w:rPr>
              <w:t xml:space="preserve"> 1</w:t>
            </w:r>
            <w:r w:rsidR="00C959B2" w:rsidRPr="008918F0">
              <w:rPr>
                <w:rFonts w:ascii="Arial Black" w:hAnsi="Arial Black"/>
                <w:caps/>
                <w:sz w:val="15"/>
                <w:lang w:val="fr-FR"/>
              </w:rPr>
              <w:t>3 septembre 20</w:t>
            </w:r>
            <w:r w:rsidRPr="008918F0">
              <w:rPr>
                <w:rFonts w:ascii="Arial Black" w:hAnsi="Arial Black"/>
                <w:caps/>
                <w:sz w:val="15"/>
                <w:lang w:val="fr-FR"/>
              </w:rPr>
              <w:t xml:space="preserve">19 </w:t>
            </w:r>
          </w:p>
        </w:tc>
      </w:tr>
    </w:tbl>
    <w:p w:rsidR="00774F00" w:rsidRPr="008918F0" w:rsidRDefault="00774F00" w:rsidP="00774F00">
      <w:pPr>
        <w:rPr>
          <w:lang w:val="fr-FR"/>
        </w:rPr>
      </w:pPr>
    </w:p>
    <w:p w:rsidR="00774F00" w:rsidRPr="008918F0" w:rsidRDefault="00774F00" w:rsidP="00774F00">
      <w:pPr>
        <w:rPr>
          <w:lang w:val="fr-FR"/>
        </w:rPr>
      </w:pPr>
    </w:p>
    <w:p w:rsidR="00774F00" w:rsidRPr="008918F0" w:rsidRDefault="00774F00" w:rsidP="00774F00">
      <w:pPr>
        <w:rPr>
          <w:lang w:val="fr-FR"/>
        </w:rPr>
      </w:pPr>
    </w:p>
    <w:p w:rsidR="00774F00" w:rsidRPr="008918F0" w:rsidRDefault="00774F00" w:rsidP="00774F00">
      <w:pPr>
        <w:rPr>
          <w:lang w:val="fr-FR"/>
        </w:rPr>
      </w:pPr>
    </w:p>
    <w:p w:rsidR="00774F00" w:rsidRPr="008918F0" w:rsidRDefault="00774F00" w:rsidP="00774F00">
      <w:pPr>
        <w:rPr>
          <w:lang w:val="fr-FR"/>
        </w:rPr>
      </w:pPr>
    </w:p>
    <w:p w:rsidR="00774F00" w:rsidRPr="008918F0" w:rsidRDefault="00774F00" w:rsidP="00774F00">
      <w:pPr>
        <w:rPr>
          <w:b/>
          <w:sz w:val="28"/>
          <w:szCs w:val="28"/>
          <w:lang w:val="fr-FR"/>
        </w:rPr>
      </w:pPr>
      <w:r w:rsidRPr="008918F0">
        <w:rPr>
          <w:b/>
          <w:sz w:val="28"/>
          <w:szCs w:val="28"/>
          <w:lang w:val="fr-FR"/>
        </w:rPr>
        <w:t>Comité du développement et de la propriété intellectuelle (CDIP)</w:t>
      </w:r>
    </w:p>
    <w:p w:rsidR="00774F00" w:rsidRPr="008918F0" w:rsidRDefault="00774F00" w:rsidP="00774F00">
      <w:pPr>
        <w:rPr>
          <w:lang w:val="fr-FR"/>
        </w:rPr>
      </w:pPr>
    </w:p>
    <w:p w:rsidR="00774F00" w:rsidRPr="008918F0" w:rsidRDefault="00774F00" w:rsidP="00774F00">
      <w:pPr>
        <w:rPr>
          <w:lang w:val="fr-FR"/>
        </w:rPr>
      </w:pPr>
    </w:p>
    <w:p w:rsidR="00774F00" w:rsidRPr="008918F0" w:rsidRDefault="00774F00" w:rsidP="00774F00">
      <w:pPr>
        <w:rPr>
          <w:b/>
          <w:sz w:val="24"/>
          <w:szCs w:val="24"/>
          <w:lang w:val="fr-FR"/>
        </w:rPr>
      </w:pPr>
      <w:r w:rsidRPr="008918F0">
        <w:rPr>
          <w:b/>
          <w:sz w:val="24"/>
          <w:szCs w:val="24"/>
          <w:lang w:val="fr-FR"/>
        </w:rPr>
        <w:t>Vingt</w:t>
      </w:r>
      <w:r w:rsidR="00AB7A2D">
        <w:rPr>
          <w:b/>
          <w:sz w:val="24"/>
          <w:szCs w:val="24"/>
          <w:lang w:val="fr-FR"/>
        </w:rPr>
        <w:noBreakHyphen/>
      </w:r>
      <w:r w:rsidRPr="008918F0">
        <w:rPr>
          <w:b/>
          <w:sz w:val="24"/>
          <w:szCs w:val="24"/>
          <w:lang w:val="fr-FR"/>
        </w:rPr>
        <w:t>quatr</w:t>
      </w:r>
      <w:r w:rsidR="00C959B2" w:rsidRPr="008918F0">
        <w:rPr>
          <w:b/>
          <w:sz w:val="24"/>
          <w:szCs w:val="24"/>
          <w:lang w:val="fr-FR"/>
        </w:rPr>
        <w:t>ième session</w:t>
      </w:r>
    </w:p>
    <w:p w:rsidR="00774F00" w:rsidRPr="008918F0" w:rsidRDefault="00774F00" w:rsidP="00774F00">
      <w:pPr>
        <w:rPr>
          <w:b/>
          <w:sz w:val="24"/>
          <w:szCs w:val="24"/>
          <w:lang w:val="fr-FR"/>
        </w:rPr>
      </w:pPr>
      <w:r w:rsidRPr="008918F0">
        <w:rPr>
          <w:b/>
          <w:sz w:val="24"/>
          <w:szCs w:val="24"/>
          <w:lang w:val="fr-FR"/>
        </w:rPr>
        <w:t>Genève, 18 – 22 novembre 2019</w:t>
      </w:r>
    </w:p>
    <w:p w:rsidR="00774F00" w:rsidRPr="008918F0" w:rsidRDefault="00774F00" w:rsidP="00774F00">
      <w:pPr>
        <w:rPr>
          <w:lang w:val="fr-FR"/>
        </w:rPr>
      </w:pPr>
    </w:p>
    <w:p w:rsidR="00774F00" w:rsidRPr="008918F0" w:rsidRDefault="00774F00" w:rsidP="00774F00">
      <w:pPr>
        <w:rPr>
          <w:lang w:val="fr-FR"/>
        </w:rPr>
      </w:pPr>
    </w:p>
    <w:p w:rsidR="00774F00" w:rsidRPr="008918F0" w:rsidRDefault="00774F00" w:rsidP="00774F00">
      <w:pPr>
        <w:rPr>
          <w:lang w:val="fr-FR"/>
        </w:rPr>
      </w:pPr>
    </w:p>
    <w:p w:rsidR="0006001B" w:rsidRPr="008918F0" w:rsidRDefault="00774F00" w:rsidP="00287CBE">
      <w:pPr>
        <w:rPr>
          <w:lang w:val="fr-FR"/>
        </w:rPr>
      </w:pPr>
      <w:r w:rsidRPr="008918F0">
        <w:rPr>
          <w:lang w:val="fr-FR"/>
        </w:rPr>
        <w:t>Rapport d</w:t>
      </w:r>
      <w:r w:rsidR="00C959B2" w:rsidRPr="008918F0">
        <w:rPr>
          <w:lang w:val="fr-FR"/>
        </w:rPr>
        <w:t>’</w:t>
      </w:r>
      <w:r w:rsidRPr="008918F0">
        <w:rPr>
          <w:lang w:val="fr-FR"/>
        </w:rPr>
        <w:t>évaluation du projet sur l</w:t>
      </w:r>
      <w:r w:rsidR="00C959B2" w:rsidRPr="008918F0">
        <w:rPr>
          <w:lang w:val="fr-FR"/>
        </w:rPr>
        <w:t>’</w:t>
      </w:r>
      <w:r w:rsidRPr="008918F0">
        <w:rPr>
          <w:lang w:val="fr-FR"/>
        </w:rPr>
        <w:t>utilisation de l</w:t>
      </w:r>
      <w:r w:rsidR="00C959B2" w:rsidRPr="008918F0">
        <w:rPr>
          <w:lang w:val="fr-FR"/>
        </w:rPr>
        <w:t>’</w:t>
      </w:r>
      <w:r w:rsidRPr="008918F0">
        <w:rPr>
          <w:lang w:val="fr-FR"/>
        </w:rPr>
        <w:t>information figurant dans le domaine public aux fins du développement économique</w:t>
      </w:r>
      <w:bookmarkEnd w:id="0"/>
      <w:bookmarkEnd w:id="1"/>
    </w:p>
    <w:p w:rsidR="0006001B" w:rsidRPr="008918F0" w:rsidRDefault="0006001B" w:rsidP="006F732B">
      <w:pPr>
        <w:rPr>
          <w:i/>
          <w:lang w:val="fr-FR"/>
        </w:rPr>
      </w:pPr>
    </w:p>
    <w:p w:rsidR="0006001B" w:rsidRPr="008918F0" w:rsidRDefault="0006001B" w:rsidP="0006001B">
      <w:pPr>
        <w:rPr>
          <w:lang w:val="fr-FR"/>
        </w:rPr>
      </w:pPr>
      <w:r w:rsidRPr="008918F0">
        <w:rPr>
          <w:i/>
          <w:lang w:val="fr-FR"/>
        </w:rPr>
        <w:t>établi par M.</w:t>
      </w:r>
      <w:r w:rsidR="00DB6EA5" w:rsidRPr="008918F0">
        <w:rPr>
          <w:i/>
          <w:lang w:val="fr-FR"/>
        </w:rPr>
        <w:t> </w:t>
      </w:r>
      <w:r w:rsidRPr="008918F0">
        <w:rPr>
          <w:i/>
          <w:lang w:val="fr-FR"/>
        </w:rPr>
        <w:t>Glenn O</w:t>
      </w:r>
      <w:r w:rsidR="00C959B2" w:rsidRPr="008918F0">
        <w:rPr>
          <w:i/>
          <w:lang w:val="fr-FR"/>
        </w:rPr>
        <w:t>’</w:t>
      </w:r>
      <w:r w:rsidRPr="008918F0">
        <w:rPr>
          <w:i/>
          <w:lang w:val="fr-FR"/>
        </w:rPr>
        <w:t>Neil, fondateur d</w:t>
      </w:r>
      <w:r w:rsidR="00C959B2" w:rsidRPr="008918F0">
        <w:rPr>
          <w:i/>
          <w:lang w:val="fr-FR"/>
        </w:rPr>
        <w:t>’</w:t>
      </w:r>
      <w:r w:rsidRPr="008918F0">
        <w:rPr>
          <w:i/>
          <w:lang w:val="fr-FR"/>
        </w:rPr>
        <w:t>Owl RE, Evaluation Consultancy, Genève</w:t>
      </w:r>
    </w:p>
    <w:p w:rsidR="0006001B" w:rsidRPr="008918F0" w:rsidRDefault="0006001B">
      <w:pPr>
        <w:rPr>
          <w:lang w:val="fr-FR"/>
        </w:rPr>
      </w:pPr>
    </w:p>
    <w:p w:rsidR="0006001B" w:rsidRPr="008918F0" w:rsidRDefault="0006001B">
      <w:pPr>
        <w:rPr>
          <w:lang w:val="fr-FR"/>
        </w:rPr>
      </w:pPr>
    </w:p>
    <w:p w:rsidR="0006001B" w:rsidRPr="008918F0" w:rsidRDefault="0006001B">
      <w:pPr>
        <w:rPr>
          <w:lang w:val="fr-FR"/>
        </w:rPr>
      </w:pPr>
    </w:p>
    <w:p w:rsidR="0006001B" w:rsidRPr="008918F0" w:rsidRDefault="008503FF" w:rsidP="00774F00">
      <w:pPr>
        <w:pStyle w:val="ONUMFS"/>
        <w:rPr>
          <w:lang w:val="fr-FR"/>
        </w:rPr>
      </w:pPr>
      <w:r w:rsidRPr="008918F0">
        <w:rPr>
          <w:lang w:val="fr-FR"/>
        </w:rPr>
        <w:t>L</w:t>
      </w:r>
      <w:r w:rsidR="00C959B2" w:rsidRPr="008918F0">
        <w:rPr>
          <w:lang w:val="fr-FR"/>
        </w:rPr>
        <w:t>’</w:t>
      </w:r>
      <w:r w:rsidRPr="008918F0">
        <w:rPr>
          <w:lang w:val="fr-FR"/>
        </w:rPr>
        <w:t>annexe du présent document contient un rapport d</w:t>
      </w:r>
      <w:r w:rsidR="00C959B2" w:rsidRPr="008918F0">
        <w:rPr>
          <w:lang w:val="fr-FR"/>
        </w:rPr>
        <w:t>’</w:t>
      </w:r>
      <w:r w:rsidRPr="008918F0">
        <w:rPr>
          <w:lang w:val="fr-FR"/>
        </w:rPr>
        <w:t xml:space="preserve">évaluation </w:t>
      </w:r>
      <w:r w:rsidR="00025F69" w:rsidRPr="008918F0">
        <w:rPr>
          <w:lang w:val="fr-FR"/>
        </w:rPr>
        <w:t xml:space="preserve">externe </w:t>
      </w:r>
      <w:r w:rsidRPr="008918F0">
        <w:rPr>
          <w:lang w:val="fr-FR"/>
        </w:rPr>
        <w:t>indépendant</w:t>
      </w:r>
      <w:r w:rsidR="00025F69" w:rsidRPr="008918F0">
        <w:rPr>
          <w:lang w:val="fr-FR"/>
        </w:rPr>
        <w:t>e</w:t>
      </w:r>
      <w:r w:rsidRPr="008918F0">
        <w:rPr>
          <w:lang w:val="fr-FR"/>
        </w:rPr>
        <w:t xml:space="preserve"> du projet sur l</w:t>
      </w:r>
      <w:r w:rsidR="00C959B2" w:rsidRPr="008918F0">
        <w:rPr>
          <w:lang w:val="fr-FR"/>
        </w:rPr>
        <w:t>’</w:t>
      </w:r>
      <w:r w:rsidRPr="008918F0">
        <w:rPr>
          <w:lang w:val="fr-FR"/>
        </w:rPr>
        <w:t>utilisation de l</w:t>
      </w:r>
      <w:r w:rsidR="00C959B2" w:rsidRPr="008918F0">
        <w:rPr>
          <w:lang w:val="fr-FR"/>
        </w:rPr>
        <w:t>’</w:t>
      </w:r>
      <w:r w:rsidRPr="008918F0">
        <w:rPr>
          <w:lang w:val="fr-FR"/>
        </w:rPr>
        <w:t>information figurant dans le document public aux fins du développement économique, établi par M. </w:t>
      </w:r>
      <w:r w:rsidR="00712C30" w:rsidRPr="008918F0">
        <w:rPr>
          <w:lang w:val="fr-FR"/>
        </w:rPr>
        <w:t>Gle</w:t>
      </w:r>
      <w:r w:rsidR="00A718B2" w:rsidRPr="008918F0">
        <w:rPr>
          <w:lang w:val="fr-FR"/>
        </w:rPr>
        <w:t>n</w:t>
      </w:r>
      <w:r w:rsidR="00712C30" w:rsidRPr="008918F0">
        <w:rPr>
          <w:lang w:val="fr-FR"/>
        </w:rPr>
        <w:t>n O</w:t>
      </w:r>
      <w:r w:rsidR="00C959B2" w:rsidRPr="008918F0">
        <w:rPr>
          <w:lang w:val="fr-FR"/>
        </w:rPr>
        <w:t>’</w:t>
      </w:r>
      <w:r w:rsidR="00712C30" w:rsidRPr="008918F0">
        <w:rPr>
          <w:lang w:val="fr-FR"/>
        </w:rPr>
        <w:t xml:space="preserve">Neil, </w:t>
      </w:r>
      <w:r w:rsidRPr="008918F0">
        <w:rPr>
          <w:lang w:val="fr-FR"/>
        </w:rPr>
        <w:t>fondateur d</w:t>
      </w:r>
      <w:r w:rsidR="00C959B2" w:rsidRPr="008918F0">
        <w:rPr>
          <w:lang w:val="fr-FR"/>
        </w:rPr>
        <w:t>’</w:t>
      </w:r>
      <w:r w:rsidR="00712C30" w:rsidRPr="008918F0">
        <w:rPr>
          <w:lang w:val="fr-FR"/>
        </w:rPr>
        <w:t xml:space="preserve">Owl RE, </w:t>
      </w:r>
      <w:r w:rsidRPr="008918F0">
        <w:rPr>
          <w:lang w:val="fr-FR"/>
        </w:rPr>
        <w:t>Genève.</w:t>
      </w:r>
    </w:p>
    <w:p w:rsidR="0006001B" w:rsidRPr="008918F0" w:rsidRDefault="0006001B" w:rsidP="00774F00">
      <w:pPr>
        <w:pStyle w:val="ONUMFS"/>
        <w:ind w:left="5533"/>
        <w:rPr>
          <w:i/>
          <w:lang w:val="fr-FR"/>
        </w:rPr>
      </w:pPr>
      <w:r w:rsidRPr="008918F0">
        <w:rPr>
          <w:i/>
          <w:lang w:val="fr-FR"/>
        </w:rPr>
        <w:t xml:space="preserve">Le CDIP est invité à prendre note des informations </w:t>
      </w:r>
      <w:r w:rsidR="008503FF" w:rsidRPr="008918F0">
        <w:rPr>
          <w:i/>
          <w:lang w:val="fr-FR"/>
        </w:rPr>
        <w:t>qui figurent</w:t>
      </w:r>
      <w:r w:rsidRPr="008918F0">
        <w:rPr>
          <w:i/>
          <w:lang w:val="fr-FR"/>
        </w:rPr>
        <w:t xml:space="preserve"> dans l</w:t>
      </w:r>
      <w:r w:rsidR="00C959B2" w:rsidRPr="008918F0">
        <w:rPr>
          <w:i/>
          <w:lang w:val="fr-FR"/>
        </w:rPr>
        <w:t>’</w:t>
      </w:r>
      <w:r w:rsidRPr="008918F0">
        <w:rPr>
          <w:i/>
          <w:lang w:val="fr-FR"/>
        </w:rPr>
        <w:t>annexe du présent document.</w:t>
      </w:r>
    </w:p>
    <w:p w:rsidR="0006001B" w:rsidRPr="008918F0" w:rsidRDefault="0006001B" w:rsidP="004907DF">
      <w:pPr>
        <w:rPr>
          <w:lang w:val="fr-FR"/>
        </w:rPr>
      </w:pPr>
    </w:p>
    <w:p w:rsidR="0006001B" w:rsidRPr="008918F0" w:rsidRDefault="0006001B" w:rsidP="004907DF">
      <w:pPr>
        <w:rPr>
          <w:lang w:val="fr-FR"/>
        </w:rPr>
      </w:pPr>
    </w:p>
    <w:p w:rsidR="0006001B" w:rsidRPr="008918F0" w:rsidRDefault="0006001B" w:rsidP="00774F00">
      <w:pPr>
        <w:pStyle w:val="Endofdocument-Annex"/>
        <w:rPr>
          <w:lang w:val="fr-FR"/>
        </w:rPr>
      </w:pPr>
      <w:r w:rsidRPr="008918F0">
        <w:rPr>
          <w:lang w:val="fr-FR"/>
        </w:rPr>
        <w:t>[L</w:t>
      </w:r>
      <w:r w:rsidR="00C959B2" w:rsidRPr="008918F0">
        <w:rPr>
          <w:lang w:val="fr-FR"/>
        </w:rPr>
        <w:t>’</w:t>
      </w:r>
      <w:r w:rsidRPr="008918F0">
        <w:rPr>
          <w:lang w:val="fr-FR"/>
        </w:rPr>
        <w:t>annexe suit]</w:t>
      </w:r>
    </w:p>
    <w:p w:rsidR="0006001B" w:rsidRPr="008918F0" w:rsidRDefault="0006001B">
      <w:pPr>
        <w:rPr>
          <w:lang w:val="fr-FR"/>
        </w:rPr>
      </w:pPr>
    </w:p>
    <w:p w:rsidR="00774F00" w:rsidRPr="008918F0" w:rsidRDefault="00774F00" w:rsidP="0006001B">
      <w:pPr>
        <w:jc w:val="center"/>
        <w:rPr>
          <w:b/>
          <w:sz w:val="24"/>
          <w:szCs w:val="24"/>
          <w:lang w:val="fr-FR"/>
        </w:rPr>
        <w:sectPr w:rsidR="00774F00" w:rsidRPr="008918F0" w:rsidSect="00774F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p>
    <w:p w:rsidR="0006001B" w:rsidRPr="008918F0" w:rsidRDefault="0006001B" w:rsidP="0006001B">
      <w:pPr>
        <w:jc w:val="center"/>
        <w:rPr>
          <w:b/>
          <w:sz w:val="24"/>
          <w:szCs w:val="24"/>
          <w:lang w:val="fr-FR"/>
        </w:rPr>
      </w:pPr>
      <w:r w:rsidRPr="008918F0">
        <w:rPr>
          <w:b/>
          <w:sz w:val="24"/>
          <w:szCs w:val="24"/>
          <w:lang w:val="fr-FR"/>
        </w:rPr>
        <w:lastRenderedPageBreak/>
        <w:t>TABLE DES MATIÈRES</w:t>
      </w:r>
    </w:p>
    <w:p w:rsidR="0006001B" w:rsidRPr="008918F0" w:rsidRDefault="0006001B" w:rsidP="00FB6E4B">
      <w:pPr>
        <w:rPr>
          <w:lang w:val="fr-FR"/>
        </w:rPr>
      </w:pPr>
    </w:p>
    <w:p w:rsidR="000B4E2C" w:rsidRDefault="00D9189B" w:rsidP="000B4E2C">
      <w:pPr>
        <w:pStyle w:val="TOC1"/>
        <w:rPr>
          <w:rFonts w:asciiTheme="minorHAnsi" w:eastAsiaTheme="minorEastAsia" w:hAnsiTheme="minorHAnsi" w:cstheme="minorBidi"/>
          <w:noProof/>
          <w:szCs w:val="22"/>
          <w:lang w:val="fr-FR" w:eastAsia="fr-FR"/>
        </w:rPr>
      </w:pPr>
      <w:r w:rsidRPr="008918F0">
        <w:rPr>
          <w:lang w:val="fr-FR"/>
        </w:rPr>
        <w:fldChar w:fldCharType="begin"/>
      </w:r>
      <w:r w:rsidRPr="008918F0">
        <w:rPr>
          <w:lang w:val="fr-FR"/>
        </w:rPr>
        <w:instrText xml:space="preserve"> TOC \o "1-2" </w:instrText>
      </w:r>
      <w:r w:rsidRPr="008918F0">
        <w:rPr>
          <w:lang w:val="fr-FR"/>
        </w:rPr>
        <w:fldChar w:fldCharType="separate"/>
      </w:r>
      <w:r w:rsidR="000B4E2C" w:rsidRPr="00FE06FE">
        <w:rPr>
          <w:noProof/>
          <w:lang w:val="fr-FR"/>
        </w:rPr>
        <w:t>Résumé</w:t>
      </w:r>
      <w:r w:rsidR="000B4E2C">
        <w:rPr>
          <w:noProof/>
        </w:rPr>
        <w:tab/>
      </w:r>
      <w:r w:rsidR="000B4E2C">
        <w:rPr>
          <w:noProof/>
        </w:rPr>
        <w:fldChar w:fldCharType="begin"/>
      </w:r>
      <w:r w:rsidR="000B4E2C">
        <w:rPr>
          <w:noProof/>
        </w:rPr>
        <w:instrText xml:space="preserve"> PAGEREF _Toc20743524 \h </w:instrText>
      </w:r>
      <w:r w:rsidR="000B4E2C">
        <w:rPr>
          <w:noProof/>
        </w:rPr>
      </w:r>
      <w:r w:rsidR="000B4E2C">
        <w:rPr>
          <w:noProof/>
        </w:rPr>
        <w:fldChar w:fldCharType="separate"/>
      </w:r>
      <w:r w:rsidR="000B4E2C">
        <w:rPr>
          <w:noProof/>
        </w:rPr>
        <w:t>2</w:t>
      </w:r>
      <w:r w:rsidR="000B4E2C">
        <w:rPr>
          <w:noProof/>
        </w:rPr>
        <w:fldChar w:fldCharType="end"/>
      </w:r>
    </w:p>
    <w:p w:rsidR="000B4E2C" w:rsidRDefault="000B4E2C" w:rsidP="000B4E2C">
      <w:pPr>
        <w:pStyle w:val="TOC1"/>
        <w:rPr>
          <w:rFonts w:asciiTheme="minorHAnsi" w:eastAsiaTheme="minorEastAsia" w:hAnsiTheme="minorHAnsi" w:cstheme="minorBidi"/>
          <w:noProof/>
          <w:szCs w:val="22"/>
          <w:lang w:val="fr-FR" w:eastAsia="fr-FR"/>
        </w:rPr>
      </w:pPr>
      <w:r w:rsidRPr="00FE06FE">
        <w:rPr>
          <w:noProof/>
          <w:lang w:val="fr-FR"/>
        </w:rPr>
        <w:t>I.</w:t>
      </w:r>
      <w:r>
        <w:rPr>
          <w:rFonts w:asciiTheme="minorHAnsi" w:eastAsiaTheme="minorEastAsia" w:hAnsiTheme="minorHAnsi" w:cstheme="minorBidi"/>
          <w:noProof/>
          <w:szCs w:val="22"/>
          <w:lang w:val="fr-FR" w:eastAsia="fr-FR"/>
        </w:rPr>
        <w:tab/>
      </w:r>
      <w:r w:rsidRPr="00FE06FE">
        <w:rPr>
          <w:noProof/>
          <w:lang w:val="fr-FR"/>
        </w:rPr>
        <w:t>Introduction</w:t>
      </w:r>
      <w:r>
        <w:rPr>
          <w:noProof/>
        </w:rPr>
        <w:tab/>
      </w:r>
      <w:r>
        <w:rPr>
          <w:noProof/>
        </w:rPr>
        <w:fldChar w:fldCharType="begin"/>
      </w:r>
      <w:r>
        <w:rPr>
          <w:noProof/>
        </w:rPr>
        <w:instrText xml:space="preserve"> PAGEREF _Toc20743525 \h </w:instrText>
      </w:r>
      <w:r>
        <w:rPr>
          <w:noProof/>
        </w:rPr>
      </w:r>
      <w:r>
        <w:rPr>
          <w:noProof/>
        </w:rPr>
        <w:fldChar w:fldCharType="separate"/>
      </w:r>
      <w:r>
        <w:rPr>
          <w:noProof/>
        </w:rPr>
        <w:t>6</w:t>
      </w:r>
      <w:r>
        <w:rPr>
          <w:noProof/>
        </w:rPr>
        <w:fldChar w:fldCharType="end"/>
      </w:r>
    </w:p>
    <w:p w:rsidR="000B4E2C" w:rsidRDefault="000B4E2C" w:rsidP="000B4E2C">
      <w:pPr>
        <w:pStyle w:val="TOC1"/>
        <w:rPr>
          <w:rFonts w:asciiTheme="minorHAnsi" w:eastAsiaTheme="minorEastAsia" w:hAnsiTheme="minorHAnsi" w:cstheme="minorBidi"/>
          <w:noProof/>
          <w:szCs w:val="22"/>
          <w:lang w:val="fr-FR" w:eastAsia="fr-FR"/>
        </w:rPr>
      </w:pPr>
      <w:r w:rsidRPr="00FE06FE">
        <w:rPr>
          <w:noProof/>
          <w:lang w:val="fr-FR"/>
        </w:rPr>
        <w:t>II.</w:t>
      </w:r>
      <w:r>
        <w:rPr>
          <w:rFonts w:asciiTheme="minorHAnsi" w:eastAsiaTheme="minorEastAsia" w:hAnsiTheme="minorHAnsi" w:cstheme="minorBidi"/>
          <w:noProof/>
          <w:szCs w:val="22"/>
          <w:lang w:val="fr-FR" w:eastAsia="fr-FR"/>
        </w:rPr>
        <w:tab/>
      </w:r>
      <w:r w:rsidRPr="00FE06FE">
        <w:rPr>
          <w:noProof/>
          <w:lang w:val="fr-FR"/>
        </w:rPr>
        <w:t>Description du projet</w:t>
      </w:r>
      <w:r>
        <w:rPr>
          <w:noProof/>
        </w:rPr>
        <w:tab/>
      </w:r>
      <w:r>
        <w:rPr>
          <w:noProof/>
        </w:rPr>
        <w:fldChar w:fldCharType="begin"/>
      </w:r>
      <w:r>
        <w:rPr>
          <w:noProof/>
        </w:rPr>
        <w:instrText xml:space="preserve"> PAGEREF _Toc20743526 \h </w:instrText>
      </w:r>
      <w:r>
        <w:rPr>
          <w:noProof/>
        </w:rPr>
      </w:r>
      <w:r>
        <w:rPr>
          <w:noProof/>
        </w:rPr>
        <w:fldChar w:fldCharType="separate"/>
      </w:r>
      <w:r>
        <w:rPr>
          <w:noProof/>
        </w:rPr>
        <w:t>6</w:t>
      </w:r>
      <w:r>
        <w:rPr>
          <w:noProof/>
        </w:rPr>
        <w:fldChar w:fldCharType="end"/>
      </w:r>
    </w:p>
    <w:p w:rsidR="000B4E2C" w:rsidRDefault="000B4E2C" w:rsidP="000B4E2C">
      <w:pPr>
        <w:pStyle w:val="TOC1"/>
        <w:rPr>
          <w:rFonts w:asciiTheme="minorHAnsi" w:eastAsiaTheme="minorEastAsia" w:hAnsiTheme="minorHAnsi" w:cstheme="minorBidi"/>
          <w:noProof/>
          <w:szCs w:val="22"/>
          <w:lang w:val="fr-FR" w:eastAsia="fr-FR"/>
        </w:rPr>
      </w:pPr>
      <w:r w:rsidRPr="00FE06FE">
        <w:rPr>
          <w:noProof/>
          <w:lang w:val="fr-FR"/>
        </w:rPr>
        <w:t>III.</w:t>
      </w:r>
      <w:r>
        <w:rPr>
          <w:rFonts w:asciiTheme="minorHAnsi" w:eastAsiaTheme="minorEastAsia" w:hAnsiTheme="minorHAnsi" w:cstheme="minorBidi"/>
          <w:noProof/>
          <w:szCs w:val="22"/>
          <w:lang w:val="fr-FR" w:eastAsia="fr-FR"/>
        </w:rPr>
        <w:tab/>
      </w:r>
      <w:r w:rsidRPr="00FE06FE">
        <w:rPr>
          <w:noProof/>
          <w:lang w:val="fr-FR"/>
        </w:rPr>
        <w:t>Aperçu des critères d’évaluation et de la méthodologie</w:t>
      </w:r>
      <w:r>
        <w:rPr>
          <w:noProof/>
        </w:rPr>
        <w:tab/>
      </w:r>
      <w:r>
        <w:rPr>
          <w:noProof/>
        </w:rPr>
        <w:fldChar w:fldCharType="begin"/>
      </w:r>
      <w:r>
        <w:rPr>
          <w:noProof/>
        </w:rPr>
        <w:instrText xml:space="preserve"> PAGEREF _Toc20743527 \h </w:instrText>
      </w:r>
      <w:r>
        <w:rPr>
          <w:noProof/>
        </w:rPr>
      </w:r>
      <w:r>
        <w:rPr>
          <w:noProof/>
        </w:rPr>
        <w:fldChar w:fldCharType="separate"/>
      </w:r>
      <w:r>
        <w:rPr>
          <w:noProof/>
        </w:rPr>
        <w:t>7</w:t>
      </w:r>
      <w:r>
        <w:rPr>
          <w:noProof/>
        </w:rPr>
        <w:fldChar w:fldCharType="end"/>
      </w:r>
    </w:p>
    <w:p w:rsidR="000B4E2C" w:rsidRDefault="000B4E2C" w:rsidP="000B4E2C">
      <w:pPr>
        <w:pStyle w:val="TOC1"/>
        <w:rPr>
          <w:rFonts w:asciiTheme="minorHAnsi" w:eastAsiaTheme="minorEastAsia" w:hAnsiTheme="minorHAnsi" w:cstheme="minorBidi"/>
          <w:noProof/>
          <w:szCs w:val="22"/>
          <w:lang w:val="fr-FR" w:eastAsia="fr-FR"/>
        </w:rPr>
      </w:pPr>
      <w:r w:rsidRPr="00FE06FE">
        <w:rPr>
          <w:noProof/>
          <w:lang w:val="fr-FR"/>
        </w:rPr>
        <w:t>IV.</w:t>
      </w:r>
      <w:r>
        <w:rPr>
          <w:rFonts w:asciiTheme="minorHAnsi" w:eastAsiaTheme="minorEastAsia" w:hAnsiTheme="minorHAnsi" w:cstheme="minorBidi"/>
          <w:noProof/>
          <w:szCs w:val="22"/>
          <w:lang w:val="fr-FR" w:eastAsia="fr-FR"/>
        </w:rPr>
        <w:tab/>
      </w:r>
      <w:r w:rsidRPr="00FE06FE">
        <w:rPr>
          <w:noProof/>
          <w:lang w:val="fr-FR"/>
        </w:rPr>
        <w:t>Principales observations</w:t>
      </w:r>
      <w:r>
        <w:rPr>
          <w:noProof/>
        </w:rPr>
        <w:tab/>
      </w:r>
      <w:r>
        <w:rPr>
          <w:noProof/>
        </w:rPr>
        <w:fldChar w:fldCharType="begin"/>
      </w:r>
      <w:r>
        <w:rPr>
          <w:noProof/>
        </w:rPr>
        <w:instrText xml:space="preserve"> PAGEREF _Toc20743528 \h </w:instrText>
      </w:r>
      <w:r>
        <w:rPr>
          <w:noProof/>
        </w:rPr>
      </w:r>
      <w:r>
        <w:rPr>
          <w:noProof/>
        </w:rPr>
        <w:fldChar w:fldCharType="separate"/>
      </w:r>
      <w:r>
        <w:rPr>
          <w:noProof/>
        </w:rPr>
        <w:t>7</w:t>
      </w:r>
      <w:r>
        <w:rPr>
          <w:noProof/>
        </w:rPr>
        <w:fldChar w:fldCharType="end"/>
      </w:r>
    </w:p>
    <w:p w:rsidR="000B4E2C" w:rsidRDefault="000B4E2C">
      <w:pPr>
        <w:pStyle w:val="TOC2"/>
        <w:tabs>
          <w:tab w:val="left" w:pos="1134"/>
        </w:tabs>
        <w:rPr>
          <w:rFonts w:asciiTheme="minorHAnsi" w:eastAsiaTheme="minorEastAsia" w:hAnsiTheme="minorHAnsi" w:cstheme="minorBidi"/>
          <w:noProof/>
          <w:szCs w:val="22"/>
          <w:lang w:val="fr-FR" w:eastAsia="fr-FR"/>
        </w:rPr>
      </w:pPr>
      <w:r>
        <w:rPr>
          <w:noProof/>
        </w:rPr>
        <w:t>A.</w:t>
      </w:r>
      <w:r>
        <w:rPr>
          <w:rFonts w:asciiTheme="minorHAnsi" w:eastAsiaTheme="minorEastAsia" w:hAnsiTheme="minorHAnsi" w:cstheme="minorBidi"/>
          <w:noProof/>
          <w:szCs w:val="22"/>
          <w:lang w:val="fr-FR" w:eastAsia="fr-FR"/>
        </w:rPr>
        <w:tab/>
      </w:r>
      <w:r>
        <w:rPr>
          <w:noProof/>
        </w:rPr>
        <w:t>Conception et gestion du projet</w:t>
      </w:r>
      <w:r>
        <w:rPr>
          <w:noProof/>
        </w:rPr>
        <w:tab/>
      </w:r>
      <w:r>
        <w:rPr>
          <w:noProof/>
        </w:rPr>
        <w:fldChar w:fldCharType="begin"/>
      </w:r>
      <w:r>
        <w:rPr>
          <w:noProof/>
        </w:rPr>
        <w:instrText xml:space="preserve"> PAGEREF _Toc20743529 \h </w:instrText>
      </w:r>
      <w:r>
        <w:rPr>
          <w:noProof/>
        </w:rPr>
      </w:r>
      <w:r>
        <w:rPr>
          <w:noProof/>
        </w:rPr>
        <w:fldChar w:fldCharType="separate"/>
      </w:r>
      <w:r>
        <w:rPr>
          <w:noProof/>
        </w:rPr>
        <w:t>7</w:t>
      </w:r>
      <w:r>
        <w:rPr>
          <w:noProof/>
        </w:rPr>
        <w:fldChar w:fldCharType="end"/>
      </w:r>
    </w:p>
    <w:p w:rsidR="000B4E2C" w:rsidRDefault="000B4E2C">
      <w:pPr>
        <w:pStyle w:val="TOC2"/>
        <w:tabs>
          <w:tab w:val="left" w:pos="1134"/>
        </w:tabs>
        <w:rPr>
          <w:rFonts w:asciiTheme="minorHAnsi" w:eastAsiaTheme="minorEastAsia" w:hAnsiTheme="minorHAnsi" w:cstheme="minorBidi"/>
          <w:noProof/>
          <w:szCs w:val="22"/>
          <w:lang w:val="fr-FR" w:eastAsia="fr-FR"/>
        </w:rPr>
      </w:pPr>
      <w:r>
        <w:rPr>
          <w:noProof/>
        </w:rPr>
        <w:t>B.</w:t>
      </w:r>
      <w:r>
        <w:rPr>
          <w:rFonts w:asciiTheme="minorHAnsi" w:eastAsiaTheme="minorEastAsia" w:hAnsiTheme="minorHAnsi" w:cstheme="minorBidi"/>
          <w:noProof/>
          <w:szCs w:val="22"/>
          <w:lang w:val="fr-FR" w:eastAsia="fr-FR"/>
        </w:rPr>
        <w:tab/>
      </w:r>
      <w:r>
        <w:rPr>
          <w:noProof/>
        </w:rPr>
        <w:t>Efficacité du projet</w:t>
      </w:r>
      <w:r>
        <w:rPr>
          <w:noProof/>
        </w:rPr>
        <w:tab/>
      </w:r>
      <w:r>
        <w:rPr>
          <w:noProof/>
        </w:rPr>
        <w:fldChar w:fldCharType="begin"/>
      </w:r>
      <w:r>
        <w:rPr>
          <w:noProof/>
        </w:rPr>
        <w:instrText xml:space="preserve"> PAGEREF _Toc20743530 \h </w:instrText>
      </w:r>
      <w:r>
        <w:rPr>
          <w:noProof/>
        </w:rPr>
      </w:r>
      <w:r>
        <w:rPr>
          <w:noProof/>
        </w:rPr>
        <w:fldChar w:fldCharType="separate"/>
      </w:r>
      <w:r>
        <w:rPr>
          <w:noProof/>
        </w:rPr>
        <w:t>9</w:t>
      </w:r>
      <w:r>
        <w:rPr>
          <w:noProof/>
        </w:rPr>
        <w:fldChar w:fldCharType="end"/>
      </w:r>
    </w:p>
    <w:p w:rsidR="000B4E2C" w:rsidRDefault="000B4E2C">
      <w:pPr>
        <w:pStyle w:val="TOC2"/>
        <w:tabs>
          <w:tab w:val="left" w:pos="1134"/>
        </w:tabs>
        <w:rPr>
          <w:rFonts w:asciiTheme="minorHAnsi" w:eastAsiaTheme="minorEastAsia" w:hAnsiTheme="minorHAnsi" w:cstheme="minorBidi"/>
          <w:noProof/>
          <w:szCs w:val="22"/>
          <w:lang w:val="fr-FR" w:eastAsia="fr-FR"/>
        </w:rPr>
      </w:pPr>
      <w:r>
        <w:rPr>
          <w:noProof/>
        </w:rPr>
        <w:t>C.</w:t>
      </w:r>
      <w:r>
        <w:rPr>
          <w:rFonts w:asciiTheme="minorHAnsi" w:eastAsiaTheme="minorEastAsia" w:hAnsiTheme="minorHAnsi" w:cstheme="minorBidi"/>
          <w:noProof/>
          <w:szCs w:val="22"/>
          <w:lang w:val="fr-FR" w:eastAsia="fr-FR"/>
        </w:rPr>
        <w:tab/>
      </w:r>
      <w:r>
        <w:rPr>
          <w:noProof/>
        </w:rPr>
        <w:t>Viabilité</w:t>
      </w:r>
      <w:r>
        <w:rPr>
          <w:noProof/>
        </w:rPr>
        <w:tab/>
      </w:r>
      <w:r>
        <w:rPr>
          <w:noProof/>
        </w:rPr>
        <w:fldChar w:fldCharType="begin"/>
      </w:r>
      <w:r>
        <w:rPr>
          <w:noProof/>
        </w:rPr>
        <w:instrText xml:space="preserve"> PAGEREF _Toc20743531 \h </w:instrText>
      </w:r>
      <w:r>
        <w:rPr>
          <w:noProof/>
        </w:rPr>
      </w:r>
      <w:r>
        <w:rPr>
          <w:noProof/>
        </w:rPr>
        <w:fldChar w:fldCharType="separate"/>
      </w:r>
      <w:r>
        <w:rPr>
          <w:noProof/>
        </w:rPr>
        <w:t>12</w:t>
      </w:r>
      <w:r>
        <w:rPr>
          <w:noProof/>
        </w:rPr>
        <w:fldChar w:fldCharType="end"/>
      </w:r>
    </w:p>
    <w:p w:rsidR="000B4E2C" w:rsidRDefault="000B4E2C">
      <w:pPr>
        <w:pStyle w:val="TOC2"/>
        <w:tabs>
          <w:tab w:val="left" w:pos="1134"/>
        </w:tabs>
        <w:rPr>
          <w:rFonts w:asciiTheme="minorHAnsi" w:eastAsiaTheme="minorEastAsia" w:hAnsiTheme="minorHAnsi" w:cstheme="minorBidi"/>
          <w:noProof/>
          <w:szCs w:val="22"/>
          <w:lang w:val="fr-FR" w:eastAsia="fr-FR"/>
        </w:rPr>
      </w:pPr>
      <w:r>
        <w:rPr>
          <w:noProof/>
        </w:rPr>
        <w:t>D.</w:t>
      </w:r>
      <w:r>
        <w:rPr>
          <w:rFonts w:asciiTheme="minorHAnsi" w:eastAsiaTheme="minorEastAsia" w:hAnsiTheme="minorHAnsi" w:cstheme="minorBidi"/>
          <w:noProof/>
          <w:szCs w:val="22"/>
          <w:lang w:val="fr-FR" w:eastAsia="fr-FR"/>
        </w:rPr>
        <w:tab/>
      </w:r>
      <w:r>
        <w:rPr>
          <w:noProof/>
        </w:rPr>
        <w:t>Recommandations pour la mise en œuvre du Plan d’action pour le développement</w:t>
      </w:r>
      <w:r>
        <w:rPr>
          <w:noProof/>
        </w:rPr>
        <w:tab/>
      </w:r>
      <w:r>
        <w:rPr>
          <w:noProof/>
        </w:rPr>
        <w:fldChar w:fldCharType="begin"/>
      </w:r>
      <w:r>
        <w:rPr>
          <w:noProof/>
        </w:rPr>
        <w:instrText xml:space="preserve"> PAGEREF _Toc20743532 \h </w:instrText>
      </w:r>
      <w:r>
        <w:rPr>
          <w:noProof/>
        </w:rPr>
      </w:r>
      <w:r>
        <w:rPr>
          <w:noProof/>
        </w:rPr>
        <w:fldChar w:fldCharType="separate"/>
      </w:r>
      <w:r>
        <w:rPr>
          <w:noProof/>
        </w:rPr>
        <w:t>12</w:t>
      </w:r>
      <w:r>
        <w:rPr>
          <w:noProof/>
        </w:rPr>
        <w:fldChar w:fldCharType="end"/>
      </w:r>
    </w:p>
    <w:p w:rsidR="000B4E2C" w:rsidRDefault="000B4E2C" w:rsidP="000B4E2C">
      <w:pPr>
        <w:pStyle w:val="TOC1"/>
        <w:rPr>
          <w:rFonts w:asciiTheme="minorHAnsi" w:eastAsiaTheme="minorEastAsia" w:hAnsiTheme="minorHAnsi" w:cstheme="minorBidi"/>
          <w:noProof/>
          <w:szCs w:val="22"/>
          <w:lang w:val="fr-FR" w:eastAsia="fr-FR"/>
        </w:rPr>
      </w:pPr>
      <w:r w:rsidRPr="00FE06FE">
        <w:rPr>
          <w:noProof/>
          <w:lang w:val="fr-FR"/>
        </w:rPr>
        <w:t>V.</w:t>
      </w:r>
      <w:r>
        <w:rPr>
          <w:rFonts w:asciiTheme="minorHAnsi" w:eastAsiaTheme="minorEastAsia" w:hAnsiTheme="minorHAnsi" w:cstheme="minorBidi"/>
          <w:noProof/>
          <w:szCs w:val="22"/>
          <w:lang w:val="fr-FR" w:eastAsia="fr-FR"/>
        </w:rPr>
        <w:tab/>
      </w:r>
      <w:r w:rsidRPr="00FE06FE">
        <w:rPr>
          <w:noProof/>
          <w:lang w:val="fr-FR"/>
        </w:rPr>
        <w:t>Conclusions et recommandations</w:t>
      </w:r>
      <w:r>
        <w:rPr>
          <w:noProof/>
        </w:rPr>
        <w:tab/>
      </w:r>
      <w:r>
        <w:rPr>
          <w:noProof/>
        </w:rPr>
        <w:fldChar w:fldCharType="begin"/>
      </w:r>
      <w:r>
        <w:rPr>
          <w:noProof/>
        </w:rPr>
        <w:instrText xml:space="preserve"> PAGEREF _Toc20743533 \h </w:instrText>
      </w:r>
      <w:r>
        <w:rPr>
          <w:noProof/>
        </w:rPr>
      </w:r>
      <w:r>
        <w:rPr>
          <w:noProof/>
        </w:rPr>
        <w:fldChar w:fldCharType="separate"/>
      </w:r>
      <w:r>
        <w:rPr>
          <w:noProof/>
        </w:rPr>
        <w:t>13</w:t>
      </w:r>
      <w:r>
        <w:rPr>
          <w:noProof/>
        </w:rPr>
        <w:fldChar w:fldCharType="end"/>
      </w:r>
    </w:p>
    <w:p w:rsidR="0006001B" w:rsidRPr="008918F0" w:rsidRDefault="00D9189B" w:rsidP="00774F00">
      <w:pPr>
        <w:rPr>
          <w:lang w:val="fr-FR"/>
        </w:rPr>
      </w:pPr>
      <w:r w:rsidRPr="008918F0">
        <w:rPr>
          <w:lang w:val="fr-FR"/>
        </w:rPr>
        <w:fldChar w:fldCharType="end"/>
      </w:r>
    </w:p>
    <w:p w:rsidR="0006001B" w:rsidRPr="008918F0" w:rsidRDefault="0006001B" w:rsidP="00774F00">
      <w:pPr>
        <w:rPr>
          <w:lang w:val="fr-FR"/>
        </w:rPr>
      </w:pPr>
    </w:p>
    <w:p w:rsidR="0006001B" w:rsidRPr="008918F0" w:rsidRDefault="0006001B" w:rsidP="00774F00">
      <w:pPr>
        <w:rPr>
          <w:lang w:val="fr-FR"/>
        </w:rPr>
      </w:pPr>
    </w:p>
    <w:p w:rsidR="0006001B" w:rsidRPr="008918F0" w:rsidRDefault="0006001B" w:rsidP="00774F00">
      <w:pPr>
        <w:rPr>
          <w:lang w:val="fr-FR"/>
        </w:rPr>
      </w:pPr>
    </w:p>
    <w:p w:rsidR="0006001B" w:rsidRPr="008918F0" w:rsidRDefault="0006001B" w:rsidP="00774F00">
      <w:pPr>
        <w:rPr>
          <w:lang w:val="fr-FR"/>
        </w:rPr>
      </w:pPr>
    </w:p>
    <w:p w:rsidR="0006001B" w:rsidRPr="008918F0" w:rsidRDefault="0006001B" w:rsidP="00774F00">
      <w:pPr>
        <w:rPr>
          <w:b/>
          <w:sz w:val="24"/>
          <w:lang w:val="fr-FR"/>
        </w:rPr>
      </w:pPr>
      <w:r w:rsidRPr="008918F0">
        <w:rPr>
          <w:b/>
          <w:sz w:val="24"/>
          <w:lang w:val="fr-FR"/>
        </w:rPr>
        <w:t>Liste des sigles utilisés</w:t>
      </w:r>
    </w:p>
    <w:p w:rsidR="0006001B" w:rsidRPr="008918F0" w:rsidRDefault="0006001B" w:rsidP="00FB6E4B">
      <w:pPr>
        <w:rPr>
          <w:lang w:val="fr-FR"/>
        </w:rPr>
      </w:pPr>
    </w:p>
    <w:p w:rsidR="00DA613F" w:rsidRPr="008918F0" w:rsidRDefault="00DA613F" w:rsidP="0069779E">
      <w:pPr>
        <w:spacing w:line="276" w:lineRule="auto"/>
        <w:ind w:left="1134" w:hanging="1134"/>
        <w:rPr>
          <w:lang w:val="fr-FR"/>
        </w:rPr>
      </w:pPr>
      <w:r w:rsidRPr="008918F0">
        <w:rPr>
          <w:lang w:val="fr-FR"/>
        </w:rPr>
        <w:t>CATI</w:t>
      </w:r>
      <w:r w:rsidR="0069779E" w:rsidRPr="008918F0">
        <w:rPr>
          <w:lang w:val="fr-FR"/>
        </w:rPr>
        <w:tab/>
      </w:r>
      <w:r w:rsidR="00AB7A2D" w:rsidRPr="008918F0">
        <w:rPr>
          <w:lang w:val="fr-FR"/>
        </w:rPr>
        <w:t xml:space="preserve">centres </w:t>
      </w:r>
      <w:r w:rsidRPr="008918F0">
        <w:rPr>
          <w:lang w:val="fr-FR"/>
        </w:rPr>
        <w:t>d</w:t>
      </w:r>
      <w:r w:rsidR="00C959B2" w:rsidRPr="008918F0">
        <w:rPr>
          <w:lang w:val="fr-FR"/>
        </w:rPr>
        <w:t>’</w:t>
      </w:r>
      <w:r w:rsidRPr="008918F0">
        <w:rPr>
          <w:lang w:val="fr-FR"/>
        </w:rPr>
        <w:t>appui à la technologie et à l</w:t>
      </w:r>
      <w:r w:rsidR="00C959B2" w:rsidRPr="008918F0">
        <w:rPr>
          <w:lang w:val="fr-FR"/>
        </w:rPr>
        <w:t>’</w:t>
      </w:r>
      <w:r w:rsidRPr="008918F0">
        <w:rPr>
          <w:lang w:val="fr-FR"/>
        </w:rPr>
        <w:t>innovation</w:t>
      </w:r>
    </w:p>
    <w:p w:rsidR="0006001B" w:rsidRPr="008918F0" w:rsidRDefault="0006001B" w:rsidP="0069779E">
      <w:pPr>
        <w:spacing w:line="276" w:lineRule="auto"/>
        <w:ind w:left="1134" w:hanging="1134"/>
        <w:rPr>
          <w:szCs w:val="22"/>
          <w:lang w:val="fr-FR"/>
        </w:rPr>
      </w:pPr>
      <w:r w:rsidRPr="008918F0">
        <w:rPr>
          <w:szCs w:val="22"/>
          <w:lang w:val="fr-FR"/>
        </w:rPr>
        <w:t>CDIP</w:t>
      </w:r>
      <w:r w:rsidR="0069779E" w:rsidRPr="008918F0">
        <w:rPr>
          <w:szCs w:val="22"/>
          <w:lang w:val="fr-FR"/>
        </w:rPr>
        <w:tab/>
      </w:r>
      <w:r w:rsidRPr="008918F0">
        <w:rPr>
          <w:szCs w:val="22"/>
          <w:lang w:val="fr-FR"/>
        </w:rPr>
        <w:t>Comité du développement et de la propriété intellectuelle</w:t>
      </w:r>
    </w:p>
    <w:p w:rsidR="00DA613F" w:rsidRPr="008918F0" w:rsidRDefault="00DA613F" w:rsidP="0069779E">
      <w:pPr>
        <w:spacing w:line="276" w:lineRule="auto"/>
        <w:ind w:left="1134" w:hanging="1134"/>
        <w:rPr>
          <w:lang w:val="fr-FR"/>
        </w:rPr>
      </w:pPr>
      <w:r w:rsidRPr="008918F0">
        <w:rPr>
          <w:lang w:val="fr-FR"/>
        </w:rPr>
        <w:t>OMPI</w:t>
      </w:r>
      <w:r w:rsidR="0069779E" w:rsidRPr="008918F0">
        <w:rPr>
          <w:lang w:val="fr-FR"/>
        </w:rPr>
        <w:tab/>
      </w:r>
      <w:r w:rsidRPr="008918F0">
        <w:rPr>
          <w:lang w:val="fr-FR"/>
        </w:rPr>
        <w:t xml:space="preserve">Organisation </w:t>
      </w:r>
      <w:r w:rsidR="00DB6EA5" w:rsidRPr="008918F0">
        <w:rPr>
          <w:lang w:val="fr-FR"/>
        </w:rPr>
        <w:t>Mondiale</w:t>
      </w:r>
      <w:r w:rsidRPr="008918F0">
        <w:rPr>
          <w:lang w:val="fr-FR"/>
        </w:rPr>
        <w:t xml:space="preserve"> de la </w:t>
      </w:r>
      <w:r w:rsidR="00DB6EA5" w:rsidRPr="008918F0">
        <w:rPr>
          <w:lang w:val="fr-FR"/>
        </w:rPr>
        <w:t>Propriété Intellectuelle</w:t>
      </w:r>
    </w:p>
    <w:p w:rsidR="0006001B" w:rsidRPr="008918F0" w:rsidRDefault="00DA613F" w:rsidP="0069779E">
      <w:pPr>
        <w:spacing w:line="276" w:lineRule="auto"/>
        <w:ind w:left="1134" w:hanging="1134"/>
        <w:rPr>
          <w:szCs w:val="22"/>
          <w:lang w:val="fr-FR"/>
        </w:rPr>
      </w:pPr>
      <w:r w:rsidRPr="008918F0">
        <w:rPr>
          <w:szCs w:val="22"/>
          <w:lang w:val="fr-FR"/>
        </w:rPr>
        <w:t>PMA</w:t>
      </w:r>
      <w:r w:rsidR="0069779E" w:rsidRPr="008918F0">
        <w:rPr>
          <w:szCs w:val="22"/>
          <w:lang w:val="fr-FR"/>
        </w:rPr>
        <w:tab/>
      </w:r>
      <w:r w:rsidR="00AB7A2D" w:rsidRPr="008918F0">
        <w:rPr>
          <w:szCs w:val="22"/>
          <w:lang w:val="fr-FR"/>
        </w:rPr>
        <w:t xml:space="preserve">pays </w:t>
      </w:r>
      <w:r w:rsidRPr="008918F0">
        <w:rPr>
          <w:szCs w:val="22"/>
          <w:lang w:val="fr-FR"/>
        </w:rPr>
        <w:t>les moins avancés</w:t>
      </w:r>
    </w:p>
    <w:p w:rsidR="0006001B" w:rsidRPr="008918F0" w:rsidRDefault="0006001B" w:rsidP="00C01E7C">
      <w:pPr>
        <w:rPr>
          <w:lang w:val="fr-FR"/>
        </w:rPr>
      </w:pPr>
    </w:p>
    <w:p w:rsidR="0069779E" w:rsidRPr="008918F0" w:rsidRDefault="0069779E" w:rsidP="0069779E">
      <w:pPr>
        <w:rPr>
          <w:kern w:val="32"/>
          <w:szCs w:val="32"/>
          <w:lang w:val="fr-FR"/>
        </w:rPr>
      </w:pPr>
      <w:bookmarkStart w:id="7" w:name="_Toc320700949"/>
      <w:bookmarkStart w:id="8" w:name="_Toc336031966"/>
      <w:bookmarkStart w:id="9" w:name="_Toc336032066"/>
      <w:r w:rsidRPr="008918F0">
        <w:rPr>
          <w:lang w:val="fr-FR"/>
        </w:rPr>
        <w:br w:type="page"/>
      </w:r>
    </w:p>
    <w:p w:rsidR="0006001B" w:rsidRPr="008918F0" w:rsidRDefault="00F2657E" w:rsidP="00F2657E">
      <w:pPr>
        <w:pStyle w:val="Heading1"/>
        <w:numPr>
          <w:ilvl w:val="0"/>
          <w:numId w:val="0"/>
        </w:numPr>
        <w:ind w:left="567" w:hanging="567"/>
        <w:rPr>
          <w:lang w:val="fr-FR"/>
        </w:rPr>
      </w:pPr>
      <w:bookmarkStart w:id="10" w:name="_Toc20743524"/>
      <w:r w:rsidRPr="008918F0">
        <w:rPr>
          <w:lang w:val="fr-FR"/>
        </w:rPr>
        <w:lastRenderedPageBreak/>
        <w:t>Résumé</w:t>
      </w:r>
      <w:bookmarkEnd w:id="10"/>
    </w:p>
    <w:bookmarkEnd w:id="7"/>
    <w:bookmarkEnd w:id="8"/>
    <w:bookmarkEnd w:id="9"/>
    <w:p w:rsidR="0006001B" w:rsidRPr="008918F0" w:rsidRDefault="0006001B" w:rsidP="00F2657E">
      <w:pPr>
        <w:rPr>
          <w:lang w:val="fr-FR" w:eastAsia="en-US"/>
        </w:rPr>
      </w:pPr>
    </w:p>
    <w:p w:rsidR="0006001B" w:rsidRPr="008918F0" w:rsidRDefault="00E61041" w:rsidP="00F2657E">
      <w:pPr>
        <w:pStyle w:val="ONUMFS"/>
        <w:numPr>
          <w:ilvl w:val="0"/>
          <w:numId w:val="34"/>
        </w:numPr>
        <w:rPr>
          <w:iCs/>
          <w:lang w:val="fr-FR"/>
        </w:rPr>
      </w:pPr>
      <w:r w:rsidRPr="008918F0">
        <w:rPr>
          <w:lang w:val="fr-FR"/>
        </w:rPr>
        <w:t>Le présent rapport est une évaluation indépendante du projet du Plan d</w:t>
      </w:r>
      <w:r w:rsidR="00C959B2" w:rsidRPr="008918F0">
        <w:rPr>
          <w:lang w:val="fr-FR"/>
        </w:rPr>
        <w:t>’</w:t>
      </w:r>
      <w:r w:rsidRPr="008918F0">
        <w:rPr>
          <w:lang w:val="fr-FR"/>
        </w:rPr>
        <w:t xml:space="preserve">action pour le développement </w:t>
      </w:r>
      <w:r w:rsidR="00DE1E2A" w:rsidRPr="008918F0">
        <w:rPr>
          <w:lang w:val="fr-FR"/>
        </w:rPr>
        <w:t>(</w:t>
      </w:r>
      <w:r w:rsidR="00DE1E2A" w:rsidRPr="008918F0">
        <w:rPr>
          <w:iCs/>
          <w:lang w:val="fr-FR"/>
        </w:rPr>
        <w:t>DA_16_20_03</w:t>
      </w:r>
      <w:r w:rsidR="00DE1E2A" w:rsidRPr="008918F0">
        <w:rPr>
          <w:lang w:val="fr-FR"/>
        </w:rPr>
        <w:t xml:space="preserve">) </w:t>
      </w:r>
      <w:r w:rsidRPr="008918F0">
        <w:rPr>
          <w:lang w:val="fr-FR"/>
        </w:rPr>
        <w:t>sur l</w:t>
      </w:r>
      <w:r w:rsidR="00C959B2" w:rsidRPr="008918F0">
        <w:rPr>
          <w:lang w:val="fr-FR"/>
        </w:rPr>
        <w:t>’</w:t>
      </w:r>
      <w:r w:rsidRPr="008918F0">
        <w:rPr>
          <w:lang w:val="fr-FR"/>
        </w:rPr>
        <w:t>utilisation de l</w:t>
      </w:r>
      <w:r w:rsidR="00C959B2" w:rsidRPr="008918F0">
        <w:rPr>
          <w:lang w:val="fr-FR"/>
        </w:rPr>
        <w:t>’</w:t>
      </w:r>
      <w:r w:rsidRPr="008918F0">
        <w:rPr>
          <w:lang w:val="fr-FR"/>
        </w:rPr>
        <w:t>information figurant dans le domaine public aux fins du développement économiq</w:t>
      </w:r>
      <w:r w:rsidR="00630E33" w:rsidRPr="008918F0">
        <w:rPr>
          <w:lang w:val="fr-FR"/>
        </w:rPr>
        <w:t>ue.  Le</w:t>
      </w:r>
      <w:r w:rsidRPr="008918F0">
        <w:rPr>
          <w:lang w:val="fr-FR"/>
        </w:rPr>
        <w:t xml:space="preserve"> projet a été mené entre avril 2016 et juin 2019, en ce compris une extension de six</w:t>
      </w:r>
      <w:r w:rsidR="00DB6EA5" w:rsidRPr="008918F0">
        <w:rPr>
          <w:lang w:val="fr-FR"/>
        </w:rPr>
        <w:t> </w:t>
      </w:r>
      <w:r w:rsidRPr="008918F0">
        <w:rPr>
          <w:lang w:val="fr-FR"/>
        </w:rPr>
        <w:t>mois.</w:t>
      </w:r>
    </w:p>
    <w:p w:rsidR="0006001B" w:rsidRPr="008918F0" w:rsidRDefault="00E61041" w:rsidP="00F2657E">
      <w:pPr>
        <w:pStyle w:val="ONUMFS"/>
        <w:rPr>
          <w:iCs/>
          <w:lang w:val="fr-FR"/>
        </w:rPr>
      </w:pPr>
      <w:r w:rsidRPr="008918F0">
        <w:rPr>
          <w:lang w:val="fr-FR"/>
        </w:rPr>
        <w:t>Ce projet avait pour objectif de faciliter l</w:t>
      </w:r>
      <w:r w:rsidR="00C959B2" w:rsidRPr="008918F0">
        <w:rPr>
          <w:lang w:val="fr-FR"/>
        </w:rPr>
        <w:t>’</w:t>
      </w:r>
      <w:r w:rsidRPr="008918F0">
        <w:rPr>
          <w:lang w:val="fr-FR"/>
        </w:rPr>
        <w:t xml:space="preserve">accès des pays en développement et des pays les moins avancés (PMA) </w:t>
      </w:r>
      <w:r w:rsidR="00025F69" w:rsidRPr="008918F0">
        <w:rPr>
          <w:lang w:val="fr-FR"/>
        </w:rPr>
        <w:t>aux savoirs</w:t>
      </w:r>
      <w:r w:rsidRPr="008918F0">
        <w:rPr>
          <w:lang w:val="fr-FR"/>
        </w:rPr>
        <w:t xml:space="preserve"> et à la technologie et d</w:t>
      </w:r>
      <w:r w:rsidR="00C959B2" w:rsidRPr="008918F0">
        <w:rPr>
          <w:lang w:val="fr-FR"/>
        </w:rPr>
        <w:t>’</w:t>
      </w:r>
      <w:r w:rsidRPr="008918F0">
        <w:rPr>
          <w:lang w:val="fr-FR"/>
        </w:rPr>
        <w:t>aider les États membres intéressés à identifier et à utiliser l</w:t>
      </w:r>
      <w:r w:rsidR="00025F69" w:rsidRPr="008918F0">
        <w:rPr>
          <w:lang w:val="fr-FR"/>
        </w:rPr>
        <w:t xml:space="preserve">es </w:t>
      </w:r>
      <w:r w:rsidRPr="008918F0">
        <w:rPr>
          <w:lang w:val="fr-FR"/>
        </w:rPr>
        <w:t>information</w:t>
      </w:r>
      <w:r w:rsidR="00025F69" w:rsidRPr="008918F0">
        <w:rPr>
          <w:lang w:val="fr-FR"/>
        </w:rPr>
        <w:t>s qui figurent</w:t>
      </w:r>
      <w:r w:rsidRPr="008918F0">
        <w:rPr>
          <w:lang w:val="fr-FR"/>
        </w:rPr>
        <w:t xml:space="preserve"> dans le domaine public dans leur </w:t>
      </w:r>
      <w:r w:rsidR="00025F69" w:rsidRPr="008918F0">
        <w:rPr>
          <w:lang w:val="fr-FR"/>
        </w:rPr>
        <w:t xml:space="preserve">territoire </w:t>
      </w:r>
      <w:r w:rsidRPr="008918F0">
        <w:rPr>
          <w:lang w:val="fr-FR"/>
        </w:rPr>
        <w:t>en renforçant les services des centres d</w:t>
      </w:r>
      <w:r w:rsidR="00C959B2" w:rsidRPr="008918F0">
        <w:rPr>
          <w:lang w:val="fr-FR"/>
        </w:rPr>
        <w:t>’</w:t>
      </w:r>
      <w:r w:rsidRPr="008918F0">
        <w:rPr>
          <w:lang w:val="fr-FR"/>
        </w:rPr>
        <w:t>appui à la technologie et à l</w:t>
      </w:r>
      <w:r w:rsidR="00C959B2" w:rsidRPr="008918F0">
        <w:rPr>
          <w:lang w:val="fr-FR"/>
        </w:rPr>
        <w:t>’</w:t>
      </w:r>
      <w:r w:rsidRPr="008918F0">
        <w:rPr>
          <w:lang w:val="fr-FR"/>
        </w:rPr>
        <w:t>innovation (CATI).  Les principaux résultats du projet incluaient l</w:t>
      </w:r>
      <w:r w:rsidR="00C959B2" w:rsidRPr="008918F0">
        <w:rPr>
          <w:lang w:val="fr-FR"/>
        </w:rPr>
        <w:t>’</w:t>
      </w:r>
      <w:r w:rsidRPr="008918F0">
        <w:rPr>
          <w:lang w:val="fr-FR"/>
        </w:rPr>
        <w:t>élaboration de guides pratiques sur l</w:t>
      </w:r>
      <w:r w:rsidR="00C959B2" w:rsidRPr="008918F0">
        <w:rPr>
          <w:lang w:val="fr-FR"/>
        </w:rPr>
        <w:t>’</w:t>
      </w:r>
      <w:r w:rsidRPr="008918F0">
        <w:rPr>
          <w:lang w:val="fr-FR"/>
        </w:rPr>
        <w:t>identification et l</w:t>
      </w:r>
      <w:r w:rsidR="00C959B2" w:rsidRPr="008918F0">
        <w:rPr>
          <w:lang w:val="fr-FR"/>
        </w:rPr>
        <w:t>’</w:t>
      </w:r>
      <w:r w:rsidRPr="008918F0">
        <w:rPr>
          <w:lang w:val="fr-FR"/>
        </w:rPr>
        <w:t>utilisation d</w:t>
      </w:r>
      <w:r w:rsidR="00C959B2" w:rsidRPr="008918F0">
        <w:rPr>
          <w:lang w:val="fr-FR"/>
        </w:rPr>
        <w:t>’</w:t>
      </w:r>
      <w:r w:rsidRPr="008918F0">
        <w:rPr>
          <w:lang w:val="fr-FR"/>
        </w:rPr>
        <w:t xml:space="preserve">inventions se trouvant dans le domaine public, la </w:t>
      </w:r>
      <w:r w:rsidR="00025F69" w:rsidRPr="008918F0">
        <w:rPr>
          <w:lang w:val="fr-FR"/>
        </w:rPr>
        <w:t>consignation</w:t>
      </w:r>
      <w:r w:rsidRPr="008918F0">
        <w:rPr>
          <w:lang w:val="fr-FR"/>
        </w:rPr>
        <w:t xml:space="preserve"> des expériences et des bonnes pratiques, du nouveau matériel de formation amélioré, une liste d</w:t>
      </w:r>
      <w:r w:rsidR="00C959B2" w:rsidRPr="008918F0">
        <w:rPr>
          <w:lang w:val="fr-FR"/>
        </w:rPr>
        <w:t>’</w:t>
      </w:r>
      <w:r w:rsidR="006B59CC" w:rsidRPr="008918F0">
        <w:rPr>
          <w:lang w:val="fr-FR"/>
        </w:rPr>
        <w:t xml:space="preserve">experts </w:t>
      </w:r>
      <w:r w:rsidR="00025F69" w:rsidRPr="008918F0">
        <w:rPr>
          <w:lang w:val="fr-FR"/>
        </w:rPr>
        <w:t>essentiels</w:t>
      </w:r>
      <w:r w:rsidR="004C472C" w:rsidRPr="008918F0">
        <w:rPr>
          <w:lang w:val="fr-FR"/>
        </w:rPr>
        <w:t xml:space="preserve"> et un portail amélioré sur la situation juridique.</w:t>
      </w:r>
    </w:p>
    <w:p w:rsidR="0006001B" w:rsidRPr="008918F0" w:rsidRDefault="0006001B" w:rsidP="00F2657E">
      <w:pPr>
        <w:pStyle w:val="ONUMFS"/>
        <w:rPr>
          <w:lang w:val="fr-FR"/>
        </w:rPr>
      </w:pPr>
      <w:r w:rsidRPr="008918F0">
        <w:rPr>
          <w:lang w:val="fr-FR"/>
        </w:rPr>
        <w:t xml:space="preserve">La présente évaluation vise à tirer les enseignements </w:t>
      </w:r>
      <w:r w:rsidR="004C472C" w:rsidRPr="008918F0">
        <w:rPr>
          <w:lang w:val="fr-FR"/>
        </w:rPr>
        <w:t xml:space="preserve">des expériences réalisées durant </w:t>
      </w:r>
      <w:r w:rsidRPr="008918F0">
        <w:rPr>
          <w:lang w:val="fr-FR"/>
        </w:rPr>
        <w:t>la mise en œuvre du proj</w:t>
      </w:r>
      <w:r w:rsidR="00630E33" w:rsidRPr="008918F0">
        <w:rPr>
          <w:lang w:val="fr-FR"/>
        </w:rPr>
        <w:t>et.  El</w:t>
      </w:r>
      <w:r w:rsidRPr="008918F0">
        <w:rPr>
          <w:lang w:val="fr-FR"/>
        </w:rPr>
        <w:t xml:space="preserve">le a notamment consisté à analyser la gestion et la conception du projet, </w:t>
      </w:r>
      <w:r w:rsidR="00C959B2" w:rsidRPr="008918F0">
        <w:rPr>
          <w:lang w:val="fr-FR"/>
        </w:rPr>
        <w:t>y compris</w:t>
      </w:r>
      <w:r w:rsidRPr="008918F0">
        <w:rPr>
          <w:lang w:val="fr-FR"/>
        </w:rPr>
        <w:t xml:space="preserve"> les instruments de suivi et d</w:t>
      </w:r>
      <w:r w:rsidR="00C959B2" w:rsidRPr="008918F0">
        <w:rPr>
          <w:lang w:val="fr-FR"/>
        </w:rPr>
        <w:t>’</w:t>
      </w:r>
      <w:r w:rsidRPr="008918F0">
        <w:rPr>
          <w:lang w:val="fr-FR"/>
        </w:rPr>
        <w:t>établissement de rapports, ainsi qu</w:t>
      </w:r>
      <w:r w:rsidR="00C959B2" w:rsidRPr="008918F0">
        <w:rPr>
          <w:lang w:val="fr-FR"/>
        </w:rPr>
        <w:t>’</w:t>
      </w:r>
      <w:r w:rsidR="004C472C" w:rsidRPr="008918F0">
        <w:rPr>
          <w:lang w:val="fr-FR"/>
        </w:rPr>
        <w:t xml:space="preserve">à mesurer et faire rapport sur </w:t>
      </w:r>
      <w:r w:rsidRPr="008918F0">
        <w:rPr>
          <w:lang w:val="fr-FR"/>
        </w:rPr>
        <w:t>les résultats obtenus jusqu</w:t>
      </w:r>
      <w:r w:rsidR="00C959B2" w:rsidRPr="008918F0">
        <w:rPr>
          <w:lang w:val="fr-FR"/>
        </w:rPr>
        <w:t>’</w:t>
      </w:r>
      <w:r w:rsidRPr="008918F0">
        <w:rPr>
          <w:lang w:val="fr-FR"/>
        </w:rPr>
        <w:t xml:space="preserve">ici et </w:t>
      </w:r>
      <w:r w:rsidR="004C472C" w:rsidRPr="008918F0">
        <w:rPr>
          <w:lang w:val="fr-FR"/>
        </w:rPr>
        <w:t xml:space="preserve">à évaluer </w:t>
      </w:r>
      <w:r w:rsidRPr="008918F0">
        <w:rPr>
          <w:lang w:val="fr-FR"/>
        </w:rPr>
        <w:t>leur viabili</w:t>
      </w:r>
      <w:r w:rsidR="00630E33" w:rsidRPr="008918F0">
        <w:rPr>
          <w:lang w:val="fr-FR"/>
        </w:rPr>
        <w:t>té.  L’é</w:t>
      </w:r>
      <w:r w:rsidR="004C472C" w:rsidRPr="008918F0">
        <w:rPr>
          <w:lang w:val="fr-FR"/>
        </w:rPr>
        <w:t>valuation est le produit d</w:t>
      </w:r>
      <w:r w:rsidR="00C959B2" w:rsidRPr="008918F0">
        <w:rPr>
          <w:lang w:val="fr-FR"/>
        </w:rPr>
        <w:t>’</w:t>
      </w:r>
      <w:r w:rsidR="004C472C" w:rsidRPr="008918F0">
        <w:rPr>
          <w:lang w:val="fr-FR"/>
        </w:rPr>
        <w:t>une combinaison de méthodes, notamment une analyse documentaire, des entretiens avec 11 membres du Secrétariat de l</w:t>
      </w:r>
      <w:r w:rsidR="00C959B2" w:rsidRPr="008918F0">
        <w:rPr>
          <w:lang w:val="fr-FR"/>
        </w:rPr>
        <w:t>’</w:t>
      </w:r>
      <w:r w:rsidR="004C472C" w:rsidRPr="008918F0">
        <w:rPr>
          <w:lang w:val="fr-FR"/>
        </w:rPr>
        <w:t xml:space="preserve">OMPI et des entretiens téléphoniques avec 13 parties prenantes, </w:t>
      </w:r>
      <w:r w:rsidR="00C959B2" w:rsidRPr="008918F0">
        <w:rPr>
          <w:lang w:val="fr-FR"/>
        </w:rPr>
        <w:t>à savoir</w:t>
      </w:r>
      <w:r w:rsidR="004C472C" w:rsidRPr="008918F0">
        <w:rPr>
          <w:lang w:val="fr-FR"/>
        </w:rPr>
        <w:t xml:space="preserve"> des experts, des consultants et des universitaires spécialisés participant au projet, un représentant des utilisateurs de brevets, des points de contact et du personnel des </w:t>
      </w:r>
      <w:r w:rsidR="0081059F" w:rsidRPr="008918F0">
        <w:rPr>
          <w:lang w:val="fr-FR"/>
        </w:rPr>
        <w:t>réseaux de CATI</w:t>
      </w:r>
      <w:r w:rsidR="004C472C" w:rsidRPr="008918F0">
        <w:rPr>
          <w:lang w:val="fr-FR"/>
        </w:rPr>
        <w:t>.</w:t>
      </w:r>
    </w:p>
    <w:p w:rsidR="0006001B" w:rsidRPr="008918F0" w:rsidRDefault="0006001B" w:rsidP="00F2657E">
      <w:pPr>
        <w:pStyle w:val="Heading3"/>
        <w:rPr>
          <w:lang w:val="fr-FR"/>
        </w:rPr>
      </w:pPr>
      <w:bookmarkStart w:id="11" w:name="_Toc320700946"/>
      <w:r w:rsidRPr="008918F0">
        <w:rPr>
          <w:lang w:val="fr-FR"/>
        </w:rPr>
        <w:t xml:space="preserve">Principales </w:t>
      </w:r>
      <w:r w:rsidR="00FA4B8F" w:rsidRPr="008918F0">
        <w:rPr>
          <w:lang w:val="fr-FR"/>
        </w:rPr>
        <w:t>observation</w:t>
      </w:r>
      <w:r w:rsidR="00807547" w:rsidRPr="008918F0">
        <w:rPr>
          <w:lang w:val="fr-FR"/>
        </w:rPr>
        <w:t>s</w:t>
      </w:r>
    </w:p>
    <w:bookmarkEnd w:id="11"/>
    <w:p w:rsidR="0006001B" w:rsidRPr="008918F0" w:rsidRDefault="0006001B" w:rsidP="00F2657E">
      <w:pPr>
        <w:pStyle w:val="Heading4"/>
      </w:pPr>
      <w:r w:rsidRPr="008918F0">
        <w:t>Conception et gestion du projet</w:t>
      </w:r>
    </w:p>
    <w:p w:rsidR="0006001B" w:rsidRPr="008918F0" w:rsidRDefault="0006001B" w:rsidP="00F2657E">
      <w:pPr>
        <w:rPr>
          <w:lang w:val="fr-FR"/>
        </w:rPr>
      </w:pPr>
    </w:p>
    <w:p w:rsidR="0006001B" w:rsidRPr="008918F0" w:rsidRDefault="00FA4B8F" w:rsidP="00F2657E">
      <w:pPr>
        <w:pStyle w:val="ONUMFS"/>
        <w:rPr>
          <w:lang w:val="fr-FR"/>
        </w:rPr>
      </w:pPr>
      <w:r w:rsidRPr="008918F0">
        <w:rPr>
          <w:b/>
          <w:lang w:val="fr-FR"/>
        </w:rPr>
        <w:t>Observation</w:t>
      </w:r>
      <w:r w:rsidR="004C472C" w:rsidRPr="008918F0">
        <w:rPr>
          <w:b/>
          <w:lang w:val="fr-FR"/>
        </w:rPr>
        <w:t> </w:t>
      </w:r>
      <w:r w:rsidR="009A486C">
        <w:rPr>
          <w:b/>
          <w:lang w:val="fr-FR"/>
        </w:rPr>
        <w:t>n° </w:t>
      </w:r>
      <w:r w:rsidR="002D6832" w:rsidRPr="008918F0">
        <w:rPr>
          <w:b/>
          <w:lang w:val="fr-FR"/>
        </w:rPr>
        <w:t>1</w:t>
      </w:r>
      <w:r w:rsidR="00C959B2" w:rsidRPr="008918F0">
        <w:rPr>
          <w:b/>
          <w:lang w:val="fr-FR"/>
        </w:rPr>
        <w:t> :</w:t>
      </w:r>
      <w:r w:rsidR="002D6832" w:rsidRPr="008918F0">
        <w:rPr>
          <w:lang w:val="fr-FR"/>
        </w:rPr>
        <w:t xml:space="preserve"> </w:t>
      </w:r>
      <w:r w:rsidR="00025F69" w:rsidRPr="008918F0">
        <w:rPr>
          <w:lang w:val="fr-FR"/>
        </w:rPr>
        <w:t>il a été estimé que le descriptif du projet donnait suffisamment d</w:t>
      </w:r>
      <w:r w:rsidR="00C959B2" w:rsidRPr="008918F0">
        <w:rPr>
          <w:lang w:val="fr-FR"/>
        </w:rPr>
        <w:t>’</w:t>
      </w:r>
      <w:r w:rsidR="00025F69" w:rsidRPr="008918F0">
        <w:rPr>
          <w:lang w:val="fr-FR"/>
        </w:rPr>
        <w:t xml:space="preserve">orientations quant à </w:t>
      </w:r>
      <w:r w:rsidR="001B2C14" w:rsidRPr="008918F0">
        <w:rPr>
          <w:lang w:val="fr-FR"/>
        </w:rPr>
        <w:t xml:space="preserve">la mise en œuvre </w:t>
      </w:r>
      <w:r w:rsidR="00025F69" w:rsidRPr="008918F0">
        <w:rPr>
          <w:lang w:val="fr-FR"/>
        </w:rPr>
        <w:t xml:space="preserve">globale </w:t>
      </w:r>
      <w:r w:rsidR="001B2C14" w:rsidRPr="008918F0">
        <w:rPr>
          <w:lang w:val="fr-FR"/>
        </w:rPr>
        <w:t>et l</w:t>
      </w:r>
      <w:r w:rsidR="00C959B2" w:rsidRPr="008918F0">
        <w:rPr>
          <w:lang w:val="fr-FR"/>
        </w:rPr>
        <w:t>’</w:t>
      </w:r>
      <w:r w:rsidR="001B2C14" w:rsidRPr="008918F0">
        <w:rPr>
          <w:lang w:val="fr-FR"/>
        </w:rPr>
        <w:t xml:space="preserve">évaluation </w:t>
      </w:r>
      <w:r w:rsidR="00025F69" w:rsidRPr="008918F0">
        <w:rPr>
          <w:lang w:val="fr-FR"/>
        </w:rPr>
        <w:t>des progrès réalis</w:t>
      </w:r>
      <w:r w:rsidR="00630E33" w:rsidRPr="008918F0">
        <w:rPr>
          <w:lang w:val="fr-FR"/>
        </w:rPr>
        <w:t>és.  Co</w:t>
      </w:r>
      <w:r w:rsidR="001B2C14" w:rsidRPr="008918F0">
        <w:rPr>
          <w:lang w:val="fr-FR"/>
        </w:rPr>
        <w:t>mpte tenu des sept</w:t>
      </w:r>
      <w:r w:rsidR="00DB6EA5" w:rsidRPr="008918F0">
        <w:rPr>
          <w:lang w:val="fr-FR"/>
        </w:rPr>
        <w:t> </w:t>
      </w:r>
      <w:r w:rsidR="001B2C14" w:rsidRPr="008918F0">
        <w:rPr>
          <w:lang w:val="fr-FR"/>
        </w:rPr>
        <w:t xml:space="preserve">résultats du projet, des documents et des </w:t>
      </w:r>
      <w:r w:rsidR="00025F69" w:rsidRPr="008918F0">
        <w:rPr>
          <w:lang w:val="fr-FR"/>
        </w:rPr>
        <w:t>orientations</w:t>
      </w:r>
      <w:r w:rsidR="001B2C14" w:rsidRPr="008918F0">
        <w:rPr>
          <w:lang w:val="fr-FR"/>
        </w:rPr>
        <w:t xml:space="preserve"> supplémentaires ont été élaborés afin de faciliter sa mise en œuvre.</w:t>
      </w:r>
    </w:p>
    <w:p w:rsidR="0006001B" w:rsidRPr="008918F0" w:rsidRDefault="00FA4B8F" w:rsidP="00F2657E">
      <w:pPr>
        <w:pStyle w:val="ONUMFS"/>
        <w:rPr>
          <w:lang w:val="fr-FR"/>
        </w:rPr>
      </w:pPr>
      <w:r w:rsidRPr="008918F0">
        <w:rPr>
          <w:b/>
          <w:szCs w:val="22"/>
          <w:lang w:val="fr-FR"/>
        </w:rPr>
        <w:t>Observation</w:t>
      </w:r>
      <w:r w:rsidR="001B2C14" w:rsidRPr="008918F0">
        <w:rPr>
          <w:b/>
          <w:szCs w:val="22"/>
          <w:lang w:val="fr-FR"/>
        </w:rPr>
        <w:t xml:space="preserve"> </w:t>
      </w:r>
      <w:r w:rsidR="0006001B" w:rsidRPr="008918F0">
        <w:rPr>
          <w:b/>
          <w:szCs w:val="22"/>
          <w:lang w:val="fr-FR"/>
        </w:rPr>
        <w:t>n°</w:t>
      </w:r>
      <w:r w:rsidR="003513BB" w:rsidRPr="008918F0">
        <w:rPr>
          <w:b/>
          <w:szCs w:val="22"/>
          <w:lang w:val="fr-FR"/>
        </w:rPr>
        <w:t> </w:t>
      </w:r>
      <w:r w:rsidR="0006001B" w:rsidRPr="008918F0">
        <w:rPr>
          <w:b/>
          <w:szCs w:val="22"/>
          <w:lang w:val="fr-FR"/>
        </w:rPr>
        <w:t>2</w:t>
      </w:r>
      <w:r w:rsidR="00C959B2" w:rsidRPr="008918F0">
        <w:rPr>
          <w:b/>
          <w:szCs w:val="22"/>
          <w:lang w:val="fr-FR"/>
        </w:rPr>
        <w:t> :</w:t>
      </w:r>
      <w:r w:rsidR="0006001B" w:rsidRPr="008918F0">
        <w:rPr>
          <w:szCs w:val="22"/>
          <w:lang w:val="fr-FR"/>
        </w:rPr>
        <w:t xml:space="preserve"> les instruments de suivi du projet </w:t>
      </w:r>
      <w:r w:rsidR="001B2C14" w:rsidRPr="008918F0">
        <w:rPr>
          <w:szCs w:val="22"/>
          <w:lang w:val="fr-FR"/>
        </w:rPr>
        <w:t xml:space="preserve">étaient adéquats </w:t>
      </w:r>
      <w:r w:rsidR="0006001B" w:rsidRPr="008918F0">
        <w:rPr>
          <w:szCs w:val="22"/>
          <w:lang w:val="fr-FR"/>
        </w:rPr>
        <w:t>pour rendre compte aux États membres au sein</w:t>
      </w:r>
      <w:r w:rsidR="00C959B2" w:rsidRPr="008918F0">
        <w:rPr>
          <w:szCs w:val="22"/>
          <w:lang w:val="fr-FR"/>
        </w:rPr>
        <w:t xml:space="preserve"> du CDI</w:t>
      </w:r>
      <w:r w:rsidR="0006001B" w:rsidRPr="008918F0">
        <w:rPr>
          <w:szCs w:val="22"/>
          <w:lang w:val="fr-FR"/>
        </w:rPr>
        <w:t>P de l</w:t>
      </w:r>
      <w:r w:rsidR="00C959B2" w:rsidRPr="008918F0">
        <w:rPr>
          <w:szCs w:val="22"/>
          <w:lang w:val="fr-FR"/>
        </w:rPr>
        <w:t>’</w:t>
      </w:r>
      <w:r w:rsidR="0006001B" w:rsidRPr="008918F0">
        <w:rPr>
          <w:szCs w:val="22"/>
          <w:lang w:val="fr-FR"/>
        </w:rPr>
        <w:t>état d</w:t>
      </w:r>
      <w:r w:rsidR="00C959B2" w:rsidRPr="008918F0">
        <w:rPr>
          <w:szCs w:val="22"/>
          <w:lang w:val="fr-FR"/>
        </w:rPr>
        <w:t>’</w:t>
      </w:r>
      <w:r w:rsidR="0006001B" w:rsidRPr="008918F0">
        <w:rPr>
          <w:szCs w:val="22"/>
          <w:lang w:val="fr-FR"/>
        </w:rPr>
        <w:t>avancement global du projet, notamment par l</w:t>
      </w:r>
      <w:r w:rsidR="00C959B2" w:rsidRPr="008918F0">
        <w:rPr>
          <w:szCs w:val="22"/>
          <w:lang w:val="fr-FR"/>
        </w:rPr>
        <w:t>’</w:t>
      </w:r>
      <w:r w:rsidR="0006001B" w:rsidRPr="008918F0">
        <w:rPr>
          <w:szCs w:val="22"/>
          <w:lang w:val="fr-FR"/>
        </w:rPr>
        <w:t>intermédiaire des rapports sur l</w:t>
      </w:r>
      <w:r w:rsidR="00C959B2" w:rsidRPr="008918F0">
        <w:rPr>
          <w:szCs w:val="22"/>
          <w:lang w:val="fr-FR"/>
        </w:rPr>
        <w:t>’</w:t>
      </w:r>
      <w:r w:rsidR="0006001B" w:rsidRPr="008918F0">
        <w:rPr>
          <w:szCs w:val="22"/>
          <w:lang w:val="fr-FR"/>
        </w:rPr>
        <w:t>état d</w:t>
      </w:r>
      <w:r w:rsidR="00C959B2" w:rsidRPr="008918F0">
        <w:rPr>
          <w:szCs w:val="22"/>
          <w:lang w:val="fr-FR"/>
        </w:rPr>
        <w:t>’</w:t>
      </w:r>
      <w:r w:rsidR="0006001B" w:rsidRPr="008918F0">
        <w:rPr>
          <w:szCs w:val="22"/>
          <w:lang w:val="fr-FR"/>
        </w:rPr>
        <w:t>avancement du proj</w:t>
      </w:r>
      <w:r w:rsidR="00630E33" w:rsidRPr="008918F0">
        <w:rPr>
          <w:szCs w:val="22"/>
          <w:lang w:val="fr-FR"/>
        </w:rPr>
        <w:t>et.  Pl</w:t>
      </w:r>
      <w:r w:rsidR="001B2C14" w:rsidRPr="008918F0">
        <w:rPr>
          <w:szCs w:val="22"/>
          <w:lang w:val="fr-FR"/>
        </w:rPr>
        <w:t xml:space="preserve">usieurs observations ont été </w:t>
      </w:r>
      <w:r w:rsidR="00025F69" w:rsidRPr="008918F0">
        <w:rPr>
          <w:szCs w:val="22"/>
          <w:lang w:val="fr-FR"/>
        </w:rPr>
        <w:t>formulées</w:t>
      </w:r>
      <w:r w:rsidR="001B2C14" w:rsidRPr="008918F0">
        <w:rPr>
          <w:szCs w:val="22"/>
          <w:lang w:val="fr-FR"/>
        </w:rPr>
        <w:t xml:space="preserve"> sur les instruments </w:t>
      </w:r>
      <w:r w:rsidR="00025F69" w:rsidRPr="008918F0">
        <w:rPr>
          <w:szCs w:val="22"/>
          <w:lang w:val="fr-FR"/>
        </w:rPr>
        <w:t>d</w:t>
      </w:r>
      <w:r w:rsidR="00C959B2" w:rsidRPr="008918F0">
        <w:rPr>
          <w:szCs w:val="22"/>
          <w:lang w:val="fr-FR"/>
        </w:rPr>
        <w:t>’</w:t>
      </w:r>
      <w:r w:rsidR="00025F69" w:rsidRPr="008918F0">
        <w:rPr>
          <w:szCs w:val="22"/>
          <w:lang w:val="fr-FR"/>
        </w:rPr>
        <w:t xml:space="preserve">établissement de rapports et </w:t>
      </w:r>
      <w:r w:rsidR="001B2C14" w:rsidRPr="008918F0">
        <w:rPr>
          <w:szCs w:val="22"/>
          <w:lang w:val="fr-FR"/>
        </w:rPr>
        <w:t>d</w:t>
      </w:r>
      <w:r w:rsidR="00C959B2" w:rsidRPr="008918F0">
        <w:rPr>
          <w:szCs w:val="22"/>
          <w:lang w:val="fr-FR"/>
        </w:rPr>
        <w:t>’</w:t>
      </w:r>
      <w:r w:rsidR="001B2C14" w:rsidRPr="008918F0">
        <w:rPr>
          <w:szCs w:val="22"/>
          <w:lang w:val="fr-FR"/>
        </w:rPr>
        <w:t>analyse, notamment la mise au point de plusieurs instruments de suivi, parmi lesquels</w:t>
      </w:r>
      <w:r w:rsidR="00C959B2" w:rsidRPr="008918F0">
        <w:rPr>
          <w:szCs w:val="22"/>
          <w:lang w:val="fr-FR"/>
        </w:rPr>
        <w:t> :</w:t>
      </w:r>
      <w:r w:rsidR="001B2C14" w:rsidRPr="008918F0">
        <w:rPr>
          <w:szCs w:val="22"/>
          <w:lang w:val="fr-FR"/>
        </w:rPr>
        <w:t xml:space="preserve"> le </w:t>
      </w:r>
      <w:r w:rsidR="00025F69" w:rsidRPr="008918F0">
        <w:rPr>
          <w:szCs w:val="22"/>
          <w:lang w:val="fr-FR"/>
        </w:rPr>
        <w:t xml:space="preserve">processus de </w:t>
      </w:r>
      <w:r w:rsidR="001B2C14" w:rsidRPr="008918F0">
        <w:rPr>
          <w:szCs w:val="22"/>
          <w:lang w:val="fr-FR"/>
        </w:rPr>
        <w:t xml:space="preserve">pilotage des guides; </w:t>
      </w:r>
      <w:r w:rsidR="00DB6EA5" w:rsidRPr="008918F0">
        <w:rPr>
          <w:szCs w:val="22"/>
          <w:lang w:val="fr-FR"/>
        </w:rPr>
        <w:t xml:space="preserve"> </w:t>
      </w:r>
      <w:r w:rsidR="001B2C14" w:rsidRPr="008918F0">
        <w:rPr>
          <w:szCs w:val="22"/>
          <w:lang w:val="fr-FR"/>
        </w:rPr>
        <w:t xml:space="preserve">les enquêtes de satisfaction des ateliers de formation; </w:t>
      </w:r>
      <w:r w:rsidR="00DB6EA5" w:rsidRPr="008918F0">
        <w:rPr>
          <w:szCs w:val="22"/>
          <w:lang w:val="fr-FR"/>
        </w:rPr>
        <w:t xml:space="preserve"> </w:t>
      </w:r>
      <w:r w:rsidR="001B2C14" w:rsidRPr="008918F0">
        <w:rPr>
          <w:szCs w:val="22"/>
          <w:lang w:val="fr-FR"/>
        </w:rPr>
        <w:t>les statistiques en ligne et un calendrier de proj</w:t>
      </w:r>
      <w:r w:rsidR="00630E33" w:rsidRPr="008918F0">
        <w:rPr>
          <w:szCs w:val="22"/>
          <w:lang w:val="fr-FR"/>
        </w:rPr>
        <w:t>et.  L’é</w:t>
      </w:r>
      <w:r w:rsidR="001B2C14" w:rsidRPr="008918F0">
        <w:rPr>
          <w:szCs w:val="22"/>
          <w:lang w:val="fr-FR"/>
        </w:rPr>
        <w:t>quipe du projet n</w:t>
      </w:r>
      <w:r w:rsidR="00C959B2" w:rsidRPr="008918F0">
        <w:rPr>
          <w:szCs w:val="22"/>
          <w:lang w:val="fr-FR"/>
        </w:rPr>
        <w:t>’</w:t>
      </w:r>
      <w:r w:rsidR="001B2C14" w:rsidRPr="008918F0">
        <w:rPr>
          <w:szCs w:val="22"/>
          <w:lang w:val="fr-FR"/>
        </w:rPr>
        <w:t xml:space="preserve">était pas encore </w:t>
      </w:r>
      <w:r w:rsidR="00461C2F" w:rsidRPr="008918F0">
        <w:rPr>
          <w:szCs w:val="22"/>
          <w:lang w:val="fr-FR"/>
        </w:rPr>
        <w:t>à même de mesurer l</w:t>
      </w:r>
      <w:r w:rsidR="00C959B2" w:rsidRPr="008918F0">
        <w:rPr>
          <w:szCs w:val="22"/>
          <w:lang w:val="fr-FR"/>
        </w:rPr>
        <w:t>’</w:t>
      </w:r>
      <w:r w:rsidR="00461C2F" w:rsidRPr="008918F0">
        <w:rPr>
          <w:szCs w:val="22"/>
          <w:lang w:val="fr-FR"/>
        </w:rPr>
        <w:t xml:space="preserve">objectif du projet, mais plutôt </w:t>
      </w:r>
      <w:r w:rsidR="00025F69" w:rsidRPr="008918F0">
        <w:rPr>
          <w:szCs w:val="22"/>
          <w:lang w:val="fr-FR"/>
        </w:rPr>
        <w:t>l</w:t>
      </w:r>
      <w:r w:rsidR="00461C2F" w:rsidRPr="008918F0">
        <w:rPr>
          <w:szCs w:val="22"/>
          <w:lang w:val="fr-FR"/>
        </w:rPr>
        <w:t xml:space="preserve">es progrès </w:t>
      </w:r>
      <w:r w:rsidR="00025F69" w:rsidRPr="008918F0">
        <w:rPr>
          <w:szCs w:val="22"/>
          <w:lang w:val="fr-FR"/>
        </w:rPr>
        <w:t xml:space="preserve">enregistrés </w:t>
      </w:r>
      <w:r w:rsidR="00461C2F" w:rsidRPr="008918F0">
        <w:rPr>
          <w:szCs w:val="22"/>
          <w:lang w:val="fr-FR"/>
        </w:rPr>
        <w:t xml:space="preserve">dans </w:t>
      </w:r>
      <w:r w:rsidR="00025F69" w:rsidRPr="008918F0">
        <w:rPr>
          <w:szCs w:val="22"/>
          <w:lang w:val="fr-FR"/>
        </w:rPr>
        <w:t>s</w:t>
      </w:r>
      <w:r w:rsidR="00461C2F" w:rsidRPr="008918F0">
        <w:rPr>
          <w:szCs w:val="22"/>
          <w:lang w:val="fr-FR"/>
        </w:rPr>
        <w:t>a réalisation.</w:t>
      </w:r>
    </w:p>
    <w:p w:rsidR="00F2657E" w:rsidRPr="008918F0" w:rsidRDefault="00FA4B8F" w:rsidP="00F2657E">
      <w:pPr>
        <w:pStyle w:val="ONUMFS"/>
        <w:rPr>
          <w:rFonts w:eastAsia="Times New Roman"/>
          <w:szCs w:val="22"/>
          <w:lang w:val="fr-FR" w:eastAsia="en-US"/>
        </w:rPr>
      </w:pPr>
      <w:r w:rsidRPr="008918F0">
        <w:rPr>
          <w:b/>
          <w:lang w:val="fr-FR"/>
        </w:rPr>
        <w:t>Observation</w:t>
      </w:r>
      <w:r w:rsidR="00461C2F" w:rsidRPr="008918F0">
        <w:rPr>
          <w:b/>
          <w:lang w:val="fr-FR"/>
        </w:rPr>
        <w:t xml:space="preserve"> </w:t>
      </w:r>
      <w:r w:rsidR="009A486C">
        <w:rPr>
          <w:b/>
          <w:lang w:val="fr-FR"/>
        </w:rPr>
        <w:t>n° </w:t>
      </w:r>
      <w:r w:rsidR="00670E98" w:rsidRPr="008918F0">
        <w:rPr>
          <w:b/>
          <w:lang w:val="fr-FR"/>
        </w:rPr>
        <w:t>3</w:t>
      </w:r>
      <w:r w:rsidR="00C959B2" w:rsidRPr="008918F0">
        <w:rPr>
          <w:b/>
          <w:lang w:val="fr-FR"/>
        </w:rPr>
        <w:t> :</w:t>
      </w:r>
      <w:r w:rsidR="002D6832" w:rsidRPr="008918F0">
        <w:rPr>
          <w:lang w:val="fr-FR"/>
        </w:rPr>
        <w:t xml:space="preserve"> </w:t>
      </w:r>
      <w:r w:rsidR="00025F69" w:rsidRPr="008918F0">
        <w:rPr>
          <w:lang w:val="fr-FR"/>
        </w:rPr>
        <w:t>l</w:t>
      </w:r>
      <w:r w:rsidR="001648BD" w:rsidRPr="008918F0">
        <w:rPr>
          <w:lang w:val="fr-FR"/>
        </w:rPr>
        <w:t>es activités du projet ont été dirigées par la Division de l</w:t>
      </w:r>
      <w:r w:rsidR="00C959B2" w:rsidRPr="008918F0">
        <w:rPr>
          <w:lang w:val="fr-FR"/>
        </w:rPr>
        <w:t>’</w:t>
      </w:r>
      <w:r w:rsidR="001648BD" w:rsidRPr="008918F0">
        <w:rPr>
          <w:lang w:val="fr-FR"/>
        </w:rPr>
        <w:t>appui à la technologie et à l</w:t>
      </w:r>
      <w:r w:rsidR="00C959B2" w:rsidRPr="008918F0">
        <w:rPr>
          <w:lang w:val="fr-FR"/>
        </w:rPr>
        <w:t>’</w:t>
      </w:r>
      <w:r w:rsidR="001648BD" w:rsidRPr="008918F0">
        <w:rPr>
          <w:lang w:val="fr-FR"/>
        </w:rPr>
        <w:t>innovation</w:t>
      </w:r>
      <w:r w:rsidR="00025F69" w:rsidRPr="008918F0">
        <w:rPr>
          <w:lang w:val="fr-FR"/>
        </w:rPr>
        <w:t xml:space="preserve">, </w:t>
      </w:r>
      <w:r w:rsidR="001648BD" w:rsidRPr="008918F0">
        <w:rPr>
          <w:lang w:val="fr-FR"/>
        </w:rPr>
        <w:t>Département de l</w:t>
      </w:r>
      <w:r w:rsidR="00C959B2" w:rsidRPr="008918F0">
        <w:rPr>
          <w:lang w:val="fr-FR"/>
        </w:rPr>
        <w:t>’</w:t>
      </w:r>
      <w:r w:rsidR="001648BD" w:rsidRPr="008918F0">
        <w:rPr>
          <w:lang w:val="fr-FR"/>
        </w:rPr>
        <w:t>infrastructure de l</w:t>
      </w:r>
      <w:r w:rsidR="00C959B2" w:rsidRPr="008918F0">
        <w:rPr>
          <w:lang w:val="fr-FR"/>
        </w:rPr>
        <w:t>’</w:t>
      </w:r>
      <w:r w:rsidR="001648BD" w:rsidRPr="008918F0">
        <w:rPr>
          <w:lang w:val="fr-FR"/>
        </w:rPr>
        <w:t xml:space="preserve">innovation et du savoir, </w:t>
      </w:r>
      <w:r w:rsidR="00025F69" w:rsidRPr="008918F0">
        <w:rPr>
          <w:lang w:val="fr-FR"/>
        </w:rPr>
        <w:t xml:space="preserve">au sein </w:t>
      </w:r>
      <w:r w:rsidR="001648BD" w:rsidRPr="008918F0">
        <w:rPr>
          <w:lang w:val="fr-FR"/>
        </w:rPr>
        <w:t>du Secteur de l</w:t>
      </w:r>
      <w:r w:rsidR="00C959B2" w:rsidRPr="008918F0">
        <w:rPr>
          <w:lang w:val="fr-FR"/>
        </w:rPr>
        <w:t>’</w:t>
      </w:r>
      <w:r w:rsidR="001648BD" w:rsidRPr="008918F0">
        <w:rPr>
          <w:lang w:val="fr-FR"/>
        </w:rPr>
        <w:t>infrastructure mondiale, avec le soutien d</w:t>
      </w:r>
      <w:r w:rsidR="00C959B2" w:rsidRPr="008918F0">
        <w:rPr>
          <w:lang w:val="fr-FR"/>
        </w:rPr>
        <w:t>’</w:t>
      </w:r>
      <w:r w:rsidR="001648BD" w:rsidRPr="008918F0">
        <w:rPr>
          <w:lang w:val="fr-FR"/>
        </w:rPr>
        <w:t xml:space="preserve">autres </w:t>
      </w:r>
      <w:r w:rsidR="00217B23" w:rsidRPr="008918F0">
        <w:rPr>
          <w:lang w:val="fr-FR"/>
        </w:rPr>
        <w:t xml:space="preserve">unités du Secrétariat, notamment la Section du droit des brevets, la Section des communications sur le Web, la Section de la sécurité informatique, la Section des normes, le Bureau du conseiller juridique, les bureaux régionaux et le Département </w:t>
      </w:r>
      <w:r w:rsidR="008103AF">
        <w:rPr>
          <w:lang w:val="fr-FR"/>
        </w:rPr>
        <w:t>pour l</w:t>
      </w:r>
      <w:r w:rsidR="00217B23" w:rsidRPr="008918F0">
        <w:rPr>
          <w:lang w:val="fr-FR"/>
        </w:rPr>
        <w:t xml:space="preserve">es pays en transition et </w:t>
      </w:r>
      <w:r w:rsidR="008103AF">
        <w:rPr>
          <w:lang w:val="fr-FR"/>
        </w:rPr>
        <w:t>l</w:t>
      </w:r>
      <w:r w:rsidR="00217B23" w:rsidRPr="008918F0">
        <w:rPr>
          <w:lang w:val="fr-FR"/>
        </w:rPr>
        <w:t>es pays développés.</w:t>
      </w:r>
    </w:p>
    <w:p w:rsidR="0006001B" w:rsidRPr="008918F0" w:rsidRDefault="00FA4B8F" w:rsidP="00F2657E">
      <w:pPr>
        <w:pStyle w:val="ONUMFS"/>
        <w:rPr>
          <w:lang w:val="fr-FR"/>
        </w:rPr>
      </w:pPr>
      <w:r w:rsidRPr="008918F0">
        <w:rPr>
          <w:b/>
          <w:lang w:val="fr-FR"/>
        </w:rPr>
        <w:t>Observation</w:t>
      </w:r>
      <w:r w:rsidR="00217B23" w:rsidRPr="008918F0">
        <w:rPr>
          <w:b/>
          <w:lang w:val="fr-FR"/>
        </w:rPr>
        <w:t xml:space="preserve"> </w:t>
      </w:r>
      <w:r w:rsidR="009A486C">
        <w:rPr>
          <w:b/>
          <w:lang w:val="fr-FR"/>
        </w:rPr>
        <w:t>n° </w:t>
      </w:r>
      <w:r w:rsidR="00670E98" w:rsidRPr="008918F0">
        <w:rPr>
          <w:b/>
          <w:lang w:val="fr-FR"/>
        </w:rPr>
        <w:t>4</w:t>
      </w:r>
      <w:r w:rsidR="00C959B2" w:rsidRPr="008918F0">
        <w:rPr>
          <w:b/>
          <w:lang w:val="fr-FR"/>
        </w:rPr>
        <w:t> :</w:t>
      </w:r>
      <w:r w:rsidR="002D6832" w:rsidRPr="008918F0">
        <w:rPr>
          <w:lang w:val="fr-FR"/>
        </w:rPr>
        <w:t xml:space="preserve"> </w:t>
      </w:r>
      <w:r w:rsidR="00025F69" w:rsidRPr="008918F0">
        <w:rPr>
          <w:lang w:val="fr-FR"/>
        </w:rPr>
        <w:t>l</w:t>
      </w:r>
      <w:r w:rsidR="00217B23" w:rsidRPr="008918F0">
        <w:rPr>
          <w:lang w:val="fr-FR"/>
        </w:rPr>
        <w:t xml:space="preserve">e </w:t>
      </w:r>
      <w:r w:rsidR="00025F69" w:rsidRPr="008918F0">
        <w:rPr>
          <w:lang w:val="fr-FR"/>
        </w:rPr>
        <w:t>descriptif</w:t>
      </w:r>
      <w:r w:rsidR="00217B23" w:rsidRPr="008918F0">
        <w:rPr>
          <w:lang w:val="fr-FR"/>
        </w:rPr>
        <w:t xml:space="preserve"> de projet initial a identifié un risque pour le proj</w:t>
      </w:r>
      <w:r w:rsidR="00630E33" w:rsidRPr="008918F0">
        <w:rPr>
          <w:lang w:val="fr-FR"/>
        </w:rPr>
        <w:t>et.  Ce</w:t>
      </w:r>
      <w:r w:rsidR="00217B23" w:rsidRPr="008918F0">
        <w:rPr>
          <w:lang w:val="fr-FR"/>
        </w:rPr>
        <w:t xml:space="preserve"> risque ne s</w:t>
      </w:r>
      <w:r w:rsidR="00C959B2" w:rsidRPr="008918F0">
        <w:rPr>
          <w:lang w:val="fr-FR"/>
        </w:rPr>
        <w:t>’</w:t>
      </w:r>
      <w:r w:rsidR="00217B23" w:rsidRPr="008918F0">
        <w:rPr>
          <w:lang w:val="fr-FR"/>
        </w:rPr>
        <w:t>est pas réalisé dans une mesure significative, compte tenu également des stratégies d</w:t>
      </w:r>
      <w:r w:rsidR="00C959B2" w:rsidRPr="008918F0">
        <w:rPr>
          <w:lang w:val="fr-FR"/>
        </w:rPr>
        <w:t>’</w:t>
      </w:r>
      <w:r w:rsidR="00217B23" w:rsidRPr="008918F0">
        <w:rPr>
          <w:lang w:val="fr-FR"/>
        </w:rPr>
        <w:t>atténuation des risques qui avaient été préparées et adoptées par le projet.</w:t>
      </w:r>
    </w:p>
    <w:p w:rsidR="0006001B" w:rsidRPr="008918F0" w:rsidRDefault="00FA4B8F" w:rsidP="00F2657E">
      <w:pPr>
        <w:pStyle w:val="ONUMFS"/>
        <w:rPr>
          <w:lang w:val="fr-FR"/>
        </w:rPr>
      </w:pPr>
      <w:r w:rsidRPr="008918F0">
        <w:rPr>
          <w:b/>
          <w:lang w:val="fr-FR"/>
        </w:rPr>
        <w:lastRenderedPageBreak/>
        <w:t>Observation</w:t>
      </w:r>
      <w:r w:rsidR="00217B23" w:rsidRPr="008918F0">
        <w:rPr>
          <w:b/>
          <w:lang w:val="fr-FR"/>
        </w:rPr>
        <w:t xml:space="preserve"> </w:t>
      </w:r>
      <w:r w:rsidR="009A486C">
        <w:rPr>
          <w:b/>
          <w:lang w:val="fr-FR"/>
        </w:rPr>
        <w:t>n° </w:t>
      </w:r>
      <w:r w:rsidR="00670E98" w:rsidRPr="008918F0">
        <w:rPr>
          <w:b/>
          <w:lang w:val="fr-FR"/>
        </w:rPr>
        <w:t>5</w:t>
      </w:r>
      <w:r w:rsidR="00C959B2" w:rsidRPr="008918F0">
        <w:rPr>
          <w:b/>
          <w:lang w:val="fr-FR"/>
        </w:rPr>
        <w:t> :</w:t>
      </w:r>
      <w:r w:rsidR="002D6832" w:rsidRPr="008918F0">
        <w:rPr>
          <w:lang w:val="fr-FR"/>
        </w:rPr>
        <w:t xml:space="preserve"> </w:t>
      </w:r>
      <w:r w:rsidR="00025F69" w:rsidRPr="008918F0">
        <w:rPr>
          <w:lang w:val="fr-FR"/>
        </w:rPr>
        <w:t>l</w:t>
      </w:r>
      <w:r w:rsidR="00C959B2" w:rsidRPr="008918F0">
        <w:rPr>
          <w:lang w:val="fr-FR"/>
        </w:rPr>
        <w:t>’</w:t>
      </w:r>
      <w:r w:rsidR="00217B23" w:rsidRPr="008918F0">
        <w:rPr>
          <w:lang w:val="fr-FR"/>
        </w:rPr>
        <w:t>évaluation a recensé deux</w:t>
      </w:r>
      <w:r w:rsidR="00DB6EA5" w:rsidRPr="008918F0">
        <w:rPr>
          <w:lang w:val="fr-FR"/>
        </w:rPr>
        <w:t> </w:t>
      </w:r>
      <w:r w:rsidR="00217B23" w:rsidRPr="008918F0">
        <w:rPr>
          <w:lang w:val="fr-FR"/>
        </w:rPr>
        <w:t>facteurs externes dont le projet a dû tenir compte</w:t>
      </w:r>
      <w:r w:rsidR="00C959B2" w:rsidRPr="008918F0">
        <w:rPr>
          <w:lang w:val="fr-FR"/>
        </w:rPr>
        <w:t> :</w:t>
      </w:r>
      <w:r w:rsidR="00217B23" w:rsidRPr="008918F0">
        <w:rPr>
          <w:lang w:val="fr-FR"/>
        </w:rPr>
        <w:t xml:space="preserve"> les capacités différentes des </w:t>
      </w:r>
      <w:r w:rsidR="0081059F" w:rsidRPr="008918F0">
        <w:rPr>
          <w:lang w:val="fr-FR"/>
        </w:rPr>
        <w:t>réseaux de CATI</w:t>
      </w:r>
      <w:r w:rsidR="00217B23" w:rsidRPr="008918F0">
        <w:rPr>
          <w:lang w:val="fr-FR"/>
        </w:rPr>
        <w:t xml:space="preserve"> et l</w:t>
      </w:r>
      <w:r w:rsidR="00C959B2" w:rsidRPr="008918F0">
        <w:rPr>
          <w:lang w:val="fr-FR"/>
        </w:rPr>
        <w:t>’</w:t>
      </w:r>
      <w:r w:rsidR="00217B23" w:rsidRPr="008918F0">
        <w:rPr>
          <w:lang w:val="fr-FR"/>
        </w:rPr>
        <w:t>utilisation de cartes dans les outils en ligne de l</w:t>
      </w:r>
      <w:r w:rsidR="00C959B2" w:rsidRPr="008918F0">
        <w:rPr>
          <w:lang w:val="fr-FR"/>
        </w:rPr>
        <w:t>’</w:t>
      </w:r>
      <w:r w:rsidR="00217B23" w:rsidRPr="008918F0">
        <w:rPr>
          <w:lang w:val="fr-FR"/>
        </w:rPr>
        <w:t>O</w:t>
      </w:r>
      <w:r w:rsidR="00630E33" w:rsidRPr="008918F0">
        <w:rPr>
          <w:lang w:val="fr-FR"/>
        </w:rPr>
        <w:t>MPI.  Ce</w:t>
      </w:r>
      <w:r w:rsidR="00217B23" w:rsidRPr="008918F0">
        <w:rPr>
          <w:lang w:val="fr-FR"/>
        </w:rPr>
        <w:t>s facteurs ont été pris en considération par l</w:t>
      </w:r>
      <w:r w:rsidR="00C959B2" w:rsidRPr="008918F0">
        <w:rPr>
          <w:lang w:val="fr-FR"/>
        </w:rPr>
        <w:t>’</w:t>
      </w:r>
      <w:r w:rsidR="00217B23" w:rsidRPr="008918F0">
        <w:rPr>
          <w:lang w:val="fr-FR"/>
        </w:rPr>
        <w:t>équipe de projet et des solutions ont été trouvées.</w:t>
      </w:r>
    </w:p>
    <w:p w:rsidR="0006001B" w:rsidRPr="008918F0" w:rsidRDefault="006C756B" w:rsidP="00F2657E">
      <w:pPr>
        <w:pStyle w:val="Heading4"/>
      </w:pPr>
      <w:r w:rsidRPr="008918F0">
        <w:t>Efficacité</w:t>
      </w:r>
    </w:p>
    <w:p w:rsidR="00F2657E" w:rsidRPr="008918F0" w:rsidRDefault="00F2657E" w:rsidP="00F2657E">
      <w:pPr>
        <w:rPr>
          <w:lang w:val="fr-FR"/>
        </w:rPr>
      </w:pPr>
    </w:p>
    <w:p w:rsidR="0006001B" w:rsidRPr="008918F0" w:rsidRDefault="00FA4B8F" w:rsidP="00F2657E">
      <w:pPr>
        <w:pStyle w:val="ONUMFS"/>
        <w:rPr>
          <w:lang w:val="fr-FR"/>
        </w:rPr>
      </w:pPr>
      <w:r w:rsidRPr="008918F0">
        <w:rPr>
          <w:b/>
          <w:lang w:val="fr-FR"/>
        </w:rPr>
        <w:t>Observation</w:t>
      </w:r>
      <w:r w:rsidR="00807547" w:rsidRPr="008918F0">
        <w:rPr>
          <w:b/>
          <w:lang w:val="fr-FR"/>
        </w:rPr>
        <w:t>s</w:t>
      </w:r>
      <w:r w:rsidR="006C756B" w:rsidRPr="008918F0">
        <w:rPr>
          <w:b/>
          <w:lang w:val="fr-FR"/>
        </w:rPr>
        <w:t xml:space="preserve"> n</w:t>
      </w:r>
      <w:r w:rsidR="00F2657E" w:rsidRPr="008918F0">
        <w:rPr>
          <w:b/>
          <w:vertAlign w:val="superscript"/>
          <w:lang w:val="fr-FR"/>
        </w:rPr>
        <w:t>os</w:t>
      </w:r>
      <w:r w:rsidR="006C756B" w:rsidRPr="008918F0">
        <w:rPr>
          <w:b/>
          <w:lang w:val="fr-FR"/>
        </w:rPr>
        <w:t> 6 à 9</w:t>
      </w:r>
      <w:r w:rsidR="00C959B2" w:rsidRPr="008918F0">
        <w:rPr>
          <w:b/>
          <w:lang w:val="fr-FR"/>
        </w:rPr>
        <w:t> :</w:t>
      </w:r>
      <w:r w:rsidR="00670E98" w:rsidRPr="008918F0">
        <w:rPr>
          <w:lang w:val="fr-FR"/>
        </w:rPr>
        <w:t xml:space="preserve"> </w:t>
      </w:r>
      <w:r w:rsidR="00025F69" w:rsidRPr="008918F0">
        <w:rPr>
          <w:lang w:val="fr-FR"/>
        </w:rPr>
        <w:t>l</w:t>
      </w:r>
      <w:r w:rsidR="006C756B" w:rsidRPr="008918F0">
        <w:rPr>
          <w:lang w:val="fr-FR"/>
        </w:rPr>
        <w:t>es deux</w:t>
      </w:r>
      <w:r w:rsidR="00DB6EA5" w:rsidRPr="008918F0">
        <w:rPr>
          <w:lang w:val="fr-FR"/>
        </w:rPr>
        <w:t> </w:t>
      </w:r>
      <w:r w:rsidR="006C756B" w:rsidRPr="008918F0">
        <w:rPr>
          <w:lang w:val="fr-FR"/>
        </w:rPr>
        <w:t>guides</w:t>
      </w:r>
      <w:r w:rsidR="00B50C72" w:rsidRPr="008918F0">
        <w:rPr>
          <w:lang w:val="fr-FR"/>
        </w:rPr>
        <w:t xml:space="preserve"> </w:t>
      </w:r>
      <w:r w:rsidR="00BE26A5" w:rsidRPr="008918F0">
        <w:rPr>
          <w:lang w:val="fr-FR"/>
        </w:rPr>
        <w:t xml:space="preserve">ont </w:t>
      </w:r>
      <w:r w:rsidR="00025F69" w:rsidRPr="008918F0">
        <w:rPr>
          <w:lang w:val="fr-FR"/>
        </w:rPr>
        <w:t>fait l</w:t>
      </w:r>
      <w:r w:rsidR="00C959B2" w:rsidRPr="008918F0">
        <w:rPr>
          <w:lang w:val="fr-FR"/>
        </w:rPr>
        <w:t>’</w:t>
      </w:r>
      <w:r w:rsidR="00025F69" w:rsidRPr="008918F0">
        <w:rPr>
          <w:lang w:val="fr-FR"/>
        </w:rPr>
        <w:t>objet d</w:t>
      </w:r>
      <w:r w:rsidR="00C959B2" w:rsidRPr="008918F0">
        <w:rPr>
          <w:lang w:val="fr-FR"/>
        </w:rPr>
        <w:t>’</w:t>
      </w:r>
      <w:r w:rsidR="00025F69" w:rsidRPr="008918F0">
        <w:rPr>
          <w:lang w:val="fr-FR"/>
        </w:rPr>
        <w:t xml:space="preserve">une phase pilote </w:t>
      </w:r>
      <w:r w:rsidR="00BE26A5" w:rsidRPr="008918F0">
        <w:rPr>
          <w:lang w:val="fr-FR"/>
        </w:rPr>
        <w:t>dans neuf</w:t>
      </w:r>
      <w:r w:rsidR="00DB6EA5" w:rsidRPr="008918F0">
        <w:rPr>
          <w:lang w:val="fr-FR"/>
        </w:rPr>
        <w:t> </w:t>
      </w:r>
      <w:r w:rsidR="00BE26A5" w:rsidRPr="008918F0">
        <w:rPr>
          <w:lang w:val="fr-FR"/>
        </w:rPr>
        <w:t>pays avec le soutien d</w:t>
      </w:r>
      <w:r w:rsidR="00C959B2" w:rsidRPr="008918F0">
        <w:rPr>
          <w:lang w:val="fr-FR"/>
        </w:rPr>
        <w:t>’</w:t>
      </w:r>
      <w:r w:rsidR="00BE26A5" w:rsidRPr="008918F0">
        <w:rPr>
          <w:lang w:val="fr-FR"/>
        </w:rPr>
        <w:t xml:space="preserve">experts nationaux et des </w:t>
      </w:r>
      <w:r w:rsidR="0081059F" w:rsidRPr="008918F0">
        <w:rPr>
          <w:lang w:val="fr-FR"/>
        </w:rPr>
        <w:t>réseaux de C</w:t>
      </w:r>
      <w:r w:rsidR="00630E33" w:rsidRPr="008918F0">
        <w:rPr>
          <w:lang w:val="fr-FR"/>
        </w:rPr>
        <w:t>ATI.  Au</w:t>
      </w:r>
      <w:r w:rsidR="00BE26A5" w:rsidRPr="008918F0">
        <w:rPr>
          <w:lang w:val="fr-FR"/>
        </w:rPr>
        <w:t xml:space="preserve"> cours de ce processus, des exemples pratiques ont été recueillis et intégrés dans les versions finales des guid</w:t>
      </w:r>
      <w:r w:rsidR="00630E33" w:rsidRPr="008918F0">
        <w:rPr>
          <w:lang w:val="fr-FR"/>
        </w:rPr>
        <w:t>es.  Le</w:t>
      </w:r>
      <w:r w:rsidR="00BE26A5" w:rsidRPr="008918F0">
        <w:rPr>
          <w:lang w:val="fr-FR"/>
        </w:rPr>
        <w:t xml:space="preserve"> processus consultatif a considérablement amélioré les guides et renforcé leur utilité potentielle pour</w:t>
      </w:r>
      <w:r w:rsidR="00C959B2" w:rsidRPr="008918F0">
        <w:rPr>
          <w:lang w:val="fr-FR"/>
        </w:rPr>
        <w:t xml:space="preserve"> les C</w:t>
      </w:r>
      <w:r w:rsidR="00630E33" w:rsidRPr="008918F0">
        <w:rPr>
          <w:lang w:val="fr-FR"/>
        </w:rPr>
        <w:t>ATI.  Le</w:t>
      </w:r>
      <w:r w:rsidR="00BE26A5" w:rsidRPr="008918F0">
        <w:rPr>
          <w:lang w:val="fr-FR"/>
        </w:rPr>
        <w:t xml:space="preserve">s guides </w:t>
      </w:r>
      <w:r w:rsidR="00025F69" w:rsidRPr="008918F0">
        <w:rPr>
          <w:lang w:val="fr-FR"/>
        </w:rPr>
        <w:t>ont été</w:t>
      </w:r>
      <w:r w:rsidR="00BE26A5" w:rsidRPr="008918F0">
        <w:rPr>
          <w:lang w:val="fr-FR"/>
        </w:rPr>
        <w:t xml:space="preserve"> considérés comme exhaustifs et comme comblant une lacune existante et </w:t>
      </w:r>
      <w:r w:rsidR="00025F69" w:rsidRPr="008918F0">
        <w:rPr>
          <w:lang w:val="fr-FR"/>
        </w:rPr>
        <w:t xml:space="preserve">ils </w:t>
      </w:r>
      <w:r w:rsidR="00BE26A5" w:rsidRPr="008918F0">
        <w:rPr>
          <w:lang w:val="fr-FR"/>
        </w:rPr>
        <w:t>pourraient même être utilisés dans les pays développ</w:t>
      </w:r>
      <w:r w:rsidR="00630E33" w:rsidRPr="008918F0">
        <w:rPr>
          <w:lang w:val="fr-FR"/>
        </w:rPr>
        <w:t>és.  L’e</w:t>
      </w:r>
      <w:r w:rsidR="00BE26A5" w:rsidRPr="008918F0">
        <w:rPr>
          <w:lang w:val="fr-FR"/>
        </w:rPr>
        <w:t>fficacité et l</w:t>
      </w:r>
      <w:r w:rsidR="00C959B2" w:rsidRPr="008918F0">
        <w:rPr>
          <w:lang w:val="fr-FR"/>
        </w:rPr>
        <w:t>’</w:t>
      </w:r>
      <w:r w:rsidR="00BE26A5" w:rsidRPr="008918F0">
        <w:rPr>
          <w:lang w:val="fr-FR"/>
        </w:rPr>
        <w:t xml:space="preserve">utilité des guides </w:t>
      </w:r>
      <w:r w:rsidR="00025F69" w:rsidRPr="008918F0">
        <w:rPr>
          <w:lang w:val="fr-FR"/>
        </w:rPr>
        <w:t>pour soutenir</w:t>
      </w:r>
      <w:r w:rsidR="00BE26A5" w:rsidRPr="008918F0">
        <w:rPr>
          <w:lang w:val="fr-FR"/>
        </w:rPr>
        <w:t xml:space="preserve"> de nouveaux services proposés par une sélection de CATI semblent prometteuses, bien qu</w:t>
      </w:r>
      <w:r w:rsidR="00C959B2" w:rsidRPr="008918F0">
        <w:rPr>
          <w:lang w:val="fr-FR"/>
        </w:rPr>
        <w:t>’</w:t>
      </w:r>
      <w:r w:rsidR="00BE26A5" w:rsidRPr="008918F0">
        <w:rPr>
          <w:lang w:val="fr-FR"/>
        </w:rPr>
        <w:t>elles n</w:t>
      </w:r>
      <w:r w:rsidR="00C959B2" w:rsidRPr="008918F0">
        <w:rPr>
          <w:lang w:val="fr-FR"/>
        </w:rPr>
        <w:t>’</w:t>
      </w:r>
      <w:r w:rsidR="00BE26A5" w:rsidRPr="008918F0">
        <w:rPr>
          <w:lang w:val="fr-FR"/>
        </w:rPr>
        <w:t>aient pas encore été démontrées à ce stade.</w:t>
      </w:r>
    </w:p>
    <w:p w:rsidR="00F2657E" w:rsidRPr="008918F0" w:rsidRDefault="00FA4B8F" w:rsidP="00F2657E">
      <w:pPr>
        <w:pStyle w:val="ONUMFS"/>
        <w:rPr>
          <w:b/>
          <w:lang w:val="fr-FR"/>
        </w:rPr>
      </w:pPr>
      <w:r w:rsidRPr="008918F0">
        <w:rPr>
          <w:b/>
          <w:lang w:val="fr-FR"/>
        </w:rPr>
        <w:t>Observation</w:t>
      </w:r>
      <w:r w:rsidR="00807547" w:rsidRPr="008918F0">
        <w:rPr>
          <w:b/>
          <w:lang w:val="fr-FR"/>
        </w:rPr>
        <w:t>s</w:t>
      </w:r>
      <w:r w:rsidR="00BE26A5" w:rsidRPr="008918F0">
        <w:rPr>
          <w:b/>
          <w:lang w:val="fr-FR"/>
        </w:rPr>
        <w:t xml:space="preserve"> n</w:t>
      </w:r>
      <w:r w:rsidR="00F2657E" w:rsidRPr="008918F0">
        <w:rPr>
          <w:b/>
          <w:vertAlign w:val="superscript"/>
          <w:lang w:val="fr-FR"/>
        </w:rPr>
        <w:t>os</w:t>
      </w:r>
      <w:r w:rsidR="00BE26A5" w:rsidRPr="008918F0">
        <w:rPr>
          <w:b/>
          <w:lang w:val="fr-FR"/>
        </w:rPr>
        <w:t> 10 à 12</w:t>
      </w:r>
      <w:r w:rsidR="00C959B2" w:rsidRPr="008918F0">
        <w:rPr>
          <w:b/>
          <w:lang w:val="fr-FR"/>
        </w:rPr>
        <w:t> :</w:t>
      </w:r>
      <w:r w:rsidR="00DB2D73" w:rsidRPr="008918F0">
        <w:rPr>
          <w:lang w:val="fr-FR"/>
        </w:rPr>
        <w:t xml:space="preserve"> </w:t>
      </w:r>
      <w:r w:rsidR="00025F69" w:rsidRPr="008918F0">
        <w:rPr>
          <w:lang w:val="fr-FR"/>
        </w:rPr>
        <w:t>l</w:t>
      </w:r>
      <w:r w:rsidR="00BE26A5" w:rsidRPr="008918F0">
        <w:rPr>
          <w:lang w:val="fr-FR"/>
        </w:rPr>
        <w:t>e matériel de formation inspiré des guides a été élaboré par les experts principaux (auteurs) avec l</w:t>
      </w:r>
      <w:r w:rsidR="00C959B2" w:rsidRPr="008918F0">
        <w:rPr>
          <w:lang w:val="fr-FR"/>
        </w:rPr>
        <w:t>’</w:t>
      </w:r>
      <w:r w:rsidR="00BE26A5" w:rsidRPr="008918F0">
        <w:rPr>
          <w:lang w:val="fr-FR"/>
        </w:rPr>
        <w:t>aide d</w:t>
      </w:r>
      <w:r w:rsidR="00C959B2" w:rsidRPr="008918F0">
        <w:rPr>
          <w:lang w:val="fr-FR"/>
        </w:rPr>
        <w:t>’</w:t>
      </w:r>
      <w:r w:rsidR="00BE26A5" w:rsidRPr="008918F0">
        <w:rPr>
          <w:lang w:val="fr-FR"/>
        </w:rPr>
        <w:t>experts (associés et nationaux) et a été présenté dans le cadre d</w:t>
      </w:r>
      <w:r w:rsidR="00C959B2" w:rsidRPr="008918F0">
        <w:rPr>
          <w:lang w:val="fr-FR"/>
        </w:rPr>
        <w:t>’</w:t>
      </w:r>
      <w:r w:rsidR="00BE26A5" w:rsidRPr="008918F0">
        <w:rPr>
          <w:lang w:val="fr-FR"/>
        </w:rPr>
        <w:t>une série d</w:t>
      </w:r>
      <w:r w:rsidR="00C959B2" w:rsidRPr="008918F0">
        <w:rPr>
          <w:lang w:val="fr-FR"/>
        </w:rPr>
        <w:t>’</w:t>
      </w:r>
      <w:r w:rsidR="00BE26A5" w:rsidRPr="008918F0">
        <w:rPr>
          <w:lang w:val="fr-FR"/>
        </w:rPr>
        <w:t>ateliers de deux</w:t>
      </w:r>
      <w:r w:rsidR="00DB6EA5" w:rsidRPr="008918F0">
        <w:rPr>
          <w:lang w:val="fr-FR"/>
        </w:rPr>
        <w:t> </w:t>
      </w:r>
      <w:r w:rsidR="00BE26A5" w:rsidRPr="008918F0">
        <w:rPr>
          <w:lang w:val="fr-FR"/>
        </w:rPr>
        <w:t>jours organisés dans les neuf</w:t>
      </w:r>
      <w:r w:rsidR="00DB6EA5" w:rsidRPr="008918F0">
        <w:rPr>
          <w:lang w:val="fr-FR"/>
        </w:rPr>
        <w:t> </w:t>
      </w:r>
      <w:r w:rsidR="00BE26A5" w:rsidRPr="008918F0">
        <w:rPr>
          <w:lang w:val="fr-FR"/>
        </w:rPr>
        <w:t>pays pilotes (à</w:t>
      </w:r>
      <w:r w:rsidR="00630E33" w:rsidRPr="008918F0">
        <w:rPr>
          <w:lang w:val="fr-FR"/>
        </w:rPr>
        <w:t> </w:t>
      </w:r>
      <w:r w:rsidR="00BE26A5" w:rsidRPr="008918F0">
        <w:rPr>
          <w:lang w:val="fr-FR"/>
        </w:rPr>
        <w:t>l</w:t>
      </w:r>
      <w:r w:rsidR="00C959B2" w:rsidRPr="008918F0">
        <w:rPr>
          <w:lang w:val="fr-FR"/>
        </w:rPr>
        <w:t>’</w:t>
      </w:r>
      <w:r w:rsidR="00BE26A5" w:rsidRPr="008918F0">
        <w:rPr>
          <w:lang w:val="fr-FR"/>
        </w:rPr>
        <w:t>exception de Cuba, mais en Inde égaleme</w:t>
      </w:r>
      <w:r w:rsidR="00630E33" w:rsidRPr="008918F0">
        <w:rPr>
          <w:lang w:val="fr-FR"/>
        </w:rPr>
        <w:t>nt).  Le</w:t>
      </w:r>
      <w:r w:rsidR="00BE26A5" w:rsidRPr="008918F0">
        <w:rPr>
          <w:lang w:val="fr-FR"/>
        </w:rPr>
        <w:t>s ateliers ont touché quelque 500 participants, membres du personnel</w:t>
      </w:r>
      <w:r w:rsidR="00C959B2" w:rsidRPr="008918F0">
        <w:rPr>
          <w:lang w:val="fr-FR"/>
        </w:rPr>
        <w:t xml:space="preserve"> des CAT</w:t>
      </w:r>
      <w:r w:rsidR="00BE26A5" w:rsidRPr="008918F0">
        <w:rPr>
          <w:lang w:val="fr-FR"/>
        </w:rPr>
        <w:t>I et autres utilisateurs potentie</w:t>
      </w:r>
      <w:r w:rsidR="00630E33" w:rsidRPr="008918F0">
        <w:rPr>
          <w:lang w:val="fr-FR"/>
        </w:rPr>
        <w:t>ls.  Da</w:t>
      </w:r>
      <w:r w:rsidR="00BE26A5" w:rsidRPr="008918F0">
        <w:rPr>
          <w:lang w:val="fr-FR"/>
        </w:rPr>
        <w:t>ns les enquêtes de satisfaction, la quasi</w:t>
      </w:r>
      <w:r w:rsidR="00AB7A2D">
        <w:rPr>
          <w:lang w:val="fr-FR"/>
        </w:rPr>
        <w:noBreakHyphen/>
      </w:r>
      <w:r w:rsidR="00BE26A5" w:rsidRPr="008918F0">
        <w:rPr>
          <w:lang w:val="fr-FR"/>
        </w:rPr>
        <w:t xml:space="preserve">totalité des participants aux ateliers (99,6%) a confirmé que les ateliers avaient réussi à </w:t>
      </w:r>
      <w:r w:rsidR="00025F69" w:rsidRPr="008918F0">
        <w:rPr>
          <w:lang w:val="fr-FR"/>
        </w:rPr>
        <w:t xml:space="preserve">renforcer </w:t>
      </w:r>
      <w:r w:rsidR="00BE26A5" w:rsidRPr="008918F0">
        <w:rPr>
          <w:lang w:val="fr-FR"/>
        </w:rPr>
        <w:t xml:space="preserve">leurs connaissances et leurs compétences </w:t>
      </w:r>
      <w:r w:rsidR="002F2BEC" w:rsidRPr="008918F0">
        <w:rPr>
          <w:lang w:val="fr-FR"/>
        </w:rPr>
        <w:t>en matière de domaine public et 98% ont déclaré que les guides seront utiles dans leur travail quotidi</w:t>
      </w:r>
      <w:r w:rsidR="00630E33" w:rsidRPr="008918F0">
        <w:rPr>
          <w:lang w:val="fr-FR"/>
        </w:rPr>
        <w:t>en.  To</w:t>
      </w:r>
      <w:r w:rsidR="002F2BEC" w:rsidRPr="008918F0">
        <w:rPr>
          <w:lang w:val="fr-FR"/>
        </w:rPr>
        <w:t>utefois, la formation et le matériel étaient parfaits pour les participants qui possédaient déjà de l</w:t>
      </w:r>
      <w:r w:rsidR="00C959B2" w:rsidRPr="008918F0">
        <w:rPr>
          <w:lang w:val="fr-FR"/>
        </w:rPr>
        <w:t>’</w:t>
      </w:r>
      <w:r w:rsidR="002F2BEC" w:rsidRPr="008918F0">
        <w:rPr>
          <w:lang w:val="fr-FR"/>
        </w:rPr>
        <w:t>expérience dans ce domaine (</w:t>
      </w:r>
      <w:r w:rsidR="00C959B2" w:rsidRPr="008918F0">
        <w:rPr>
          <w:lang w:val="fr-FR"/>
        </w:rPr>
        <w:t>à savoir</w:t>
      </w:r>
      <w:r w:rsidR="002F2BEC" w:rsidRPr="008918F0">
        <w:rPr>
          <w:lang w:val="fr-FR"/>
        </w:rPr>
        <w:t xml:space="preserve"> la recherche de brevets) et étaient moins adaptés aux participants moins versés en la matière.</w:t>
      </w:r>
    </w:p>
    <w:p w:rsidR="00F2657E" w:rsidRPr="008918F0" w:rsidRDefault="00FA4B8F" w:rsidP="00F2657E">
      <w:pPr>
        <w:pStyle w:val="ONUMFS"/>
        <w:rPr>
          <w:lang w:val="fr-FR"/>
        </w:rPr>
      </w:pPr>
      <w:r w:rsidRPr="008918F0">
        <w:rPr>
          <w:b/>
          <w:lang w:val="fr-FR"/>
        </w:rPr>
        <w:t>Observation</w:t>
      </w:r>
      <w:r w:rsidR="00807547" w:rsidRPr="008918F0">
        <w:rPr>
          <w:b/>
          <w:lang w:val="fr-FR"/>
        </w:rPr>
        <w:t>s</w:t>
      </w:r>
      <w:r w:rsidR="002F2BEC" w:rsidRPr="008918F0">
        <w:rPr>
          <w:b/>
          <w:lang w:val="fr-FR"/>
        </w:rPr>
        <w:t xml:space="preserve"> </w:t>
      </w:r>
      <w:r w:rsidR="00F2657E" w:rsidRPr="008918F0">
        <w:rPr>
          <w:b/>
          <w:lang w:val="fr-FR"/>
        </w:rPr>
        <w:t>n</w:t>
      </w:r>
      <w:r w:rsidR="00F2657E" w:rsidRPr="008918F0">
        <w:rPr>
          <w:b/>
          <w:vertAlign w:val="superscript"/>
          <w:lang w:val="fr-FR"/>
        </w:rPr>
        <w:t>os</w:t>
      </w:r>
      <w:r w:rsidR="00F2657E" w:rsidRPr="008918F0">
        <w:rPr>
          <w:b/>
          <w:lang w:val="fr-FR"/>
        </w:rPr>
        <w:t> </w:t>
      </w:r>
      <w:r w:rsidR="00DB2D73" w:rsidRPr="008918F0">
        <w:rPr>
          <w:b/>
          <w:lang w:val="fr-FR"/>
        </w:rPr>
        <w:t>13</w:t>
      </w:r>
      <w:r w:rsidR="002F2BEC" w:rsidRPr="008918F0">
        <w:rPr>
          <w:b/>
          <w:lang w:val="fr-FR"/>
        </w:rPr>
        <w:t xml:space="preserve"> et </w:t>
      </w:r>
      <w:r w:rsidR="00DB2D73" w:rsidRPr="008918F0">
        <w:rPr>
          <w:b/>
          <w:lang w:val="fr-FR"/>
        </w:rPr>
        <w:t>14</w:t>
      </w:r>
      <w:r w:rsidR="00C959B2" w:rsidRPr="008918F0">
        <w:rPr>
          <w:b/>
          <w:lang w:val="fr-FR"/>
        </w:rPr>
        <w:t> :</w:t>
      </w:r>
      <w:r w:rsidR="00DB2D73" w:rsidRPr="008918F0">
        <w:rPr>
          <w:lang w:val="fr-FR"/>
        </w:rPr>
        <w:t xml:space="preserve"> </w:t>
      </w:r>
      <w:r w:rsidR="00025F69" w:rsidRPr="008918F0">
        <w:rPr>
          <w:lang w:val="fr-FR"/>
        </w:rPr>
        <w:t>g</w:t>
      </w:r>
      <w:r w:rsidR="002F2BEC" w:rsidRPr="008918F0">
        <w:rPr>
          <w:lang w:val="fr-FR"/>
        </w:rPr>
        <w:t>râce à l</w:t>
      </w:r>
      <w:r w:rsidR="00C959B2" w:rsidRPr="008918F0">
        <w:rPr>
          <w:lang w:val="fr-FR"/>
        </w:rPr>
        <w:t>’</w:t>
      </w:r>
      <w:r w:rsidR="002F2BEC" w:rsidRPr="008918F0">
        <w:rPr>
          <w:lang w:val="fr-FR"/>
        </w:rPr>
        <w:t>élaboration des deux</w:t>
      </w:r>
      <w:r w:rsidR="00DB6EA5" w:rsidRPr="008918F0">
        <w:rPr>
          <w:lang w:val="fr-FR"/>
        </w:rPr>
        <w:t> </w:t>
      </w:r>
      <w:r w:rsidR="002F2BEC" w:rsidRPr="008918F0">
        <w:rPr>
          <w:lang w:val="fr-FR"/>
        </w:rPr>
        <w:t>guides, une liste de 14 </w:t>
      </w:r>
      <w:r w:rsidR="006B59CC" w:rsidRPr="008918F0">
        <w:rPr>
          <w:lang w:val="fr-FR"/>
        </w:rPr>
        <w:t xml:space="preserve">experts </w:t>
      </w:r>
      <w:r w:rsidR="00025F69" w:rsidRPr="008918F0">
        <w:rPr>
          <w:lang w:val="fr-FR"/>
        </w:rPr>
        <w:t>essentiels</w:t>
      </w:r>
      <w:r w:rsidR="002F2BEC" w:rsidRPr="008918F0">
        <w:rPr>
          <w:lang w:val="fr-FR"/>
        </w:rPr>
        <w:t xml:space="preserve"> a été établ</w:t>
      </w:r>
      <w:r w:rsidR="00630E33" w:rsidRPr="008918F0">
        <w:rPr>
          <w:lang w:val="fr-FR"/>
        </w:rPr>
        <w:t>ie.  Ce</w:t>
      </w:r>
      <w:r w:rsidR="002F2BEC" w:rsidRPr="008918F0">
        <w:rPr>
          <w:lang w:val="fr-FR"/>
        </w:rPr>
        <w:t>s experts ont joué un rôle majeur dans le développement</w:t>
      </w:r>
      <w:r w:rsidR="00025F69" w:rsidRPr="008918F0">
        <w:rPr>
          <w:lang w:val="fr-FR"/>
        </w:rPr>
        <w:t xml:space="preserve"> des guides</w:t>
      </w:r>
      <w:r w:rsidR="002F2BEC" w:rsidRPr="008918F0">
        <w:rPr>
          <w:lang w:val="fr-FR"/>
        </w:rPr>
        <w:t xml:space="preserve"> et </w:t>
      </w:r>
      <w:r w:rsidR="00025F69" w:rsidRPr="008918F0">
        <w:rPr>
          <w:lang w:val="fr-FR"/>
        </w:rPr>
        <w:t>leur mise à l</w:t>
      </w:r>
      <w:r w:rsidR="00C959B2" w:rsidRPr="008918F0">
        <w:rPr>
          <w:lang w:val="fr-FR"/>
        </w:rPr>
        <w:t>’</w:t>
      </w:r>
      <w:r w:rsidR="00025F69" w:rsidRPr="008918F0">
        <w:rPr>
          <w:lang w:val="fr-FR"/>
        </w:rPr>
        <w:t>ess</w:t>
      </w:r>
      <w:r w:rsidR="00630E33" w:rsidRPr="008918F0">
        <w:rPr>
          <w:lang w:val="fr-FR"/>
        </w:rPr>
        <w:t>ai.  Le</w:t>
      </w:r>
      <w:r w:rsidR="002F2BEC" w:rsidRPr="008918F0">
        <w:rPr>
          <w:lang w:val="fr-FR"/>
        </w:rPr>
        <w:t xml:space="preserve">s </w:t>
      </w:r>
      <w:r w:rsidR="006B59CC" w:rsidRPr="008918F0">
        <w:rPr>
          <w:lang w:val="fr-FR"/>
        </w:rPr>
        <w:t xml:space="preserve">experts </w:t>
      </w:r>
      <w:r w:rsidR="00025F69" w:rsidRPr="008918F0">
        <w:rPr>
          <w:lang w:val="fr-FR"/>
        </w:rPr>
        <w:t>essentiels</w:t>
      </w:r>
      <w:r w:rsidR="002F2BEC" w:rsidRPr="008918F0">
        <w:rPr>
          <w:lang w:val="fr-FR"/>
        </w:rPr>
        <w:t xml:space="preserve"> doivent encore part</w:t>
      </w:r>
      <w:r w:rsidR="00025F69" w:rsidRPr="008918F0">
        <w:rPr>
          <w:lang w:val="fr-FR"/>
        </w:rPr>
        <w:t>iciper</w:t>
      </w:r>
      <w:r w:rsidR="002F2BEC" w:rsidRPr="008918F0">
        <w:rPr>
          <w:lang w:val="fr-FR"/>
        </w:rPr>
        <w:t xml:space="preserve"> au développement de nouveaux services </w:t>
      </w:r>
      <w:r w:rsidR="00025F69" w:rsidRPr="008918F0">
        <w:rPr>
          <w:lang w:val="fr-FR"/>
        </w:rPr>
        <w:t>de</w:t>
      </w:r>
      <w:r w:rsidR="002F2BEC" w:rsidRPr="008918F0">
        <w:rPr>
          <w:lang w:val="fr-FR"/>
        </w:rPr>
        <w:t xml:space="preserve"> CATI en matière de domaine public et tou</w:t>
      </w:r>
      <w:r w:rsidR="00025F69" w:rsidRPr="008918F0">
        <w:rPr>
          <w:lang w:val="fr-FR"/>
        </w:rPr>
        <w:t>s les membres du</w:t>
      </w:r>
      <w:r w:rsidR="002F2BEC" w:rsidRPr="008918F0">
        <w:rPr>
          <w:lang w:val="fr-FR"/>
        </w:rPr>
        <w:t xml:space="preserve"> personnel</w:t>
      </w:r>
      <w:r w:rsidR="00C959B2" w:rsidRPr="008918F0">
        <w:rPr>
          <w:lang w:val="fr-FR"/>
        </w:rPr>
        <w:t xml:space="preserve"> des CAT</w:t>
      </w:r>
      <w:r w:rsidR="002F2BEC" w:rsidRPr="008918F0">
        <w:rPr>
          <w:lang w:val="fr-FR"/>
        </w:rPr>
        <w:t>I n</w:t>
      </w:r>
      <w:r w:rsidR="00C959B2" w:rsidRPr="008918F0">
        <w:rPr>
          <w:lang w:val="fr-FR"/>
        </w:rPr>
        <w:t>’</w:t>
      </w:r>
      <w:r w:rsidR="002F2BEC" w:rsidRPr="008918F0">
        <w:rPr>
          <w:lang w:val="fr-FR"/>
        </w:rPr>
        <w:t>étai</w:t>
      </w:r>
      <w:r w:rsidR="00025F69" w:rsidRPr="008918F0">
        <w:rPr>
          <w:lang w:val="fr-FR"/>
        </w:rPr>
        <w:t>en</w:t>
      </w:r>
      <w:r w:rsidR="002F2BEC" w:rsidRPr="008918F0">
        <w:rPr>
          <w:lang w:val="fr-FR"/>
        </w:rPr>
        <w:t>t pas conscient</w:t>
      </w:r>
      <w:r w:rsidR="00025F69" w:rsidRPr="008918F0">
        <w:rPr>
          <w:lang w:val="fr-FR"/>
        </w:rPr>
        <w:t>s</w:t>
      </w:r>
      <w:r w:rsidR="002F2BEC" w:rsidRPr="008918F0">
        <w:rPr>
          <w:lang w:val="fr-FR"/>
        </w:rPr>
        <w:t xml:space="preserve"> de ce rôle potentiel.</w:t>
      </w:r>
    </w:p>
    <w:p w:rsidR="0006001B" w:rsidRPr="008918F0" w:rsidRDefault="00FA4B8F" w:rsidP="00F2657E">
      <w:pPr>
        <w:pStyle w:val="ONUMFS"/>
        <w:rPr>
          <w:lang w:val="fr-FR"/>
        </w:rPr>
      </w:pPr>
      <w:r w:rsidRPr="008918F0">
        <w:rPr>
          <w:b/>
          <w:lang w:val="fr-FR"/>
        </w:rPr>
        <w:t>Observation</w:t>
      </w:r>
      <w:r w:rsidR="00807547" w:rsidRPr="008918F0">
        <w:rPr>
          <w:b/>
          <w:lang w:val="fr-FR"/>
        </w:rPr>
        <w:t>s</w:t>
      </w:r>
      <w:r w:rsidR="002F2BEC" w:rsidRPr="008918F0">
        <w:rPr>
          <w:b/>
          <w:lang w:val="fr-FR"/>
        </w:rPr>
        <w:t xml:space="preserve"> </w:t>
      </w:r>
      <w:r w:rsidR="00F2657E" w:rsidRPr="008918F0">
        <w:rPr>
          <w:b/>
          <w:lang w:val="fr-FR"/>
        </w:rPr>
        <w:t>n</w:t>
      </w:r>
      <w:r w:rsidR="00F2657E" w:rsidRPr="008918F0">
        <w:rPr>
          <w:b/>
          <w:vertAlign w:val="superscript"/>
          <w:lang w:val="fr-FR"/>
        </w:rPr>
        <w:t>os</w:t>
      </w:r>
      <w:r w:rsidR="00F2657E" w:rsidRPr="008918F0">
        <w:rPr>
          <w:b/>
          <w:lang w:val="fr-FR"/>
        </w:rPr>
        <w:t> </w:t>
      </w:r>
      <w:r w:rsidR="00DB2D73" w:rsidRPr="008918F0">
        <w:rPr>
          <w:b/>
          <w:lang w:val="fr-FR"/>
        </w:rPr>
        <w:t>15</w:t>
      </w:r>
      <w:r w:rsidR="002F2BEC" w:rsidRPr="008918F0">
        <w:rPr>
          <w:b/>
          <w:lang w:val="fr-FR"/>
        </w:rPr>
        <w:t xml:space="preserve"> à </w:t>
      </w:r>
      <w:r w:rsidR="00DB2D73" w:rsidRPr="008918F0">
        <w:rPr>
          <w:b/>
          <w:lang w:val="fr-FR"/>
        </w:rPr>
        <w:t>17</w:t>
      </w:r>
      <w:r w:rsidR="00C959B2" w:rsidRPr="008918F0">
        <w:rPr>
          <w:b/>
          <w:lang w:val="fr-FR"/>
        </w:rPr>
        <w:t> :</w:t>
      </w:r>
      <w:r w:rsidR="00DB2D73" w:rsidRPr="008918F0">
        <w:rPr>
          <w:lang w:val="fr-FR"/>
        </w:rPr>
        <w:t xml:space="preserve"> </w:t>
      </w:r>
      <w:r w:rsidR="00025F69" w:rsidRPr="008918F0">
        <w:rPr>
          <w:lang w:val="fr-FR"/>
        </w:rPr>
        <w:t>l</w:t>
      </w:r>
      <w:r w:rsidR="002F2BEC" w:rsidRPr="008918F0">
        <w:rPr>
          <w:lang w:val="fr-FR"/>
        </w:rPr>
        <w:t xml:space="preserve">e portail sur la situation juridique a été </w:t>
      </w:r>
      <w:r w:rsidR="00025F69" w:rsidRPr="008918F0">
        <w:rPr>
          <w:lang w:val="fr-FR"/>
        </w:rPr>
        <w:t>présenté</w:t>
      </w:r>
      <w:r w:rsidR="002F2BEC" w:rsidRPr="008918F0">
        <w:rPr>
          <w:lang w:val="fr-FR"/>
        </w:rPr>
        <w:t xml:space="preserve"> dans l</w:t>
      </w:r>
      <w:r w:rsidR="00025F69" w:rsidRPr="008918F0">
        <w:rPr>
          <w:lang w:val="fr-FR"/>
        </w:rPr>
        <w:t>e descriptif</w:t>
      </w:r>
      <w:r w:rsidR="002F2BEC" w:rsidRPr="008918F0">
        <w:rPr>
          <w:lang w:val="fr-FR"/>
        </w:rPr>
        <w:t xml:space="preserve"> d</w:t>
      </w:r>
      <w:r w:rsidR="00025F69" w:rsidRPr="008918F0">
        <w:rPr>
          <w:lang w:val="fr-FR"/>
        </w:rPr>
        <w:t>e</w:t>
      </w:r>
      <w:r w:rsidR="002F2BEC" w:rsidRPr="008918F0">
        <w:rPr>
          <w:lang w:val="fr-FR"/>
        </w:rPr>
        <w:t xml:space="preserve"> projet </w:t>
      </w:r>
      <w:r w:rsidR="00025F69" w:rsidRPr="008918F0">
        <w:rPr>
          <w:lang w:val="fr-FR"/>
        </w:rPr>
        <w:t xml:space="preserve">initial </w:t>
      </w:r>
      <w:r w:rsidR="002F2BEC" w:rsidRPr="008918F0">
        <w:rPr>
          <w:lang w:val="fr-FR"/>
        </w:rPr>
        <w:t>comme</w:t>
      </w:r>
      <w:r w:rsidR="00DB2D73" w:rsidRPr="008918F0">
        <w:rPr>
          <w:lang w:val="fr-FR"/>
        </w:rPr>
        <w:t xml:space="preserve"> </w:t>
      </w:r>
      <w:r w:rsidR="002F2BEC" w:rsidRPr="008918F0">
        <w:rPr>
          <w:lang w:val="fr-FR"/>
        </w:rPr>
        <w:t>un instrument de soutien clé dans le secteur du domaine publ</w:t>
      </w:r>
      <w:r w:rsidR="00630E33" w:rsidRPr="008918F0">
        <w:rPr>
          <w:lang w:val="fr-FR"/>
        </w:rPr>
        <w:t>ic.  Su</w:t>
      </w:r>
      <w:r w:rsidR="002F2BEC" w:rsidRPr="008918F0">
        <w:rPr>
          <w:lang w:val="fr-FR"/>
        </w:rPr>
        <w:t>r la base de la recherche et d</w:t>
      </w:r>
      <w:r w:rsidR="00025F69" w:rsidRPr="008918F0">
        <w:rPr>
          <w:lang w:val="fr-FR"/>
        </w:rPr>
        <w:t>u retour d</w:t>
      </w:r>
      <w:r w:rsidR="00C959B2" w:rsidRPr="008918F0">
        <w:rPr>
          <w:lang w:val="fr-FR"/>
        </w:rPr>
        <w:t>’</w:t>
      </w:r>
      <w:r w:rsidR="00025F69" w:rsidRPr="008918F0">
        <w:rPr>
          <w:lang w:val="fr-FR"/>
        </w:rPr>
        <w:t>information reçu</w:t>
      </w:r>
      <w:r w:rsidR="002F2BEC" w:rsidRPr="008918F0">
        <w:rPr>
          <w:lang w:val="fr-FR"/>
        </w:rPr>
        <w:t>, un nouveau portail, le portail d</w:t>
      </w:r>
      <w:r w:rsidR="00C959B2" w:rsidRPr="008918F0">
        <w:rPr>
          <w:lang w:val="fr-FR"/>
        </w:rPr>
        <w:t>’</w:t>
      </w:r>
      <w:r w:rsidR="002F2BEC" w:rsidRPr="008918F0">
        <w:rPr>
          <w:lang w:val="fr-FR"/>
        </w:rPr>
        <w:t>accès aux registres de brevets, a été développé et lancé en novembre 2018.  Ce portail contient une nouvelle interface dotée de fonctionnalités supplémentair</w:t>
      </w:r>
      <w:r w:rsidR="00630E33" w:rsidRPr="008918F0">
        <w:rPr>
          <w:lang w:val="fr-FR"/>
        </w:rPr>
        <w:t>es.  Le</w:t>
      </w:r>
      <w:r w:rsidR="002F2BEC" w:rsidRPr="008918F0">
        <w:rPr>
          <w:lang w:val="fr-FR"/>
        </w:rPr>
        <w:t xml:space="preserve"> nombre de visites du nouveau portail a augmenté de 500% par rapport à la version précédente, ce qui traduit une amélioration significative en termes de </w:t>
      </w:r>
      <w:r w:rsidR="00025F69" w:rsidRPr="008918F0">
        <w:rPr>
          <w:lang w:val="fr-FR"/>
        </w:rPr>
        <w:t>facilité d</w:t>
      </w:r>
      <w:r w:rsidR="00C959B2" w:rsidRPr="008918F0">
        <w:rPr>
          <w:lang w:val="fr-FR"/>
        </w:rPr>
        <w:t>’</w:t>
      </w:r>
      <w:r w:rsidR="00025F69" w:rsidRPr="008918F0">
        <w:rPr>
          <w:lang w:val="fr-FR"/>
        </w:rPr>
        <w:t>utilisation</w:t>
      </w:r>
      <w:r w:rsidR="002F2BEC" w:rsidRPr="008918F0">
        <w:rPr>
          <w:lang w:val="fr-FR"/>
        </w:rPr>
        <w:t xml:space="preserve"> et d</w:t>
      </w:r>
      <w:r w:rsidR="00C959B2" w:rsidRPr="008918F0">
        <w:rPr>
          <w:lang w:val="fr-FR"/>
        </w:rPr>
        <w:t>’</w:t>
      </w:r>
      <w:r w:rsidR="002F2BEC" w:rsidRPr="008918F0">
        <w:rPr>
          <w:lang w:val="fr-FR"/>
        </w:rPr>
        <w:t>exhaustivité du conte</w:t>
      </w:r>
      <w:r w:rsidR="00630E33" w:rsidRPr="008918F0">
        <w:rPr>
          <w:lang w:val="fr-FR"/>
        </w:rPr>
        <w:t>nu.  Un</w:t>
      </w:r>
      <w:r w:rsidR="00025F69" w:rsidRPr="008918F0">
        <w:rPr>
          <w:lang w:val="fr-FR"/>
        </w:rPr>
        <w:t xml:space="preserve"> problème s</w:t>
      </w:r>
      <w:r w:rsidR="00C959B2" w:rsidRPr="008918F0">
        <w:rPr>
          <w:lang w:val="fr-FR"/>
        </w:rPr>
        <w:t>’</w:t>
      </w:r>
      <w:r w:rsidR="00025F69" w:rsidRPr="008918F0">
        <w:rPr>
          <w:lang w:val="fr-FR"/>
        </w:rPr>
        <w:t xml:space="preserve">est posé en ce qui concerne </w:t>
      </w:r>
      <w:r w:rsidR="001A6F64" w:rsidRPr="008918F0">
        <w:rPr>
          <w:lang w:val="fr-FR"/>
        </w:rPr>
        <w:t xml:space="preserve">la localisation du portail sur toutes les pages </w:t>
      </w:r>
      <w:r w:rsidR="00025F69" w:rsidRPr="008918F0">
        <w:rPr>
          <w:lang w:val="fr-FR"/>
        </w:rPr>
        <w:t>pertinentes du site</w:t>
      </w:r>
      <w:r w:rsidR="00DB6EA5" w:rsidRPr="008918F0">
        <w:rPr>
          <w:lang w:val="fr-FR"/>
        </w:rPr>
        <w:t> </w:t>
      </w:r>
      <w:r w:rsidR="00025F69" w:rsidRPr="008918F0">
        <w:rPr>
          <w:lang w:val="fr-FR"/>
        </w:rPr>
        <w:t>Web de l</w:t>
      </w:r>
      <w:r w:rsidR="00C959B2" w:rsidRPr="008918F0">
        <w:rPr>
          <w:lang w:val="fr-FR"/>
        </w:rPr>
        <w:t>’</w:t>
      </w:r>
      <w:r w:rsidR="00025F69" w:rsidRPr="008918F0">
        <w:rPr>
          <w:lang w:val="fr-FR"/>
        </w:rPr>
        <w:t xml:space="preserve">OMPI consacrées aux </w:t>
      </w:r>
      <w:r w:rsidR="001A6F64" w:rsidRPr="008918F0">
        <w:rPr>
          <w:lang w:val="fr-FR"/>
        </w:rPr>
        <w:t>brevets et</w:t>
      </w:r>
      <w:r w:rsidR="00C959B2" w:rsidRPr="008918F0">
        <w:rPr>
          <w:lang w:val="fr-FR"/>
        </w:rPr>
        <w:t xml:space="preserve"> aux CAT</w:t>
      </w:r>
      <w:r w:rsidR="001A6F64" w:rsidRPr="008918F0">
        <w:rPr>
          <w:lang w:val="fr-FR"/>
        </w:rPr>
        <w:t>I.</w:t>
      </w:r>
    </w:p>
    <w:p w:rsidR="0006001B" w:rsidRPr="008918F0" w:rsidRDefault="0006001B" w:rsidP="00F2657E">
      <w:pPr>
        <w:pStyle w:val="Heading4"/>
      </w:pPr>
      <w:r w:rsidRPr="008918F0">
        <w:t>Viabilité</w:t>
      </w:r>
    </w:p>
    <w:p w:rsidR="00F2657E" w:rsidRPr="008918F0" w:rsidRDefault="00F2657E" w:rsidP="00F2657E">
      <w:pPr>
        <w:rPr>
          <w:lang w:val="fr-FR"/>
        </w:rPr>
      </w:pPr>
    </w:p>
    <w:p w:rsidR="0006001B" w:rsidRPr="008918F0" w:rsidRDefault="00FA4B8F" w:rsidP="00F2657E">
      <w:pPr>
        <w:pStyle w:val="ONUMFS"/>
        <w:rPr>
          <w:b/>
          <w:i/>
          <w:lang w:val="fr-FR"/>
        </w:rPr>
      </w:pPr>
      <w:r w:rsidRPr="008918F0">
        <w:rPr>
          <w:b/>
          <w:lang w:val="fr-FR"/>
        </w:rPr>
        <w:t>Observation</w:t>
      </w:r>
      <w:r w:rsidR="00807547" w:rsidRPr="008918F0">
        <w:rPr>
          <w:b/>
          <w:lang w:val="fr-FR"/>
        </w:rPr>
        <w:t>s</w:t>
      </w:r>
      <w:r w:rsidR="001A6F64" w:rsidRPr="008918F0">
        <w:rPr>
          <w:b/>
          <w:lang w:val="fr-FR"/>
        </w:rPr>
        <w:t xml:space="preserve"> </w:t>
      </w:r>
      <w:r w:rsidR="00F2657E" w:rsidRPr="008918F0">
        <w:rPr>
          <w:b/>
          <w:lang w:val="fr-FR"/>
        </w:rPr>
        <w:t>n</w:t>
      </w:r>
      <w:r w:rsidR="00F2657E" w:rsidRPr="008918F0">
        <w:rPr>
          <w:b/>
          <w:vertAlign w:val="superscript"/>
          <w:lang w:val="fr-FR"/>
        </w:rPr>
        <w:t>os</w:t>
      </w:r>
      <w:r w:rsidR="00F2657E" w:rsidRPr="008918F0">
        <w:rPr>
          <w:b/>
          <w:lang w:val="fr-FR"/>
        </w:rPr>
        <w:t> </w:t>
      </w:r>
      <w:r w:rsidR="00DB2D73" w:rsidRPr="008918F0">
        <w:rPr>
          <w:b/>
          <w:lang w:val="fr-FR"/>
        </w:rPr>
        <w:t>18</w:t>
      </w:r>
      <w:r w:rsidR="001A6F64" w:rsidRPr="008918F0">
        <w:rPr>
          <w:b/>
          <w:lang w:val="fr-FR"/>
        </w:rPr>
        <w:t xml:space="preserve"> à </w:t>
      </w:r>
      <w:r w:rsidR="00DB2D73" w:rsidRPr="008918F0">
        <w:rPr>
          <w:b/>
          <w:lang w:val="fr-FR"/>
        </w:rPr>
        <w:t>20</w:t>
      </w:r>
      <w:r w:rsidR="00C959B2" w:rsidRPr="008918F0">
        <w:rPr>
          <w:b/>
          <w:lang w:val="fr-FR"/>
        </w:rPr>
        <w:t> :</w:t>
      </w:r>
      <w:r w:rsidR="00DB2D73" w:rsidRPr="008918F0">
        <w:rPr>
          <w:b/>
          <w:lang w:val="fr-FR"/>
        </w:rPr>
        <w:t xml:space="preserve"> </w:t>
      </w:r>
      <w:r w:rsidR="00025F69" w:rsidRPr="008918F0">
        <w:rPr>
          <w:lang w:val="fr-FR"/>
        </w:rPr>
        <w:t>le</w:t>
      </w:r>
      <w:r w:rsidR="001A6F64" w:rsidRPr="008918F0">
        <w:rPr>
          <w:lang w:val="fr-FR"/>
        </w:rPr>
        <w:t>s deux</w:t>
      </w:r>
      <w:r w:rsidR="00DB6EA5" w:rsidRPr="008918F0">
        <w:rPr>
          <w:lang w:val="fr-FR"/>
        </w:rPr>
        <w:t> </w:t>
      </w:r>
      <w:r w:rsidR="001A6F64" w:rsidRPr="008918F0">
        <w:rPr>
          <w:lang w:val="fr-FR"/>
        </w:rPr>
        <w:t>guides et le nouveau portail d</w:t>
      </w:r>
      <w:r w:rsidR="00C959B2" w:rsidRPr="008918F0">
        <w:rPr>
          <w:lang w:val="fr-FR"/>
        </w:rPr>
        <w:t>’</w:t>
      </w:r>
      <w:r w:rsidR="001A6F64" w:rsidRPr="008918F0">
        <w:rPr>
          <w:lang w:val="fr-FR"/>
        </w:rPr>
        <w:t>accès aux registres de brevets sont (ou seront) accessibles au public et représentent une contribution importante destinée à soutenir l</w:t>
      </w:r>
      <w:r w:rsidR="00C959B2" w:rsidRPr="008918F0">
        <w:rPr>
          <w:lang w:val="fr-FR"/>
        </w:rPr>
        <w:t>’</w:t>
      </w:r>
      <w:r w:rsidR="001A6F64" w:rsidRPr="008918F0">
        <w:rPr>
          <w:lang w:val="fr-FR"/>
        </w:rPr>
        <w:t>utilisation de l</w:t>
      </w:r>
      <w:r w:rsidR="00C959B2" w:rsidRPr="008918F0">
        <w:rPr>
          <w:lang w:val="fr-FR"/>
        </w:rPr>
        <w:t>’</w:t>
      </w:r>
      <w:r w:rsidR="001A6F64" w:rsidRPr="008918F0">
        <w:rPr>
          <w:lang w:val="fr-FR"/>
        </w:rPr>
        <w:t xml:space="preserve">information </w:t>
      </w:r>
      <w:r w:rsidR="0081059F" w:rsidRPr="008918F0">
        <w:rPr>
          <w:lang w:val="fr-FR"/>
        </w:rPr>
        <w:t>figurant</w:t>
      </w:r>
      <w:r w:rsidR="001A6F64" w:rsidRPr="008918F0">
        <w:rPr>
          <w:lang w:val="fr-FR"/>
        </w:rPr>
        <w:t xml:space="preserve"> dans le domaine publ</w:t>
      </w:r>
      <w:r w:rsidR="00630E33" w:rsidRPr="008918F0">
        <w:rPr>
          <w:lang w:val="fr-FR"/>
        </w:rPr>
        <w:t>ic.  Ét</w:t>
      </w:r>
      <w:r w:rsidR="001A6F64" w:rsidRPr="008918F0">
        <w:rPr>
          <w:lang w:val="fr-FR"/>
        </w:rPr>
        <w:t>ant donné que le projet est intégré dans le Secteur de l</w:t>
      </w:r>
      <w:r w:rsidR="00C959B2" w:rsidRPr="008918F0">
        <w:rPr>
          <w:lang w:val="fr-FR"/>
        </w:rPr>
        <w:t>’</w:t>
      </w:r>
      <w:r w:rsidR="001A6F64" w:rsidRPr="008918F0">
        <w:rPr>
          <w:lang w:val="fr-FR"/>
        </w:rPr>
        <w:t>infrastructure mondiale, l</w:t>
      </w:r>
      <w:r w:rsidR="00C959B2" w:rsidRPr="008918F0">
        <w:rPr>
          <w:lang w:val="fr-FR"/>
        </w:rPr>
        <w:t>’</w:t>
      </w:r>
      <w:r w:rsidR="001A6F64" w:rsidRPr="008918F0">
        <w:rPr>
          <w:lang w:val="fr-FR"/>
        </w:rPr>
        <w:t>OMPI devrait poursuivre ses activités d</w:t>
      </w:r>
      <w:r w:rsidR="00C959B2" w:rsidRPr="008918F0">
        <w:rPr>
          <w:lang w:val="fr-FR"/>
        </w:rPr>
        <w:t>’</w:t>
      </w:r>
      <w:r w:rsidR="001A6F64" w:rsidRPr="008918F0">
        <w:rPr>
          <w:lang w:val="fr-FR"/>
        </w:rPr>
        <w:t>app</w:t>
      </w:r>
      <w:r w:rsidR="00630E33" w:rsidRPr="008918F0">
        <w:rPr>
          <w:lang w:val="fr-FR"/>
        </w:rPr>
        <w:t>ui.  Co</w:t>
      </w:r>
      <w:r w:rsidR="001A6F64" w:rsidRPr="008918F0">
        <w:rPr>
          <w:lang w:val="fr-FR"/>
        </w:rPr>
        <w:t>mpte tenu du niveau de maturité que doivent atteindre</w:t>
      </w:r>
      <w:r w:rsidR="00C959B2" w:rsidRPr="008918F0">
        <w:rPr>
          <w:lang w:val="fr-FR"/>
        </w:rPr>
        <w:t xml:space="preserve"> les CAT</w:t>
      </w:r>
      <w:r w:rsidR="001A6F64" w:rsidRPr="008918F0">
        <w:rPr>
          <w:lang w:val="fr-FR"/>
        </w:rPr>
        <w:t>I</w:t>
      </w:r>
      <w:r w:rsidR="00DB2D73" w:rsidRPr="008918F0">
        <w:rPr>
          <w:lang w:val="fr-FR"/>
        </w:rPr>
        <w:t xml:space="preserve"> </w:t>
      </w:r>
      <w:r w:rsidR="001A6F64" w:rsidRPr="008918F0">
        <w:rPr>
          <w:lang w:val="fr-FR"/>
        </w:rPr>
        <w:t>pour développer et offrir des services dans ce domaine, l</w:t>
      </w:r>
      <w:r w:rsidR="00C959B2" w:rsidRPr="008918F0">
        <w:rPr>
          <w:lang w:val="fr-FR"/>
        </w:rPr>
        <w:t>’</w:t>
      </w:r>
      <w:r w:rsidR="001A6F64" w:rsidRPr="008918F0">
        <w:rPr>
          <w:lang w:val="fr-FR"/>
        </w:rPr>
        <w:t>OMPI devra choisir avec soin les services propos</w:t>
      </w:r>
      <w:r w:rsidR="00630E33" w:rsidRPr="008918F0">
        <w:rPr>
          <w:lang w:val="fr-FR"/>
        </w:rPr>
        <w:t>és.  La</w:t>
      </w:r>
      <w:r w:rsidR="001A6F64" w:rsidRPr="008918F0">
        <w:rPr>
          <w:lang w:val="fr-FR"/>
        </w:rPr>
        <w:t xml:space="preserve"> viabilité des résultats du projet dépend aussi</w:t>
      </w:r>
      <w:r w:rsidR="00C959B2" w:rsidRPr="008918F0">
        <w:rPr>
          <w:lang w:val="fr-FR"/>
        </w:rPr>
        <w:t xml:space="preserve"> des CAT</w:t>
      </w:r>
      <w:r w:rsidR="001A6F64" w:rsidRPr="008918F0">
        <w:rPr>
          <w:lang w:val="fr-FR"/>
        </w:rPr>
        <w:t xml:space="preserve">I, de leurs réseaux, de leurs </w:t>
      </w:r>
      <w:r w:rsidR="001A6F64" w:rsidRPr="008918F0">
        <w:rPr>
          <w:lang w:val="fr-FR"/>
        </w:rPr>
        <w:lastRenderedPageBreak/>
        <w:t>institutions hôtes, des offices nationaux de</w:t>
      </w:r>
      <w:r w:rsidR="00774F00" w:rsidRPr="008918F0">
        <w:rPr>
          <w:lang w:val="fr-FR"/>
        </w:rPr>
        <w:t xml:space="preserve"> propriété intellectuelle </w:t>
      </w:r>
      <w:r w:rsidR="001A6F64" w:rsidRPr="008918F0">
        <w:rPr>
          <w:lang w:val="fr-FR"/>
        </w:rPr>
        <w:t>et du soutien des États membres.</w:t>
      </w:r>
    </w:p>
    <w:p w:rsidR="0006001B" w:rsidRPr="008918F0" w:rsidRDefault="0006001B" w:rsidP="00F2657E">
      <w:pPr>
        <w:pStyle w:val="Heading4"/>
      </w:pPr>
      <w:r w:rsidRPr="008918F0">
        <w:t xml:space="preserve">Mise en œuvre des recommandations du </w:t>
      </w:r>
      <w:r w:rsidR="00807547" w:rsidRPr="008918F0">
        <w:t>P</w:t>
      </w:r>
      <w:r w:rsidRPr="008918F0">
        <w:t>lan d</w:t>
      </w:r>
      <w:r w:rsidR="00C959B2" w:rsidRPr="008918F0">
        <w:t>’</w:t>
      </w:r>
      <w:r w:rsidRPr="008918F0">
        <w:t>action pour le développement</w:t>
      </w:r>
    </w:p>
    <w:p w:rsidR="0006001B" w:rsidRPr="008918F0" w:rsidRDefault="0006001B" w:rsidP="00F2657E">
      <w:pPr>
        <w:rPr>
          <w:lang w:val="fr-FR"/>
        </w:rPr>
      </w:pPr>
    </w:p>
    <w:p w:rsidR="0006001B" w:rsidRPr="008918F0" w:rsidRDefault="00FA4B8F" w:rsidP="00F2657E">
      <w:pPr>
        <w:pStyle w:val="ONUMFS"/>
        <w:rPr>
          <w:lang w:val="fr-FR"/>
        </w:rPr>
      </w:pPr>
      <w:r w:rsidRPr="008918F0">
        <w:rPr>
          <w:b/>
          <w:lang w:val="fr-FR"/>
        </w:rPr>
        <w:t>Observation</w:t>
      </w:r>
      <w:r w:rsidR="00807547" w:rsidRPr="008918F0">
        <w:rPr>
          <w:b/>
          <w:lang w:val="fr-FR"/>
        </w:rPr>
        <w:t xml:space="preserve">s </w:t>
      </w:r>
      <w:r w:rsidR="00F2657E" w:rsidRPr="008918F0">
        <w:rPr>
          <w:b/>
          <w:lang w:val="fr-FR"/>
        </w:rPr>
        <w:t>n</w:t>
      </w:r>
      <w:r w:rsidR="00F2657E" w:rsidRPr="008918F0">
        <w:rPr>
          <w:b/>
          <w:vertAlign w:val="superscript"/>
          <w:lang w:val="fr-FR"/>
        </w:rPr>
        <w:t>os</w:t>
      </w:r>
      <w:r w:rsidR="00F2657E" w:rsidRPr="008918F0">
        <w:rPr>
          <w:b/>
          <w:lang w:val="fr-FR"/>
        </w:rPr>
        <w:t> </w:t>
      </w:r>
      <w:r w:rsidR="00FA140A" w:rsidRPr="008918F0">
        <w:rPr>
          <w:b/>
          <w:lang w:val="fr-FR"/>
        </w:rPr>
        <w:t>21</w:t>
      </w:r>
      <w:r w:rsidR="00807547" w:rsidRPr="008918F0">
        <w:rPr>
          <w:b/>
          <w:lang w:val="fr-FR"/>
        </w:rPr>
        <w:t xml:space="preserve"> et </w:t>
      </w:r>
      <w:r w:rsidR="00FA140A" w:rsidRPr="008918F0">
        <w:rPr>
          <w:b/>
          <w:lang w:val="fr-FR"/>
        </w:rPr>
        <w:t>22</w:t>
      </w:r>
      <w:r w:rsidR="00C959B2" w:rsidRPr="008918F0">
        <w:rPr>
          <w:b/>
          <w:lang w:val="fr-FR"/>
        </w:rPr>
        <w:t> :</w:t>
      </w:r>
      <w:r w:rsidR="00FA140A" w:rsidRPr="008918F0">
        <w:rPr>
          <w:lang w:val="fr-FR"/>
        </w:rPr>
        <w:t xml:space="preserve"> </w:t>
      </w:r>
      <w:r w:rsidR="0081059F" w:rsidRPr="008918F0">
        <w:rPr>
          <w:lang w:val="fr-FR"/>
        </w:rPr>
        <w:t>l</w:t>
      </w:r>
      <w:r w:rsidR="00807547" w:rsidRPr="008918F0">
        <w:rPr>
          <w:lang w:val="fr-FR"/>
        </w:rPr>
        <w:t xml:space="preserve">e projet a contribué de façon importante à la réalisation de la recommandation </w:t>
      </w:r>
      <w:r w:rsidR="009A486C">
        <w:rPr>
          <w:lang w:val="fr-FR"/>
        </w:rPr>
        <w:t>n° </w:t>
      </w:r>
      <w:r w:rsidR="00807547" w:rsidRPr="008918F0">
        <w:rPr>
          <w:lang w:val="fr-FR"/>
        </w:rPr>
        <w:t>16 concernant la préservation du domaine public dans les processus normatifs de l</w:t>
      </w:r>
      <w:r w:rsidR="00C959B2" w:rsidRPr="008918F0">
        <w:rPr>
          <w:lang w:val="fr-FR"/>
        </w:rPr>
        <w:t>’</w:t>
      </w:r>
      <w:r w:rsidR="00807547" w:rsidRPr="008918F0">
        <w:rPr>
          <w:lang w:val="fr-FR"/>
        </w:rPr>
        <w:t>OMPI, ainsi qu</w:t>
      </w:r>
      <w:r w:rsidR="00C959B2" w:rsidRPr="008918F0">
        <w:rPr>
          <w:lang w:val="fr-FR"/>
        </w:rPr>
        <w:t>’</w:t>
      </w:r>
      <w:r w:rsidR="00807547" w:rsidRPr="008918F0">
        <w:rPr>
          <w:lang w:val="fr-FR"/>
        </w:rPr>
        <w:t>à l</w:t>
      </w:r>
      <w:r w:rsidR="00C959B2" w:rsidRPr="008918F0">
        <w:rPr>
          <w:lang w:val="fr-FR"/>
        </w:rPr>
        <w:t>’</w:t>
      </w:r>
      <w:r w:rsidR="00807547" w:rsidRPr="008918F0">
        <w:rPr>
          <w:lang w:val="fr-FR"/>
        </w:rPr>
        <w:t>approfondissement de l</w:t>
      </w:r>
      <w:r w:rsidR="00C959B2" w:rsidRPr="008918F0">
        <w:rPr>
          <w:lang w:val="fr-FR"/>
        </w:rPr>
        <w:t>’</w:t>
      </w:r>
      <w:r w:rsidR="00807547" w:rsidRPr="008918F0">
        <w:rPr>
          <w:lang w:val="fr-FR"/>
        </w:rPr>
        <w:t xml:space="preserve">analyse de ses avantages, et de la recommandation </w:t>
      </w:r>
      <w:r w:rsidR="009A486C">
        <w:rPr>
          <w:lang w:val="fr-FR"/>
        </w:rPr>
        <w:t>n° </w:t>
      </w:r>
      <w:r w:rsidR="00807547" w:rsidRPr="008918F0">
        <w:rPr>
          <w:lang w:val="fr-FR"/>
        </w:rPr>
        <w:t>20 sur la promotion des activités d</w:t>
      </w:r>
      <w:r w:rsidR="00C959B2" w:rsidRPr="008918F0">
        <w:rPr>
          <w:lang w:val="fr-FR"/>
        </w:rPr>
        <w:t>’</w:t>
      </w:r>
      <w:r w:rsidR="00807547" w:rsidRPr="008918F0">
        <w:rPr>
          <w:lang w:val="fr-FR"/>
        </w:rPr>
        <w:t xml:space="preserve">appui au domaine public, éventuellement </w:t>
      </w:r>
      <w:r w:rsidR="0081059F" w:rsidRPr="008918F0">
        <w:rPr>
          <w:lang w:val="fr-FR"/>
        </w:rPr>
        <w:t>par l</w:t>
      </w:r>
      <w:r w:rsidR="00C959B2" w:rsidRPr="008918F0">
        <w:rPr>
          <w:lang w:val="fr-FR"/>
        </w:rPr>
        <w:t>’</w:t>
      </w:r>
      <w:r w:rsidR="0081059F" w:rsidRPr="008918F0">
        <w:rPr>
          <w:lang w:val="fr-FR"/>
        </w:rPr>
        <w:t xml:space="preserve">élaboration </w:t>
      </w:r>
      <w:r w:rsidR="00807547" w:rsidRPr="008918F0">
        <w:rPr>
          <w:lang w:val="fr-FR"/>
        </w:rPr>
        <w:t xml:space="preserve">de lignes directrices </w:t>
      </w:r>
      <w:r w:rsidR="0081059F" w:rsidRPr="008918F0">
        <w:rPr>
          <w:lang w:val="fr-FR"/>
        </w:rPr>
        <w:t xml:space="preserve">destinées à identifier </w:t>
      </w:r>
      <w:r w:rsidR="00807547" w:rsidRPr="008918F0">
        <w:rPr>
          <w:lang w:val="fr-FR"/>
        </w:rPr>
        <w:t xml:space="preserve">les </w:t>
      </w:r>
      <w:r w:rsidR="0081059F" w:rsidRPr="008918F0">
        <w:rPr>
          <w:lang w:val="fr-FR"/>
        </w:rPr>
        <w:t>objets</w:t>
      </w:r>
      <w:r w:rsidR="00807547" w:rsidRPr="008918F0">
        <w:rPr>
          <w:lang w:val="fr-FR"/>
        </w:rPr>
        <w:t xml:space="preserve"> tombés dans le domaine public</w:t>
      </w:r>
      <w:r w:rsidR="0081059F" w:rsidRPr="008918F0">
        <w:rPr>
          <w:lang w:val="fr-FR"/>
        </w:rPr>
        <w:t>, par exemple</w:t>
      </w:r>
      <w:r w:rsidR="00807547" w:rsidRPr="008918F0">
        <w:rPr>
          <w:lang w:val="fr-FR"/>
        </w:rPr>
        <w:t>.</w:t>
      </w:r>
    </w:p>
    <w:p w:rsidR="0006001B" w:rsidRPr="008918F0" w:rsidRDefault="0006001B" w:rsidP="00F2657E">
      <w:pPr>
        <w:pStyle w:val="Heading3"/>
        <w:rPr>
          <w:lang w:val="fr-FR"/>
        </w:rPr>
      </w:pPr>
      <w:r w:rsidRPr="008918F0">
        <w:rPr>
          <w:lang w:val="fr-FR"/>
        </w:rPr>
        <w:t>Conclusions et recommandations</w:t>
      </w:r>
    </w:p>
    <w:p w:rsidR="0006001B" w:rsidRPr="008918F0" w:rsidRDefault="0006001B" w:rsidP="00F2657E">
      <w:pPr>
        <w:rPr>
          <w:lang w:val="fr-FR"/>
        </w:rPr>
      </w:pPr>
    </w:p>
    <w:p w:rsidR="0006001B" w:rsidRPr="008918F0" w:rsidRDefault="0006001B" w:rsidP="00F2657E">
      <w:pPr>
        <w:pStyle w:val="ONUMFS"/>
        <w:rPr>
          <w:lang w:val="fr-FR"/>
        </w:rPr>
      </w:pPr>
      <w:r w:rsidRPr="008918F0">
        <w:rPr>
          <w:b/>
          <w:lang w:val="fr-FR"/>
        </w:rPr>
        <w:t>Conclusion n</w:t>
      </w:r>
      <w:r w:rsidR="00F2657E" w:rsidRPr="008918F0">
        <w:rPr>
          <w:b/>
          <w:lang w:val="fr-FR"/>
        </w:rPr>
        <w:t>°</w:t>
      </w:r>
      <w:r w:rsidR="003513BB" w:rsidRPr="008918F0">
        <w:rPr>
          <w:b/>
          <w:lang w:val="fr-FR"/>
        </w:rPr>
        <w:t> </w:t>
      </w:r>
      <w:r w:rsidRPr="008918F0">
        <w:rPr>
          <w:b/>
          <w:lang w:val="fr-FR"/>
        </w:rPr>
        <w:t>1 (</w:t>
      </w:r>
      <w:r w:rsidRPr="008918F0">
        <w:rPr>
          <w:b/>
          <w:i/>
          <w:lang w:val="fr-FR"/>
        </w:rPr>
        <w:t xml:space="preserve">voir les observations </w:t>
      </w:r>
      <w:r w:rsidR="00807547" w:rsidRPr="008918F0">
        <w:rPr>
          <w:b/>
          <w:i/>
          <w:lang w:val="fr-FR"/>
        </w:rPr>
        <w:t>n</w:t>
      </w:r>
      <w:r w:rsidR="00807547" w:rsidRPr="008918F0">
        <w:rPr>
          <w:b/>
          <w:i/>
          <w:vertAlign w:val="superscript"/>
          <w:lang w:val="fr-FR"/>
        </w:rPr>
        <w:t>os</w:t>
      </w:r>
      <w:r w:rsidR="00807547" w:rsidRPr="008918F0">
        <w:rPr>
          <w:b/>
          <w:i/>
          <w:lang w:val="fr-FR"/>
        </w:rPr>
        <w:t> </w:t>
      </w:r>
      <w:r w:rsidRPr="008918F0">
        <w:rPr>
          <w:b/>
          <w:i/>
          <w:lang w:val="fr-FR"/>
        </w:rPr>
        <w:t>1 à</w:t>
      </w:r>
      <w:r w:rsidR="00807547" w:rsidRPr="008918F0">
        <w:rPr>
          <w:b/>
          <w:i/>
          <w:lang w:val="fr-FR"/>
        </w:rPr>
        <w:t> </w:t>
      </w:r>
      <w:r w:rsidRPr="008918F0">
        <w:rPr>
          <w:b/>
          <w:i/>
          <w:lang w:val="fr-FR"/>
        </w:rPr>
        <w:t>17</w:t>
      </w:r>
      <w:r w:rsidRPr="008918F0">
        <w:rPr>
          <w:b/>
          <w:lang w:val="fr-FR"/>
        </w:rPr>
        <w:t>)</w:t>
      </w:r>
      <w:r w:rsidRPr="008918F0">
        <w:rPr>
          <w:lang w:val="fr-FR"/>
        </w:rPr>
        <w:t>.</w:t>
      </w:r>
      <w:r w:rsidR="00FA140A" w:rsidRPr="008918F0">
        <w:rPr>
          <w:lang w:val="fr-FR"/>
        </w:rPr>
        <w:t xml:space="preserve">  </w:t>
      </w:r>
      <w:r w:rsidR="00807547" w:rsidRPr="008918F0">
        <w:rPr>
          <w:lang w:val="fr-FR"/>
        </w:rPr>
        <w:t>Le projet a réussi à produire les principaux résultats recherchés, notamment les deux</w:t>
      </w:r>
      <w:r w:rsidR="00DB6EA5" w:rsidRPr="008918F0">
        <w:rPr>
          <w:lang w:val="fr-FR"/>
        </w:rPr>
        <w:t> </w:t>
      </w:r>
      <w:r w:rsidR="00807547" w:rsidRPr="008918F0">
        <w:rPr>
          <w:lang w:val="fr-FR"/>
        </w:rPr>
        <w:t>guides et un nouveau portail amélioré sur la situation juridiq</w:t>
      </w:r>
      <w:r w:rsidR="00630E33" w:rsidRPr="008918F0">
        <w:rPr>
          <w:lang w:val="fr-FR"/>
        </w:rPr>
        <w:t>ue.  Ce</w:t>
      </w:r>
      <w:r w:rsidR="00807547" w:rsidRPr="008918F0">
        <w:rPr>
          <w:lang w:val="fr-FR"/>
        </w:rPr>
        <w:t xml:space="preserve">s résultats ont été </w:t>
      </w:r>
      <w:r w:rsidR="0081059F" w:rsidRPr="008918F0">
        <w:rPr>
          <w:lang w:val="fr-FR"/>
        </w:rPr>
        <w:t>obtenus en suivant une démarche participative,</w:t>
      </w:r>
      <w:r w:rsidR="00F85143" w:rsidRPr="008918F0">
        <w:rPr>
          <w:lang w:val="fr-FR"/>
        </w:rPr>
        <w:t xml:space="preserve"> en intégrant les </w:t>
      </w:r>
      <w:r w:rsidR="0081059F" w:rsidRPr="008918F0">
        <w:rPr>
          <w:lang w:val="fr-FR"/>
        </w:rPr>
        <w:t>retours d</w:t>
      </w:r>
      <w:r w:rsidR="00C959B2" w:rsidRPr="008918F0">
        <w:rPr>
          <w:lang w:val="fr-FR"/>
        </w:rPr>
        <w:t>’</w:t>
      </w:r>
      <w:r w:rsidR="0081059F" w:rsidRPr="008918F0">
        <w:rPr>
          <w:lang w:val="fr-FR"/>
        </w:rPr>
        <w:t xml:space="preserve">information </w:t>
      </w:r>
      <w:r w:rsidR="00F85143" w:rsidRPr="008918F0">
        <w:rPr>
          <w:lang w:val="fr-FR"/>
        </w:rPr>
        <w:t xml:space="preserve">et </w:t>
      </w:r>
      <w:r w:rsidR="0081059F" w:rsidRPr="008918F0">
        <w:rPr>
          <w:lang w:val="fr-FR"/>
        </w:rPr>
        <w:t xml:space="preserve">les </w:t>
      </w:r>
      <w:r w:rsidR="00F85143" w:rsidRPr="008918F0">
        <w:rPr>
          <w:lang w:val="fr-FR"/>
        </w:rPr>
        <w:t>contributions des utilisateurs potentiels, ce qui a renforcé leur efficacité et leur utilité potentiell</w:t>
      </w:r>
      <w:r w:rsidR="00630E33" w:rsidRPr="008918F0">
        <w:rPr>
          <w:lang w:val="fr-FR"/>
        </w:rPr>
        <w:t>es.  En</w:t>
      </w:r>
      <w:r w:rsidR="00F85143" w:rsidRPr="008918F0">
        <w:rPr>
          <w:lang w:val="fr-FR"/>
        </w:rPr>
        <w:t xml:space="preserve"> ce qui concerne le portail, les statistiques de visites</w:t>
      </w:r>
      <w:r w:rsidR="0081059F" w:rsidRPr="008918F0">
        <w:rPr>
          <w:lang w:val="fr-FR"/>
        </w:rPr>
        <w:t xml:space="preserve"> ont déjà démontré </w:t>
      </w:r>
      <w:r w:rsidR="00F85143" w:rsidRPr="008918F0">
        <w:rPr>
          <w:lang w:val="fr-FR"/>
        </w:rPr>
        <w:t>qu</w:t>
      </w:r>
      <w:r w:rsidR="00C959B2" w:rsidRPr="008918F0">
        <w:rPr>
          <w:lang w:val="fr-FR"/>
        </w:rPr>
        <w:t>’</w:t>
      </w:r>
      <w:r w:rsidR="00F85143" w:rsidRPr="008918F0">
        <w:rPr>
          <w:lang w:val="fr-FR"/>
        </w:rPr>
        <w:t xml:space="preserve">il est davantage utilisé et plus utile que la version </w:t>
      </w:r>
      <w:r w:rsidR="0081059F" w:rsidRPr="008918F0">
        <w:rPr>
          <w:lang w:val="fr-FR"/>
        </w:rPr>
        <w:t>antérieu</w:t>
      </w:r>
      <w:r w:rsidR="00630E33" w:rsidRPr="008918F0">
        <w:rPr>
          <w:lang w:val="fr-FR"/>
        </w:rPr>
        <w:t>re.  Qu</w:t>
      </w:r>
      <w:r w:rsidR="0081059F" w:rsidRPr="008918F0">
        <w:rPr>
          <w:lang w:val="fr-FR"/>
        </w:rPr>
        <w:t>ant aux</w:t>
      </w:r>
      <w:r w:rsidR="00F85143" w:rsidRPr="008918F0">
        <w:rPr>
          <w:lang w:val="fr-FR"/>
        </w:rPr>
        <w:t xml:space="preserve"> guides, la réaction</w:t>
      </w:r>
      <w:r w:rsidR="00C959B2" w:rsidRPr="008918F0">
        <w:rPr>
          <w:lang w:val="fr-FR"/>
        </w:rPr>
        <w:t xml:space="preserve"> des CAT</w:t>
      </w:r>
      <w:r w:rsidR="00F85143" w:rsidRPr="008918F0">
        <w:rPr>
          <w:lang w:val="fr-FR"/>
        </w:rPr>
        <w:t>I et d</w:t>
      </w:r>
      <w:r w:rsidR="00C959B2" w:rsidRPr="008918F0">
        <w:rPr>
          <w:lang w:val="fr-FR"/>
        </w:rPr>
        <w:t>’</w:t>
      </w:r>
      <w:r w:rsidR="00F85143" w:rsidRPr="008918F0">
        <w:rPr>
          <w:lang w:val="fr-FR"/>
        </w:rPr>
        <w:t xml:space="preserve">autres utilisateurs a été positive et </w:t>
      </w:r>
      <w:r w:rsidR="0081059F" w:rsidRPr="008918F0">
        <w:rPr>
          <w:lang w:val="fr-FR"/>
        </w:rPr>
        <w:t xml:space="preserve">ils ont salué </w:t>
      </w:r>
      <w:r w:rsidR="00F85143" w:rsidRPr="008918F0">
        <w:rPr>
          <w:lang w:val="fr-FR"/>
        </w:rPr>
        <w:t>l</w:t>
      </w:r>
      <w:r w:rsidR="00C959B2" w:rsidRPr="008918F0">
        <w:rPr>
          <w:lang w:val="fr-FR"/>
        </w:rPr>
        <w:t>’</w:t>
      </w:r>
      <w:r w:rsidR="00F85143" w:rsidRPr="008918F0">
        <w:rPr>
          <w:lang w:val="fr-FR"/>
        </w:rPr>
        <w:t>ajout d</w:t>
      </w:r>
      <w:r w:rsidR="00C959B2" w:rsidRPr="008918F0">
        <w:rPr>
          <w:lang w:val="fr-FR"/>
        </w:rPr>
        <w:t>’</w:t>
      </w:r>
      <w:r w:rsidR="00F85143" w:rsidRPr="008918F0">
        <w:rPr>
          <w:lang w:val="fr-FR"/>
        </w:rPr>
        <w:t xml:space="preserve">un domaine </w:t>
      </w:r>
      <w:r w:rsidR="0081059F" w:rsidRPr="008918F0">
        <w:rPr>
          <w:lang w:val="fr-FR"/>
        </w:rPr>
        <w:t>dans</w:t>
      </w:r>
      <w:r w:rsidR="00F85143" w:rsidRPr="008918F0">
        <w:rPr>
          <w:lang w:val="fr-FR"/>
        </w:rPr>
        <w:t xml:space="preserve"> lequel ils manquaient d</w:t>
      </w:r>
      <w:r w:rsidR="00C959B2" w:rsidRPr="008918F0">
        <w:rPr>
          <w:lang w:val="fr-FR"/>
        </w:rPr>
        <w:t>’</w:t>
      </w:r>
      <w:r w:rsidR="00F85143" w:rsidRPr="008918F0">
        <w:rPr>
          <w:lang w:val="fr-FR"/>
        </w:rPr>
        <w:t>informations complètes et de fond.</w:t>
      </w:r>
    </w:p>
    <w:p w:rsidR="0006001B" w:rsidRPr="008918F0" w:rsidRDefault="00FA140A" w:rsidP="00F2657E">
      <w:pPr>
        <w:pStyle w:val="ONUMFS"/>
        <w:rPr>
          <w:lang w:val="fr-FR"/>
        </w:rPr>
      </w:pPr>
      <w:r w:rsidRPr="008918F0">
        <w:rPr>
          <w:b/>
          <w:lang w:val="fr-FR"/>
        </w:rPr>
        <w:t>Conclusion</w:t>
      </w:r>
      <w:r w:rsidR="00F85143" w:rsidRPr="008918F0">
        <w:rPr>
          <w:b/>
          <w:lang w:val="fr-FR"/>
        </w:rPr>
        <w:t xml:space="preserve"> </w:t>
      </w:r>
      <w:r w:rsidR="00F2657E" w:rsidRPr="008918F0">
        <w:rPr>
          <w:b/>
          <w:lang w:val="fr-FR"/>
        </w:rPr>
        <w:t>n° </w:t>
      </w:r>
      <w:r w:rsidRPr="008918F0">
        <w:rPr>
          <w:b/>
          <w:lang w:val="fr-FR"/>
        </w:rPr>
        <w:t>2 (</w:t>
      </w:r>
      <w:r w:rsidR="00FA4B8F" w:rsidRPr="008918F0">
        <w:rPr>
          <w:b/>
          <w:i/>
          <w:lang w:val="fr-FR"/>
        </w:rPr>
        <w:t>voir les observations</w:t>
      </w:r>
      <w:r w:rsidR="00F85143" w:rsidRPr="008918F0">
        <w:rPr>
          <w:b/>
          <w:i/>
          <w:lang w:val="fr-FR"/>
        </w:rPr>
        <w:t xml:space="preserve"> n</w:t>
      </w:r>
      <w:r w:rsidR="00F85143" w:rsidRPr="008918F0">
        <w:rPr>
          <w:b/>
          <w:i/>
          <w:vertAlign w:val="superscript"/>
          <w:lang w:val="fr-FR"/>
        </w:rPr>
        <w:t>os</w:t>
      </w:r>
      <w:r w:rsidR="00F85143" w:rsidRPr="008918F0">
        <w:rPr>
          <w:b/>
          <w:i/>
          <w:lang w:val="fr-FR"/>
        </w:rPr>
        <w:t> 6 à</w:t>
      </w:r>
      <w:r w:rsidR="003513BB" w:rsidRPr="008918F0">
        <w:rPr>
          <w:b/>
          <w:i/>
          <w:lang w:val="fr-FR"/>
        </w:rPr>
        <w:t> </w:t>
      </w:r>
      <w:r w:rsidR="00F85143" w:rsidRPr="008918F0">
        <w:rPr>
          <w:b/>
          <w:i/>
          <w:lang w:val="fr-FR"/>
        </w:rPr>
        <w:t>9 et 18 à 20</w:t>
      </w:r>
      <w:r w:rsidRPr="008918F0">
        <w:rPr>
          <w:b/>
          <w:lang w:val="fr-FR"/>
        </w:rPr>
        <w:t>)</w:t>
      </w:r>
      <w:r w:rsidRPr="008918F0">
        <w:rPr>
          <w:lang w:val="fr-FR"/>
        </w:rPr>
        <w:t xml:space="preserve">.  </w:t>
      </w:r>
      <w:r w:rsidR="0098067C" w:rsidRPr="008918F0">
        <w:rPr>
          <w:lang w:val="fr-FR"/>
        </w:rPr>
        <w:t>Le projet a progressé dans la réalisation de ses objectifs, bien qu</w:t>
      </w:r>
      <w:r w:rsidR="00C959B2" w:rsidRPr="008918F0">
        <w:rPr>
          <w:lang w:val="fr-FR"/>
        </w:rPr>
        <w:t>’</w:t>
      </w:r>
      <w:r w:rsidR="0098067C" w:rsidRPr="008918F0">
        <w:rPr>
          <w:lang w:val="fr-FR"/>
        </w:rPr>
        <w:t>il soit irréaliste de s</w:t>
      </w:r>
      <w:r w:rsidR="00C959B2" w:rsidRPr="008918F0">
        <w:rPr>
          <w:lang w:val="fr-FR"/>
        </w:rPr>
        <w:t>’</w:t>
      </w:r>
      <w:r w:rsidR="0098067C" w:rsidRPr="008918F0">
        <w:rPr>
          <w:lang w:val="fr-FR"/>
        </w:rPr>
        <w:t>attendre à ce que</w:t>
      </w:r>
      <w:r w:rsidR="00C959B2" w:rsidRPr="008918F0">
        <w:rPr>
          <w:lang w:val="fr-FR"/>
        </w:rPr>
        <w:t xml:space="preserve"> les CAT</w:t>
      </w:r>
      <w:r w:rsidR="0098067C" w:rsidRPr="008918F0">
        <w:rPr>
          <w:lang w:val="fr-FR"/>
        </w:rPr>
        <w:t>I développent des services supplémentaires en matière de domaine public avant l</w:t>
      </w:r>
      <w:r w:rsidR="00C959B2" w:rsidRPr="008918F0">
        <w:rPr>
          <w:lang w:val="fr-FR"/>
        </w:rPr>
        <w:t>’</w:t>
      </w:r>
      <w:r w:rsidR="0098067C" w:rsidRPr="008918F0">
        <w:rPr>
          <w:lang w:val="fr-FR"/>
        </w:rPr>
        <w:t xml:space="preserve">achèvement du projet et avec le soutien apporté </w:t>
      </w:r>
      <w:r w:rsidR="0081059F" w:rsidRPr="008918F0">
        <w:rPr>
          <w:lang w:val="fr-FR"/>
        </w:rPr>
        <w:t>jusqu</w:t>
      </w:r>
      <w:r w:rsidR="00C959B2" w:rsidRPr="008918F0">
        <w:rPr>
          <w:lang w:val="fr-FR"/>
        </w:rPr>
        <w:t>’</w:t>
      </w:r>
      <w:r w:rsidR="0081059F" w:rsidRPr="008918F0">
        <w:rPr>
          <w:lang w:val="fr-FR"/>
        </w:rPr>
        <w:t>i</w:t>
      </w:r>
      <w:r w:rsidR="00630E33" w:rsidRPr="008918F0">
        <w:rPr>
          <w:lang w:val="fr-FR"/>
        </w:rPr>
        <w:t>ci.  Il</w:t>
      </w:r>
      <w:r w:rsidR="0098067C" w:rsidRPr="008918F0">
        <w:rPr>
          <w:lang w:val="fr-FR"/>
        </w:rPr>
        <w:t xml:space="preserve"> est également probable que le développement de services dans ce domaine sera limité</w:t>
      </w:r>
      <w:r w:rsidR="00C959B2" w:rsidRPr="008918F0">
        <w:rPr>
          <w:lang w:val="fr-FR"/>
        </w:rPr>
        <w:t xml:space="preserve"> aux CAT</w:t>
      </w:r>
      <w:r w:rsidR="0098067C" w:rsidRPr="008918F0">
        <w:rPr>
          <w:lang w:val="fr-FR"/>
        </w:rPr>
        <w:t>I ayant déjà atteint une certaine maturité, ce qui met en évidence le domaine sur lequel le soutien futur de l</w:t>
      </w:r>
      <w:r w:rsidR="00C959B2" w:rsidRPr="008918F0">
        <w:rPr>
          <w:lang w:val="fr-FR"/>
        </w:rPr>
        <w:t>’</w:t>
      </w:r>
      <w:r w:rsidR="0098067C" w:rsidRPr="008918F0">
        <w:rPr>
          <w:lang w:val="fr-FR"/>
        </w:rPr>
        <w:t>OMPI devrait se concentr</w:t>
      </w:r>
      <w:r w:rsidR="00630E33" w:rsidRPr="008918F0">
        <w:rPr>
          <w:lang w:val="fr-FR"/>
        </w:rPr>
        <w:t>er.  La</w:t>
      </w:r>
      <w:r w:rsidR="0098067C" w:rsidRPr="008918F0">
        <w:rPr>
          <w:lang w:val="fr-FR"/>
        </w:rPr>
        <w:t xml:space="preserve"> liste des experts essentiels aura un rôle à jouer dans le développement de services destinés</w:t>
      </w:r>
      <w:r w:rsidR="00C959B2" w:rsidRPr="008918F0">
        <w:rPr>
          <w:lang w:val="fr-FR"/>
        </w:rPr>
        <w:t xml:space="preserve"> aux C</w:t>
      </w:r>
      <w:r w:rsidR="00630E33" w:rsidRPr="008918F0">
        <w:rPr>
          <w:lang w:val="fr-FR"/>
        </w:rPr>
        <w:t>ATI.  Il</w:t>
      </w:r>
      <w:r w:rsidR="0098067C" w:rsidRPr="008918F0">
        <w:rPr>
          <w:lang w:val="fr-FR"/>
        </w:rPr>
        <w:t xml:space="preserve"> a également été jugé important que tous</w:t>
      </w:r>
      <w:r w:rsidR="00C959B2" w:rsidRPr="008918F0">
        <w:rPr>
          <w:lang w:val="fr-FR"/>
        </w:rPr>
        <w:t xml:space="preserve"> les CAT</w:t>
      </w:r>
      <w:r w:rsidR="0098067C" w:rsidRPr="008918F0">
        <w:rPr>
          <w:lang w:val="fr-FR"/>
        </w:rPr>
        <w:t>I connaissent et comprennent le rôle du domaine public dans leur travail, même s</w:t>
      </w:r>
      <w:r w:rsidR="00C959B2" w:rsidRPr="008918F0">
        <w:rPr>
          <w:lang w:val="fr-FR"/>
        </w:rPr>
        <w:t>’</w:t>
      </w:r>
      <w:r w:rsidR="0098067C" w:rsidRPr="008918F0">
        <w:rPr>
          <w:lang w:val="fr-FR"/>
        </w:rPr>
        <w:t>ils ne sont pas encore en mesure de proposer des services en la matière</w:t>
      </w:r>
      <w:r w:rsidR="00FA4B8F" w:rsidRPr="008918F0">
        <w:rPr>
          <w:lang w:val="fr-FR"/>
        </w:rPr>
        <w:t>.</w:t>
      </w:r>
    </w:p>
    <w:p w:rsidR="00F2657E" w:rsidRPr="008918F0" w:rsidRDefault="00FA140A" w:rsidP="00F2657E">
      <w:pPr>
        <w:pStyle w:val="ONUMFS"/>
        <w:rPr>
          <w:lang w:val="fr-FR"/>
        </w:rPr>
      </w:pPr>
      <w:r w:rsidRPr="008918F0">
        <w:rPr>
          <w:b/>
          <w:lang w:val="fr-FR"/>
        </w:rPr>
        <w:t>Conclusion</w:t>
      </w:r>
      <w:r w:rsidR="00FA4B8F" w:rsidRPr="008918F0">
        <w:rPr>
          <w:b/>
          <w:lang w:val="fr-FR"/>
        </w:rPr>
        <w:t xml:space="preserve"> </w:t>
      </w:r>
      <w:r w:rsidR="00F2657E" w:rsidRPr="008918F0">
        <w:rPr>
          <w:b/>
          <w:lang w:val="fr-FR"/>
        </w:rPr>
        <w:t>n° </w:t>
      </w:r>
      <w:r w:rsidRPr="008918F0">
        <w:rPr>
          <w:b/>
          <w:lang w:val="fr-FR"/>
        </w:rPr>
        <w:t>3 (</w:t>
      </w:r>
      <w:r w:rsidR="00FA4B8F" w:rsidRPr="008918F0">
        <w:rPr>
          <w:b/>
          <w:i/>
          <w:lang w:val="fr-FR"/>
        </w:rPr>
        <w:t>voir les observations n</w:t>
      </w:r>
      <w:r w:rsidR="00FA4B8F" w:rsidRPr="008918F0">
        <w:rPr>
          <w:b/>
          <w:i/>
          <w:vertAlign w:val="superscript"/>
          <w:lang w:val="fr-FR"/>
        </w:rPr>
        <w:t>os</w:t>
      </w:r>
      <w:r w:rsidR="00FA4B8F" w:rsidRPr="008918F0">
        <w:rPr>
          <w:b/>
          <w:i/>
          <w:lang w:val="fr-FR"/>
        </w:rPr>
        <w:t> 6 à 17, 21 et 22</w:t>
      </w:r>
      <w:r w:rsidRPr="008918F0">
        <w:rPr>
          <w:b/>
          <w:lang w:val="fr-FR"/>
        </w:rPr>
        <w:t>)</w:t>
      </w:r>
      <w:r w:rsidRPr="008918F0">
        <w:rPr>
          <w:lang w:val="fr-FR"/>
        </w:rPr>
        <w:t xml:space="preserve">.  </w:t>
      </w:r>
      <w:r w:rsidR="00326304" w:rsidRPr="008918F0">
        <w:rPr>
          <w:lang w:val="fr-FR"/>
        </w:rPr>
        <w:t xml:space="preserve">Les guides peuvent être utilisés </w:t>
      </w:r>
      <w:r w:rsidR="0098067C" w:rsidRPr="008918F0">
        <w:rPr>
          <w:lang w:val="fr-FR"/>
        </w:rPr>
        <w:t>en dehors</w:t>
      </w:r>
      <w:r w:rsidR="00326304" w:rsidRPr="008918F0">
        <w:rPr>
          <w:lang w:val="fr-FR"/>
        </w:rPr>
        <w:t xml:space="preserve"> des </w:t>
      </w:r>
      <w:r w:rsidR="0081059F" w:rsidRPr="008918F0">
        <w:rPr>
          <w:lang w:val="fr-FR"/>
        </w:rPr>
        <w:t>réseaux de CATI</w:t>
      </w:r>
      <w:r w:rsidR="00326304" w:rsidRPr="008918F0">
        <w:rPr>
          <w:lang w:val="fr-FR"/>
        </w:rPr>
        <w:t xml:space="preserve"> et constitueront, de manière générale, une ressource importante pour le domaine publ</w:t>
      </w:r>
      <w:r w:rsidR="00630E33" w:rsidRPr="008918F0">
        <w:rPr>
          <w:lang w:val="fr-FR"/>
        </w:rPr>
        <w:t>ic.  Le</w:t>
      </w:r>
      <w:r w:rsidR="00326304" w:rsidRPr="008918F0">
        <w:rPr>
          <w:lang w:val="fr-FR"/>
        </w:rPr>
        <w:t xml:space="preserve"> portail a été conçu non seulement comme un soutien pour</w:t>
      </w:r>
      <w:r w:rsidR="00C959B2" w:rsidRPr="008918F0">
        <w:rPr>
          <w:lang w:val="fr-FR"/>
        </w:rPr>
        <w:t xml:space="preserve"> les CAT</w:t>
      </w:r>
      <w:r w:rsidR="00326304" w:rsidRPr="008918F0">
        <w:rPr>
          <w:lang w:val="fr-FR"/>
        </w:rPr>
        <w:t xml:space="preserve">I, mais il </w:t>
      </w:r>
      <w:r w:rsidR="0098067C" w:rsidRPr="008918F0">
        <w:rPr>
          <w:lang w:val="fr-FR"/>
        </w:rPr>
        <w:t xml:space="preserve">peut </w:t>
      </w:r>
      <w:r w:rsidR="00326304" w:rsidRPr="008918F0">
        <w:rPr>
          <w:lang w:val="fr-FR"/>
        </w:rPr>
        <w:t xml:space="preserve">également </w:t>
      </w:r>
      <w:r w:rsidR="0098067C" w:rsidRPr="008918F0">
        <w:rPr>
          <w:lang w:val="fr-FR"/>
        </w:rPr>
        <w:t>constituer</w:t>
      </w:r>
      <w:r w:rsidR="00326304" w:rsidRPr="008918F0">
        <w:rPr>
          <w:lang w:val="fr-FR"/>
        </w:rPr>
        <w:t xml:space="preserve"> une ressource majeure pour les personnes travaillant dans le domaine des brevets, </w:t>
      </w:r>
      <w:r w:rsidR="0081059F" w:rsidRPr="008918F0">
        <w:rPr>
          <w:lang w:val="fr-FR"/>
        </w:rPr>
        <w:t>pour autant qu</w:t>
      </w:r>
      <w:r w:rsidR="00C959B2" w:rsidRPr="008918F0">
        <w:rPr>
          <w:lang w:val="fr-FR"/>
        </w:rPr>
        <w:t>’</w:t>
      </w:r>
      <w:r w:rsidR="00326304" w:rsidRPr="008918F0">
        <w:rPr>
          <w:lang w:val="fr-FR"/>
        </w:rPr>
        <w:t xml:space="preserve">il </w:t>
      </w:r>
      <w:r w:rsidR="0081059F" w:rsidRPr="008918F0">
        <w:rPr>
          <w:lang w:val="fr-FR"/>
        </w:rPr>
        <w:t>soit</w:t>
      </w:r>
      <w:r w:rsidR="00326304" w:rsidRPr="008918F0">
        <w:rPr>
          <w:lang w:val="fr-FR"/>
        </w:rPr>
        <w:t xml:space="preserve"> visible, diffusé et connu.</w:t>
      </w:r>
    </w:p>
    <w:p w:rsidR="00F2657E" w:rsidRPr="008918F0" w:rsidRDefault="0006001B" w:rsidP="00F2657E">
      <w:pPr>
        <w:pStyle w:val="ONUMFS"/>
        <w:rPr>
          <w:lang w:val="fr-FR"/>
        </w:rPr>
      </w:pPr>
      <w:r w:rsidRPr="008918F0">
        <w:rPr>
          <w:b/>
          <w:lang w:val="fr-FR"/>
        </w:rPr>
        <w:t xml:space="preserve">Conclusion </w:t>
      </w:r>
      <w:r w:rsidR="00F2657E" w:rsidRPr="008918F0">
        <w:rPr>
          <w:b/>
          <w:lang w:val="fr-FR"/>
        </w:rPr>
        <w:t>n° </w:t>
      </w:r>
      <w:r w:rsidRPr="008918F0">
        <w:rPr>
          <w:b/>
          <w:lang w:val="fr-FR"/>
        </w:rPr>
        <w:t>4 (</w:t>
      </w:r>
      <w:r w:rsidRPr="008918F0">
        <w:rPr>
          <w:b/>
          <w:i/>
          <w:lang w:val="fr-FR"/>
        </w:rPr>
        <w:t>voir l</w:t>
      </w:r>
      <w:r w:rsidR="00C959B2" w:rsidRPr="008918F0">
        <w:rPr>
          <w:b/>
          <w:i/>
          <w:lang w:val="fr-FR"/>
        </w:rPr>
        <w:t>’</w:t>
      </w:r>
      <w:r w:rsidRPr="008918F0">
        <w:rPr>
          <w:b/>
          <w:i/>
          <w:lang w:val="fr-FR"/>
        </w:rPr>
        <w:t xml:space="preserve">observation </w:t>
      </w:r>
      <w:r w:rsidR="00F2657E" w:rsidRPr="008918F0">
        <w:rPr>
          <w:b/>
          <w:i/>
          <w:lang w:val="fr-FR"/>
        </w:rPr>
        <w:t>n° </w:t>
      </w:r>
      <w:r w:rsidRPr="008918F0">
        <w:rPr>
          <w:b/>
          <w:i/>
          <w:lang w:val="fr-FR"/>
        </w:rPr>
        <w:t>2</w:t>
      </w:r>
      <w:r w:rsidRPr="008918F0">
        <w:rPr>
          <w:b/>
          <w:lang w:val="fr-FR"/>
        </w:rPr>
        <w:t>)</w:t>
      </w:r>
      <w:r w:rsidRPr="008918F0">
        <w:rPr>
          <w:lang w:val="fr-FR"/>
        </w:rPr>
        <w:t>.</w:t>
      </w:r>
      <w:r w:rsidR="00FA140A" w:rsidRPr="008918F0">
        <w:rPr>
          <w:lang w:val="fr-FR"/>
        </w:rPr>
        <w:t xml:space="preserve">  </w:t>
      </w:r>
      <w:r w:rsidR="00326304" w:rsidRPr="008918F0">
        <w:rPr>
          <w:lang w:val="fr-FR"/>
        </w:rPr>
        <w:t xml:space="preserve">La réalisation effective des objectifs du projet, </w:t>
      </w:r>
      <w:r w:rsidR="00C959B2" w:rsidRPr="008918F0">
        <w:rPr>
          <w:lang w:val="fr-FR"/>
        </w:rPr>
        <w:t>à savoir</w:t>
      </w:r>
      <w:r w:rsidR="00326304" w:rsidRPr="008918F0">
        <w:rPr>
          <w:lang w:val="fr-FR"/>
        </w:rPr>
        <w:t xml:space="preserve"> la mise en place de nouveaux services CATI en matière de domaine public et leur utilisation, sera seulement connue </w:t>
      </w:r>
      <w:r w:rsidR="00EC0854" w:rsidRPr="008918F0">
        <w:rPr>
          <w:lang w:val="fr-FR"/>
        </w:rPr>
        <w:t>avec le</w:t>
      </w:r>
      <w:r w:rsidR="00326304" w:rsidRPr="008918F0">
        <w:rPr>
          <w:lang w:val="fr-FR"/>
        </w:rPr>
        <w:t xml:space="preserve"> temps, lorsque les guides seront disponibles et le soutien four</w:t>
      </w:r>
      <w:r w:rsidR="00630E33" w:rsidRPr="008918F0">
        <w:rPr>
          <w:lang w:val="fr-FR"/>
        </w:rPr>
        <w:t xml:space="preserve">ni.  À </w:t>
      </w:r>
      <w:r w:rsidR="00326304" w:rsidRPr="008918F0">
        <w:rPr>
          <w:lang w:val="fr-FR"/>
        </w:rPr>
        <w:t>cet égard</w:t>
      </w:r>
      <w:r w:rsidR="008103AF">
        <w:rPr>
          <w:lang w:val="fr-FR"/>
        </w:rPr>
        <w:t xml:space="preserve">, </w:t>
      </w:r>
      <w:r w:rsidR="00326304" w:rsidRPr="008918F0">
        <w:rPr>
          <w:lang w:val="fr-FR"/>
        </w:rPr>
        <w:t>les objectifs et indicateurs du projet devraient continuer à être surveillés.</w:t>
      </w:r>
    </w:p>
    <w:p w:rsidR="00540216" w:rsidRPr="008918F0" w:rsidRDefault="0006001B" w:rsidP="00F2657E">
      <w:pPr>
        <w:pStyle w:val="ONUMFS"/>
        <w:rPr>
          <w:lang w:val="fr-FR"/>
        </w:rPr>
      </w:pPr>
      <w:r w:rsidRPr="008918F0">
        <w:rPr>
          <w:b/>
          <w:lang w:val="fr-FR"/>
        </w:rPr>
        <w:t>Recommandation n°</w:t>
      </w:r>
      <w:r w:rsidR="003513BB" w:rsidRPr="008918F0">
        <w:rPr>
          <w:b/>
          <w:lang w:val="fr-FR"/>
        </w:rPr>
        <w:t> </w:t>
      </w:r>
      <w:r w:rsidRPr="008918F0">
        <w:rPr>
          <w:b/>
          <w:lang w:val="fr-FR"/>
        </w:rPr>
        <w:t xml:space="preserve">1 </w:t>
      </w:r>
      <w:r w:rsidRPr="008918F0">
        <w:rPr>
          <w:b/>
          <w:i/>
          <w:lang w:val="fr-FR"/>
        </w:rPr>
        <w:t>(voir les conclusions n</w:t>
      </w:r>
      <w:r w:rsidRPr="008918F0">
        <w:rPr>
          <w:b/>
          <w:i/>
          <w:vertAlign w:val="superscript"/>
          <w:lang w:val="fr-FR"/>
        </w:rPr>
        <w:t>os</w:t>
      </w:r>
      <w:r w:rsidR="00540216" w:rsidRPr="008918F0">
        <w:rPr>
          <w:b/>
          <w:i/>
          <w:lang w:val="fr-FR"/>
        </w:rPr>
        <w:t> </w:t>
      </w:r>
      <w:r w:rsidRPr="008918F0">
        <w:rPr>
          <w:b/>
          <w:i/>
          <w:lang w:val="fr-FR"/>
        </w:rPr>
        <w:t>1 et</w:t>
      </w:r>
      <w:r w:rsidR="00540216" w:rsidRPr="008918F0">
        <w:rPr>
          <w:b/>
          <w:i/>
          <w:lang w:val="fr-FR"/>
        </w:rPr>
        <w:t> </w:t>
      </w:r>
      <w:r w:rsidRPr="008918F0">
        <w:rPr>
          <w:b/>
          <w:i/>
          <w:lang w:val="fr-FR"/>
        </w:rPr>
        <w:t>4 et les observations n</w:t>
      </w:r>
      <w:r w:rsidRPr="008918F0">
        <w:rPr>
          <w:b/>
          <w:i/>
          <w:vertAlign w:val="superscript"/>
          <w:lang w:val="fr-FR"/>
        </w:rPr>
        <w:t>os</w:t>
      </w:r>
      <w:r w:rsidR="00540216" w:rsidRPr="008918F0">
        <w:rPr>
          <w:b/>
          <w:i/>
          <w:lang w:val="fr-FR"/>
        </w:rPr>
        <w:t> </w:t>
      </w:r>
      <w:r w:rsidRPr="008918F0">
        <w:rPr>
          <w:b/>
          <w:i/>
          <w:lang w:val="fr-FR"/>
        </w:rPr>
        <w:t>1 à</w:t>
      </w:r>
      <w:r w:rsidR="00540216" w:rsidRPr="008918F0">
        <w:rPr>
          <w:b/>
          <w:i/>
          <w:lang w:val="fr-FR"/>
        </w:rPr>
        <w:t> </w:t>
      </w:r>
      <w:r w:rsidRPr="008918F0">
        <w:rPr>
          <w:b/>
          <w:i/>
          <w:lang w:val="fr-FR"/>
        </w:rPr>
        <w:t>22</w:t>
      </w:r>
      <w:r w:rsidRPr="008918F0">
        <w:rPr>
          <w:b/>
          <w:lang w:val="fr-FR"/>
        </w:rPr>
        <w:t>)</w:t>
      </w:r>
      <w:r w:rsidRPr="008918F0">
        <w:rPr>
          <w:lang w:val="fr-FR"/>
        </w:rPr>
        <w:t>.</w:t>
      </w:r>
      <w:r w:rsidR="00FA140A" w:rsidRPr="008918F0">
        <w:rPr>
          <w:lang w:val="fr-FR"/>
        </w:rPr>
        <w:t xml:space="preserve">  </w:t>
      </w:r>
      <w:r w:rsidR="00540216" w:rsidRPr="008918F0">
        <w:rPr>
          <w:lang w:val="fr-FR"/>
        </w:rPr>
        <w:t>Lors de l</w:t>
      </w:r>
      <w:r w:rsidR="00C959B2" w:rsidRPr="008918F0">
        <w:rPr>
          <w:lang w:val="fr-FR"/>
        </w:rPr>
        <w:t>’</w:t>
      </w:r>
      <w:r w:rsidR="00540216" w:rsidRPr="008918F0">
        <w:rPr>
          <w:lang w:val="fr-FR"/>
        </w:rPr>
        <w:t>intégration de ce projet, il est recommandé à la Division de l</w:t>
      </w:r>
      <w:r w:rsidR="00C959B2" w:rsidRPr="008918F0">
        <w:rPr>
          <w:lang w:val="fr-FR"/>
        </w:rPr>
        <w:t>’</w:t>
      </w:r>
      <w:r w:rsidR="00540216" w:rsidRPr="008918F0">
        <w:rPr>
          <w:lang w:val="fr-FR"/>
        </w:rPr>
        <w:t>appui à la technologie et à l</w:t>
      </w:r>
      <w:r w:rsidR="00C959B2" w:rsidRPr="008918F0">
        <w:rPr>
          <w:lang w:val="fr-FR"/>
        </w:rPr>
        <w:t>’</w:t>
      </w:r>
      <w:r w:rsidR="00540216" w:rsidRPr="008918F0">
        <w:rPr>
          <w:lang w:val="fr-FR"/>
        </w:rPr>
        <w:t>innovation du Secrétariat de l</w:t>
      </w:r>
      <w:r w:rsidR="00C959B2" w:rsidRPr="008918F0">
        <w:rPr>
          <w:lang w:val="fr-FR"/>
        </w:rPr>
        <w:t>’</w:t>
      </w:r>
      <w:r w:rsidR="00540216" w:rsidRPr="008918F0">
        <w:rPr>
          <w:lang w:val="fr-FR"/>
        </w:rPr>
        <w:t>OMPI de prendre en considération les éléments suivants</w:t>
      </w:r>
      <w:r w:rsidR="00C959B2" w:rsidRPr="008918F0">
        <w:rPr>
          <w:lang w:val="fr-FR"/>
        </w:rPr>
        <w:t> :</w:t>
      </w:r>
    </w:p>
    <w:p w:rsidR="0006001B" w:rsidRPr="008918F0" w:rsidRDefault="00540216" w:rsidP="00F2657E">
      <w:pPr>
        <w:pStyle w:val="ONUMFS"/>
        <w:numPr>
          <w:ilvl w:val="1"/>
          <w:numId w:val="32"/>
        </w:numPr>
        <w:rPr>
          <w:lang w:val="fr-FR"/>
        </w:rPr>
      </w:pPr>
      <w:r w:rsidRPr="008918F0">
        <w:rPr>
          <w:lang w:val="fr-FR"/>
        </w:rPr>
        <w:t>se concentrer sur l</w:t>
      </w:r>
      <w:r w:rsidR="00C959B2" w:rsidRPr="008918F0">
        <w:rPr>
          <w:lang w:val="fr-FR"/>
        </w:rPr>
        <w:t>’</w:t>
      </w:r>
      <w:r w:rsidRPr="008918F0">
        <w:rPr>
          <w:lang w:val="fr-FR"/>
        </w:rPr>
        <w:t xml:space="preserve">appui à la sélection des </w:t>
      </w:r>
      <w:r w:rsidR="0081059F" w:rsidRPr="008918F0">
        <w:rPr>
          <w:lang w:val="fr-FR"/>
        </w:rPr>
        <w:t>réseaux de CATI</w:t>
      </w:r>
      <w:r w:rsidRPr="008918F0">
        <w:rPr>
          <w:lang w:val="fr-FR"/>
        </w:rPr>
        <w:t xml:space="preserve"> (niveau de maturité 3) </w:t>
      </w:r>
      <w:r w:rsidR="0081059F" w:rsidRPr="008918F0">
        <w:rPr>
          <w:lang w:val="fr-FR"/>
        </w:rPr>
        <w:t>afin de développer</w:t>
      </w:r>
      <w:r w:rsidRPr="008918F0">
        <w:rPr>
          <w:lang w:val="fr-FR"/>
        </w:rPr>
        <w:t xml:space="preserve"> leurs services </w:t>
      </w:r>
      <w:r w:rsidR="0081059F" w:rsidRPr="008918F0">
        <w:rPr>
          <w:lang w:val="fr-FR"/>
        </w:rPr>
        <w:t xml:space="preserve">en matière de </w:t>
      </w:r>
      <w:r w:rsidRPr="008918F0">
        <w:rPr>
          <w:lang w:val="fr-FR"/>
        </w:rPr>
        <w:t xml:space="preserve">domaine public, notamment la manière </w:t>
      </w:r>
      <w:r w:rsidRPr="008918F0">
        <w:rPr>
          <w:lang w:val="fr-FR"/>
        </w:rPr>
        <w:lastRenderedPageBreak/>
        <w:t>dont</w:t>
      </w:r>
      <w:r w:rsidR="00C959B2" w:rsidRPr="008918F0">
        <w:rPr>
          <w:lang w:val="fr-FR"/>
        </w:rPr>
        <w:t xml:space="preserve"> les CAT</w:t>
      </w:r>
      <w:r w:rsidRPr="008918F0">
        <w:rPr>
          <w:lang w:val="fr-FR"/>
        </w:rPr>
        <w:t xml:space="preserve">I </w:t>
      </w:r>
      <w:r w:rsidR="00DF5C2C" w:rsidRPr="008918F0">
        <w:rPr>
          <w:lang w:val="fr-FR"/>
        </w:rPr>
        <w:t xml:space="preserve">passeront de la connaissance du contenu des guides à </w:t>
      </w:r>
      <w:r w:rsidR="0081059F" w:rsidRPr="008918F0">
        <w:rPr>
          <w:lang w:val="fr-FR"/>
        </w:rPr>
        <w:t>la fourniture</w:t>
      </w:r>
      <w:r w:rsidR="00DF5C2C" w:rsidRPr="008918F0">
        <w:rPr>
          <w:lang w:val="fr-FR"/>
        </w:rPr>
        <w:t xml:space="preserve"> d</w:t>
      </w:r>
      <w:r w:rsidR="00C959B2" w:rsidRPr="008918F0">
        <w:rPr>
          <w:lang w:val="fr-FR"/>
        </w:rPr>
        <w:t>’</w:t>
      </w:r>
      <w:r w:rsidR="00DF5C2C" w:rsidRPr="008918F0">
        <w:rPr>
          <w:lang w:val="fr-FR"/>
        </w:rPr>
        <w:t>un nouveau service;</w:t>
      </w:r>
    </w:p>
    <w:p w:rsidR="0006001B" w:rsidRPr="008918F0" w:rsidRDefault="00DF5C2C" w:rsidP="00F2657E">
      <w:pPr>
        <w:pStyle w:val="ONUMFS"/>
        <w:numPr>
          <w:ilvl w:val="1"/>
          <w:numId w:val="32"/>
        </w:numPr>
        <w:rPr>
          <w:lang w:val="fr-FR"/>
        </w:rPr>
      </w:pPr>
      <w:r w:rsidRPr="008918F0">
        <w:rPr>
          <w:lang w:val="fr-FR"/>
        </w:rPr>
        <w:t>définir plus précisément le rôle de la liste d</w:t>
      </w:r>
      <w:r w:rsidR="00C959B2" w:rsidRPr="008918F0">
        <w:rPr>
          <w:lang w:val="fr-FR"/>
        </w:rPr>
        <w:t>’</w:t>
      </w:r>
      <w:r w:rsidR="006B59CC" w:rsidRPr="008918F0">
        <w:rPr>
          <w:lang w:val="fr-FR"/>
        </w:rPr>
        <w:t xml:space="preserve">experts </w:t>
      </w:r>
      <w:r w:rsidR="0081059F" w:rsidRPr="008918F0">
        <w:rPr>
          <w:lang w:val="fr-FR"/>
        </w:rPr>
        <w:t>essentiels</w:t>
      </w:r>
      <w:r w:rsidRPr="008918F0">
        <w:rPr>
          <w:lang w:val="fr-FR"/>
        </w:rPr>
        <w:t xml:space="preserve"> et informer les </w:t>
      </w:r>
      <w:r w:rsidR="0081059F" w:rsidRPr="008918F0">
        <w:rPr>
          <w:lang w:val="fr-FR"/>
        </w:rPr>
        <w:t>réseaux de CATI</w:t>
      </w:r>
      <w:r w:rsidRPr="008918F0">
        <w:rPr>
          <w:lang w:val="fr-FR"/>
        </w:rPr>
        <w:t xml:space="preserve"> de leur rôle de soutien potentiel;</w:t>
      </w:r>
    </w:p>
    <w:p w:rsidR="0006001B" w:rsidRPr="008918F0" w:rsidRDefault="00DF5C2C" w:rsidP="00F2657E">
      <w:pPr>
        <w:pStyle w:val="ONUMFS"/>
        <w:numPr>
          <w:ilvl w:val="1"/>
          <w:numId w:val="32"/>
        </w:numPr>
        <w:rPr>
          <w:lang w:val="fr-FR"/>
        </w:rPr>
      </w:pPr>
      <w:r w:rsidRPr="008918F0">
        <w:rPr>
          <w:lang w:val="fr-FR"/>
        </w:rPr>
        <w:t xml:space="preserve">inclure des informations concernant le domaine public </w:t>
      </w:r>
      <w:r w:rsidR="0081059F" w:rsidRPr="008918F0">
        <w:rPr>
          <w:lang w:val="fr-FR"/>
        </w:rPr>
        <w:t>provenant</w:t>
      </w:r>
      <w:r w:rsidRPr="008918F0">
        <w:rPr>
          <w:lang w:val="fr-FR"/>
        </w:rPr>
        <w:t xml:space="preserve"> du matériel de formation dans les ateliers ou les séances de formation types</w:t>
      </w:r>
      <w:r w:rsidR="00C959B2" w:rsidRPr="008918F0">
        <w:rPr>
          <w:lang w:val="fr-FR"/>
        </w:rPr>
        <w:t xml:space="preserve"> des CAT</w:t>
      </w:r>
      <w:r w:rsidRPr="008918F0">
        <w:rPr>
          <w:lang w:val="fr-FR"/>
        </w:rPr>
        <w:t>I;</w:t>
      </w:r>
    </w:p>
    <w:p w:rsidR="0006001B" w:rsidRPr="008918F0" w:rsidRDefault="00DF5C2C" w:rsidP="00F2657E">
      <w:pPr>
        <w:pStyle w:val="ONUMFS"/>
        <w:numPr>
          <w:ilvl w:val="1"/>
          <w:numId w:val="32"/>
        </w:numPr>
        <w:rPr>
          <w:lang w:val="fr-FR"/>
        </w:rPr>
      </w:pPr>
      <w:r w:rsidRPr="008918F0">
        <w:rPr>
          <w:lang w:val="fr-FR"/>
        </w:rPr>
        <w:t xml:space="preserve">examiner la </w:t>
      </w:r>
      <w:r w:rsidR="0081059F" w:rsidRPr="008918F0">
        <w:rPr>
          <w:lang w:val="fr-FR"/>
        </w:rPr>
        <w:t>possibilité</w:t>
      </w:r>
      <w:r w:rsidRPr="008918F0">
        <w:rPr>
          <w:lang w:val="fr-FR"/>
        </w:rPr>
        <w:t xml:space="preserve"> de créer un cours ou un module d</w:t>
      </w:r>
      <w:r w:rsidR="00C959B2" w:rsidRPr="008918F0">
        <w:rPr>
          <w:lang w:val="fr-FR"/>
        </w:rPr>
        <w:t>’</w:t>
      </w:r>
      <w:r w:rsidRPr="008918F0">
        <w:rPr>
          <w:lang w:val="fr-FR"/>
        </w:rPr>
        <w:t>apprentissage en ligne basé sur les guides avec l</w:t>
      </w:r>
      <w:r w:rsidR="00C959B2" w:rsidRPr="008918F0">
        <w:rPr>
          <w:lang w:val="fr-FR"/>
        </w:rPr>
        <w:t>’</w:t>
      </w:r>
      <w:r w:rsidRPr="008918F0">
        <w:rPr>
          <w:lang w:val="fr-FR"/>
        </w:rPr>
        <w:t>Académie de l</w:t>
      </w:r>
      <w:r w:rsidR="00C959B2" w:rsidRPr="008918F0">
        <w:rPr>
          <w:lang w:val="fr-FR"/>
        </w:rPr>
        <w:t>’</w:t>
      </w:r>
      <w:r w:rsidRPr="008918F0">
        <w:rPr>
          <w:lang w:val="fr-FR"/>
        </w:rPr>
        <w:t>OMPI</w:t>
      </w:r>
      <w:r w:rsidR="00FA140A" w:rsidRPr="008918F0">
        <w:rPr>
          <w:lang w:val="fr-FR"/>
        </w:rPr>
        <w:t>;</w:t>
      </w:r>
    </w:p>
    <w:p w:rsidR="0006001B" w:rsidRPr="008918F0" w:rsidRDefault="00DF5C2C" w:rsidP="00F2657E">
      <w:pPr>
        <w:pStyle w:val="ONUMFS"/>
        <w:numPr>
          <w:ilvl w:val="1"/>
          <w:numId w:val="32"/>
        </w:numPr>
        <w:rPr>
          <w:lang w:val="fr-FR"/>
        </w:rPr>
      </w:pPr>
      <w:r w:rsidRPr="008918F0">
        <w:rPr>
          <w:lang w:val="fr-FR"/>
        </w:rPr>
        <w:t>mettre régulièrement à jour le contenu du portail d</w:t>
      </w:r>
      <w:r w:rsidR="00C959B2" w:rsidRPr="008918F0">
        <w:rPr>
          <w:lang w:val="fr-FR"/>
        </w:rPr>
        <w:t>’</w:t>
      </w:r>
      <w:r w:rsidRPr="008918F0">
        <w:rPr>
          <w:lang w:val="fr-FR"/>
        </w:rPr>
        <w:t>accès aux registres de brevets (sur la base des contributions des utilisateurs) et réviser ou mettre à jour chaque année ou tous les deux</w:t>
      </w:r>
      <w:r w:rsidR="00DB6EA5" w:rsidRPr="008918F0">
        <w:rPr>
          <w:lang w:val="fr-FR"/>
        </w:rPr>
        <w:t> </w:t>
      </w:r>
      <w:r w:rsidRPr="008918F0">
        <w:rPr>
          <w:lang w:val="fr-FR"/>
        </w:rPr>
        <w:t>ans les fichiers sur les ressorts juridiques</w:t>
      </w:r>
      <w:r w:rsidR="00FA140A" w:rsidRPr="008918F0">
        <w:rPr>
          <w:lang w:val="fr-FR"/>
        </w:rPr>
        <w:t>;</w:t>
      </w:r>
    </w:p>
    <w:p w:rsidR="0006001B" w:rsidRPr="008918F0" w:rsidRDefault="00DF5C2C" w:rsidP="00F2657E">
      <w:pPr>
        <w:pStyle w:val="ONUMFS"/>
        <w:numPr>
          <w:ilvl w:val="1"/>
          <w:numId w:val="32"/>
        </w:numPr>
        <w:rPr>
          <w:lang w:val="fr-FR"/>
        </w:rPr>
      </w:pPr>
      <w:r w:rsidRPr="008918F0">
        <w:rPr>
          <w:lang w:val="fr-FR"/>
        </w:rPr>
        <w:t xml:space="preserve">collaborer avec la Section des communications sur le Web pour </w:t>
      </w:r>
      <w:r w:rsidR="0081059F" w:rsidRPr="008918F0">
        <w:rPr>
          <w:lang w:val="fr-FR"/>
        </w:rPr>
        <w:t>s</w:t>
      </w:r>
      <w:r w:rsidR="00C959B2" w:rsidRPr="008918F0">
        <w:rPr>
          <w:lang w:val="fr-FR"/>
        </w:rPr>
        <w:t>’</w:t>
      </w:r>
      <w:r w:rsidR="0081059F" w:rsidRPr="008918F0">
        <w:rPr>
          <w:lang w:val="fr-FR"/>
        </w:rPr>
        <w:t>assurer</w:t>
      </w:r>
      <w:r w:rsidRPr="008918F0">
        <w:rPr>
          <w:lang w:val="fr-FR"/>
        </w:rPr>
        <w:t xml:space="preserve"> que le registre d</w:t>
      </w:r>
      <w:r w:rsidR="00C959B2" w:rsidRPr="008918F0">
        <w:rPr>
          <w:lang w:val="fr-FR"/>
        </w:rPr>
        <w:t>’</w:t>
      </w:r>
      <w:r w:rsidRPr="008918F0">
        <w:rPr>
          <w:lang w:val="fr-FR"/>
        </w:rPr>
        <w:t xml:space="preserve">accès aux registres de brevets </w:t>
      </w:r>
      <w:r w:rsidR="0081059F" w:rsidRPr="008918F0">
        <w:rPr>
          <w:lang w:val="fr-FR"/>
        </w:rPr>
        <w:t>est</w:t>
      </w:r>
      <w:r w:rsidRPr="008918F0">
        <w:rPr>
          <w:lang w:val="fr-FR"/>
        </w:rPr>
        <w:t xml:space="preserve"> visible sur le site</w:t>
      </w:r>
      <w:r w:rsidR="00DB6EA5" w:rsidRPr="008918F0">
        <w:rPr>
          <w:lang w:val="fr-FR"/>
        </w:rPr>
        <w:t> </w:t>
      </w:r>
      <w:r w:rsidRPr="008918F0">
        <w:rPr>
          <w:lang w:val="fr-FR"/>
        </w:rPr>
        <w:t>Web de l</w:t>
      </w:r>
      <w:r w:rsidR="00C959B2" w:rsidRPr="008918F0">
        <w:rPr>
          <w:lang w:val="fr-FR"/>
        </w:rPr>
        <w:t>’</w:t>
      </w:r>
      <w:r w:rsidRPr="008918F0">
        <w:rPr>
          <w:lang w:val="fr-FR"/>
        </w:rPr>
        <w:t>OMPI</w:t>
      </w:r>
      <w:r w:rsidR="00FA140A" w:rsidRPr="008918F0">
        <w:rPr>
          <w:lang w:val="fr-FR"/>
        </w:rPr>
        <w:t>;</w:t>
      </w:r>
    </w:p>
    <w:p w:rsidR="0006001B" w:rsidRPr="008918F0" w:rsidRDefault="00DF5C2C" w:rsidP="00F2657E">
      <w:pPr>
        <w:pStyle w:val="ONUMFS"/>
        <w:numPr>
          <w:ilvl w:val="1"/>
          <w:numId w:val="32"/>
        </w:numPr>
        <w:rPr>
          <w:lang w:val="fr-FR"/>
        </w:rPr>
      </w:pPr>
      <w:r w:rsidRPr="008918F0">
        <w:rPr>
          <w:lang w:val="fr-FR"/>
        </w:rPr>
        <w:t xml:space="preserve">collaborer avec la Division des publications pour rendre les guides visibles en dehors des </w:t>
      </w:r>
      <w:r w:rsidR="0081059F" w:rsidRPr="008918F0">
        <w:rPr>
          <w:lang w:val="fr-FR"/>
        </w:rPr>
        <w:t>réseaux de CATI</w:t>
      </w:r>
      <w:r w:rsidR="00FA140A" w:rsidRPr="008918F0">
        <w:rPr>
          <w:lang w:val="fr-FR"/>
        </w:rPr>
        <w:t>;</w:t>
      </w:r>
    </w:p>
    <w:p w:rsidR="0006001B" w:rsidRPr="008918F0" w:rsidRDefault="003513BB" w:rsidP="00F2657E">
      <w:pPr>
        <w:pStyle w:val="ONUMFS"/>
        <w:numPr>
          <w:ilvl w:val="1"/>
          <w:numId w:val="32"/>
        </w:numPr>
        <w:rPr>
          <w:lang w:val="fr-FR"/>
        </w:rPr>
      </w:pPr>
      <w:r w:rsidRPr="008918F0">
        <w:rPr>
          <w:lang w:val="fr-FR"/>
        </w:rPr>
        <w:t>veiller à poursuivre le contrôle</w:t>
      </w:r>
      <w:r w:rsidR="00DF5C2C" w:rsidRPr="008918F0">
        <w:rPr>
          <w:lang w:val="fr-FR"/>
        </w:rPr>
        <w:t xml:space="preserve"> des indicateurs de résultats dans le suivi ou </w:t>
      </w:r>
      <w:r w:rsidR="0081059F" w:rsidRPr="008918F0">
        <w:rPr>
          <w:lang w:val="fr-FR"/>
        </w:rPr>
        <w:t xml:space="preserve">le </w:t>
      </w:r>
      <w:r w:rsidR="00DF5C2C" w:rsidRPr="008918F0">
        <w:rPr>
          <w:lang w:val="fr-FR"/>
        </w:rPr>
        <w:t xml:space="preserve">rapport régulier </w:t>
      </w:r>
      <w:r w:rsidR="0081059F" w:rsidRPr="008918F0">
        <w:rPr>
          <w:lang w:val="fr-FR"/>
        </w:rPr>
        <w:t>présenté par les réseaux de CATI</w:t>
      </w:r>
      <w:r w:rsidR="00DF5C2C" w:rsidRPr="008918F0">
        <w:rPr>
          <w:lang w:val="fr-FR"/>
        </w:rPr>
        <w:t xml:space="preserve"> au Secrétariat de l</w:t>
      </w:r>
      <w:r w:rsidR="00C959B2" w:rsidRPr="008918F0">
        <w:rPr>
          <w:lang w:val="fr-FR"/>
        </w:rPr>
        <w:t>’</w:t>
      </w:r>
      <w:r w:rsidR="00DF5C2C" w:rsidRPr="008918F0">
        <w:rPr>
          <w:lang w:val="fr-FR"/>
        </w:rPr>
        <w:t>OMPI.</w:t>
      </w:r>
    </w:p>
    <w:p w:rsidR="0006001B" w:rsidRPr="008918F0" w:rsidRDefault="0006001B" w:rsidP="00F2657E">
      <w:pPr>
        <w:pStyle w:val="ONUMFS"/>
        <w:rPr>
          <w:lang w:val="fr-FR"/>
        </w:rPr>
      </w:pPr>
      <w:r w:rsidRPr="008918F0">
        <w:rPr>
          <w:b/>
          <w:lang w:val="fr-FR"/>
        </w:rPr>
        <w:t xml:space="preserve">Recommandation </w:t>
      </w:r>
      <w:r w:rsidR="00F2657E" w:rsidRPr="008918F0">
        <w:rPr>
          <w:b/>
          <w:lang w:val="fr-FR"/>
        </w:rPr>
        <w:t>n° </w:t>
      </w:r>
      <w:r w:rsidRPr="008918F0">
        <w:rPr>
          <w:b/>
          <w:lang w:val="fr-FR"/>
        </w:rPr>
        <w:t>2 (</w:t>
      </w:r>
      <w:r w:rsidRPr="008918F0">
        <w:rPr>
          <w:b/>
          <w:i/>
          <w:lang w:val="fr-FR"/>
        </w:rPr>
        <w:t>voir les conclusions n</w:t>
      </w:r>
      <w:r w:rsidRPr="008918F0">
        <w:rPr>
          <w:b/>
          <w:i/>
          <w:vertAlign w:val="superscript"/>
          <w:lang w:val="fr-FR"/>
        </w:rPr>
        <w:t>os</w:t>
      </w:r>
      <w:r w:rsidR="00DF5C2C" w:rsidRPr="008918F0">
        <w:rPr>
          <w:b/>
          <w:i/>
          <w:lang w:val="fr-FR"/>
        </w:rPr>
        <w:t> </w:t>
      </w:r>
      <w:r w:rsidRPr="008918F0">
        <w:rPr>
          <w:b/>
          <w:i/>
          <w:lang w:val="fr-FR"/>
        </w:rPr>
        <w:t>1 et</w:t>
      </w:r>
      <w:r w:rsidR="00DF5C2C" w:rsidRPr="008918F0">
        <w:rPr>
          <w:b/>
          <w:i/>
          <w:lang w:val="fr-FR"/>
        </w:rPr>
        <w:t> </w:t>
      </w:r>
      <w:r w:rsidRPr="008918F0">
        <w:rPr>
          <w:b/>
          <w:i/>
          <w:lang w:val="fr-FR"/>
        </w:rPr>
        <w:t>4 et les observations n</w:t>
      </w:r>
      <w:r w:rsidRPr="008918F0">
        <w:rPr>
          <w:b/>
          <w:i/>
          <w:vertAlign w:val="superscript"/>
          <w:lang w:val="fr-FR"/>
        </w:rPr>
        <w:t>os</w:t>
      </w:r>
      <w:r w:rsidR="00DF5C2C" w:rsidRPr="008918F0">
        <w:rPr>
          <w:b/>
          <w:i/>
          <w:lang w:val="fr-FR"/>
        </w:rPr>
        <w:t> </w:t>
      </w:r>
      <w:r w:rsidRPr="008918F0">
        <w:rPr>
          <w:b/>
          <w:i/>
          <w:lang w:val="fr-FR"/>
        </w:rPr>
        <w:t>1 à</w:t>
      </w:r>
      <w:r w:rsidR="00DF5C2C" w:rsidRPr="008918F0">
        <w:rPr>
          <w:b/>
          <w:i/>
          <w:lang w:val="fr-FR"/>
        </w:rPr>
        <w:t> </w:t>
      </w:r>
      <w:r w:rsidRPr="008918F0">
        <w:rPr>
          <w:b/>
          <w:i/>
          <w:lang w:val="fr-FR"/>
        </w:rPr>
        <w:t>22</w:t>
      </w:r>
      <w:r w:rsidRPr="008918F0">
        <w:rPr>
          <w:b/>
          <w:lang w:val="fr-FR"/>
        </w:rPr>
        <w:t>).</w:t>
      </w:r>
      <w:r w:rsidR="00FA140A" w:rsidRPr="008918F0">
        <w:rPr>
          <w:b/>
          <w:lang w:val="fr-FR"/>
        </w:rPr>
        <w:t xml:space="preserve">  </w:t>
      </w:r>
      <w:r w:rsidR="00FA140A" w:rsidRPr="008918F0">
        <w:rPr>
          <w:lang w:val="fr-FR"/>
        </w:rPr>
        <w:t>I</w:t>
      </w:r>
      <w:r w:rsidR="00DF5C2C" w:rsidRPr="008918F0">
        <w:rPr>
          <w:lang w:val="fr-FR"/>
        </w:rPr>
        <w:t>l est recommandé aux États membres, à leurs offices nationaux de</w:t>
      </w:r>
      <w:r w:rsidR="00774F00" w:rsidRPr="008918F0">
        <w:rPr>
          <w:lang w:val="fr-FR"/>
        </w:rPr>
        <w:t xml:space="preserve"> propriété intellectuelle </w:t>
      </w:r>
      <w:r w:rsidR="00DF5C2C" w:rsidRPr="008918F0">
        <w:rPr>
          <w:lang w:val="fr-FR"/>
        </w:rPr>
        <w:t>et aux autre</w:t>
      </w:r>
      <w:r w:rsidR="003F748C" w:rsidRPr="008918F0">
        <w:rPr>
          <w:lang w:val="fr-FR"/>
        </w:rPr>
        <w:t>s</w:t>
      </w:r>
      <w:r w:rsidR="00DF5C2C" w:rsidRPr="008918F0">
        <w:rPr>
          <w:lang w:val="fr-FR"/>
        </w:rPr>
        <w:t xml:space="preserve"> entités qui </w:t>
      </w:r>
      <w:r w:rsidR="00AA304B" w:rsidRPr="008918F0">
        <w:rPr>
          <w:lang w:val="fr-FR"/>
        </w:rPr>
        <w:t>accueillent</w:t>
      </w:r>
      <w:r w:rsidR="00C959B2" w:rsidRPr="008918F0">
        <w:rPr>
          <w:lang w:val="fr-FR"/>
        </w:rPr>
        <w:t xml:space="preserve"> des CAT</w:t>
      </w:r>
      <w:r w:rsidR="00AA304B" w:rsidRPr="008918F0">
        <w:rPr>
          <w:lang w:val="fr-FR"/>
        </w:rPr>
        <w:t>I et leurs réseaux d</w:t>
      </w:r>
      <w:r w:rsidR="0081059F" w:rsidRPr="008918F0">
        <w:rPr>
          <w:lang w:val="fr-FR"/>
        </w:rPr>
        <w:t xml:space="preserve">e leur </w:t>
      </w:r>
      <w:r w:rsidR="00AA304B" w:rsidRPr="008918F0">
        <w:rPr>
          <w:lang w:val="fr-FR"/>
        </w:rPr>
        <w:t>apporter le soutien nécessaire pour inciter</w:t>
      </w:r>
      <w:r w:rsidR="00C959B2" w:rsidRPr="008918F0">
        <w:rPr>
          <w:lang w:val="fr-FR"/>
        </w:rPr>
        <w:t xml:space="preserve"> les CAT</w:t>
      </w:r>
      <w:r w:rsidR="00AA304B" w:rsidRPr="008918F0">
        <w:rPr>
          <w:lang w:val="fr-FR"/>
        </w:rPr>
        <w:t xml:space="preserve">I à atteindre un niveau de maturité leur permettant </w:t>
      </w:r>
      <w:r w:rsidR="0081059F" w:rsidRPr="008918F0">
        <w:rPr>
          <w:lang w:val="fr-FR"/>
        </w:rPr>
        <w:t>de fournir</w:t>
      </w:r>
      <w:r w:rsidR="00AA304B" w:rsidRPr="008918F0">
        <w:rPr>
          <w:lang w:val="fr-FR"/>
        </w:rPr>
        <w:t xml:space="preserve"> des services </w:t>
      </w:r>
      <w:r w:rsidR="008078D5" w:rsidRPr="008918F0">
        <w:rPr>
          <w:lang w:val="fr-FR"/>
        </w:rPr>
        <w:t>en matière de</w:t>
      </w:r>
      <w:r w:rsidR="00AA304B" w:rsidRPr="008918F0">
        <w:rPr>
          <w:lang w:val="fr-FR"/>
        </w:rPr>
        <w:t xml:space="preserve"> domaine public.</w:t>
      </w:r>
    </w:p>
    <w:p w:rsidR="0006001B" w:rsidRPr="008918F0" w:rsidRDefault="00E3766D" w:rsidP="00F2657E">
      <w:pPr>
        <w:pStyle w:val="Heading1"/>
        <w:rPr>
          <w:lang w:val="fr-FR"/>
        </w:rPr>
      </w:pPr>
      <w:r w:rsidRPr="008918F0">
        <w:rPr>
          <w:lang w:val="fr-FR"/>
        </w:rPr>
        <w:br w:type="page"/>
      </w:r>
      <w:bookmarkStart w:id="12" w:name="_Toc20743525"/>
      <w:r w:rsidR="00F2657E" w:rsidRPr="008918F0">
        <w:rPr>
          <w:lang w:val="fr-FR"/>
        </w:rPr>
        <w:lastRenderedPageBreak/>
        <w:t>Introduction</w:t>
      </w:r>
      <w:bookmarkEnd w:id="12"/>
    </w:p>
    <w:p w:rsidR="0006001B" w:rsidRPr="008918F0" w:rsidRDefault="0006001B" w:rsidP="00F2657E">
      <w:pPr>
        <w:rPr>
          <w:lang w:val="fr-FR" w:eastAsia="en-US"/>
        </w:rPr>
      </w:pPr>
    </w:p>
    <w:p w:rsidR="0006001B" w:rsidRPr="008918F0" w:rsidRDefault="00AA304B" w:rsidP="00F2657E">
      <w:pPr>
        <w:pStyle w:val="ONUMFS"/>
        <w:rPr>
          <w:iCs/>
          <w:lang w:val="fr-FR"/>
        </w:rPr>
      </w:pPr>
      <w:r w:rsidRPr="008918F0">
        <w:rPr>
          <w:lang w:val="fr-FR"/>
        </w:rPr>
        <w:t>Le présent rapport est une évaluation indépendante du projet du Plan d</w:t>
      </w:r>
      <w:r w:rsidR="00C959B2" w:rsidRPr="008918F0">
        <w:rPr>
          <w:lang w:val="fr-FR"/>
        </w:rPr>
        <w:t>’</w:t>
      </w:r>
      <w:r w:rsidRPr="008918F0">
        <w:rPr>
          <w:lang w:val="fr-FR"/>
        </w:rPr>
        <w:t>action pour le développement</w:t>
      </w:r>
      <w:r w:rsidR="00664488" w:rsidRPr="008918F0">
        <w:rPr>
          <w:lang w:val="fr-FR"/>
        </w:rPr>
        <w:t xml:space="preserve"> (</w:t>
      </w:r>
      <w:r w:rsidR="00664488" w:rsidRPr="008918F0">
        <w:rPr>
          <w:iCs/>
          <w:lang w:val="fr-FR"/>
        </w:rPr>
        <w:t>DA_16_20_03</w:t>
      </w:r>
      <w:r w:rsidR="00664488" w:rsidRPr="008918F0">
        <w:rPr>
          <w:lang w:val="fr-FR"/>
        </w:rPr>
        <w:t xml:space="preserve">) </w:t>
      </w:r>
      <w:r w:rsidRPr="008918F0">
        <w:rPr>
          <w:lang w:val="fr-FR"/>
        </w:rPr>
        <w:t>sur l</w:t>
      </w:r>
      <w:r w:rsidR="00C959B2" w:rsidRPr="008918F0">
        <w:rPr>
          <w:lang w:val="fr-FR"/>
        </w:rPr>
        <w:t>’</w:t>
      </w:r>
      <w:r w:rsidRPr="008918F0">
        <w:rPr>
          <w:lang w:val="fr-FR"/>
        </w:rPr>
        <w:t>utilisation de l</w:t>
      </w:r>
      <w:r w:rsidR="00C959B2" w:rsidRPr="008918F0">
        <w:rPr>
          <w:lang w:val="fr-FR"/>
        </w:rPr>
        <w:t>’</w:t>
      </w:r>
      <w:r w:rsidRPr="008918F0">
        <w:rPr>
          <w:lang w:val="fr-FR"/>
        </w:rPr>
        <w:t>information figurant dans le domaine public aux fins du développement économiq</w:t>
      </w:r>
      <w:r w:rsidR="00630E33" w:rsidRPr="008918F0">
        <w:rPr>
          <w:lang w:val="fr-FR"/>
        </w:rPr>
        <w:t>ue.  Le</w:t>
      </w:r>
      <w:r w:rsidRPr="008918F0">
        <w:rPr>
          <w:lang w:val="fr-FR"/>
        </w:rPr>
        <w:t xml:space="preserve"> projet a été approuvé lors de la dix</w:t>
      </w:r>
      <w:r w:rsidR="00AB7A2D">
        <w:rPr>
          <w:lang w:val="fr-FR"/>
        </w:rPr>
        <w:noBreakHyphen/>
      </w:r>
      <w:r w:rsidRPr="008918F0">
        <w:rPr>
          <w:lang w:val="fr-FR"/>
        </w:rPr>
        <w:t>sept</w:t>
      </w:r>
      <w:r w:rsidR="00C959B2" w:rsidRPr="008918F0">
        <w:rPr>
          <w:lang w:val="fr-FR"/>
        </w:rPr>
        <w:t>ième session</w:t>
      </w:r>
      <w:r w:rsidRPr="008918F0">
        <w:rPr>
          <w:lang w:val="fr-FR"/>
        </w:rPr>
        <w:t xml:space="preserve"> du Comité du développement et de la propriété intellectuelle (CDIP)</w:t>
      </w:r>
      <w:r w:rsidR="00664488" w:rsidRPr="008918F0">
        <w:rPr>
          <w:lang w:val="fr-FR"/>
        </w:rPr>
        <w:t xml:space="preserve"> (document CDIP/16/4</w:t>
      </w:r>
      <w:r w:rsidR="008103AF">
        <w:rPr>
          <w:lang w:val="fr-FR"/>
        </w:rPr>
        <w:t> Rev.</w:t>
      </w:r>
      <w:r w:rsidR="00664488" w:rsidRPr="008918F0">
        <w:rPr>
          <w:lang w:val="fr-FR"/>
        </w:rPr>
        <w:t xml:space="preserve">), </w:t>
      </w:r>
      <w:r w:rsidRPr="008918F0">
        <w:rPr>
          <w:lang w:val="fr-FR"/>
        </w:rPr>
        <w:t>tenue à Genève en avril 2016.  Le projet a été mené entre avril 2016 et juin 2019, en ce compris une extension de six</w:t>
      </w:r>
      <w:r w:rsidR="00DB6EA5" w:rsidRPr="008918F0">
        <w:rPr>
          <w:lang w:val="fr-FR"/>
        </w:rPr>
        <w:t> </w:t>
      </w:r>
      <w:r w:rsidRPr="008918F0">
        <w:rPr>
          <w:lang w:val="fr-FR"/>
        </w:rPr>
        <w:t xml:space="preserve">mois </w:t>
      </w:r>
      <w:r w:rsidR="00664488" w:rsidRPr="008918F0">
        <w:rPr>
          <w:lang w:val="fr-FR"/>
        </w:rPr>
        <w:t>(</w:t>
      </w:r>
      <w:r w:rsidRPr="008918F0">
        <w:rPr>
          <w:lang w:val="fr-FR"/>
        </w:rPr>
        <w:t>approuvée par les États membres lors de</w:t>
      </w:r>
      <w:r w:rsidR="00C959B2" w:rsidRPr="008918F0">
        <w:rPr>
          <w:lang w:val="fr-FR"/>
        </w:rPr>
        <w:t xml:space="preserve"> la CDI</w:t>
      </w:r>
      <w:r w:rsidR="00664488" w:rsidRPr="008918F0">
        <w:rPr>
          <w:lang w:val="fr-FR"/>
        </w:rPr>
        <w:t>P/22).</w:t>
      </w:r>
    </w:p>
    <w:p w:rsidR="0006001B" w:rsidRPr="008918F0" w:rsidRDefault="00F2657E" w:rsidP="00F2657E">
      <w:pPr>
        <w:pStyle w:val="Heading1"/>
        <w:rPr>
          <w:lang w:val="fr-FR"/>
        </w:rPr>
      </w:pPr>
      <w:bookmarkStart w:id="13" w:name="_Toc336032068"/>
      <w:bookmarkStart w:id="14" w:name="_Toc20743526"/>
      <w:r w:rsidRPr="008918F0">
        <w:rPr>
          <w:lang w:val="fr-FR"/>
        </w:rPr>
        <w:t>Description du projet</w:t>
      </w:r>
      <w:bookmarkEnd w:id="13"/>
      <w:bookmarkEnd w:id="14"/>
    </w:p>
    <w:p w:rsidR="0006001B" w:rsidRPr="008918F0" w:rsidRDefault="0006001B" w:rsidP="00F2657E">
      <w:pPr>
        <w:rPr>
          <w:lang w:val="fr-FR"/>
        </w:rPr>
      </w:pPr>
    </w:p>
    <w:p w:rsidR="0006001B" w:rsidRPr="008918F0" w:rsidRDefault="001D50BA" w:rsidP="00F2657E">
      <w:pPr>
        <w:pStyle w:val="ONUMFS"/>
        <w:rPr>
          <w:lang w:val="fr-FR"/>
        </w:rPr>
      </w:pPr>
      <w:r w:rsidRPr="008918F0">
        <w:rPr>
          <w:b/>
          <w:lang w:val="fr-FR"/>
        </w:rPr>
        <w:t>Objecti</w:t>
      </w:r>
      <w:r w:rsidR="00AA304B" w:rsidRPr="008918F0">
        <w:rPr>
          <w:b/>
          <w:lang w:val="fr-FR"/>
        </w:rPr>
        <w:t>f</w:t>
      </w:r>
      <w:r w:rsidR="00991AA8" w:rsidRPr="008918F0">
        <w:rPr>
          <w:b/>
          <w:lang w:val="fr-FR"/>
        </w:rPr>
        <w:t>s</w:t>
      </w:r>
      <w:r w:rsidR="00C959B2" w:rsidRPr="008918F0">
        <w:rPr>
          <w:b/>
          <w:lang w:val="fr-FR"/>
        </w:rPr>
        <w:t> :</w:t>
      </w:r>
      <w:r w:rsidRPr="008918F0">
        <w:rPr>
          <w:lang w:val="fr-FR"/>
        </w:rPr>
        <w:t xml:space="preserve"> </w:t>
      </w:r>
      <w:r w:rsidR="00AA304B" w:rsidRPr="008918F0">
        <w:rPr>
          <w:lang w:val="fr-FR"/>
        </w:rPr>
        <w:t>Le projet visait à faciliter l</w:t>
      </w:r>
      <w:r w:rsidR="00C959B2" w:rsidRPr="008918F0">
        <w:rPr>
          <w:lang w:val="fr-FR"/>
        </w:rPr>
        <w:t>’</w:t>
      </w:r>
      <w:r w:rsidR="00AA304B" w:rsidRPr="008918F0">
        <w:rPr>
          <w:lang w:val="fr-FR"/>
        </w:rPr>
        <w:t xml:space="preserve">accès des pays en développement et des pays les moins avancés </w:t>
      </w:r>
      <w:r w:rsidR="0081059F" w:rsidRPr="008918F0">
        <w:rPr>
          <w:lang w:val="fr-FR"/>
        </w:rPr>
        <w:t>aux savoirs</w:t>
      </w:r>
      <w:r w:rsidR="00AA304B" w:rsidRPr="008918F0">
        <w:rPr>
          <w:lang w:val="fr-FR"/>
        </w:rPr>
        <w:t xml:space="preserve"> et </w:t>
      </w:r>
      <w:r w:rsidR="0081059F" w:rsidRPr="008918F0">
        <w:rPr>
          <w:lang w:val="fr-FR"/>
        </w:rPr>
        <w:t xml:space="preserve">à </w:t>
      </w:r>
      <w:r w:rsidR="00AA304B" w:rsidRPr="008918F0">
        <w:rPr>
          <w:lang w:val="fr-FR"/>
        </w:rPr>
        <w:t xml:space="preserve">la technologie et à aider les États membres intéressés à identifier et à utiliser les informations </w:t>
      </w:r>
      <w:r w:rsidR="0081059F" w:rsidRPr="008918F0">
        <w:rPr>
          <w:lang w:val="fr-FR"/>
        </w:rPr>
        <w:t>figurant</w:t>
      </w:r>
      <w:r w:rsidR="00AA304B" w:rsidRPr="008918F0">
        <w:rPr>
          <w:lang w:val="fr-FR"/>
        </w:rPr>
        <w:t xml:space="preserve"> dans le domaine public dans leur </w:t>
      </w:r>
      <w:r w:rsidR="0081059F" w:rsidRPr="008918F0">
        <w:rPr>
          <w:lang w:val="fr-FR"/>
        </w:rPr>
        <w:t xml:space="preserve">territoire ou qui sont tombées dedans </w:t>
      </w:r>
      <w:r w:rsidR="00AA304B" w:rsidRPr="008918F0">
        <w:rPr>
          <w:lang w:val="fr-FR"/>
        </w:rPr>
        <w:t xml:space="preserve">en </w:t>
      </w:r>
      <w:r w:rsidR="00EC0854" w:rsidRPr="008918F0">
        <w:rPr>
          <w:lang w:val="fr-FR"/>
        </w:rPr>
        <w:t>encourageant</w:t>
      </w:r>
      <w:r w:rsidR="0081059F" w:rsidRPr="008918F0">
        <w:rPr>
          <w:lang w:val="fr-FR"/>
        </w:rPr>
        <w:t xml:space="preserve"> la fourniture</w:t>
      </w:r>
      <w:r w:rsidR="00C959B2" w:rsidRPr="008918F0">
        <w:rPr>
          <w:lang w:val="fr-FR"/>
        </w:rPr>
        <w:t> :</w:t>
      </w:r>
    </w:p>
    <w:p w:rsidR="0006001B" w:rsidRPr="008918F0" w:rsidRDefault="0006001B" w:rsidP="00F2657E">
      <w:pPr>
        <w:pStyle w:val="ONUMFS"/>
        <w:numPr>
          <w:ilvl w:val="1"/>
          <w:numId w:val="32"/>
        </w:numPr>
        <w:rPr>
          <w:lang w:val="fr-FR" w:eastAsia="en-US"/>
        </w:rPr>
      </w:pPr>
      <w:r w:rsidRPr="008918F0">
        <w:rPr>
          <w:lang w:val="fr-FR" w:eastAsia="en-US"/>
        </w:rPr>
        <w:t xml:space="preserve">de services améliorés </w:t>
      </w:r>
      <w:r w:rsidR="006B59CC" w:rsidRPr="008918F0">
        <w:rPr>
          <w:lang w:val="fr-FR" w:eastAsia="en-US"/>
        </w:rPr>
        <w:t xml:space="preserve">destinés aux </w:t>
      </w:r>
      <w:r w:rsidRPr="008918F0">
        <w:rPr>
          <w:lang w:val="fr-FR" w:eastAsia="en-US"/>
        </w:rPr>
        <w:t>centres d</w:t>
      </w:r>
      <w:r w:rsidR="00C959B2" w:rsidRPr="008918F0">
        <w:rPr>
          <w:lang w:val="fr-FR" w:eastAsia="en-US"/>
        </w:rPr>
        <w:t>’</w:t>
      </w:r>
      <w:r w:rsidRPr="008918F0">
        <w:rPr>
          <w:lang w:val="fr-FR" w:eastAsia="en-US"/>
        </w:rPr>
        <w:t>appui à la technologie et à l</w:t>
      </w:r>
      <w:r w:rsidR="00C959B2" w:rsidRPr="008918F0">
        <w:rPr>
          <w:lang w:val="fr-FR" w:eastAsia="en-US"/>
        </w:rPr>
        <w:t>’</w:t>
      </w:r>
      <w:r w:rsidRPr="008918F0">
        <w:rPr>
          <w:lang w:val="fr-FR" w:eastAsia="en-US"/>
        </w:rPr>
        <w:t xml:space="preserve">innovation (CATI) pour identifier les inventions </w:t>
      </w:r>
      <w:r w:rsidR="006B59CC" w:rsidRPr="008918F0">
        <w:rPr>
          <w:lang w:val="fr-FR" w:eastAsia="en-US"/>
        </w:rPr>
        <w:t>se trouvant</w:t>
      </w:r>
      <w:r w:rsidRPr="008918F0">
        <w:rPr>
          <w:lang w:val="fr-FR" w:eastAsia="en-US"/>
        </w:rPr>
        <w:t xml:space="preserve"> dans le domaine public;</w:t>
      </w:r>
    </w:p>
    <w:p w:rsidR="0006001B" w:rsidRPr="008918F0" w:rsidRDefault="006B59CC" w:rsidP="00F2657E">
      <w:pPr>
        <w:pStyle w:val="ONUMFS"/>
        <w:numPr>
          <w:ilvl w:val="1"/>
          <w:numId w:val="32"/>
        </w:numPr>
        <w:rPr>
          <w:lang w:val="fr-FR" w:eastAsia="en-US"/>
        </w:rPr>
      </w:pPr>
      <w:r w:rsidRPr="008918F0">
        <w:rPr>
          <w:lang w:val="fr-FR" w:eastAsia="en-US"/>
        </w:rPr>
        <w:t>de services améliorés destinés</w:t>
      </w:r>
      <w:r w:rsidR="00C959B2" w:rsidRPr="008918F0">
        <w:rPr>
          <w:lang w:val="fr-FR" w:eastAsia="en-US"/>
        </w:rPr>
        <w:t xml:space="preserve"> aux CAT</w:t>
      </w:r>
      <w:r w:rsidRPr="008918F0">
        <w:rPr>
          <w:lang w:val="fr-FR" w:eastAsia="en-US"/>
        </w:rPr>
        <w:t xml:space="preserve">I </w:t>
      </w:r>
      <w:r w:rsidR="0081059F" w:rsidRPr="008918F0">
        <w:rPr>
          <w:lang w:val="fr-FR" w:eastAsia="en-US"/>
        </w:rPr>
        <w:t xml:space="preserve">pour promouvoir </w:t>
      </w:r>
      <w:r w:rsidRPr="008918F0">
        <w:rPr>
          <w:lang w:val="fr-FR" w:eastAsia="en-US"/>
        </w:rPr>
        <w:t>l</w:t>
      </w:r>
      <w:r w:rsidR="00C959B2" w:rsidRPr="008918F0">
        <w:rPr>
          <w:lang w:val="fr-FR" w:eastAsia="en-US"/>
        </w:rPr>
        <w:t>’</w:t>
      </w:r>
      <w:r w:rsidRPr="008918F0">
        <w:rPr>
          <w:lang w:val="fr-FR" w:eastAsia="en-US"/>
        </w:rPr>
        <w:t>utilisation d</w:t>
      </w:r>
      <w:r w:rsidR="0081059F" w:rsidRPr="008918F0">
        <w:rPr>
          <w:lang w:val="fr-FR" w:eastAsia="en-US"/>
        </w:rPr>
        <w:t xml:space="preserve">es </w:t>
      </w:r>
      <w:r w:rsidRPr="008918F0">
        <w:rPr>
          <w:lang w:val="fr-FR" w:eastAsia="en-US"/>
        </w:rPr>
        <w:t xml:space="preserve">inventions </w:t>
      </w:r>
      <w:r w:rsidR="0081059F" w:rsidRPr="008918F0">
        <w:rPr>
          <w:lang w:val="fr-FR" w:eastAsia="en-US"/>
        </w:rPr>
        <w:t>figurant</w:t>
      </w:r>
      <w:r w:rsidRPr="008918F0">
        <w:rPr>
          <w:lang w:val="fr-FR" w:eastAsia="en-US"/>
        </w:rPr>
        <w:t xml:space="preserve"> dans le domaine public comme </w:t>
      </w:r>
      <w:r w:rsidR="0081059F" w:rsidRPr="008918F0">
        <w:rPr>
          <w:lang w:val="fr-FR" w:eastAsia="en-US"/>
        </w:rPr>
        <w:t>point de départ</w:t>
      </w:r>
      <w:r w:rsidRPr="008918F0">
        <w:rPr>
          <w:lang w:val="fr-FR" w:eastAsia="en-US"/>
        </w:rPr>
        <w:t xml:space="preserve"> pour </w:t>
      </w:r>
      <w:r w:rsidR="0081059F" w:rsidRPr="008918F0">
        <w:rPr>
          <w:lang w:val="fr-FR" w:eastAsia="en-US"/>
        </w:rPr>
        <w:t>l</w:t>
      </w:r>
      <w:r w:rsidR="00C959B2" w:rsidRPr="008918F0">
        <w:rPr>
          <w:lang w:val="fr-FR" w:eastAsia="en-US"/>
        </w:rPr>
        <w:t>’</w:t>
      </w:r>
      <w:r w:rsidR="0081059F" w:rsidRPr="008918F0">
        <w:rPr>
          <w:lang w:val="fr-FR" w:eastAsia="en-US"/>
        </w:rPr>
        <w:t>obtention</w:t>
      </w:r>
      <w:r w:rsidRPr="008918F0">
        <w:rPr>
          <w:lang w:val="fr-FR" w:eastAsia="en-US"/>
        </w:rPr>
        <w:t xml:space="preserve"> de nouveaux résultats de recherche et </w:t>
      </w:r>
      <w:r w:rsidR="0081059F" w:rsidRPr="008918F0">
        <w:rPr>
          <w:lang w:val="fr-FR" w:eastAsia="en-US"/>
        </w:rPr>
        <w:t>la création</w:t>
      </w:r>
      <w:r w:rsidRPr="008918F0">
        <w:rPr>
          <w:lang w:val="fr-FR" w:eastAsia="en-US"/>
        </w:rPr>
        <w:t xml:space="preserve"> de nouveaux produits</w:t>
      </w:r>
      <w:r w:rsidR="0081059F" w:rsidRPr="008918F0">
        <w:rPr>
          <w:lang w:val="fr-FR" w:eastAsia="en-US"/>
        </w:rPr>
        <w:t xml:space="preserve">, et favoriser leur gestion et leur </w:t>
      </w:r>
      <w:r w:rsidRPr="008918F0">
        <w:rPr>
          <w:lang w:val="fr-FR" w:eastAsia="en-US"/>
        </w:rPr>
        <w:t xml:space="preserve">commercialisation </w:t>
      </w:r>
      <w:r w:rsidR="0081059F" w:rsidRPr="008918F0">
        <w:rPr>
          <w:lang w:val="fr-FR" w:eastAsia="en-US"/>
        </w:rPr>
        <w:t>ultérieures</w:t>
      </w:r>
      <w:r w:rsidRPr="008918F0">
        <w:rPr>
          <w:lang w:val="fr-FR" w:eastAsia="en-US"/>
        </w:rPr>
        <w:t>;</w:t>
      </w:r>
    </w:p>
    <w:p w:rsidR="0006001B" w:rsidRPr="008918F0" w:rsidRDefault="0081059F" w:rsidP="00F2657E">
      <w:pPr>
        <w:pStyle w:val="ONUMFS"/>
        <w:numPr>
          <w:ilvl w:val="1"/>
          <w:numId w:val="32"/>
        </w:numPr>
        <w:rPr>
          <w:lang w:val="fr-FR" w:eastAsia="en-US"/>
        </w:rPr>
      </w:pPr>
      <w:r w:rsidRPr="008918F0">
        <w:rPr>
          <w:lang w:val="fr-FR" w:eastAsia="en-US"/>
        </w:rPr>
        <w:t>d</w:t>
      </w:r>
      <w:r w:rsidR="00C959B2" w:rsidRPr="008918F0">
        <w:rPr>
          <w:lang w:val="fr-FR" w:eastAsia="en-US"/>
        </w:rPr>
        <w:t>’</w:t>
      </w:r>
      <w:r w:rsidR="0006001B" w:rsidRPr="008918F0">
        <w:rPr>
          <w:lang w:val="fr-FR" w:eastAsia="en-US"/>
        </w:rPr>
        <w:t>un portail amélioré sur la situation juridique qui soit plus facile à utiliser et qui propose un contenu élargi sur les moyens d</w:t>
      </w:r>
      <w:r w:rsidR="00C959B2" w:rsidRPr="008918F0">
        <w:rPr>
          <w:lang w:val="fr-FR" w:eastAsia="en-US"/>
        </w:rPr>
        <w:t>’</w:t>
      </w:r>
      <w:r w:rsidR="0006001B" w:rsidRPr="008918F0">
        <w:rPr>
          <w:lang w:val="fr-FR" w:eastAsia="en-US"/>
        </w:rPr>
        <w:t>obtenir des informations sur la situation juridique dans différents territoires.</w:t>
      </w:r>
    </w:p>
    <w:p w:rsidR="0006001B" w:rsidRPr="008918F0" w:rsidRDefault="006B59CC" w:rsidP="00F2657E">
      <w:pPr>
        <w:pStyle w:val="ONUMFS"/>
        <w:rPr>
          <w:lang w:val="fr-FR"/>
        </w:rPr>
      </w:pPr>
      <w:r w:rsidRPr="008918F0">
        <w:rPr>
          <w:b/>
          <w:lang w:val="fr-FR"/>
        </w:rPr>
        <w:t>Résultats</w:t>
      </w:r>
      <w:r w:rsidR="00C959B2" w:rsidRPr="008918F0">
        <w:rPr>
          <w:b/>
          <w:lang w:val="fr-FR"/>
        </w:rPr>
        <w:t> :</w:t>
      </w:r>
      <w:r w:rsidR="00493421" w:rsidRPr="008918F0">
        <w:rPr>
          <w:lang w:val="fr-FR"/>
        </w:rPr>
        <w:t xml:space="preserve"> </w:t>
      </w:r>
      <w:r w:rsidRPr="008918F0">
        <w:rPr>
          <w:lang w:val="fr-FR"/>
        </w:rPr>
        <w:t>Le document de projet énumère les sept</w:t>
      </w:r>
      <w:r w:rsidR="00DB6EA5" w:rsidRPr="008918F0">
        <w:rPr>
          <w:lang w:val="fr-FR"/>
        </w:rPr>
        <w:t> </w:t>
      </w:r>
      <w:r w:rsidRPr="008918F0">
        <w:rPr>
          <w:lang w:val="fr-FR"/>
        </w:rPr>
        <w:t>principaux résultats suivants du projet</w:t>
      </w:r>
      <w:r w:rsidR="00C959B2" w:rsidRPr="008918F0">
        <w:rPr>
          <w:lang w:val="fr-FR"/>
        </w:rPr>
        <w:t> :</w:t>
      </w:r>
    </w:p>
    <w:p w:rsidR="0006001B" w:rsidRPr="008918F0" w:rsidRDefault="006B59CC" w:rsidP="00F2657E">
      <w:pPr>
        <w:pStyle w:val="ONUMFS"/>
        <w:numPr>
          <w:ilvl w:val="1"/>
          <w:numId w:val="32"/>
        </w:numPr>
        <w:rPr>
          <w:lang w:val="fr-FR"/>
        </w:rPr>
      </w:pPr>
      <w:r w:rsidRPr="008918F0">
        <w:rPr>
          <w:lang w:val="fr-FR" w:eastAsia="en-US"/>
        </w:rPr>
        <w:t xml:space="preserve">guides pratiques sur </w:t>
      </w:r>
      <w:r w:rsidR="00DA5F32" w:rsidRPr="008918F0">
        <w:rPr>
          <w:lang w:val="fr-FR" w:eastAsia="en-US"/>
        </w:rPr>
        <w:t>a)</w:t>
      </w:r>
      <w:r w:rsidR="008918F0">
        <w:rPr>
          <w:lang w:val="fr-FR" w:eastAsia="en-US"/>
        </w:rPr>
        <w:t> </w:t>
      </w:r>
      <w:r w:rsidRPr="008918F0">
        <w:rPr>
          <w:lang w:val="fr-FR" w:eastAsia="en-US"/>
        </w:rPr>
        <w:t>l</w:t>
      </w:r>
      <w:r w:rsidR="00C959B2" w:rsidRPr="008918F0">
        <w:rPr>
          <w:lang w:val="fr-FR" w:eastAsia="en-US"/>
        </w:rPr>
        <w:t>’</w:t>
      </w:r>
      <w:r w:rsidRPr="008918F0">
        <w:rPr>
          <w:lang w:val="fr-FR" w:eastAsia="en-US"/>
        </w:rPr>
        <w:t>identification et</w:t>
      </w:r>
      <w:r w:rsidR="00DA5F32" w:rsidRPr="008918F0">
        <w:rPr>
          <w:lang w:val="fr-FR" w:eastAsia="en-US"/>
        </w:rPr>
        <w:t xml:space="preserve"> b)</w:t>
      </w:r>
      <w:r w:rsidR="00DB6EA5" w:rsidRPr="008918F0">
        <w:rPr>
          <w:lang w:val="fr-FR" w:eastAsia="en-US"/>
        </w:rPr>
        <w:t> </w:t>
      </w:r>
      <w:r w:rsidRPr="008918F0">
        <w:rPr>
          <w:lang w:val="fr-FR" w:eastAsia="en-US"/>
        </w:rPr>
        <w:t>l</w:t>
      </w:r>
      <w:r w:rsidR="00C959B2" w:rsidRPr="008918F0">
        <w:rPr>
          <w:lang w:val="fr-FR" w:eastAsia="en-US"/>
        </w:rPr>
        <w:t>’</w:t>
      </w:r>
      <w:r w:rsidRPr="008918F0">
        <w:rPr>
          <w:lang w:val="fr-FR" w:eastAsia="en-US"/>
        </w:rPr>
        <w:t>utilisation des inventions figurant dans le domaine public;</w:t>
      </w:r>
    </w:p>
    <w:p w:rsidR="0006001B" w:rsidRPr="008918F0" w:rsidRDefault="006B59CC" w:rsidP="00F2657E">
      <w:pPr>
        <w:pStyle w:val="ONUMFS"/>
        <w:numPr>
          <w:ilvl w:val="1"/>
          <w:numId w:val="32"/>
        </w:numPr>
        <w:rPr>
          <w:lang w:val="fr-FR"/>
        </w:rPr>
      </w:pPr>
      <w:r w:rsidRPr="008918F0">
        <w:rPr>
          <w:lang w:val="fr-FR"/>
        </w:rPr>
        <w:t>c</w:t>
      </w:r>
      <w:r w:rsidR="0006001B" w:rsidRPr="008918F0">
        <w:rPr>
          <w:lang w:val="fr-FR"/>
        </w:rPr>
        <w:t xml:space="preserve">onsignation des </w:t>
      </w:r>
      <w:r w:rsidRPr="008918F0">
        <w:rPr>
          <w:lang w:val="fr-FR"/>
        </w:rPr>
        <w:t xml:space="preserve">expériences </w:t>
      </w:r>
      <w:r w:rsidR="0006001B" w:rsidRPr="008918F0">
        <w:rPr>
          <w:lang w:val="fr-FR"/>
        </w:rPr>
        <w:t xml:space="preserve">et des </w:t>
      </w:r>
      <w:r w:rsidRPr="008918F0">
        <w:rPr>
          <w:lang w:val="fr-FR"/>
        </w:rPr>
        <w:t xml:space="preserve">bonnes </w:t>
      </w:r>
      <w:r w:rsidR="0006001B" w:rsidRPr="008918F0">
        <w:rPr>
          <w:lang w:val="fr-FR"/>
        </w:rPr>
        <w:t>pratiques en matière d</w:t>
      </w:r>
      <w:r w:rsidR="00C959B2" w:rsidRPr="008918F0">
        <w:rPr>
          <w:lang w:val="fr-FR"/>
        </w:rPr>
        <w:t>’</w:t>
      </w:r>
      <w:r w:rsidR="0006001B" w:rsidRPr="008918F0">
        <w:rPr>
          <w:lang w:val="fr-FR"/>
        </w:rPr>
        <w:t>identification et d</w:t>
      </w:r>
      <w:r w:rsidR="00C959B2" w:rsidRPr="008918F0">
        <w:rPr>
          <w:lang w:val="fr-FR"/>
        </w:rPr>
        <w:t>’</w:t>
      </w:r>
      <w:r w:rsidR="0006001B" w:rsidRPr="008918F0">
        <w:rPr>
          <w:lang w:val="fr-FR"/>
        </w:rPr>
        <w:t>utilisation des inventions figurant dans le domaine public</w:t>
      </w:r>
      <w:r w:rsidRPr="008918F0">
        <w:rPr>
          <w:lang w:val="fr-FR"/>
        </w:rPr>
        <w:t>;</w:t>
      </w:r>
    </w:p>
    <w:p w:rsidR="0006001B" w:rsidRPr="008918F0" w:rsidRDefault="006B59CC" w:rsidP="00F2657E">
      <w:pPr>
        <w:pStyle w:val="ONUMFS"/>
        <w:numPr>
          <w:ilvl w:val="1"/>
          <w:numId w:val="32"/>
        </w:numPr>
        <w:rPr>
          <w:lang w:val="fr-FR"/>
        </w:rPr>
      </w:pPr>
      <w:r w:rsidRPr="008918F0">
        <w:rPr>
          <w:lang w:val="fr-FR" w:eastAsia="en-US"/>
        </w:rPr>
        <w:t>matériel de formation nouveau ou amélioré pour</w:t>
      </w:r>
      <w:r w:rsidR="00C959B2" w:rsidRPr="008918F0">
        <w:rPr>
          <w:lang w:val="fr-FR" w:eastAsia="en-US"/>
        </w:rPr>
        <w:t xml:space="preserve"> les CAT</w:t>
      </w:r>
      <w:r w:rsidRPr="008918F0">
        <w:rPr>
          <w:lang w:val="fr-FR" w:eastAsia="en-US"/>
        </w:rPr>
        <w:t xml:space="preserve">I </w:t>
      </w:r>
      <w:r w:rsidR="0081059F" w:rsidRPr="008918F0">
        <w:rPr>
          <w:lang w:val="fr-FR" w:eastAsia="en-US"/>
        </w:rPr>
        <w:t>sur la base</w:t>
      </w:r>
      <w:r w:rsidRPr="008918F0">
        <w:rPr>
          <w:lang w:val="fr-FR" w:eastAsia="en-US"/>
        </w:rPr>
        <w:t xml:space="preserve"> des guides sur l</w:t>
      </w:r>
      <w:r w:rsidR="00C959B2" w:rsidRPr="008918F0">
        <w:rPr>
          <w:lang w:val="fr-FR" w:eastAsia="en-US"/>
        </w:rPr>
        <w:t>’</w:t>
      </w:r>
      <w:r w:rsidRPr="008918F0">
        <w:rPr>
          <w:lang w:val="fr-FR" w:eastAsia="en-US"/>
        </w:rPr>
        <w:t>identification et l</w:t>
      </w:r>
      <w:r w:rsidR="00C959B2" w:rsidRPr="008918F0">
        <w:rPr>
          <w:lang w:val="fr-FR" w:eastAsia="en-US"/>
        </w:rPr>
        <w:t>’</w:t>
      </w:r>
      <w:r w:rsidRPr="008918F0">
        <w:rPr>
          <w:lang w:val="fr-FR" w:eastAsia="en-US"/>
        </w:rPr>
        <w:t>utilisation des inventions figurant dans le domaine public;</w:t>
      </w:r>
    </w:p>
    <w:p w:rsidR="0006001B" w:rsidRPr="008918F0" w:rsidRDefault="006B59CC" w:rsidP="00F2657E">
      <w:pPr>
        <w:pStyle w:val="ONUMFS"/>
        <w:numPr>
          <w:ilvl w:val="1"/>
          <w:numId w:val="32"/>
        </w:numPr>
        <w:rPr>
          <w:lang w:val="fr-FR"/>
        </w:rPr>
      </w:pPr>
      <w:r w:rsidRPr="008918F0">
        <w:rPr>
          <w:lang w:val="fr-FR" w:eastAsia="en-US"/>
        </w:rPr>
        <w:t>liste d</w:t>
      </w:r>
      <w:r w:rsidR="00C959B2" w:rsidRPr="008918F0">
        <w:rPr>
          <w:lang w:val="fr-FR" w:eastAsia="en-US"/>
        </w:rPr>
        <w:t>’</w:t>
      </w:r>
      <w:r w:rsidRPr="008918F0">
        <w:rPr>
          <w:lang w:val="fr-FR" w:eastAsia="en-US"/>
        </w:rPr>
        <w:t xml:space="preserve">experts </w:t>
      </w:r>
      <w:r w:rsidR="0081059F" w:rsidRPr="008918F0">
        <w:rPr>
          <w:lang w:val="fr-FR" w:eastAsia="en-US"/>
        </w:rPr>
        <w:t>essentiels</w:t>
      </w:r>
      <w:r w:rsidRPr="008918F0">
        <w:rPr>
          <w:lang w:val="fr-FR" w:eastAsia="en-US"/>
        </w:rPr>
        <w:t xml:space="preserve"> (au moins deux par région) servant de personnes de ressources pour soutenir les </w:t>
      </w:r>
      <w:r w:rsidR="0081059F" w:rsidRPr="008918F0">
        <w:rPr>
          <w:lang w:val="fr-FR" w:eastAsia="en-US"/>
        </w:rPr>
        <w:t>réseaux de CATI</w:t>
      </w:r>
      <w:r w:rsidRPr="008918F0">
        <w:rPr>
          <w:lang w:val="fr-FR" w:eastAsia="en-US"/>
        </w:rPr>
        <w:t xml:space="preserve"> nationaux;</w:t>
      </w:r>
    </w:p>
    <w:p w:rsidR="0006001B" w:rsidRPr="008918F0" w:rsidRDefault="006B59CC" w:rsidP="00F2657E">
      <w:pPr>
        <w:pStyle w:val="ONUMFS"/>
        <w:numPr>
          <w:ilvl w:val="1"/>
          <w:numId w:val="32"/>
        </w:numPr>
        <w:rPr>
          <w:lang w:val="fr-FR"/>
        </w:rPr>
      </w:pPr>
      <w:r w:rsidRPr="008918F0">
        <w:rPr>
          <w:lang w:val="fr-FR"/>
        </w:rPr>
        <w:t>a</w:t>
      </w:r>
      <w:r w:rsidR="0006001B" w:rsidRPr="008918F0">
        <w:rPr>
          <w:lang w:val="fr-FR"/>
        </w:rPr>
        <w:t>mélioration du portail sur la situation juridique</w:t>
      </w:r>
      <w:r w:rsidRPr="008918F0">
        <w:rPr>
          <w:lang w:val="fr-FR"/>
        </w:rPr>
        <w:t>;</w:t>
      </w:r>
    </w:p>
    <w:p w:rsidR="0006001B" w:rsidRPr="008918F0" w:rsidRDefault="000C3BF0" w:rsidP="00F2657E">
      <w:pPr>
        <w:pStyle w:val="ONUMFS"/>
        <w:numPr>
          <w:ilvl w:val="1"/>
          <w:numId w:val="32"/>
        </w:numPr>
        <w:rPr>
          <w:lang w:val="fr-FR"/>
        </w:rPr>
      </w:pPr>
      <w:r w:rsidRPr="008918F0">
        <w:rPr>
          <w:lang w:val="fr-FR" w:eastAsia="en-US"/>
        </w:rPr>
        <w:t>publication des guides susvisés dans les six</w:t>
      </w:r>
      <w:r w:rsidR="00DB6EA5" w:rsidRPr="008918F0">
        <w:rPr>
          <w:lang w:val="fr-FR" w:eastAsia="en-US"/>
        </w:rPr>
        <w:t> </w:t>
      </w:r>
      <w:r w:rsidRPr="008918F0">
        <w:rPr>
          <w:lang w:val="fr-FR" w:eastAsia="en-US"/>
        </w:rPr>
        <w:t>langues officielles;</w:t>
      </w:r>
    </w:p>
    <w:p w:rsidR="0006001B" w:rsidRPr="008918F0" w:rsidRDefault="000C3BF0" w:rsidP="00F2657E">
      <w:pPr>
        <w:pStyle w:val="ONUMFS"/>
        <w:numPr>
          <w:ilvl w:val="1"/>
          <w:numId w:val="32"/>
        </w:numPr>
        <w:rPr>
          <w:lang w:val="fr-FR"/>
        </w:rPr>
      </w:pPr>
      <w:r w:rsidRPr="008918F0">
        <w:rPr>
          <w:lang w:val="fr-FR"/>
        </w:rPr>
        <w:t>c</w:t>
      </w:r>
      <w:r w:rsidR="0006001B" w:rsidRPr="008918F0">
        <w:rPr>
          <w:lang w:val="fr-FR"/>
        </w:rPr>
        <w:t xml:space="preserve">ompétences </w:t>
      </w:r>
      <w:r w:rsidR="0081059F" w:rsidRPr="008918F0">
        <w:rPr>
          <w:lang w:val="fr-FR"/>
        </w:rPr>
        <w:t>en vue d</w:t>
      </w:r>
      <w:r w:rsidR="00C959B2" w:rsidRPr="008918F0">
        <w:rPr>
          <w:lang w:val="fr-FR"/>
        </w:rPr>
        <w:t>’</w:t>
      </w:r>
      <w:r w:rsidR="0006001B" w:rsidRPr="008918F0">
        <w:rPr>
          <w:lang w:val="fr-FR"/>
        </w:rPr>
        <w:t xml:space="preserve">administrer et </w:t>
      </w:r>
      <w:r w:rsidR="0081059F" w:rsidRPr="008918F0">
        <w:rPr>
          <w:lang w:val="fr-FR"/>
        </w:rPr>
        <w:t xml:space="preserve">de </w:t>
      </w:r>
      <w:r w:rsidR="0006001B" w:rsidRPr="008918F0">
        <w:rPr>
          <w:lang w:val="fr-FR"/>
        </w:rPr>
        <w:t>fournir des services relatifs aux inventions se trouvant dans le domaine public</w:t>
      </w:r>
      <w:r w:rsidRPr="008918F0">
        <w:rPr>
          <w:lang w:val="fr-FR"/>
        </w:rPr>
        <w:t>.</w:t>
      </w:r>
    </w:p>
    <w:p w:rsidR="0006001B" w:rsidRPr="008918F0" w:rsidRDefault="000C3BF0" w:rsidP="00F2657E">
      <w:pPr>
        <w:pStyle w:val="ONUMFS"/>
        <w:rPr>
          <w:lang w:val="fr-FR" w:eastAsia="en-US"/>
        </w:rPr>
      </w:pPr>
      <w:bookmarkStart w:id="15" w:name="_Toc336032069"/>
      <w:r w:rsidRPr="008918F0">
        <w:rPr>
          <w:lang w:val="fr-FR" w:eastAsia="en-US"/>
        </w:rPr>
        <w:t>Au sein de l</w:t>
      </w:r>
      <w:r w:rsidR="00C959B2" w:rsidRPr="008918F0">
        <w:rPr>
          <w:lang w:val="fr-FR" w:eastAsia="en-US"/>
        </w:rPr>
        <w:t>’</w:t>
      </w:r>
      <w:r w:rsidRPr="008918F0">
        <w:rPr>
          <w:lang w:val="fr-FR" w:eastAsia="en-US"/>
        </w:rPr>
        <w:t>OMPI, ce projet a été géré par la Division de l</w:t>
      </w:r>
      <w:r w:rsidR="00C959B2" w:rsidRPr="008918F0">
        <w:rPr>
          <w:lang w:val="fr-FR" w:eastAsia="en-US"/>
        </w:rPr>
        <w:t>’</w:t>
      </w:r>
      <w:r w:rsidRPr="008918F0">
        <w:rPr>
          <w:lang w:val="fr-FR" w:eastAsia="en-US"/>
        </w:rPr>
        <w:t>appui à la technologie et à l</w:t>
      </w:r>
      <w:r w:rsidR="00C959B2" w:rsidRPr="008918F0">
        <w:rPr>
          <w:lang w:val="fr-FR" w:eastAsia="en-US"/>
        </w:rPr>
        <w:t>’</w:t>
      </w:r>
      <w:r w:rsidRPr="008918F0">
        <w:rPr>
          <w:lang w:val="fr-FR" w:eastAsia="en-US"/>
        </w:rPr>
        <w:t>innovation, Département de l</w:t>
      </w:r>
      <w:r w:rsidR="00C959B2" w:rsidRPr="008918F0">
        <w:rPr>
          <w:lang w:val="fr-FR" w:eastAsia="en-US"/>
        </w:rPr>
        <w:t>’</w:t>
      </w:r>
      <w:r w:rsidRPr="008918F0">
        <w:rPr>
          <w:lang w:val="fr-FR" w:eastAsia="en-US"/>
        </w:rPr>
        <w:t>infrastructure de l</w:t>
      </w:r>
      <w:r w:rsidR="00C959B2" w:rsidRPr="008918F0">
        <w:rPr>
          <w:lang w:val="fr-FR" w:eastAsia="en-US"/>
        </w:rPr>
        <w:t>’</w:t>
      </w:r>
      <w:r w:rsidRPr="008918F0">
        <w:rPr>
          <w:lang w:val="fr-FR" w:eastAsia="en-US"/>
        </w:rPr>
        <w:t>innovation et du savoir, Secteur de l</w:t>
      </w:r>
      <w:r w:rsidR="00C959B2" w:rsidRPr="008918F0">
        <w:rPr>
          <w:lang w:val="fr-FR" w:eastAsia="en-US"/>
        </w:rPr>
        <w:t>’</w:t>
      </w:r>
      <w:r w:rsidRPr="008918F0">
        <w:rPr>
          <w:lang w:val="fr-FR" w:eastAsia="en-US"/>
        </w:rPr>
        <w:t>infrastructure mondia</w:t>
      </w:r>
      <w:r w:rsidR="00630E33" w:rsidRPr="008918F0">
        <w:rPr>
          <w:lang w:val="fr-FR" w:eastAsia="en-US"/>
        </w:rPr>
        <w:t xml:space="preserve">le.  À </w:t>
      </w:r>
      <w:r w:rsidRPr="008918F0">
        <w:rPr>
          <w:lang w:val="fr-FR" w:eastAsia="en-US"/>
        </w:rPr>
        <w:t>la fin du projet en juin 2019, son intégration dans les activités de la Division de l</w:t>
      </w:r>
      <w:r w:rsidR="00C959B2" w:rsidRPr="008918F0">
        <w:rPr>
          <w:lang w:val="fr-FR" w:eastAsia="en-US"/>
        </w:rPr>
        <w:t>’</w:t>
      </w:r>
      <w:r w:rsidRPr="008918F0">
        <w:rPr>
          <w:lang w:val="fr-FR" w:eastAsia="en-US"/>
        </w:rPr>
        <w:t>appui à la technologie et à l</w:t>
      </w:r>
      <w:r w:rsidR="00C959B2" w:rsidRPr="008918F0">
        <w:rPr>
          <w:lang w:val="fr-FR" w:eastAsia="en-US"/>
        </w:rPr>
        <w:t>’</w:t>
      </w:r>
      <w:r w:rsidRPr="008918F0">
        <w:rPr>
          <w:lang w:val="fr-FR" w:eastAsia="en-US"/>
        </w:rPr>
        <w:t>innovation a débuté.</w:t>
      </w:r>
    </w:p>
    <w:p w:rsidR="0006001B" w:rsidRPr="008918F0" w:rsidRDefault="00F2657E" w:rsidP="00F2657E">
      <w:pPr>
        <w:pStyle w:val="Heading1"/>
        <w:rPr>
          <w:lang w:val="fr-FR"/>
        </w:rPr>
      </w:pPr>
      <w:bookmarkStart w:id="16" w:name="_Toc20743527"/>
      <w:r w:rsidRPr="008918F0">
        <w:rPr>
          <w:lang w:val="fr-FR"/>
        </w:rPr>
        <w:lastRenderedPageBreak/>
        <w:t>Aperçu des critères d</w:t>
      </w:r>
      <w:r w:rsidR="00C959B2" w:rsidRPr="008918F0">
        <w:rPr>
          <w:lang w:val="fr-FR"/>
        </w:rPr>
        <w:t>’</w:t>
      </w:r>
      <w:r w:rsidRPr="008918F0">
        <w:rPr>
          <w:lang w:val="fr-FR"/>
        </w:rPr>
        <w:t>évaluation et de la méthodologie</w:t>
      </w:r>
      <w:bookmarkEnd w:id="15"/>
      <w:bookmarkEnd w:id="16"/>
    </w:p>
    <w:p w:rsidR="0006001B" w:rsidRPr="008918F0" w:rsidRDefault="0006001B" w:rsidP="00F2657E">
      <w:pPr>
        <w:rPr>
          <w:lang w:val="fr-FR"/>
        </w:rPr>
      </w:pPr>
    </w:p>
    <w:p w:rsidR="0006001B" w:rsidRPr="008918F0" w:rsidRDefault="0006001B" w:rsidP="00F2657E">
      <w:pPr>
        <w:pStyle w:val="ONUMFS"/>
        <w:rPr>
          <w:lang w:val="fr-FR"/>
        </w:rPr>
      </w:pPr>
      <w:r w:rsidRPr="008918F0">
        <w:rPr>
          <w:lang w:val="fr-FR"/>
        </w:rPr>
        <w:t>L</w:t>
      </w:r>
      <w:r w:rsidR="00C959B2" w:rsidRPr="008918F0">
        <w:rPr>
          <w:lang w:val="fr-FR"/>
        </w:rPr>
        <w:t>’</w:t>
      </w:r>
      <w:r w:rsidRPr="008918F0">
        <w:rPr>
          <w:lang w:val="fr-FR"/>
        </w:rPr>
        <w:t>évaluation vis</w:t>
      </w:r>
      <w:r w:rsidR="00783347" w:rsidRPr="008918F0">
        <w:rPr>
          <w:lang w:val="fr-FR"/>
        </w:rPr>
        <w:t>ait</w:t>
      </w:r>
      <w:r w:rsidRPr="008918F0">
        <w:rPr>
          <w:lang w:val="fr-FR"/>
        </w:rPr>
        <w:t xml:space="preserve"> à analyser les résultats du projet, </w:t>
      </w:r>
      <w:r w:rsidR="00C959B2" w:rsidRPr="008918F0">
        <w:rPr>
          <w:lang w:val="fr-FR"/>
        </w:rPr>
        <w:t>y compris</w:t>
      </w:r>
      <w:r w:rsidRPr="008918F0">
        <w:rPr>
          <w:lang w:val="fr-FR"/>
        </w:rPr>
        <w:t xml:space="preserve"> la conception, la gestion, la coordination, la cohérence et la mise en œuvre</w:t>
      </w:r>
      <w:r w:rsidR="00783347" w:rsidRPr="008918F0">
        <w:rPr>
          <w:lang w:val="fr-FR"/>
        </w:rPr>
        <w:t xml:space="preserve"> du projet</w:t>
      </w:r>
      <w:r w:rsidRPr="008918F0">
        <w:rPr>
          <w:lang w:val="fr-FR"/>
        </w:rPr>
        <w:t>, ainsi que les résultats obten</w:t>
      </w:r>
      <w:r w:rsidR="00630E33" w:rsidRPr="008918F0">
        <w:rPr>
          <w:lang w:val="fr-FR"/>
        </w:rPr>
        <w:t>us.  El</w:t>
      </w:r>
      <w:r w:rsidR="00783347" w:rsidRPr="008918F0">
        <w:rPr>
          <w:lang w:val="fr-FR"/>
        </w:rPr>
        <w:t xml:space="preserve">le avait également pour but de fournir une évaluation fondée sur des données factuelles afin de soutenir </w:t>
      </w:r>
      <w:r w:rsidR="0081059F" w:rsidRPr="008918F0">
        <w:rPr>
          <w:lang w:val="fr-FR"/>
        </w:rPr>
        <w:t>la prise de décisions,</w:t>
      </w:r>
      <w:r w:rsidR="00783347" w:rsidRPr="008918F0">
        <w:rPr>
          <w:lang w:val="fr-FR"/>
        </w:rPr>
        <w:t xml:space="preserve"> puisqu</w:t>
      </w:r>
      <w:r w:rsidR="00C959B2" w:rsidRPr="008918F0">
        <w:rPr>
          <w:lang w:val="fr-FR"/>
        </w:rPr>
        <w:t>’</w:t>
      </w:r>
      <w:r w:rsidR="00783347" w:rsidRPr="008918F0">
        <w:rPr>
          <w:lang w:val="fr-FR"/>
        </w:rPr>
        <w:t>il s</w:t>
      </w:r>
      <w:r w:rsidR="00C959B2" w:rsidRPr="008918F0">
        <w:rPr>
          <w:lang w:val="fr-FR"/>
        </w:rPr>
        <w:t>’</w:t>
      </w:r>
      <w:r w:rsidR="00783347" w:rsidRPr="008918F0">
        <w:rPr>
          <w:lang w:val="fr-FR"/>
        </w:rPr>
        <w:t>agit d</w:t>
      </w:r>
      <w:r w:rsidR="00C959B2" w:rsidRPr="008918F0">
        <w:rPr>
          <w:lang w:val="fr-FR"/>
        </w:rPr>
        <w:t>’</w:t>
      </w:r>
      <w:r w:rsidR="00783347" w:rsidRPr="008918F0">
        <w:rPr>
          <w:lang w:val="fr-FR"/>
        </w:rPr>
        <w:t>un programme important de l</w:t>
      </w:r>
      <w:r w:rsidR="00C959B2" w:rsidRPr="008918F0">
        <w:rPr>
          <w:lang w:val="fr-FR"/>
        </w:rPr>
        <w:t>’</w:t>
      </w:r>
      <w:r w:rsidR="00783347" w:rsidRPr="008918F0">
        <w:rPr>
          <w:lang w:val="fr-FR"/>
        </w:rPr>
        <w:t>OMPI.</w:t>
      </w:r>
    </w:p>
    <w:p w:rsidR="0006001B" w:rsidRPr="008918F0" w:rsidRDefault="0006001B" w:rsidP="00F2657E">
      <w:pPr>
        <w:pStyle w:val="ONUMFS"/>
        <w:rPr>
          <w:lang w:val="fr-FR"/>
        </w:rPr>
      </w:pPr>
      <w:r w:rsidRPr="008918F0">
        <w:rPr>
          <w:lang w:val="fr-FR"/>
        </w:rPr>
        <w:t>Pour réaliser l</w:t>
      </w:r>
      <w:r w:rsidR="00C959B2" w:rsidRPr="008918F0">
        <w:rPr>
          <w:lang w:val="fr-FR"/>
        </w:rPr>
        <w:t>’</w:t>
      </w:r>
      <w:r w:rsidRPr="008918F0">
        <w:rPr>
          <w:lang w:val="fr-FR"/>
        </w:rPr>
        <w:t>évaluation, 11</w:t>
      </w:r>
      <w:r w:rsidR="00AB7A2D">
        <w:rPr>
          <w:lang w:val="fr-FR"/>
        </w:rPr>
        <w:t> </w:t>
      </w:r>
      <w:r w:rsidRPr="008918F0">
        <w:rPr>
          <w:lang w:val="fr-FR"/>
        </w:rPr>
        <w:t>questions axées sur quatre</w:t>
      </w:r>
      <w:r w:rsidR="00DB6EA5" w:rsidRPr="008918F0">
        <w:rPr>
          <w:lang w:val="fr-FR"/>
        </w:rPr>
        <w:t> </w:t>
      </w:r>
      <w:r w:rsidRPr="008918F0">
        <w:rPr>
          <w:lang w:val="fr-FR"/>
        </w:rPr>
        <w:t>domaines</w:t>
      </w:r>
      <w:r w:rsidR="0081059F" w:rsidRPr="008918F0">
        <w:rPr>
          <w:lang w:val="fr-FR"/>
        </w:rPr>
        <w:t xml:space="preserve"> ont été définies</w:t>
      </w:r>
      <w:r w:rsidR="00C959B2" w:rsidRPr="008918F0">
        <w:rPr>
          <w:lang w:val="fr-FR"/>
        </w:rPr>
        <w:t> :</w:t>
      </w:r>
      <w:r w:rsidRPr="008918F0">
        <w:rPr>
          <w:lang w:val="fr-FR"/>
        </w:rPr>
        <w:t xml:space="preserve"> conception et gestion du projet, efficacité, viabilité et mise en œuvre des recommandations du Plan d</w:t>
      </w:r>
      <w:r w:rsidR="00C959B2" w:rsidRPr="008918F0">
        <w:rPr>
          <w:lang w:val="fr-FR"/>
        </w:rPr>
        <w:t>’</w:t>
      </w:r>
      <w:r w:rsidRPr="008918F0">
        <w:rPr>
          <w:lang w:val="fr-FR"/>
        </w:rPr>
        <w:t>action pour le développeme</w:t>
      </w:r>
      <w:r w:rsidR="00630E33" w:rsidRPr="008918F0">
        <w:rPr>
          <w:lang w:val="fr-FR"/>
        </w:rPr>
        <w:t>nt.  Ce</w:t>
      </w:r>
      <w:r w:rsidR="00783347" w:rsidRPr="008918F0">
        <w:rPr>
          <w:lang w:val="fr-FR"/>
        </w:rPr>
        <w:t>s questions sont adressées directement</w:t>
      </w:r>
      <w:r w:rsidRPr="008918F0">
        <w:rPr>
          <w:lang w:val="fr-FR"/>
        </w:rPr>
        <w:t xml:space="preserve"> dans la section “Principales observations” ci</w:t>
      </w:r>
      <w:r w:rsidR="00AB7A2D">
        <w:rPr>
          <w:lang w:val="fr-FR"/>
        </w:rPr>
        <w:noBreakHyphen/>
      </w:r>
      <w:r w:rsidRPr="008918F0">
        <w:rPr>
          <w:lang w:val="fr-FR"/>
        </w:rPr>
        <w:t>après.</w:t>
      </w:r>
    </w:p>
    <w:p w:rsidR="0006001B" w:rsidRPr="008918F0" w:rsidRDefault="0006001B" w:rsidP="00F2657E">
      <w:pPr>
        <w:pStyle w:val="ONUMFS"/>
        <w:rPr>
          <w:lang w:val="fr-FR"/>
        </w:rPr>
      </w:pPr>
      <w:r w:rsidRPr="008918F0">
        <w:rPr>
          <w:lang w:val="fr-FR"/>
        </w:rPr>
        <w:t>Une combinaison de méthodes a été utilisée dans le cadre de l</w:t>
      </w:r>
      <w:r w:rsidR="00C959B2" w:rsidRPr="008918F0">
        <w:rPr>
          <w:lang w:val="fr-FR"/>
        </w:rPr>
        <w:t>’</w:t>
      </w:r>
      <w:r w:rsidRPr="008918F0">
        <w:rPr>
          <w:lang w:val="fr-FR"/>
        </w:rPr>
        <w:t>évaluati</w:t>
      </w:r>
      <w:r w:rsidR="00630E33" w:rsidRPr="008918F0">
        <w:rPr>
          <w:lang w:val="fr-FR"/>
        </w:rPr>
        <w:t>on.  Ou</w:t>
      </w:r>
      <w:r w:rsidR="00783347" w:rsidRPr="008918F0">
        <w:rPr>
          <w:lang w:val="fr-FR"/>
        </w:rPr>
        <w:t>tre l</w:t>
      </w:r>
      <w:r w:rsidR="00C959B2" w:rsidRPr="008918F0">
        <w:rPr>
          <w:lang w:val="fr-FR"/>
        </w:rPr>
        <w:t>’</w:t>
      </w:r>
      <w:r w:rsidR="00783347" w:rsidRPr="008918F0">
        <w:rPr>
          <w:lang w:val="fr-FR"/>
        </w:rPr>
        <w:t>analyse de tous les documents pertinents et des données de suivi disponibles, des entretiens ont été menés avec 11 membres du Secrétariat de l</w:t>
      </w:r>
      <w:r w:rsidR="00C959B2" w:rsidRPr="008918F0">
        <w:rPr>
          <w:lang w:val="fr-FR"/>
        </w:rPr>
        <w:t>’</w:t>
      </w:r>
      <w:r w:rsidR="00783347" w:rsidRPr="008918F0">
        <w:rPr>
          <w:lang w:val="fr-FR"/>
        </w:rPr>
        <w:t>OMPI à Genève et des entretiens téléphoniques ont eu lieu avec 13</w:t>
      </w:r>
      <w:r w:rsidR="00AB7A2D">
        <w:rPr>
          <w:lang w:val="fr-FR"/>
        </w:rPr>
        <w:t> </w:t>
      </w:r>
      <w:r w:rsidR="00783347" w:rsidRPr="008918F0">
        <w:rPr>
          <w:lang w:val="fr-FR"/>
        </w:rPr>
        <w:t>parties prenantes, notamment des experts, des consultants et des universitaires spécialisés et participant au projet, un représentant d</w:t>
      </w:r>
      <w:r w:rsidR="00C959B2" w:rsidRPr="008918F0">
        <w:rPr>
          <w:lang w:val="fr-FR"/>
        </w:rPr>
        <w:t>’</w:t>
      </w:r>
      <w:r w:rsidR="00783347" w:rsidRPr="008918F0">
        <w:rPr>
          <w:lang w:val="fr-FR"/>
        </w:rPr>
        <w:t>utilisateurs de brevets</w:t>
      </w:r>
      <w:r w:rsidR="0081059F" w:rsidRPr="008918F0">
        <w:rPr>
          <w:lang w:val="fr-FR"/>
        </w:rPr>
        <w:t>, ainsi que</w:t>
      </w:r>
      <w:r w:rsidR="00783347" w:rsidRPr="008918F0">
        <w:rPr>
          <w:lang w:val="fr-FR"/>
        </w:rPr>
        <w:t xml:space="preserve"> des points de contact et des membres du personnel des </w:t>
      </w:r>
      <w:r w:rsidR="0081059F" w:rsidRPr="008918F0">
        <w:rPr>
          <w:lang w:val="fr-FR"/>
        </w:rPr>
        <w:t>réseaux de CATI</w:t>
      </w:r>
      <w:r w:rsidR="00783347" w:rsidRPr="008918F0">
        <w:rPr>
          <w:lang w:val="fr-FR"/>
        </w:rPr>
        <w:t>.</w:t>
      </w:r>
    </w:p>
    <w:p w:rsidR="0006001B" w:rsidRPr="008918F0" w:rsidRDefault="00F2657E" w:rsidP="00F2657E">
      <w:pPr>
        <w:pStyle w:val="Heading1"/>
        <w:rPr>
          <w:szCs w:val="22"/>
          <w:lang w:val="fr-FR"/>
        </w:rPr>
      </w:pPr>
      <w:bookmarkStart w:id="17" w:name="_Toc336032070"/>
      <w:bookmarkStart w:id="18" w:name="_Toc20743528"/>
      <w:r w:rsidRPr="008918F0">
        <w:rPr>
          <w:lang w:val="fr-FR"/>
        </w:rPr>
        <w:t>Principales observations</w:t>
      </w:r>
      <w:bookmarkEnd w:id="17"/>
      <w:bookmarkEnd w:id="18"/>
    </w:p>
    <w:p w:rsidR="0006001B" w:rsidRPr="008918F0" w:rsidRDefault="0006001B" w:rsidP="00F2657E">
      <w:pPr>
        <w:rPr>
          <w:lang w:val="fr-FR"/>
        </w:rPr>
      </w:pPr>
    </w:p>
    <w:p w:rsidR="0006001B" w:rsidRPr="008918F0" w:rsidRDefault="0006001B" w:rsidP="00F2657E">
      <w:pPr>
        <w:pStyle w:val="ONUMFS"/>
        <w:rPr>
          <w:lang w:val="fr-FR"/>
        </w:rPr>
      </w:pPr>
      <w:r w:rsidRPr="008918F0">
        <w:rPr>
          <w:lang w:val="fr-FR"/>
        </w:rPr>
        <w:t>La présente section s</w:t>
      </w:r>
      <w:r w:rsidR="00C959B2" w:rsidRPr="008918F0">
        <w:rPr>
          <w:lang w:val="fr-FR"/>
        </w:rPr>
        <w:t>’</w:t>
      </w:r>
      <w:r w:rsidRPr="008918F0">
        <w:rPr>
          <w:lang w:val="fr-FR"/>
        </w:rPr>
        <w:t>articule autour des quatre</w:t>
      </w:r>
      <w:r w:rsidR="00DB6EA5" w:rsidRPr="008918F0">
        <w:rPr>
          <w:lang w:val="fr-FR"/>
        </w:rPr>
        <w:t> </w:t>
      </w:r>
      <w:r w:rsidRPr="008918F0">
        <w:rPr>
          <w:lang w:val="fr-FR"/>
        </w:rPr>
        <w:t>domaines faisant l</w:t>
      </w:r>
      <w:r w:rsidR="00C959B2" w:rsidRPr="008918F0">
        <w:rPr>
          <w:lang w:val="fr-FR"/>
        </w:rPr>
        <w:t>’</w:t>
      </w:r>
      <w:r w:rsidRPr="008918F0">
        <w:rPr>
          <w:lang w:val="fr-FR"/>
        </w:rPr>
        <w:t>objet de l</w:t>
      </w:r>
      <w:r w:rsidR="00C959B2" w:rsidRPr="008918F0">
        <w:rPr>
          <w:lang w:val="fr-FR"/>
        </w:rPr>
        <w:t>’</w:t>
      </w:r>
      <w:r w:rsidRPr="008918F0">
        <w:rPr>
          <w:lang w:val="fr-FR"/>
        </w:rPr>
        <w:t>évaluati</w:t>
      </w:r>
      <w:r w:rsidR="00630E33" w:rsidRPr="008918F0">
        <w:rPr>
          <w:lang w:val="fr-FR"/>
        </w:rPr>
        <w:t>on.  La</w:t>
      </w:r>
      <w:r w:rsidRPr="008918F0">
        <w:rPr>
          <w:lang w:val="fr-FR"/>
        </w:rPr>
        <w:t xml:space="preserve"> réponse à chacune des questions figure directement dans le chapitre consacré au domaine correspondant.</w:t>
      </w:r>
    </w:p>
    <w:p w:rsidR="0006001B" w:rsidRPr="008918F0" w:rsidRDefault="00F02C91" w:rsidP="00F02C91">
      <w:pPr>
        <w:pStyle w:val="Heading2"/>
      </w:pPr>
      <w:bookmarkStart w:id="19" w:name="_Toc20743529"/>
      <w:r w:rsidRPr="008918F0">
        <w:t>Conception et gestion du projet</w:t>
      </w:r>
      <w:bookmarkEnd w:id="19"/>
    </w:p>
    <w:p w:rsidR="0006001B" w:rsidRPr="008918F0" w:rsidRDefault="0006001B" w:rsidP="00F02C91">
      <w:pPr>
        <w:pStyle w:val="Heading5"/>
      </w:pPr>
      <w:r w:rsidRPr="008918F0">
        <w:t>Pertinence du descriptif de projet initial pour donner des orientations sur la mise en œuvre du projet et l</w:t>
      </w:r>
      <w:r w:rsidR="00C959B2" w:rsidRPr="008918F0">
        <w:t>’</w:t>
      </w:r>
      <w:r w:rsidRPr="008918F0">
        <w:t>évaluation des résultats obtenus.</w:t>
      </w:r>
    </w:p>
    <w:p w:rsidR="00F02C91" w:rsidRPr="008918F0" w:rsidRDefault="00F02C91" w:rsidP="00F02C91">
      <w:pPr>
        <w:rPr>
          <w:lang w:val="fr-FR" w:eastAsia="en-US"/>
        </w:rPr>
      </w:pPr>
    </w:p>
    <w:p w:rsidR="0006001B" w:rsidRPr="008918F0" w:rsidRDefault="0006001B" w:rsidP="00F02C91">
      <w:pPr>
        <w:pStyle w:val="ONUMFS"/>
        <w:rPr>
          <w:lang w:val="fr-FR"/>
        </w:rPr>
      </w:pPr>
      <w:r w:rsidRPr="008918F0">
        <w:rPr>
          <w:b/>
          <w:lang w:val="fr-FR"/>
        </w:rPr>
        <w:t>Observation n°</w:t>
      </w:r>
      <w:r w:rsidR="003F748C" w:rsidRPr="008918F0">
        <w:rPr>
          <w:b/>
          <w:lang w:val="fr-FR"/>
        </w:rPr>
        <w:t> </w:t>
      </w:r>
      <w:r w:rsidRPr="008918F0">
        <w:rPr>
          <w:b/>
          <w:lang w:val="fr-FR"/>
        </w:rPr>
        <w:t>1</w:t>
      </w:r>
      <w:r w:rsidR="00C959B2" w:rsidRPr="008918F0">
        <w:rPr>
          <w:b/>
          <w:lang w:val="fr-FR"/>
        </w:rPr>
        <w:t> :</w:t>
      </w:r>
      <w:r w:rsidRPr="008918F0">
        <w:rPr>
          <w:lang w:val="fr-FR"/>
        </w:rPr>
        <w:t xml:space="preserve"> le descriptif du projet contenait une description de la stratégie de mise en œuvre, des activités et de leur calendrier d</w:t>
      </w:r>
      <w:r w:rsidR="00C959B2" w:rsidRPr="008918F0">
        <w:rPr>
          <w:lang w:val="fr-FR"/>
        </w:rPr>
        <w:t>’</w:t>
      </w:r>
      <w:r w:rsidRPr="008918F0">
        <w:rPr>
          <w:lang w:val="fr-FR"/>
        </w:rPr>
        <w:t>exécution, du budget et des indicateurs de sui</w:t>
      </w:r>
      <w:r w:rsidR="00630E33" w:rsidRPr="008918F0">
        <w:rPr>
          <w:lang w:val="fr-FR"/>
        </w:rPr>
        <w:t>vi.  Il</w:t>
      </w:r>
      <w:r w:rsidRPr="008918F0">
        <w:rPr>
          <w:lang w:val="fr-FR"/>
        </w:rPr>
        <w:t xml:space="preserve"> a été estimé qu</w:t>
      </w:r>
      <w:r w:rsidR="00C959B2" w:rsidRPr="008918F0">
        <w:rPr>
          <w:lang w:val="fr-FR"/>
        </w:rPr>
        <w:t>’</w:t>
      </w:r>
      <w:r w:rsidRPr="008918F0">
        <w:rPr>
          <w:lang w:val="fr-FR"/>
        </w:rPr>
        <w:t>il donnait suffisamment d</w:t>
      </w:r>
      <w:r w:rsidR="00C959B2" w:rsidRPr="008918F0">
        <w:rPr>
          <w:lang w:val="fr-FR"/>
        </w:rPr>
        <w:t>’</w:t>
      </w:r>
      <w:r w:rsidRPr="008918F0">
        <w:rPr>
          <w:lang w:val="fr-FR"/>
        </w:rPr>
        <w:t>orientations quant à la mise en œuvre globale du projet et à l</w:t>
      </w:r>
      <w:r w:rsidR="00C959B2" w:rsidRPr="008918F0">
        <w:rPr>
          <w:lang w:val="fr-FR"/>
        </w:rPr>
        <w:t>’</w:t>
      </w:r>
      <w:r w:rsidRPr="008918F0">
        <w:rPr>
          <w:lang w:val="fr-FR"/>
        </w:rPr>
        <w:t>évaluation des progrès réalis</w:t>
      </w:r>
      <w:r w:rsidR="00630E33" w:rsidRPr="008918F0">
        <w:rPr>
          <w:lang w:val="fr-FR"/>
        </w:rPr>
        <w:t>és.  Ét</w:t>
      </w:r>
      <w:r w:rsidR="00F96A0F" w:rsidRPr="008918F0">
        <w:rPr>
          <w:lang w:val="fr-FR"/>
        </w:rPr>
        <w:t>ant donné que le projet prévoyait sept</w:t>
      </w:r>
      <w:r w:rsidR="00DB6EA5" w:rsidRPr="008918F0">
        <w:rPr>
          <w:lang w:val="fr-FR"/>
        </w:rPr>
        <w:t> </w:t>
      </w:r>
      <w:r w:rsidR="00F96A0F" w:rsidRPr="008918F0">
        <w:rPr>
          <w:lang w:val="fr-FR"/>
        </w:rPr>
        <w:t>résultats, bien qu</w:t>
      </w:r>
      <w:r w:rsidR="009E0623" w:rsidRPr="008918F0">
        <w:rPr>
          <w:lang w:val="fr-FR"/>
        </w:rPr>
        <w:t>e ceux</w:t>
      </w:r>
      <w:r w:rsidR="00AB7A2D">
        <w:rPr>
          <w:lang w:val="fr-FR"/>
        </w:rPr>
        <w:noBreakHyphen/>
      </w:r>
      <w:r w:rsidR="009E0623" w:rsidRPr="008918F0">
        <w:rPr>
          <w:lang w:val="fr-FR"/>
        </w:rPr>
        <w:t xml:space="preserve">ci </w:t>
      </w:r>
      <w:r w:rsidR="00F96A0F" w:rsidRPr="008918F0">
        <w:rPr>
          <w:lang w:val="fr-FR"/>
        </w:rPr>
        <w:t>soient liés entre eux, il a été nécessaire de compléter le descriptif initial par des documents supplémentaires afin de faciliter la mise en œuvre du projet (par exemple, le mandat des experts, des tables des matières pour les guides).</w:t>
      </w:r>
    </w:p>
    <w:p w:rsidR="0006001B" w:rsidRPr="008918F0" w:rsidRDefault="0006001B" w:rsidP="00F02C91">
      <w:pPr>
        <w:pStyle w:val="Heading5"/>
      </w:pPr>
      <w:r w:rsidRPr="008918F0">
        <w:t>Instruments de suivi, d</w:t>
      </w:r>
      <w:r w:rsidR="00C959B2" w:rsidRPr="008918F0">
        <w:t>’</w:t>
      </w:r>
      <w:r w:rsidRPr="008918F0">
        <w:t>autoévaluation et d</w:t>
      </w:r>
      <w:r w:rsidR="00C959B2" w:rsidRPr="008918F0">
        <w:t>’</w:t>
      </w:r>
      <w:r w:rsidRPr="008918F0">
        <w:t>établissement de rapports et analyse de la question de savoir si ces instruments se sont révélés utiles et efficaces pour fournir à l</w:t>
      </w:r>
      <w:r w:rsidR="00C959B2" w:rsidRPr="008918F0">
        <w:t>’</w:t>
      </w:r>
      <w:r w:rsidRPr="008918F0">
        <w:t>équipe chargée du projet et aux principales parties prenantes des informations pertinentes aux fins de la prise de décisions</w:t>
      </w:r>
    </w:p>
    <w:p w:rsidR="00F02C91" w:rsidRPr="008918F0" w:rsidRDefault="00F02C91" w:rsidP="00F02C91">
      <w:pPr>
        <w:rPr>
          <w:lang w:val="fr-FR" w:eastAsia="en-US"/>
        </w:rPr>
      </w:pPr>
    </w:p>
    <w:p w:rsidR="0006001B" w:rsidRPr="008918F0" w:rsidRDefault="0006001B" w:rsidP="00F02C91">
      <w:pPr>
        <w:pStyle w:val="ONUMFS"/>
        <w:rPr>
          <w:lang w:val="fr-FR"/>
        </w:rPr>
      </w:pPr>
      <w:r w:rsidRPr="008918F0">
        <w:rPr>
          <w:b/>
          <w:lang w:val="fr-FR"/>
        </w:rPr>
        <w:t>Observation n°</w:t>
      </w:r>
      <w:r w:rsidR="003F748C" w:rsidRPr="008918F0">
        <w:rPr>
          <w:b/>
          <w:lang w:val="fr-FR"/>
        </w:rPr>
        <w:t> </w:t>
      </w:r>
      <w:r w:rsidRPr="008918F0">
        <w:rPr>
          <w:b/>
          <w:lang w:val="fr-FR"/>
        </w:rPr>
        <w:t>2</w:t>
      </w:r>
      <w:r w:rsidR="00C959B2" w:rsidRPr="008918F0">
        <w:rPr>
          <w:b/>
          <w:lang w:val="fr-FR"/>
        </w:rPr>
        <w:t> :</w:t>
      </w:r>
      <w:r w:rsidRPr="008918F0">
        <w:rPr>
          <w:lang w:val="fr-FR"/>
        </w:rPr>
        <w:t xml:space="preserve"> les instruments de suivi du projet </w:t>
      </w:r>
      <w:r w:rsidR="00F96A0F" w:rsidRPr="008918F0">
        <w:rPr>
          <w:lang w:val="fr-FR"/>
        </w:rPr>
        <w:t>étaient</w:t>
      </w:r>
      <w:r w:rsidRPr="008918F0">
        <w:rPr>
          <w:lang w:val="fr-FR"/>
        </w:rPr>
        <w:t xml:space="preserve"> appropriés pour rendre compte aux États membres au sein</w:t>
      </w:r>
      <w:r w:rsidR="00C959B2" w:rsidRPr="008918F0">
        <w:rPr>
          <w:lang w:val="fr-FR"/>
        </w:rPr>
        <w:t xml:space="preserve"> du CDI</w:t>
      </w:r>
      <w:r w:rsidRPr="008918F0">
        <w:rPr>
          <w:lang w:val="fr-FR"/>
        </w:rPr>
        <w:t>P de l</w:t>
      </w:r>
      <w:r w:rsidR="00C959B2" w:rsidRPr="008918F0">
        <w:rPr>
          <w:lang w:val="fr-FR"/>
        </w:rPr>
        <w:t>’</w:t>
      </w:r>
      <w:r w:rsidRPr="008918F0">
        <w:rPr>
          <w:lang w:val="fr-FR"/>
        </w:rPr>
        <w:t>état d</w:t>
      </w:r>
      <w:r w:rsidR="00C959B2" w:rsidRPr="008918F0">
        <w:rPr>
          <w:lang w:val="fr-FR"/>
        </w:rPr>
        <w:t>’</w:t>
      </w:r>
      <w:r w:rsidRPr="008918F0">
        <w:rPr>
          <w:lang w:val="fr-FR"/>
        </w:rPr>
        <w:t>avancement global du projet, notamment par l</w:t>
      </w:r>
      <w:r w:rsidR="00C959B2" w:rsidRPr="008918F0">
        <w:rPr>
          <w:lang w:val="fr-FR"/>
        </w:rPr>
        <w:t>’</w:t>
      </w:r>
      <w:r w:rsidRPr="008918F0">
        <w:rPr>
          <w:lang w:val="fr-FR"/>
        </w:rPr>
        <w:t>intermédiaire des rapports sur l</w:t>
      </w:r>
      <w:r w:rsidR="00C959B2" w:rsidRPr="008918F0">
        <w:rPr>
          <w:lang w:val="fr-FR"/>
        </w:rPr>
        <w:t>’</w:t>
      </w:r>
      <w:r w:rsidRPr="008918F0">
        <w:rPr>
          <w:lang w:val="fr-FR"/>
        </w:rPr>
        <w:t>état d</w:t>
      </w:r>
      <w:r w:rsidR="00C959B2" w:rsidRPr="008918F0">
        <w:rPr>
          <w:lang w:val="fr-FR"/>
        </w:rPr>
        <w:t>’</w:t>
      </w:r>
      <w:r w:rsidRPr="008918F0">
        <w:rPr>
          <w:lang w:val="fr-FR"/>
        </w:rPr>
        <w:t>avancement du proj</w:t>
      </w:r>
      <w:r w:rsidR="00630E33" w:rsidRPr="008918F0">
        <w:rPr>
          <w:lang w:val="fr-FR"/>
        </w:rPr>
        <w:t>et.  Pl</w:t>
      </w:r>
      <w:r w:rsidRPr="008918F0">
        <w:rPr>
          <w:lang w:val="fr-FR"/>
        </w:rPr>
        <w:t>usieurs observations ont été formulées sur les instruments d</w:t>
      </w:r>
      <w:r w:rsidR="00C959B2" w:rsidRPr="008918F0">
        <w:rPr>
          <w:lang w:val="fr-FR"/>
        </w:rPr>
        <w:t>’</w:t>
      </w:r>
      <w:r w:rsidRPr="008918F0">
        <w:rPr>
          <w:lang w:val="fr-FR"/>
        </w:rPr>
        <w:t>établissement de rapports et d</w:t>
      </w:r>
      <w:r w:rsidR="00C959B2" w:rsidRPr="008918F0">
        <w:rPr>
          <w:lang w:val="fr-FR"/>
        </w:rPr>
        <w:t>’</w:t>
      </w:r>
      <w:r w:rsidRPr="008918F0">
        <w:rPr>
          <w:lang w:val="fr-FR"/>
        </w:rPr>
        <w:t>analyse</w:t>
      </w:r>
      <w:r w:rsidR="00C959B2" w:rsidRPr="008918F0">
        <w:rPr>
          <w:lang w:val="fr-FR"/>
        </w:rPr>
        <w:t> :</w:t>
      </w:r>
    </w:p>
    <w:p w:rsidR="0006001B" w:rsidRPr="008918F0" w:rsidRDefault="00D51BD0" w:rsidP="00F02C91">
      <w:pPr>
        <w:pStyle w:val="ONUMFS"/>
        <w:numPr>
          <w:ilvl w:val="1"/>
          <w:numId w:val="32"/>
        </w:numPr>
        <w:rPr>
          <w:lang w:val="fr-FR"/>
        </w:rPr>
      </w:pPr>
      <w:r w:rsidRPr="008918F0">
        <w:rPr>
          <w:lang w:val="fr-FR"/>
        </w:rPr>
        <w:t>la phase pilote d</w:t>
      </w:r>
      <w:r w:rsidR="00C959B2" w:rsidRPr="008918F0">
        <w:rPr>
          <w:lang w:val="fr-FR"/>
        </w:rPr>
        <w:t>’</w:t>
      </w:r>
      <w:r w:rsidRPr="008918F0">
        <w:rPr>
          <w:lang w:val="fr-FR"/>
        </w:rPr>
        <w:t xml:space="preserve">un résultat majeur, </w:t>
      </w:r>
      <w:r w:rsidR="00C959B2" w:rsidRPr="008918F0">
        <w:rPr>
          <w:lang w:val="fr-FR"/>
        </w:rPr>
        <w:t>à savoir</w:t>
      </w:r>
      <w:r w:rsidRPr="008918F0">
        <w:rPr>
          <w:lang w:val="fr-FR"/>
        </w:rPr>
        <w:t xml:space="preserve"> les guides, a fait intervenir sept</w:t>
      </w:r>
      <w:r w:rsidR="00DB6EA5" w:rsidRPr="008918F0">
        <w:rPr>
          <w:lang w:val="fr-FR"/>
        </w:rPr>
        <w:t> </w:t>
      </w:r>
      <w:r w:rsidRPr="008918F0">
        <w:rPr>
          <w:lang w:val="fr-FR"/>
        </w:rPr>
        <w:t>experts nationaux qui les ont testés directement auprès des utilisateurs potentiels (</w:t>
      </w:r>
      <w:r w:rsidR="00C959B2" w:rsidRPr="008918F0">
        <w:rPr>
          <w:lang w:val="fr-FR"/>
        </w:rPr>
        <w:t>à savoir</w:t>
      </w:r>
      <w:r w:rsidRPr="008918F0">
        <w:rPr>
          <w:lang w:val="fr-FR"/>
        </w:rPr>
        <w:t xml:space="preserve"> le </w:t>
      </w:r>
      <w:r w:rsidRPr="008918F0">
        <w:rPr>
          <w:lang w:val="fr-FR"/>
        </w:rPr>
        <w:lastRenderedPageBreak/>
        <w:t>personnel</w:t>
      </w:r>
      <w:r w:rsidR="00C959B2" w:rsidRPr="008918F0">
        <w:rPr>
          <w:lang w:val="fr-FR"/>
        </w:rPr>
        <w:t xml:space="preserve"> des CAT</w:t>
      </w:r>
      <w:r w:rsidRPr="008918F0">
        <w:rPr>
          <w:lang w:val="fr-FR"/>
        </w:rPr>
        <w:t>I et les inventeurs) dans neuf</w:t>
      </w:r>
      <w:r w:rsidR="00DB6EA5" w:rsidRPr="008918F0">
        <w:rPr>
          <w:lang w:val="fr-FR"/>
        </w:rPr>
        <w:t> </w:t>
      </w:r>
      <w:r w:rsidRPr="008918F0">
        <w:rPr>
          <w:lang w:val="fr-FR"/>
        </w:rPr>
        <w:t>pays</w:t>
      </w:r>
      <w:r w:rsidR="00D81319" w:rsidRPr="008918F0">
        <w:rPr>
          <w:rStyle w:val="FootnoteReference"/>
          <w:lang w:val="fr-FR"/>
        </w:rPr>
        <w:footnoteReference w:id="2"/>
      </w:r>
      <w:r w:rsidR="0093027E" w:rsidRPr="008918F0">
        <w:rPr>
          <w:lang w:val="fr-FR"/>
        </w:rPr>
        <w:t xml:space="preserve">. </w:t>
      </w:r>
      <w:r w:rsidRPr="008918F0">
        <w:rPr>
          <w:lang w:val="fr-FR"/>
        </w:rPr>
        <w:t xml:space="preserve"> Leurs </w:t>
      </w:r>
      <w:r w:rsidR="000A3AC1" w:rsidRPr="008918F0">
        <w:rPr>
          <w:lang w:val="fr-FR"/>
        </w:rPr>
        <w:t>retours d</w:t>
      </w:r>
      <w:r w:rsidR="00C959B2" w:rsidRPr="008918F0">
        <w:rPr>
          <w:lang w:val="fr-FR"/>
        </w:rPr>
        <w:t>’</w:t>
      </w:r>
      <w:r w:rsidR="000A3AC1" w:rsidRPr="008918F0">
        <w:rPr>
          <w:lang w:val="fr-FR"/>
        </w:rPr>
        <w:t xml:space="preserve">information </w:t>
      </w:r>
      <w:r w:rsidRPr="008918F0">
        <w:rPr>
          <w:lang w:val="fr-FR"/>
        </w:rPr>
        <w:t xml:space="preserve">ont été systématiquement </w:t>
      </w:r>
      <w:r w:rsidR="000A3AC1" w:rsidRPr="008918F0">
        <w:rPr>
          <w:lang w:val="fr-FR"/>
        </w:rPr>
        <w:t>enregistrés</w:t>
      </w:r>
      <w:r w:rsidRPr="008918F0">
        <w:rPr>
          <w:lang w:val="fr-FR"/>
        </w:rPr>
        <w:t xml:space="preserve"> et utilisés par les auteurs des guides afin d</w:t>
      </w:r>
      <w:r w:rsidR="00C959B2" w:rsidRPr="008918F0">
        <w:rPr>
          <w:lang w:val="fr-FR"/>
        </w:rPr>
        <w:t>’</w:t>
      </w:r>
      <w:r w:rsidRPr="008918F0">
        <w:rPr>
          <w:lang w:val="fr-FR"/>
        </w:rPr>
        <w:t>en améliorer le contenu;</w:t>
      </w:r>
    </w:p>
    <w:p w:rsidR="0006001B" w:rsidRPr="008918F0" w:rsidRDefault="00D51BD0" w:rsidP="00F02C91">
      <w:pPr>
        <w:pStyle w:val="ONUMFS"/>
        <w:numPr>
          <w:ilvl w:val="1"/>
          <w:numId w:val="32"/>
        </w:numPr>
        <w:rPr>
          <w:lang w:val="fr-FR"/>
        </w:rPr>
      </w:pPr>
      <w:r w:rsidRPr="008918F0">
        <w:rPr>
          <w:lang w:val="fr-FR"/>
        </w:rPr>
        <w:t>des ateliers ont été organisés afin de former le personnel</w:t>
      </w:r>
      <w:r w:rsidR="00C959B2" w:rsidRPr="008918F0">
        <w:rPr>
          <w:lang w:val="fr-FR"/>
        </w:rPr>
        <w:t xml:space="preserve"> des CAT</w:t>
      </w:r>
      <w:r w:rsidR="003F748C" w:rsidRPr="008918F0">
        <w:rPr>
          <w:lang w:val="fr-FR"/>
        </w:rPr>
        <w:t>I</w:t>
      </w:r>
      <w:r w:rsidRPr="008918F0">
        <w:rPr>
          <w:lang w:val="fr-FR"/>
        </w:rPr>
        <w:t xml:space="preserve"> au contenu des guides dans neuf</w:t>
      </w:r>
      <w:r w:rsidR="00DB6EA5" w:rsidRPr="008918F0">
        <w:rPr>
          <w:lang w:val="fr-FR"/>
        </w:rPr>
        <w:t> </w:t>
      </w:r>
      <w:r w:rsidRPr="008918F0">
        <w:rPr>
          <w:lang w:val="fr-FR"/>
        </w:rPr>
        <w:t>pays (dans les pays précités à l</w:t>
      </w:r>
      <w:r w:rsidR="00C959B2" w:rsidRPr="008918F0">
        <w:rPr>
          <w:lang w:val="fr-FR"/>
        </w:rPr>
        <w:t>’</w:t>
      </w:r>
      <w:r w:rsidRPr="008918F0">
        <w:rPr>
          <w:lang w:val="fr-FR"/>
        </w:rPr>
        <w:t>exception de Cuba</w:t>
      </w:r>
      <w:r w:rsidR="000A3AC1" w:rsidRPr="008918F0">
        <w:rPr>
          <w:lang w:val="fr-FR"/>
        </w:rPr>
        <w:t xml:space="preserve">, mais incluant </w:t>
      </w:r>
      <w:r w:rsidRPr="008918F0">
        <w:rPr>
          <w:lang w:val="fr-FR"/>
        </w:rPr>
        <w:t>l</w:t>
      </w:r>
      <w:r w:rsidR="00C959B2" w:rsidRPr="008918F0">
        <w:rPr>
          <w:lang w:val="fr-FR"/>
        </w:rPr>
        <w:t>’</w:t>
      </w:r>
      <w:r w:rsidRPr="008918F0">
        <w:rPr>
          <w:lang w:val="fr-FR"/>
        </w:rPr>
        <w:t>In</w:t>
      </w:r>
      <w:r w:rsidR="00630E33" w:rsidRPr="008918F0">
        <w:rPr>
          <w:lang w:val="fr-FR"/>
        </w:rPr>
        <w:t>de).  Un</w:t>
      </w:r>
      <w:r w:rsidRPr="008918F0">
        <w:rPr>
          <w:lang w:val="fr-FR"/>
        </w:rPr>
        <w:t>e enquête de satisfaction normalisée a permis de comparer et de collationner les informations provenan</w:t>
      </w:r>
      <w:r w:rsidR="000A3AC1" w:rsidRPr="008918F0">
        <w:rPr>
          <w:lang w:val="fr-FR"/>
        </w:rPr>
        <w:t>t</w:t>
      </w:r>
      <w:r w:rsidRPr="008918F0">
        <w:rPr>
          <w:lang w:val="fr-FR"/>
        </w:rPr>
        <w:t xml:space="preserve"> des ateliers afin d</w:t>
      </w:r>
      <w:r w:rsidR="00C959B2" w:rsidRPr="008918F0">
        <w:rPr>
          <w:lang w:val="fr-FR"/>
        </w:rPr>
        <w:t>’</w:t>
      </w:r>
      <w:r w:rsidRPr="008918F0">
        <w:rPr>
          <w:lang w:val="fr-FR"/>
        </w:rPr>
        <w:t>améliorer le matériel de formation basé sur les guides;</w:t>
      </w:r>
    </w:p>
    <w:p w:rsidR="0006001B" w:rsidRPr="008918F0" w:rsidRDefault="00D51BD0" w:rsidP="00F02C91">
      <w:pPr>
        <w:pStyle w:val="ONUMFS"/>
        <w:numPr>
          <w:ilvl w:val="1"/>
          <w:numId w:val="32"/>
        </w:numPr>
        <w:rPr>
          <w:lang w:val="fr-FR"/>
        </w:rPr>
      </w:pPr>
      <w:r w:rsidRPr="008918F0">
        <w:rPr>
          <w:lang w:val="fr-FR"/>
        </w:rPr>
        <w:t xml:space="preserve">le portail sur la situation juridique et son prédécesseur ont pu être </w:t>
      </w:r>
      <w:r w:rsidR="000A3AC1" w:rsidRPr="008918F0">
        <w:rPr>
          <w:lang w:val="fr-FR"/>
        </w:rPr>
        <w:t>comparés grâce à</w:t>
      </w:r>
      <w:r w:rsidRPr="008918F0">
        <w:rPr>
          <w:lang w:val="fr-FR"/>
        </w:rPr>
        <w:t xml:space="preserve"> des statistiques en ligne mesurant le nombre de visites, leur origine et les documents télécharg</w:t>
      </w:r>
      <w:r w:rsidR="00630E33" w:rsidRPr="008918F0">
        <w:rPr>
          <w:lang w:val="fr-FR"/>
        </w:rPr>
        <w:t>és.  De</w:t>
      </w:r>
      <w:r w:rsidRPr="008918F0">
        <w:rPr>
          <w:lang w:val="fr-FR"/>
        </w:rPr>
        <w:t xml:space="preserve"> la sorte, l</w:t>
      </w:r>
      <w:r w:rsidR="00C959B2" w:rsidRPr="008918F0">
        <w:rPr>
          <w:lang w:val="fr-FR"/>
        </w:rPr>
        <w:t>’</w:t>
      </w:r>
      <w:r w:rsidRPr="008918F0">
        <w:rPr>
          <w:lang w:val="fr-FR"/>
        </w:rPr>
        <w:t xml:space="preserve">équipe du projet </w:t>
      </w:r>
      <w:r w:rsidR="00DF32BF" w:rsidRPr="008918F0">
        <w:rPr>
          <w:lang w:val="fr-FR"/>
        </w:rPr>
        <w:t>a disposé de données de suivi actualisées sur les niveaux d</w:t>
      </w:r>
      <w:r w:rsidR="00C959B2" w:rsidRPr="008918F0">
        <w:rPr>
          <w:lang w:val="fr-FR"/>
        </w:rPr>
        <w:t>’</w:t>
      </w:r>
      <w:r w:rsidR="00DF32BF" w:rsidRPr="008918F0">
        <w:rPr>
          <w:lang w:val="fr-FR"/>
        </w:rPr>
        <w:t>activité et a pu comparer le portail une fois lancé et son prédécesseur;</w:t>
      </w:r>
    </w:p>
    <w:p w:rsidR="0006001B" w:rsidRPr="008918F0" w:rsidRDefault="000A3AC1" w:rsidP="00F02C91">
      <w:pPr>
        <w:pStyle w:val="ONUMFS"/>
        <w:numPr>
          <w:ilvl w:val="1"/>
          <w:numId w:val="32"/>
        </w:numPr>
        <w:rPr>
          <w:lang w:val="fr-FR"/>
        </w:rPr>
      </w:pPr>
      <w:r w:rsidRPr="008918F0">
        <w:rPr>
          <w:lang w:val="fr-FR"/>
        </w:rPr>
        <w:t>un</w:t>
      </w:r>
      <w:r w:rsidR="00DF32BF" w:rsidRPr="008918F0">
        <w:rPr>
          <w:lang w:val="fr-FR"/>
        </w:rPr>
        <w:t xml:space="preserve"> calendrier de projet </w:t>
      </w:r>
      <w:r w:rsidRPr="008918F0">
        <w:rPr>
          <w:lang w:val="fr-FR"/>
        </w:rPr>
        <w:t xml:space="preserve">(au format Excel) </w:t>
      </w:r>
      <w:r w:rsidR="00DF32BF" w:rsidRPr="008918F0">
        <w:rPr>
          <w:lang w:val="fr-FR"/>
        </w:rPr>
        <w:t>a été utilisé par l</w:t>
      </w:r>
      <w:r w:rsidR="00C959B2" w:rsidRPr="008918F0">
        <w:rPr>
          <w:lang w:val="fr-FR"/>
        </w:rPr>
        <w:t>’</w:t>
      </w:r>
      <w:r w:rsidR="00DF32BF" w:rsidRPr="008918F0">
        <w:rPr>
          <w:lang w:val="fr-FR"/>
        </w:rPr>
        <w:t>équipe du projet pour suivre l</w:t>
      </w:r>
      <w:r w:rsidR="00C959B2" w:rsidRPr="008918F0">
        <w:rPr>
          <w:lang w:val="fr-FR"/>
        </w:rPr>
        <w:t>’</w:t>
      </w:r>
      <w:r w:rsidR="00DF32BF" w:rsidRPr="008918F0">
        <w:rPr>
          <w:lang w:val="fr-FR"/>
        </w:rPr>
        <w:t>état d</w:t>
      </w:r>
      <w:r w:rsidR="00C959B2" w:rsidRPr="008918F0">
        <w:rPr>
          <w:lang w:val="fr-FR"/>
        </w:rPr>
        <w:t>’</w:t>
      </w:r>
      <w:r w:rsidR="00DF32BF" w:rsidRPr="008918F0">
        <w:rPr>
          <w:lang w:val="fr-FR"/>
        </w:rPr>
        <w:t>avancement des différents résultats, les activités connexes et les enveloppes budgétaires correspondant</w:t>
      </w:r>
      <w:r w:rsidR="00630E33" w:rsidRPr="008918F0">
        <w:rPr>
          <w:lang w:val="fr-FR"/>
        </w:rPr>
        <w:t>es.  L’é</w:t>
      </w:r>
      <w:r w:rsidR="00DF32BF" w:rsidRPr="008918F0">
        <w:rPr>
          <w:lang w:val="fr-FR"/>
        </w:rPr>
        <w:t>quipe du projet a ainsi été en mesure de suivre les activités et leur avancement;</w:t>
      </w:r>
    </w:p>
    <w:p w:rsidR="0006001B" w:rsidRPr="008918F0" w:rsidRDefault="007E4D2D" w:rsidP="00F02C91">
      <w:pPr>
        <w:pStyle w:val="ONUMFS"/>
        <w:numPr>
          <w:ilvl w:val="1"/>
          <w:numId w:val="32"/>
        </w:numPr>
        <w:rPr>
          <w:lang w:val="fr-FR"/>
        </w:rPr>
      </w:pPr>
      <w:r w:rsidRPr="008918F0">
        <w:rPr>
          <w:lang w:val="fr-FR"/>
        </w:rPr>
        <w:t xml:space="preserve">les objectifs du projet incluaient des indicateurs de résultats, comme les </w:t>
      </w:r>
      <w:r w:rsidR="00C959B2" w:rsidRPr="008918F0">
        <w:rPr>
          <w:lang w:val="fr-FR"/>
        </w:rPr>
        <w:t>“</w:t>
      </w:r>
      <w:r w:rsidR="00C959B2" w:rsidRPr="008918F0">
        <w:rPr>
          <w:i/>
          <w:lang w:val="fr-FR"/>
        </w:rPr>
        <w:t>s</w:t>
      </w:r>
      <w:r w:rsidRPr="008918F0">
        <w:rPr>
          <w:i/>
          <w:lang w:val="fr-FR"/>
        </w:rPr>
        <w:t>ervices destinés</w:t>
      </w:r>
      <w:r w:rsidR="00C959B2" w:rsidRPr="008918F0">
        <w:rPr>
          <w:i/>
          <w:lang w:val="fr-FR"/>
        </w:rPr>
        <w:t xml:space="preserve"> aux CAT</w:t>
      </w:r>
      <w:r w:rsidRPr="008918F0">
        <w:rPr>
          <w:i/>
          <w:lang w:val="fr-FR"/>
        </w:rPr>
        <w:t>I en vue d</w:t>
      </w:r>
      <w:r w:rsidR="00C959B2" w:rsidRPr="008918F0">
        <w:rPr>
          <w:i/>
          <w:lang w:val="fr-FR"/>
        </w:rPr>
        <w:t>’</w:t>
      </w:r>
      <w:r w:rsidRPr="008918F0">
        <w:rPr>
          <w:i/>
          <w:lang w:val="fr-FR"/>
        </w:rPr>
        <w:t>identifier les inventions se trouvant dans le domaine public mis en place par au moins six</w:t>
      </w:r>
      <w:r w:rsidR="00DB6EA5" w:rsidRPr="008918F0">
        <w:rPr>
          <w:i/>
          <w:lang w:val="fr-FR"/>
        </w:rPr>
        <w:t> </w:t>
      </w:r>
      <w:r w:rsidRPr="008918F0">
        <w:rPr>
          <w:i/>
          <w:lang w:val="fr-FR"/>
        </w:rPr>
        <w:t xml:space="preserve">CATI dans les différents </w:t>
      </w:r>
      <w:r w:rsidR="0081059F" w:rsidRPr="008918F0">
        <w:rPr>
          <w:i/>
          <w:lang w:val="fr-FR"/>
        </w:rPr>
        <w:t>réseaux de CATI</w:t>
      </w:r>
      <w:r w:rsidRPr="008918F0">
        <w:rPr>
          <w:i/>
          <w:lang w:val="fr-FR"/>
        </w:rPr>
        <w:t xml:space="preserve"> nationau</w:t>
      </w:r>
      <w:r w:rsidR="00C959B2" w:rsidRPr="008918F0">
        <w:rPr>
          <w:i/>
          <w:lang w:val="fr-FR"/>
        </w:rPr>
        <w:t>x”</w:t>
      </w:r>
      <w:r w:rsidRPr="008918F0">
        <w:rPr>
          <w:lang w:val="fr-FR"/>
        </w:rPr>
        <w:t>.  L</w:t>
      </w:r>
      <w:r w:rsidR="00C959B2" w:rsidRPr="008918F0">
        <w:rPr>
          <w:lang w:val="fr-FR"/>
        </w:rPr>
        <w:t>’</w:t>
      </w:r>
      <w:r w:rsidRPr="008918F0">
        <w:rPr>
          <w:lang w:val="fr-FR"/>
        </w:rPr>
        <w:t>équipe du projet n</w:t>
      </w:r>
      <w:r w:rsidR="00C959B2" w:rsidRPr="008918F0">
        <w:rPr>
          <w:lang w:val="fr-FR"/>
        </w:rPr>
        <w:t>’</w:t>
      </w:r>
      <w:r w:rsidRPr="008918F0">
        <w:rPr>
          <w:lang w:val="fr-FR"/>
        </w:rPr>
        <w:t xml:space="preserve">était pas encore à même de mesurer cet objectif, mais bien </w:t>
      </w:r>
      <w:r w:rsidR="000A3AC1" w:rsidRPr="008918F0">
        <w:rPr>
          <w:lang w:val="fr-FR"/>
        </w:rPr>
        <w:t xml:space="preserve">les progrès enregistrés dans </w:t>
      </w:r>
      <w:r w:rsidRPr="008918F0">
        <w:rPr>
          <w:lang w:val="fr-FR"/>
        </w:rPr>
        <w:t>sa réalisation, comme le personnel CATI formé à l</w:t>
      </w:r>
      <w:r w:rsidR="00C959B2" w:rsidRPr="008918F0">
        <w:rPr>
          <w:lang w:val="fr-FR"/>
        </w:rPr>
        <w:t>’</w:t>
      </w:r>
      <w:r w:rsidRPr="008918F0">
        <w:rPr>
          <w:lang w:val="fr-FR"/>
        </w:rPr>
        <w:t>utilisation de l</w:t>
      </w:r>
      <w:r w:rsidR="00C959B2" w:rsidRPr="008918F0">
        <w:rPr>
          <w:lang w:val="fr-FR"/>
        </w:rPr>
        <w:t>’</w:t>
      </w:r>
      <w:r w:rsidRPr="008918F0">
        <w:rPr>
          <w:lang w:val="fr-FR"/>
        </w:rPr>
        <w:t xml:space="preserve">information </w:t>
      </w:r>
      <w:r w:rsidR="000A3AC1" w:rsidRPr="008918F0">
        <w:rPr>
          <w:lang w:val="fr-FR"/>
        </w:rPr>
        <w:t>figurant</w:t>
      </w:r>
      <w:r w:rsidRPr="008918F0">
        <w:rPr>
          <w:lang w:val="fr-FR"/>
        </w:rPr>
        <w:t xml:space="preserve"> dans le domaine public.</w:t>
      </w:r>
    </w:p>
    <w:p w:rsidR="0006001B" w:rsidRPr="008918F0" w:rsidRDefault="007E4D2D" w:rsidP="00F02C91">
      <w:pPr>
        <w:pStyle w:val="Heading5"/>
      </w:pPr>
      <w:r w:rsidRPr="008918F0">
        <w:t>M</w:t>
      </w:r>
      <w:r w:rsidR="0006001B" w:rsidRPr="008918F0">
        <w:t xml:space="preserve">esure </w:t>
      </w:r>
      <w:r w:rsidRPr="008918F0">
        <w:t xml:space="preserve">dans laquelle </w:t>
      </w:r>
      <w:r w:rsidR="0006001B" w:rsidRPr="008918F0">
        <w:t>d</w:t>
      </w:r>
      <w:r w:rsidR="00C959B2" w:rsidRPr="008918F0">
        <w:t>’</w:t>
      </w:r>
      <w:r w:rsidR="0006001B" w:rsidRPr="008918F0">
        <w:t>autres entités au sein du Secrétariat ont contribué à la mise en œuvre efficace et rationnel</w:t>
      </w:r>
      <w:r w:rsidRPr="008918F0">
        <w:t>le du projet et l</w:t>
      </w:r>
      <w:r w:rsidR="00C959B2" w:rsidRPr="008918F0">
        <w:t>’</w:t>
      </w:r>
      <w:r w:rsidRPr="008918F0">
        <w:t>ont facilitée</w:t>
      </w:r>
    </w:p>
    <w:p w:rsidR="00F02C91" w:rsidRPr="008918F0" w:rsidRDefault="00F02C91" w:rsidP="00F02C91">
      <w:pPr>
        <w:rPr>
          <w:lang w:val="fr-FR" w:eastAsia="en-US"/>
        </w:rPr>
      </w:pPr>
    </w:p>
    <w:p w:rsidR="0006001B" w:rsidRPr="008918F0" w:rsidRDefault="007E4D2D" w:rsidP="00F02C91">
      <w:pPr>
        <w:pStyle w:val="ONUMFS"/>
        <w:rPr>
          <w:rFonts w:eastAsia="Times New Roman"/>
          <w:szCs w:val="22"/>
          <w:lang w:val="fr-FR" w:eastAsia="en-US"/>
        </w:rPr>
      </w:pPr>
      <w:r w:rsidRPr="008918F0">
        <w:rPr>
          <w:b/>
          <w:lang w:val="fr-FR"/>
        </w:rPr>
        <w:t>Observation n</w:t>
      </w:r>
      <w:r w:rsidR="00F02C91" w:rsidRPr="008918F0">
        <w:rPr>
          <w:b/>
          <w:lang w:val="fr-FR"/>
        </w:rPr>
        <w:t>°</w:t>
      </w:r>
      <w:r w:rsidRPr="008918F0">
        <w:rPr>
          <w:b/>
          <w:lang w:val="fr-FR"/>
        </w:rPr>
        <w:t> </w:t>
      </w:r>
      <w:r w:rsidR="00995402" w:rsidRPr="008918F0">
        <w:rPr>
          <w:b/>
          <w:lang w:val="fr-FR"/>
        </w:rPr>
        <w:t>3</w:t>
      </w:r>
      <w:r w:rsidR="00C959B2" w:rsidRPr="008918F0">
        <w:rPr>
          <w:b/>
          <w:lang w:val="fr-FR"/>
        </w:rPr>
        <w:t> :</w:t>
      </w:r>
      <w:r w:rsidR="00241006" w:rsidRPr="008918F0">
        <w:rPr>
          <w:lang w:val="fr-FR"/>
        </w:rPr>
        <w:t xml:space="preserve"> les activités du projet ont été gérées par la Division de l</w:t>
      </w:r>
      <w:r w:rsidR="00C959B2" w:rsidRPr="008918F0">
        <w:rPr>
          <w:lang w:val="fr-FR"/>
        </w:rPr>
        <w:t>’</w:t>
      </w:r>
      <w:r w:rsidR="00241006" w:rsidRPr="008918F0">
        <w:rPr>
          <w:lang w:val="fr-FR"/>
        </w:rPr>
        <w:t>appui à la technologie et à l</w:t>
      </w:r>
      <w:r w:rsidR="00C959B2" w:rsidRPr="008918F0">
        <w:rPr>
          <w:lang w:val="fr-FR"/>
        </w:rPr>
        <w:t>’</w:t>
      </w:r>
      <w:r w:rsidR="00241006" w:rsidRPr="008918F0">
        <w:rPr>
          <w:lang w:val="fr-FR"/>
        </w:rPr>
        <w:t>innovation du Département de l</w:t>
      </w:r>
      <w:r w:rsidR="00C959B2" w:rsidRPr="008918F0">
        <w:rPr>
          <w:lang w:val="fr-FR"/>
        </w:rPr>
        <w:t>’</w:t>
      </w:r>
      <w:r w:rsidR="00241006" w:rsidRPr="008918F0">
        <w:rPr>
          <w:lang w:val="fr-FR"/>
        </w:rPr>
        <w:t>infrastructure de l</w:t>
      </w:r>
      <w:r w:rsidR="00C959B2" w:rsidRPr="008918F0">
        <w:rPr>
          <w:lang w:val="fr-FR"/>
        </w:rPr>
        <w:t>’</w:t>
      </w:r>
      <w:r w:rsidR="00241006" w:rsidRPr="008918F0">
        <w:rPr>
          <w:lang w:val="fr-FR"/>
        </w:rPr>
        <w:t>innovation et du savoir, du Secteur de l</w:t>
      </w:r>
      <w:r w:rsidR="00C959B2" w:rsidRPr="008918F0">
        <w:rPr>
          <w:lang w:val="fr-FR"/>
        </w:rPr>
        <w:t>’</w:t>
      </w:r>
      <w:r w:rsidR="00241006" w:rsidRPr="008918F0">
        <w:rPr>
          <w:lang w:val="fr-FR"/>
        </w:rPr>
        <w:t>infrastructure mondiale, avec le soutien d</w:t>
      </w:r>
      <w:r w:rsidR="00C959B2" w:rsidRPr="008918F0">
        <w:rPr>
          <w:lang w:val="fr-FR"/>
        </w:rPr>
        <w:t>’</w:t>
      </w:r>
      <w:r w:rsidR="00241006" w:rsidRPr="008918F0">
        <w:rPr>
          <w:lang w:val="fr-FR"/>
        </w:rPr>
        <w:t>autres entités du Secrétari</w:t>
      </w:r>
      <w:r w:rsidR="00630E33" w:rsidRPr="008918F0">
        <w:rPr>
          <w:lang w:val="fr-FR"/>
        </w:rPr>
        <w:t>at.  Pa</w:t>
      </w:r>
      <w:r w:rsidR="00241006" w:rsidRPr="008918F0">
        <w:rPr>
          <w:lang w:val="fr-FR"/>
        </w:rPr>
        <w:t>rmi celles qui ont contribué au projet figuraient notamment la Section du droit des brevets, la Section des communications sur le Web, la Section de la sécurité informatique, la Section des normes et le Bureau du conseiller juridiq</w:t>
      </w:r>
      <w:r w:rsidR="00630E33" w:rsidRPr="008918F0">
        <w:rPr>
          <w:lang w:val="fr-FR"/>
        </w:rPr>
        <w:t xml:space="preserve">ue.  </w:t>
      </w:r>
      <w:r w:rsidR="0074210D">
        <w:t xml:space="preserve">La majeure partie des activités de collaboration portait sur l’appui à la création du nouveau portail sur la situation juridique des documents de propriété intellectuelle. </w:t>
      </w:r>
      <w:r w:rsidR="003D3EBE">
        <w:t xml:space="preserve"> </w:t>
      </w:r>
      <w:r w:rsidR="00630E33" w:rsidRPr="008918F0">
        <w:rPr>
          <w:lang w:val="fr-FR"/>
        </w:rPr>
        <w:t>Le</w:t>
      </w:r>
      <w:r w:rsidR="00241006" w:rsidRPr="008918F0">
        <w:rPr>
          <w:lang w:val="fr-FR"/>
        </w:rPr>
        <w:t>s bureaux régionaux ainsi que le Département des pays en transition et des pays développés</w:t>
      </w:r>
      <w:r w:rsidR="00782E2E" w:rsidRPr="008918F0">
        <w:rPr>
          <w:lang w:val="fr-FR"/>
        </w:rPr>
        <w:t xml:space="preserve"> </w:t>
      </w:r>
      <w:r w:rsidR="00241006" w:rsidRPr="008918F0">
        <w:rPr>
          <w:lang w:val="fr-FR"/>
        </w:rPr>
        <w:t xml:space="preserve">ont également apporté leur contribution au projet en coopérant avec des pays </w:t>
      </w:r>
      <w:r w:rsidR="000A3AC1" w:rsidRPr="008918F0">
        <w:rPr>
          <w:lang w:val="fr-FR"/>
        </w:rPr>
        <w:t>à l</w:t>
      </w:r>
      <w:r w:rsidR="00C959B2" w:rsidRPr="008918F0">
        <w:rPr>
          <w:lang w:val="fr-FR"/>
        </w:rPr>
        <w:t>’</w:t>
      </w:r>
      <w:r w:rsidR="000A3AC1" w:rsidRPr="008918F0">
        <w:rPr>
          <w:lang w:val="fr-FR"/>
        </w:rPr>
        <w:t xml:space="preserve">intérieur </w:t>
      </w:r>
      <w:r w:rsidR="00241006" w:rsidRPr="008918F0">
        <w:rPr>
          <w:lang w:val="fr-FR"/>
        </w:rPr>
        <w:t>de leurs régions respectives.</w:t>
      </w:r>
    </w:p>
    <w:p w:rsidR="0006001B" w:rsidRPr="008918F0" w:rsidRDefault="00241006" w:rsidP="00F02C91">
      <w:pPr>
        <w:pStyle w:val="Heading5"/>
      </w:pPr>
      <w:r w:rsidRPr="008918F0">
        <w:t>M</w:t>
      </w:r>
      <w:r w:rsidR="0006001B" w:rsidRPr="008918F0">
        <w:t xml:space="preserve">esure </w:t>
      </w:r>
      <w:r w:rsidRPr="008918F0">
        <w:t xml:space="preserve">dans laquelle </w:t>
      </w:r>
      <w:r w:rsidR="0006001B" w:rsidRPr="008918F0">
        <w:t xml:space="preserve">les risques recensés dans le descriptif de projet initial se sont </w:t>
      </w:r>
      <w:r w:rsidRPr="008918F0">
        <w:t>concrétisés ou ont été atténués</w:t>
      </w:r>
    </w:p>
    <w:p w:rsidR="0006001B" w:rsidRPr="008918F0" w:rsidRDefault="0006001B" w:rsidP="00F02C91">
      <w:pPr>
        <w:rPr>
          <w:lang w:val="fr-FR"/>
        </w:rPr>
      </w:pPr>
    </w:p>
    <w:p w:rsidR="00386456" w:rsidRPr="008918F0" w:rsidRDefault="00241006" w:rsidP="00F02C91">
      <w:pPr>
        <w:pStyle w:val="ONUMFS"/>
        <w:rPr>
          <w:i/>
          <w:u w:val="single"/>
          <w:lang w:val="fr-FR"/>
        </w:rPr>
      </w:pPr>
      <w:r w:rsidRPr="008918F0">
        <w:rPr>
          <w:b/>
          <w:lang w:val="fr-FR"/>
        </w:rPr>
        <w:t>Observation n</w:t>
      </w:r>
      <w:r w:rsidR="00F02C91" w:rsidRPr="008918F0">
        <w:rPr>
          <w:b/>
          <w:lang w:val="fr-FR"/>
        </w:rPr>
        <w:t>°</w:t>
      </w:r>
      <w:r w:rsidRPr="008918F0">
        <w:rPr>
          <w:b/>
          <w:lang w:val="fr-FR"/>
        </w:rPr>
        <w:t> 4</w:t>
      </w:r>
      <w:r w:rsidR="00C959B2" w:rsidRPr="008918F0">
        <w:rPr>
          <w:b/>
          <w:lang w:val="fr-FR"/>
        </w:rPr>
        <w:t> :</w:t>
      </w:r>
      <w:r w:rsidRPr="008918F0">
        <w:rPr>
          <w:b/>
          <w:lang w:val="fr-FR"/>
        </w:rPr>
        <w:t xml:space="preserve"> </w:t>
      </w:r>
      <w:r w:rsidRPr="008918F0">
        <w:rPr>
          <w:lang w:val="fr-FR"/>
        </w:rPr>
        <w:t>le descriptif de projet initial a recensé un risque pour le proj</w:t>
      </w:r>
      <w:r w:rsidR="00630E33" w:rsidRPr="008918F0">
        <w:rPr>
          <w:lang w:val="fr-FR"/>
        </w:rPr>
        <w:t>et.  Le</w:t>
      </w:r>
      <w:r w:rsidRPr="008918F0">
        <w:rPr>
          <w:lang w:val="fr-FR"/>
        </w:rPr>
        <w:t xml:space="preserve"> descriptif du projet a décrit la mesure d</w:t>
      </w:r>
      <w:r w:rsidR="00C959B2" w:rsidRPr="008918F0">
        <w:rPr>
          <w:lang w:val="fr-FR"/>
        </w:rPr>
        <w:t>’</w:t>
      </w:r>
      <w:r w:rsidRPr="008918F0">
        <w:rPr>
          <w:lang w:val="fr-FR"/>
        </w:rPr>
        <w:t>atténuation mentionnée ci</w:t>
      </w:r>
      <w:r w:rsidR="00AB7A2D">
        <w:rPr>
          <w:lang w:val="fr-FR"/>
        </w:rPr>
        <w:noBreakHyphen/>
      </w:r>
      <w:r w:rsidRPr="008918F0">
        <w:rPr>
          <w:lang w:val="fr-FR"/>
        </w:rPr>
        <w:t>desso</w:t>
      </w:r>
      <w:r w:rsidR="00630E33" w:rsidRPr="008918F0">
        <w:rPr>
          <w:lang w:val="fr-FR"/>
        </w:rPr>
        <w:t>us.  Ce</w:t>
      </w:r>
      <w:r w:rsidRPr="008918F0">
        <w:rPr>
          <w:lang w:val="fr-FR"/>
        </w:rPr>
        <w:t xml:space="preserve"> risque n</w:t>
      </w:r>
      <w:r w:rsidR="00C959B2" w:rsidRPr="008918F0">
        <w:rPr>
          <w:lang w:val="fr-FR"/>
        </w:rPr>
        <w:t>’</w:t>
      </w:r>
      <w:r w:rsidRPr="008918F0">
        <w:rPr>
          <w:lang w:val="fr-FR"/>
        </w:rPr>
        <w:t>a pas représenté un obstacle important, comme le montre le tableau suivant</w:t>
      </w:r>
      <w:r w:rsidR="00C959B2" w:rsidRPr="008918F0">
        <w:rPr>
          <w:lang w:val="fr-F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94"/>
        <w:gridCol w:w="4252"/>
      </w:tblGrid>
      <w:tr w:rsidR="00774F00" w:rsidRPr="008918F0" w:rsidTr="00F02C91">
        <w:tc>
          <w:tcPr>
            <w:tcW w:w="5094" w:type="dxa"/>
          </w:tcPr>
          <w:p w:rsidR="00386456" w:rsidRPr="008918F0" w:rsidRDefault="0006001B" w:rsidP="00F02C91">
            <w:pPr>
              <w:keepNext/>
              <w:rPr>
                <w:b/>
                <w:i/>
                <w:sz w:val="20"/>
                <w:lang w:val="fr-FR"/>
              </w:rPr>
            </w:pPr>
            <w:r w:rsidRPr="008918F0">
              <w:rPr>
                <w:b/>
                <w:i/>
                <w:sz w:val="20"/>
                <w:lang w:val="fr-FR"/>
              </w:rPr>
              <w:lastRenderedPageBreak/>
              <w:t xml:space="preserve">Risque recensé et mesure </w:t>
            </w:r>
            <w:r w:rsidR="00241006" w:rsidRPr="008918F0">
              <w:rPr>
                <w:b/>
                <w:i/>
                <w:sz w:val="20"/>
                <w:lang w:val="fr-FR"/>
              </w:rPr>
              <w:t>d</w:t>
            </w:r>
            <w:r w:rsidR="00C959B2" w:rsidRPr="008918F0">
              <w:rPr>
                <w:b/>
                <w:i/>
                <w:sz w:val="20"/>
                <w:lang w:val="fr-FR"/>
              </w:rPr>
              <w:t>’</w:t>
            </w:r>
            <w:r w:rsidR="00241006" w:rsidRPr="008918F0">
              <w:rPr>
                <w:b/>
                <w:i/>
                <w:sz w:val="20"/>
                <w:lang w:val="fr-FR"/>
              </w:rPr>
              <w:t>atténuation</w:t>
            </w:r>
          </w:p>
        </w:tc>
        <w:tc>
          <w:tcPr>
            <w:tcW w:w="4252" w:type="dxa"/>
          </w:tcPr>
          <w:p w:rsidR="00386456" w:rsidRPr="008918F0" w:rsidRDefault="0006001B" w:rsidP="00F02C91">
            <w:pPr>
              <w:keepNext/>
              <w:rPr>
                <w:b/>
                <w:i/>
                <w:sz w:val="20"/>
                <w:lang w:val="fr-FR"/>
              </w:rPr>
            </w:pPr>
            <w:r w:rsidRPr="008918F0">
              <w:rPr>
                <w:b/>
                <w:i/>
                <w:sz w:val="20"/>
                <w:lang w:val="fr-FR"/>
              </w:rPr>
              <w:t>Analyse</w:t>
            </w:r>
          </w:p>
        </w:tc>
      </w:tr>
      <w:tr w:rsidR="00774F00" w:rsidRPr="008918F0" w:rsidTr="00F02C91">
        <w:trPr>
          <w:cantSplit/>
        </w:trPr>
        <w:tc>
          <w:tcPr>
            <w:tcW w:w="5094" w:type="dxa"/>
          </w:tcPr>
          <w:p w:rsidR="0006001B" w:rsidRPr="008918F0" w:rsidRDefault="00063CEC" w:rsidP="00F02C91">
            <w:pPr>
              <w:pStyle w:val="BodyText"/>
              <w:spacing w:after="0"/>
              <w:rPr>
                <w:i/>
                <w:sz w:val="20"/>
                <w:lang w:val="fr-FR"/>
              </w:rPr>
            </w:pPr>
            <w:r w:rsidRPr="008918F0">
              <w:rPr>
                <w:i/>
                <w:sz w:val="20"/>
                <w:lang w:val="fr-FR"/>
              </w:rPr>
              <w:t>Risque n° 1</w:t>
            </w:r>
            <w:r w:rsidR="00C959B2" w:rsidRPr="008918F0">
              <w:rPr>
                <w:i/>
                <w:sz w:val="20"/>
                <w:lang w:val="fr-FR"/>
              </w:rPr>
              <w:t> :</w:t>
            </w:r>
            <w:r w:rsidRPr="008918F0">
              <w:rPr>
                <w:i/>
                <w:sz w:val="20"/>
                <w:lang w:val="fr-FR"/>
              </w:rPr>
              <w:t xml:space="preserve"> capacité insuffisante du personnel</w:t>
            </w:r>
            <w:r w:rsidR="00C959B2" w:rsidRPr="008918F0">
              <w:rPr>
                <w:i/>
                <w:sz w:val="20"/>
                <w:lang w:val="fr-FR"/>
              </w:rPr>
              <w:t xml:space="preserve"> des CAT</w:t>
            </w:r>
            <w:r w:rsidRPr="008918F0">
              <w:rPr>
                <w:i/>
                <w:sz w:val="20"/>
                <w:lang w:val="fr-FR"/>
              </w:rPr>
              <w:t xml:space="preserve">I </w:t>
            </w:r>
            <w:r w:rsidR="00241006" w:rsidRPr="008918F0">
              <w:rPr>
                <w:i/>
                <w:sz w:val="20"/>
                <w:lang w:val="fr-FR"/>
              </w:rPr>
              <w:t>de</w:t>
            </w:r>
            <w:r w:rsidRPr="008918F0">
              <w:rPr>
                <w:i/>
                <w:sz w:val="20"/>
                <w:lang w:val="fr-FR"/>
              </w:rPr>
              <w:t xml:space="preserve"> comprendre et d</w:t>
            </w:r>
            <w:r w:rsidR="00C959B2" w:rsidRPr="008918F0">
              <w:rPr>
                <w:i/>
                <w:sz w:val="20"/>
                <w:lang w:val="fr-FR"/>
              </w:rPr>
              <w:t>’</w:t>
            </w:r>
            <w:r w:rsidRPr="008918F0">
              <w:rPr>
                <w:i/>
                <w:sz w:val="20"/>
                <w:lang w:val="fr-FR"/>
              </w:rPr>
              <w:t xml:space="preserve">utiliser efficacement les informations contenues dans les guides pratiques sur </w:t>
            </w:r>
            <w:r w:rsidR="00025F69" w:rsidRPr="008918F0">
              <w:rPr>
                <w:i/>
                <w:sz w:val="20"/>
                <w:lang w:val="fr-FR"/>
              </w:rPr>
              <w:t>l</w:t>
            </w:r>
            <w:r w:rsidR="00C959B2" w:rsidRPr="008918F0">
              <w:rPr>
                <w:i/>
                <w:sz w:val="20"/>
                <w:lang w:val="fr-FR"/>
              </w:rPr>
              <w:t>’</w:t>
            </w:r>
            <w:r w:rsidR="00025F69" w:rsidRPr="008918F0">
              <w:rPr>
                <w:i/>
                <w:sz w:val="20"/>
                <w:lang w:val="fr-FR"/>
              </w:rPr>
              <w:t>identification</w:t>
            </w:r>
            <w:r w:rsidR="00241006" w:rsidRPr="008918F0">
              <w:rPr>
                <w:i/>
                <w:sz w:val="20"/>
                <w:lang w:val="fr-FR"/>
              </w:rPr>
              <w:t xml:space="preserve"> </w:t>
            </w:r>
            <w:r w:rsidRPr="008918F0">
              <w:rPr>
                <w:i/>
                <w:sz w:val="20"/>
                <w:lang w:val="fr-FR"/>
              </w:rPr>
              <w:t>et l</w:t>
            </w:r>
            <w:r w:rsidR="00C959B2" w:rsidRPr="008918F0">
              <w:rPr>
                <w:i/>
                <w:sz w:val="20"/>
                <w:lang w:val="fr-FR"/>
              </w:rPr>
              <w:t>’</w:t>
            </w:r>
            <w:r w:rsidRPr="008918F0">
              <w:rPr>
                <w:i/>
                <w:sz w:val="20"/>
                <w:lang w:val="fr-FR"/>
              </w:rPr>
              <w:t>utilisation des inventions figurant dans le domaine public.</w:t>
            </w:r>
          </w:p>
          <w:p w:rsidR="0051119D" w:rsidRPr="008918F0" w:rsidRDefault="00063CEC" w:rsidP="00F02C91">
            <w:pPr>
              <w:pStyle w:val="BodyText"/>
              <w:spacing w:after="0"/>
              <w:rPr>
                <w:sz w:val="20"/>
                <w:lang w:val="fr-FR"/>
              </w:rPr>
            </w:pPr>
            <w:r w:rsidRPr="008918F0">
              <w:rPr>
                <w:sz w:val="20"/>
                <w:lang w:val="fr-FR"/>
              </w:rPr>
              <w:t>Atténuation</w:t>
            </w:r>
            <w:r w:rsidR="00C959B2" w:rsidRPr="008918F0">
              <w:rPr>
                <w:sz w:val="20"/>
                <w:lang w:val="fr-FR"/>
              </w:rPr>
              <w:t> :</w:t>
            </w:r>
            <w:r w:rsidRPr="008918F0">
              <w:rPr>
                <w:sz w:val="20"/>
                <w:lang w:val="fr-FR"/>
              </w:rPr>
              <w:t xml:space="preserve"> les guides seront adaptés aux capacités du personnel</w:t>
            </w:r>
            <w:r w:rsidR="00C959B2" w:rsidRPr="008918F0">
              <w:rPr>
                <w:sz w:val="20"/>
                <w:lang w:val="fr-FR"/>
              </w:rPr>
              <w:t xml:space="preserve"> des CAT</w:t>
            </w:r>
            <w:r w:rsidRPr="008918F0">
              <w:rPr>
                <w:sz w:val="20"/>
                <w:lang w:val="fr-FR"/>
              </w:rPr>
              <w:t>I telles qu</w:t>
            </w:r>
            <w:r w:rsidR="00C959B2" w:rsidRPr="008918F0">
              <w:rPr>
                <w:sz w:val="20"/>
                <w:lang w:val="fr-FR"/>
              </w:rPr>
              <w:t>’</w:t>
            </w:r>
            <w:r w:rsidRPr="008918F0">
              <w:rPr>
                <w:sz w:val="20"/>
                <w:lang w:val="fr-FR"/>
              </w:rPr>
              <w:t>elles auront été évaluées et une liste d</w:t>
            </w:r>
            <w:r w:rsidR="00C959B2" w:rsidRPr="008918F0">
              <w:rPr>
                <w:sz w:val="20"/>
                <w:lang w:val="fr-FR"/>
              </w:rPr>
              <w:t>’</w:t>
            </w:r>
            <w:r w:rsidR="006B59CC" w:rsidRPr="008918F0">
              <w:rPr>
                <w:sz w:val="20"/>
                <w:lang w:val="fr-FR"/>
              </w:rPr>
              <w:t xml:space="preserve">experts </w:t>
            </w:r>
            <w:r w:rsidR="000A3AC1" w:rsidRPr="008918F0">
              <w:rPr>
                <w:sz w:val="20"/>
                <w:lang w:val="fr-FR"/>
              </w:rPr>
              <w:t>essentiels</w:t>
            </w:r>
            <w:r w:rsidRPr="008918F0">
              <w:rPr>
                <w:sz w:val="20"/>
                <w:lang w:val="fr-FR"/>
              </w:rPr>
              <w:t xml:space="preserve"> sera établie en vue de proposer une aide interactive </w:t>
            </w:r>
            <w:r w:rsidR="00241006" w:rsidRPr="008918F0">
              <w:rPr>
                <w:sz w:val="20"/>
                <w:lang w:val="fr-FR"/>
              </w:rPr>
              <w:t>sur</w:t>
            </w:r>
            <w:r w:rsidRPr="008918F0">
              <w:rPr>
                <w:sz w:val="20"/>
                <w:lang w:val="fr-FR"/>
              </w:rPr>
              <w:t xml:space="preserve"> les questions traitées dans le guide.</w:t>
            </w:r>
          </w:p>
        </w:tc>
        <w:tc>
          <w:tcPr>
            <w:tcW w:w="4252" w:type="dxa"/>
          </w:tcPr>
          <w:p w:rsidR="0006001B" w:rsidRPr="008918F0" w:rsidRDefault="00241006" w:rsidP="00F02C91">
            <w:pPr>
              <w:rPr>
                <w:sz w:val="20"/>
                <w:lang w:val="fr-FR"/>
              </w:rPr>
            </w:pPr>
            <w:r w:rsidRPr="008918F0">
              <w:rPr>
                <w:sz w:val="20"/>
                <w:lang w:val="fr-FR"/>
              </w:rPr>
              <w:t>La phase pilote des guides dans neuf</w:t>
            </w:r>
            <w:r w:rsidR="00DB6EA5" w:rsidRPr="008918F0">
              <w:rPr>
                <w:sz w:val="20"/>
                <w:lang w:val="fr-FR"/>
              </w:rPr>
              <w:t> </w:t>
            </w:r>
            <w:r w:rsidR="0081059F" w:rsidRPr="008918F0">
              <w:rPr>
                <w:sz w:val="20"/>
                <w:lang w:val="fr-FR"/>
              </w:rPr>
              <w:t>réseaux de CATI</w:t>
            </w:r>
            <w:r w:rsidRPr="008918F0">
              <w:rPr>
                <w:sz w:val="20"/>
                <w:lang w:val="fr-FR"/>
              </w:rPr>
              <w:t xml:space="preserve"> nationaux a contribué à faire en sorte qu</w:t>
            </w:r>
            <w:r w:rsidR="00C959B2" w:rsidRPr="008918F0">
              <w:rPr>
                <w:sz w:val="20"/>
                <w:lang w:val="fr-FR"/>
              </w:rPr>
              <w:t>’</w:t>
            </w:r>
            <w:r w:rsidRPr="008918F0">
              <w:rPr>
                <w:sz w:val="20"/>
                <w:lang w:val="fr-FR"/>
              </w:rPr>
              <w:t xml:space="preserve">ils soient adaptés au niveau </w:t>
            </w:r>
            <w:r w:rsidR="000A3AC1" w:rsidRPr="008918F0">
              <w:rPr>
                <w:sz w:val="20"/>
                <w:lang w:val="fr-FR"/>
              </w:rPr>
              <w:t>approprié</w:t>
            </w:r>
            <w:r w:rsidRPr="008918F0">
              <w:rPr>
                <w:sz w:val="20"/>
                <w:lang w:val="fr-FR"/>
              </w:rPr>
              <w:t xml:space="preserve"> pour leur utilisation par</w:t>
            </w:r>
            <w:r w:rsidR="00C959B2" w:rsidRPr="008918F0">
              <w:rPr>
                <w:sz w:val="20"/>
                <w:lang w:val="fr-FR"/>
              </w:rPr>
              <w:t xml:space="preserve"> les C</w:t>
            </w:r>
            <w:r w:rsidR="00630E33" w:rsidRPr="008918F0">
              <w:rPr>
                <w:sz w:val="20"/>
                <w:lang w:val="fr-FR"/>
              </w:rPr>
              <w:t>ATI.  Lo</w:t>
            </w:r>
            <w:r w:rsidRPr="008918F0">
              <w:rPr>
                <w:sz w:val="20"/>
                <w:lang w:val="fr-FR"/>
              </w:rPr>
              <w:t>rs des ateliers de formation, l</w:t>
            </w:r>
            <w:r w:rsidR="00C959B2" w:rsidRPr="008918F0">
              <w:rPr>
                <w:sz w:val="20"/>
                <w:lang w:val="fr-FR"/>
              </w:rPr>
              <w:t>’</w:t>
            </w:r>
            <w:r w:rsidRPr="008918F0">
              <w:rPr>
                <w:sz w:val="20"/>
                <w:lang w:val="fr-FR"/>
              </w:rPr>
              <w:t>expérience des participants variait, ce qui montre que l</w:t>
            </w:r>
            <w:r w:rsidR="00C959B2" w:rsidRPr="008918F0">
              <w:rPr>
                <w:sz w:val="20"/>
                <w:lang w:val="fr-FR"/>
              </w:rPr>
              <w:t>’</w:t>
            </w:r>
            <w:r w:rsidRPr="008918F0">
              <w:rPr>
                <w:sz w:val="20"/>
                <w:lang w:val="fr-FR"/>
              </w:rPr>
              <w:t xml:space="preserve">utilisation </w:t>
            </w:r>
            <w:r w:rsidR="00D92118" w:rsidRPr="008918F0">
              <w:rPr>
                <w:sz w:val="20"/>
                <w:lang w:val="fr-FR"/>
              </w:rPr>
              <w:t>efficace des guides requérait de solides connaissances des techniques d</w:t>
            </w:r>
            <w:r w:rsidR="00C959B2" w:rsidRPr="008918F0">
              <w:rPr>
                <w:sz w:val="20"/>
                <w:lang w:val="fr-FR"/>
              </w:rPr>
              <w:t>’</w:t>
            </w:r>
            <w:r w:rsidR="00D92118" w:rsidRPr="008918F0">
              <w:rPr>
                <w:sz w:val="20"/>
                <w:lang w:val="fr-FR"/>
              </w:rPr>
              <w:t>information et de recherche sur les breve</w:t>
            </w:r>
            <w:r w:rsidR="00630E33" w:rsidRPr="008918F0">
              <w:rPr>
                <w:sz w:val="20"/>
                <w:lang w:val="fr-FR"/>
              </w:rPr>
              <w:t>ts.  Le</w:t>
            </w:r>
            <w:r w:rsidR="00D92118" w:rsidRPr="008918F0">
              <w:rPr>
                <w:sz w:val="20"/>
                <w:lang w:val="fr-FR"/>
              </w:rPr>
              <w:t>s experts nationaux et les auteurs du guide ont soutenu le projet.</w:t>
            </w:r>
          </w:p>
          <w:p w:rsidR="00D204E2" w:rsidRPr="008918F0" w:rsidRDefault="00D204E2" w:rsidP="00F02C91">
            <w:pPr>
              <w:rPr>
                <w:sz w:val="20"/>
                <w:lang w:val="fr-FR"/>
              </w:rPr>
            </w:pPr>
          </w:p>
        </w:tc>
      </w:tr>
    </w:tbl>
    <w:p w:rsidR="0006001B" w:rsidRPr="008918F0" w:rsidRDefault="00063CEC" w:rsidP="00F02C91">
      <w:pPr>
        <w:pStyle w:val="ONUMFS"/>
        <w:numPr>
          <w:ilvl w:val="0"/>
          <w:numId w:val="0"/>
        </w:numPr>
        <w:jc w:val="center"/>
        <w:rPr>
          <w:i/>
          <w:sz w:val="20"/>
          <w:lang w:val="fr-FR"/>
        </w:rPr>
      </w:pPr>
      <w:r w:rsidRPr="008918F0">
        <w:rPr>
          <w:i/>
          <w:sz w:val="20"/>
          <w:lang w:val="fr-FR"/>
        </w:rPr>
        <w:t>Tableau</w:t>
      </w:r>
      <w:r w:rsidR="003F748C" w:rsidRPr="008918F0">
        <w:rPr>
          <w:i/>
          <w:sz w:val="20"/>
          <w:lang w:val="fr-FR"/>
        </w:rPr>
        <w:t> </w:t>
      </w:r>
      <w:r w:rsidRPr="008918F0">
        <w:rPr>
          <w:i/>
          <w:sz w:val="20"/>
          <w:lang w:val="fr-FR"/>
        </w:rPr>
        <w:t>1</w:t>
      </w:r>
      <w:r w:rsidR="00C959B2" w:rsidRPr="008918F0">
        <w:rPr>
          <w:i/>
          <w:sz w:val="20"/>
          <w:lang w:val="fr-FR"/>
        </w:rPr>
        <w:t> :</w:t>
      </w:r>
      <w:r w:rsidRPr="008918F0">
        <w:rPr>
          <w:i/>
          <w:sz w:val="20"/>
          <w:lang w:val="fr-FR"/>
        </w:rPr>
        <w:t xml:space="preserve"> Risques, mesures d</w:t>
      </w:r>
      <w:r w:rsidR="00C959B2" w:rsidRPr="008918F0">
        <w:rPr>
          <w:i/>
          <w:sz w:val="20"/>
          <w:lang w:val="fr-FR"/>
        </w:rPr>
        <w:t>’</w:t>
      </w:r>
      <w:r w:rsidRPr="008918F0">
        <w:rPr>
          <w:i/>
          <w:sz w:val="20"/>
          <w:lang w:val="fr-FR"/>
        </w:rPr>
        <w:t>atténuation et analyse</w:t>
      </w:r>
    </w:p>
    <w:p w:rsidR="0006001B" w:rsidRPr="008918F0" w:rsidRDefault="00063CEC" w:rsidP="00F02C91">
      <w:pPr>
        <w:pStyle w:val="Heading5"/>
      </w:pPr>
      <w:r w:rsidRPr="008918F0">
        <w:t>Capacité du projet de s</w:t>
      </w:r>
      <w:r w:rsidR="00C959B2" w:rsidRPr="008918F0">
        <w:t>’</w:t>
      </w:r>
      <w:r w:rsidRPr="008918F0">
        <w:t>adapter aux tendances et technologies émergentes et</w:t>
      </w:r>
      <w:r w:rsidR="00D92118" w:rsidRPr="008918F0">
        <w:t xml:space="preserve"> à d</w:t>
      </w:r>
      <w:r w:rsidR="00C959B2" w:rsidRPr="008918F0">
        <w:t>’</w:t>
      </w:r>
      <w:r w:rsidR="00D92118" w:rsidRPr="008918F0">
        <w:t>autres facteurs extérieurs</w:t>
      </w:r>
    </w:p>
    <w:p w:rsidR="00F02C91" w:rsidRPr="008918F0" w:rsidRDefault="00F02C91" w:rsidP="00F02C91">
      <w:pPr>
        <w:rPr>
          <w:lang w:val="fr-FR" w:eastAsia="en-US"/>
        </w:rPr>
      </w:pPr>
    </w:p>
    <w:p w:rsidR="0006001B" w:rsidRPr="008918F0" w:rsidRDefault="00063CEC" w:rsidP="00F02C91">
      <w:pPr>
        <w:pStyle w:val="ONUMFS"/>
        <w:rPr>
          <w:lang w:val="fr-FR"/>
        </w:rPr>
      </w:pPr>
      <w:r w:rsidRPr="008918F0">
        <w:rPr>
          <w:b/>
          <w:lang w:val="fr-FR"/>
        </w:rPr>
        <w:t>Observation n</w:t>
      </w:r>
      <w:r w:rsidR="00F02C91" w:rsidRPr="008918F0">
        <w:rPr>
          <w:b/>
          <w:lang w:val="fr-FR"/>
        </w:rPr>
        <w:t>°</w:t>
      </w:r>
      <w:r w:rsidR="003F748C" w:rsidRPr="008918F0">
        <w:rPr>
          <w:b/>
          <w:lang w:val="fr-FR"/>
        </w:rPr>
        <w:t> </w:t>
      </w:r>
      <w:r w:rsidRPr="008918F0">
        <w:rPr>
          <w:b/>
          <w:lang w:val="fr-FR"/>
        </w:rPr>
        <w:t>5</w:t>
      </w:r>
      <w:r w:rsidR="00C959B2" w:rsidRPr="008918F0">
        <w:rPr>
          <w:b/>
          <w:lang w:val="fr-FR"/>
        </w:rPr>
        <w:t> :</w:t>
      </w:r>
      <w:r w:rsidRPr="008918F0">
        <w:rPr>
          <w:lang w:val="fr-FR"/>
        </w:rPr>
        <w:t xml:space="preserve"> le projet a dû s</w:t>
      </w:r>
      <w:r w:rsidR="00C959B2" w:rsidRPr="008918F0">
        <w:rPr>
          <w:lang w:val="fr-FR"/>
        </w:rPr>
        <w:t>’</w:t>
      </w:r>
      <w:r w:rsidRPr="008918F0">
        <w:rPr>
          <w:lang w:val="fr-FR"/>
        </w:rPr>
        <w:t xml:space="preserve">adapter à un certain nombre de tendances et </w:t>
      </w:r>
      <w:r w:rsidR="00D92118" w:rsidRPr="008918F0">
        <w:rPr>
          <w:lang w:val="fr-FR"/>
        </w:rPr>
        <w:t xml:space="preserve">de </w:t>
      </w:r>
      <w:r w:rsidRPr="008918F0">
        <w:rPr>
          <w:lang w:val="fr-FR"/>
        </w:rPr>
        <w:t>technologies émergentes et à d</w:t>
      </w:r>
      <w:r w:rsidR="00C959B2" w:rsidRPr="008918F0">
        <w:rPr>
          <w:lang w:val="fr-FR"/>
        </w:rPr>
        <w:t>’</w:t>
      </w:r>
      <w:r w:rsidRPr="008918F0">
        <w:rPr>
          <w:lang w:val="fr-FR"/>
        </w:rPr>
        <w:t>autres facteurs extérieu</w:t>
      </w:r>
      <w:r w:rsidR="00630E33" w:rsidRPr="008918F0">
        <w:rPr>
          <w:lang w:val="fr-FR"/>
        </w:rPr>
        <w:t>rs.  La</w:t>
      </w:r>
      <w:r w:rsidR="00D92118" w:rsidRPr="008918F0">
        <w:rPr>
          <w:lang w:val="fr-FR"/>
        </w:rPr>
        <w:t xml:space="preserve"> présente évaluation a recensé les facteurs suivants et décrit comment l</w:t>
      </w:r>
      <w:r w:rsidR="00C959B2" w:rsidRPr="008918F0">
        <w:rPr>
          <w:lang w:val="fr-FR"/>
        </w:rPr>
        <w:t>’</w:t>
      </w:r>
      <w:r w:rsidR="00D92118" w:rsidRPr="008918F0">
        <w:rPr>
          <w:lang w:val="fr-FR"/>
        </w:rPr>
        <w:t>équipe du projet y a répondu</w:t>
      </w:r>
      <w:r w:rsidR="00C959B2" w:rsidRPr="008918F0">
        <w:rPr>
          <w:lang w:val="fr-FR"/>
        </w:rPr>
        <w:t> :</w:t>
      </w:r>
    </w:p>
    <w:p w:rsidR="0006001B" w:rsidRPr="008918F0" w:rsidRDefault="004D554E" w:rsidP="00F02C91">
      <w:pPr>
        <w:pStyle w:val="ONUMFS"/>
        <w:numPr>
          <w:ilvl w:val="1"/>
          <w:numId w:val="32"/>
        </w:numPr>
        <w:rPr>
          <w:lang w:val="fr-FR"/>
        </w:rPr>
      </w:pPr>
      <w:r w:rsidRPr="008918F0">
        <w:rPr>
          <w:i/>
          <w:lang w:val="fr-FR"/>
        </w:rPr>
        <w:t xml:space="preserve">Capacités différentes des </w:t>
      </w:r>
      <w:r w:rsidR="0081059F" w:rsidRPr="008918F0">
        <w:rPr>
          <w:i/>
          <w:lang w:val="fr-FR"/>
        </w:rPr>
        <w:t>réseaux de CATI</w:t>
      </w:r>
      <w:r w:rsidR="00C959B2" w:rsidRPr="008918F0">
        <w:rPr>
          <w:i/>
          <w:lang w:val="fr-FR"/>
        </w:rPr>
        <w:t> :</w:t>
      </w:r>
      <w:r w:rsidRPr="008918F0">
        <w:rPr>
          <w:i/>
          <w:lang w:val="fr-FR"/>
        </w:rPr>
        <w:t xml:space="preserve"> </w:t>
      </w:r>
      <w:r w:rsidRPr="008918F0">
        <w:rPr>
          <w:lang w:val="fr-FR"/>
        </w:rPr>
        <w:t>du fait de</w:t>
      </w:r>
      <w:r w:rsidRPr="008918F0">
        <w:rPr>
          <w:i/>
          <w:lang w:val="fr-FR"/>
        </w:rPr>
        <w:t xml:space="preserve"> </w:t>
      </w:r>
      <w:r w:rsidRPr="008918F0">
        <w:rPr>
          <w:lang w:val="fr-FR"/>
        </w:rPr>
        <w:t xml:space="preserve">la nature des </w:t>
      </w:r>
      <w:r w:rsidR="0081059F" w:rsidRPr="008918F0">
        <w:rPr>
          <w:lang w:val="fr-FR"/>
        </w:rPr>
        <w:t>réseaux de CATI</w:t>
      </w:r>
      <w:r w:rsidRPr="008918F0">
        <w:rPr>
          <w:lang w:val="fr-FR"/>
        </w:rPr>
        <w:t xml:space="preserve">, le modèle et la configuration varient selon le pays et le niveau de maturité du réseau CATI dépend dans une large mesure </w:t>
      </w:r>
      <w:r w:rsidR="000A3AC1" w:rsidRPr="008918F0">
        <w:rPr>
          <w:lang w:val="fr-FR"/>
        </w:rPr>
        <w:t>du contex</w:t>
      </w:r>
      <w:r w:rsidR="00630E33" w:rsidRPr="008918F0">
        <w:rPr>
          <w:lang w:val="fr-FR"/>
        </w:rPr>
        <w:t>te.  Pa</w:t>
      </w:r>
      <w:r w:rsidRPr="008918F0">
        <w:rPr>
          <w:lang w:val="fr-FR"/>
        </w:rPr>
        <w:t>r conséquent, l</w:t>
      </w:r>
      <w:r w:rsidR="00C959B2" w:rsidRPr="008918F0">
        <w:rPr>
          <w:lang w:val="fr-FR"/>
        </w:rPr>
        <w:t>’</w:t>
      </w:r>
      <w:r w:rsidRPr="008918F0">
        <w:rPr>
          <w:lang w:val="fr-FR"/>
        </w:rPr>
        <w:t xml:space="preserve">équipe du projet a dû choisir soigneusement les </w:t>
      </w:r>
      <w:r w:rsidR="0081059F" w:rsidRPr="008918F0">
        <w:rPr>
          <w:lang w:val="fr-FR"/>
        </w:rPr>
        <w:t>réseaux de CATI</w:t>
      </w:r>
      <w:r w:rsidRPr="008918F0">
        <w:rPr>
          <w:lang w:val="fr-FR"/>
        </w:rPr>
        <w:t xml:space="preserve"> participants afin de s</w:t>
      </w:r>
      <w:r w:rsidR="00C959B2" w:rsidRPr="008918F0">
        <w:rPr>
          <w:lang w:val="fr-FR"/>
        </w:rPr>
        <w:t>’</w:t>
      </w:r>
      <w:r w:rsidRPr="008918F0">
        <w:rPr>
          <w:lang w:val="fr-FR"/>
        </w:rPr>
        <w:t>assurer qu</w:t>
      </w:r>
      <w:r w:rsidR="00C959B2" w:rsidRPr="008918F0">
        <w:rPr>
          <w:lang w:val="fr-FR"/>
        </w:rPr>
        <w:t>’</w:t>
      </w:r>
      <w:r w:rsidRPr="008918F0">
        <w:rPr>
          <w:lang w:val="fr-FR"/>
        </w:rPr>
        <w:t xml:space="preserve">ils avaient atteint un niveau de maturité adéquat pour piloter et </w:t>
      </w:r>
      <w:r w:rsidR="000A3AC1" w:rsidRPr="008918F0">
        <w:rPr>
          <w:lang w:val="fr-FR"/>
        </w:rPr>
        <w:t>être à même d</w:t>
      </w:r>
      <w:r w:rsidR="00C959B2" w:rsidRPr="008918F0">
        <w:rPr>
          <w:lang w:val="fr-FR"/>
        </w:rPr>
        <w:t>’</w:t>
      </w:r>
      <w:r w:rsidRPr="008918F0">
        <w:rPr>
          <w:lang w:val="fr-FR"/>
        </w:rPr>
        <w:t>utiliser les guid</w:t>
      </w:r>
      <w:r w:rsidR="00630E33" w:rsidRPr="008918F0">
        <w:rPr>
          <w:lang w:val="fr-FR"/>
        </w:rPr>
        <w:t>es.  Né</w:t>
      </w:r>
      <w:r w:rsidRPr="008918F0">
        <w:rPr>
          <w:lang w:val="fr-FR"/>
        </w:rPr>
        <w:t>anmoins, comme l</w:t>
      </w:r>
      <w:r w:rsidR="00C959B2" w:rsidRPr="008918F0">
        <w:rPr>
          <w:lang w:val="fr-FR"/>
        </w:rPr>
        <w:t>’</w:t>
      </w:r>
      <w:r w:rsidRPr="008918F0">
        <w:rPr>
          <w:lang w:val="fr-FR"/>
        </w:rPr>
        <w:t xml:space="preserve">ont signalé les experts nationaux, </w:t>
      </w:r>
      <w:bookmarkStart w:id="20" w:name="_Toc336032071"/>
      <w:r w:rsidRPr="008918F0">
        <w:rPr>
          <w:lang w:val="fr-FR"/>
        </w:rPr>
        <w:t xml:space="preserve">des variations existaient également au sein des </w:t>
      </w:r>
      <w:r w:rsidR="0081059F" w:rsidRPr="008918F0">
        <w:rPr>
          <w:lang w:val="fr-FR"/>
        </w:rPr>
        <w:t>réseaux de CATI</w:t>
      </w:r>
      <w:r w:rsidRPr="008918F0">
        <w:rPr>
          <w:lang w:val="fr-FR"/>
        </w:rPr>
        <w:t>, certains membres du personnel et utilisateurs disposant d</w:t>
      </w:r>
      <w:r w:rsidR="00C959B2" w:rsidRPr="008918F0">
        <w:rPr>
          <w:lang w:val="fr-FR"/>
        </w:rPr>
        <w:t>’</w:t>
      </w:r>
      <w:r w:rsidRPr="008918F0">
        <w:rPr>
          <w:lang w:val="fr-FR"/>
        </w:rPr>
        <w:t>une expérience leur permettant d</w:t>
      </w:r>
      <w:r w:rsidR="00C959B2" w:rsidRPr="008918F0">
        <w:rPr>
          <w:lang w:val="fr-FR"/>
        </w:rPr>
        <w:t>’</w:t>
      </w:r>
      <w:r w:rsidRPr="008918F0">
        <w:rPr>
          <w:lang w:val="fr-FR"/>
        </w:rPr>
        <w:t>utiliser les guides et d</w:t>
      </w:r>
      <w:r w:rsidR="00C959B2" w:rsidRPr="008918F0">
        <w:rPr>
          <w:lang w:val="fr-FR"/>
        </w:rPr>
        <w:t>’</w:t>
      </w:r>
      <w:r w:rsidRPr="008918F0">
        <w:rPr>
          <w:lang w:val="fr-FR"/>
        </w:rPr>
        <w:t>autres non;</w:t>
      </w:r>
    </w:p>
    <w:p w:rsidR="0006001B" w:rsidRPr="008918F0" w:rsidRDefault="006F1093" w:rsidP="00F02C91">
      <w:pPr>
        <w:pStyle w:val="ONUMFS"/>
        <w:numPr>
          <w:ilvl w:val="1"/>
          <w:numId w:val="32"/>
        </w:numPr>
        <w:rPr>
          <w:lang w:val="fr-FR"/>
        </w:rPr>
      </w:pPr>
      <w:r w:rsidRPr="008918F0">
        <w:rPr>
          <w:i/>
          <w:lang w:val="fr-FR"/>
        </w:rPr>
        <w:t>U</w:t>
      </w:r>
      <w:r w:rsidR="004D554E" w:rsidRPr="008918F0">
        <w:rPr>
          <w:i/>
          <w:lang w:val="fr-FR"/>
        </w:rPr>
        <w:t>tilisation de cartes dans les outils en ligne de l</w:t>
      </w:r>
      <w:r w:rsidR="00C959B2" w:rsidRPr="008918F0">
        <w:rPr>
          <w:i/>
          <w:lang w:val="fr-FR"/>
        </w:rPr>
        <w:t>’</w:t>
      </w:r>
      <w:r w:rsidR="004D554E" w:rsidRPr="008918F0">
        <w:rPr>
          <w:i/>
          <w:lang w:val="fr-FR"/>
        </w:rPr>
        <w:t>OMPI</w:t>
      </w:r>
      <w:r w:rsidR="00C959B2" w:rsidRPr="008918F0">
        <w:rPr>
          <w:i/>
          <w:lang w:val="fr-FR"/>
        </w:rPr>
        <w:t> :</w:t>
      </w:r>
      <w:r w:rsidR="00F844F3" w:rsidRPr="008918F0">
        <w:rPr>
          <w:lang w:val="fr-FR"/>
        </w:rPr>
        <w:t xml:space="preserve"> </w:t>
      </w:r>
      <w:r w:rsidR="004D554E" w:rsidRPr="008918F0">
        <w:rPr>
          <w:lang w:val="fr-FR"/>
        </w:rPr>
        <w:t>l</w:t>
      </w:r>
      <w:r w:rsidR="00C959B2" w:rsidRPr="008918F0">
        <w:rPr>
          <w:lang w:val="fr-FR"/>
        </w:rPr>
        <w:t>’</w:t>
      </w:r>
      <w:r w:rsidR="004D554E" w:rsidRPr="008918F0">
        <w:rPr>
          <w:lang w:val="fr-FR"/>
        </w:rPr>
        <w:t xml:space="preserve">étude </w:t>
      </w:r>
      <w:r w:rsidR="000A3AC1" w:rsidRPr="008918F0">
        <w:rPr>
          <w:lang w:val="fr-FR"/>
        </w:rPr>
        <w:t>sur la facilité d</w:t>
      </w:r>
      <w:r w:rsidR="00C959B2" w:rsidRPr="008918F0">
        <w:rPr>
          <w:lang w:val="fr-FR"/>
        </w:rPr>
        <w:t>’</w:t>
      </w:r>
      <w:r w:rsidR="000A3AC1" w:rsidRPr="008918F0">
        <w:rPr>
          <w:lang w:val="fr-FR"/>
        </w:rPr>
        <w:t>utilisation en vue</w:t>
      </w:r>
      <w:r w:rsidR="004D554E" w:rsidRPr="008918F0">
        <w:rPr>
          <w:lang w:val="fr-FR"/>
        </w:rPr>
        <w:t xml:space="preserve"> du développement du portail amélioré sur la situation juridique a mis en évidence l</w:t>
      </w:r>
      <w:r w:rsidR="00C959B2" w:rsidRPr="008918F0">
        <w:rPr>
          <w:lang w:val="fr-FR"/>
        </w:rPr>
        <w:t>’</w:t>
      </w:r>
      <w:r w:rsidR="004D554E" w:rsidRPr="008918F0">
        <w:rPr>
          <w:lang w:val="fr-FR"/>
        </w:rPr>
        <w:t>avantage d</w:t>
      </w:r>
      <w:r w:rsidR="00C959B2" w:rsidRPr="008918F0">
        <w:rPr>
          <w:lang w:val="fr-FR"/>
        </w:rPr>
        <w:t>’</w:t>
      </w:r>
      <w:r w:rsidR="004D554E" w:rsidRPr="008918F0">
        <w:rPr>
          <w:lang w:val="fr-FR"/>
        </w:rPr>
        <w:t>utiliser une carte du monde afin de faciliter la recherche d</w:t>
      </w:r>
      <w:r w:rsidR="00C959B2" w:rsidRPr="008918F0">
        <w:rPr>
          <w:lang w:val="fr-FR"/>
        </w:rPr>
        <w:t>’</w:t>
      </w:r>
      <w:r w:rsidR="004D554E" w:rsidRPr="008918F0">
        <w:rPr>
          <w:lang w:val="fr-FR"/>
        </w:rPr>
        <w:t>informations relatives à la situation juridique (p.</w:t>
      </w:r>
      <w:r w:rsidR="00DB6EA5" w:rsidRPr="008918F0">
        <w:rPr>
          <w:lang w:val="fr-FR"/>
        </w:rPr>
        <w:t> </w:t>
      </w:r>
      <w:r w:rsidR="004D554E" w:rsidRPr="008918F0">
        <w:rPr>
          <w:lang w:val="fr-FR"/>
        </w:rPr>
        <w:t>ex.</w:t>
      </w:r>
      <w:r w:rsidR="00DB6EA5" w:rsidRPr="008918F0">
        <w:rPr>
          <w:lang w:val="fr-FR"/>
        </w:rPr>
        <w:t> </w:t>
      </w:r>
      <w:r w:rsidR="004D554E" w:rsidRPr="008918F0">
        <w:rPr>
          <w:lang w:val="fr-FR"/>
        </w:rPr>
        <w:t>un utilisateur cherchera souvent des informations dans les pays voisins ou dans certaines régions géographiques).  L</w:t>
      </w:r>
      <w:r w:rsidR="00C959B2" w:rsidRPr="008918F0">
        <w:rPr>
          <w:lang w:val="fr-FR"/>
        </w:rPr>
        <w:t>’</w:t>
      </w:r>
      <w:r w:rsidR="004D554E" w:rsidRPr="008918F0">
        <w:rPr>
          <w:lang w:val="fr-FR"/>
        </w:rPr>
        <w:t>utilisation de cartes sur les sites</w:t>
      </w:r>
      <w:r w:rsidR="00DB6EA5" w:rsidRPr="008918F0">
        <w:rPr>
          <w:lang w:val="fr-FR"/>
        </w:rPr>
        <w:t> </w:t>
      </w:r>
      <w:r w:rsidR="004D554E" w:rsidRPr="008918F0">
        <w:rPr>
          <w:lang w:val="fr-FR"/>
        </w:rPr>
        <w:t>Web et dans les outils de l</w:t>
      </w:r>
      <w:r w:rsidR="00C959B2" w:rsidRPr="008918F0">
        <w:rPr>
          <w:lang w:val="fr-FR"/>
        </w:rPr>
        <w:t>’</w:t>
      </w:r>
      <w:r w:rsidR="004D554E" w:rsidRPr="008918F0">
        <w:rPr>
          <w:lang w:val="fr-FR"/>
        </w:rPr>
        <w:t>OMPI n</w:t>
      </w:r>
      <w:r w:rsidR="00C959B2" w:rsidRPr="008918F0">
        <w:rPr>
          <w:lang w:val="fr-FR"/>
        </w:rPr>
        <w:t>’</w:t>
      </w:r>
      <w:r w:rsidR="004D554E" w:rsidRPr="008918F0">
        <w:rPr>
          <w:lang w:val="fr-FR"/>
        </w:rPr>
        <w:t>a toutefois pas été encouragée en interne en raison des questions politiques liées aux cartes (</w:t>
      </w:r>
      <w:r w:rsidR="00C959B2" w:rsidRPr="008918F0">
        <w:rPr>
          <w:lang w:val="fr-FR"/>
        </w:rPr>
        <w:t>à savoir</w:t>
      </w:r>
      <w:r w:rsidR="004D554E" w:rsidRPr="008918F0">
        <w:rPr>
          <w:lang w:val="fr-FR"/>
        </w:rPr>
        <w:t xml:space="preserve"> les frontières et États controvers</w:t>
      </w:r>
      <w:r w:rsidR="00630E33" w:rsidRPr="008918F0">
        <w:rPr>
          <w:lang w:val="fr-FR"/>
        </w:rPr>
        <w:t>és).  Ce</w:t>
      </w:r>
      <w:r w:rsidR="004D554E" w:rsidRPr="008918F0">
        <w:rPr>
          <w:lang w:val="fr-FR"/>
        </w:rPr>
        <w:t>tte question a été résolue</w:t>
      </w:r>
      <w:r w:rsidR="000A06BE" w:rsidRPr="008918F0">
        <w:rPr>
          <w:lang w:val="fr-FR"/>
        </w:rPr>
        <w:t xml:space="preserve"> par l</w:t>
      </w:r>
      <w:r w:rsidR="00C959B2" w:rsidRPr="008918F0">
        <w:rPr>
          <w:lang w:val="fr-FR"/>
        </w:rPr>
        <w:t>’</w:t>
      </w:r>
      <w:r w:rsidR="000A06BE" w:rsidRPr="008918F0">
        <w:rPr>
          <w:lang w:val="fr-FR"/>
        </w:rPr>
        <w:t>équipe du projet qui a lancé une initiative ayant abouti à la signature d</w:t>
      </w:r>
      <w:r w:rsidR="00C959B2" w:rsidRPr="008918F0">
        <w:rPr>
          <w:lang w:val="fr-FR"/>
        </w:rPr>
        <w:t>’</w:t>
      </w:r>
      <w:r w:rsidR="000A06BE" w:rsidRPr="008918F0">
        <w:rPr>
          <w:lang w:val="fr-FR"/>
        </w:rPr>
        <w:t xml:space="preserve">un accord avec le Groupe des </w:t>
      </w:r>
      <w:r w:rsidR="00C959B2" w:rsidRPr="008918F0">
        <w:rPr>
          <w:lang w:val="fr-FR"/>
        </w:rPr>
        <w:t>Nations Unies</w:t>
      </w:r>
      <w:r w:rsidR="000A06BE" w:rsidRPr="008918F0">
        <w:rPr>
          <w:lang w:val="fr-FR"/>
        </w:rPr>
        <w:t xml:space="preserve"> sur la société de l</w:t>
      </w:r>
      <w:r w:rsidR="00C959B2" w:rsidRPr="008918F0">
        <w:rPr>
          <w:lang w:val="fr-FR"/>
        </w:rPr>
        <w:t>’</w:t>
      </w:r>
      <w:r w:rsidR="000A06BE" w:rsidRPr="008918F0">
        <w:rPr>
          <w:lang w:val="fr-FR"/>
        </w:rPr>
        <w:t xml:space="preserve">information (UNGIS) </w:t>
      </w:r>
      <w:r w:rsidR="000A3AC1" w:rsidRPr="008918F0">
        <w:rPr>
          <w:lang w:val="fr-FR"/>
        </w:rPr>
        <w:t>concernant</w:t>
      </w:r>
      <w:r w:rsidR="000A06BE" w:rsidRPr="008918F0">
        <w:rPr>
          <w:lang w:val="fr-FR"/>
        </w:rPr>
        <w:t xml:space="preserve"> l</w:t>
      </w:r>
      <w:r w:rsidR="00C959B2" w:rsidRPr="008918F0">
        <w:rPr>
          <w:lang w:val="fr-FR"/>
        </w:rPr>
        <w:t>’</w:t>
      </w:r>
      <w:r w:rsidR="000A06BE" w:rsidRPr="008918F0">
        <w:rPr>
          <w:lang w:val="fr-FR"/>
        </w:rPr>
        <w:t xml:space="preserve">utilisation des données officielles des </w:t>
      </w:r>
      <w:r w:rsidR="00AB7A2D" w:rsidRPr="00AB7A2D">
        <w:rPr>
          <w:lang w:val="fr-FR"/>
        </w:rPr>
        <w:t>Nations Unies</w:t>
      </w:r>
      <w:r w:rsidR="000A06BE" w:rsidRPr="008918F0">
        <w:rPr>
          <w:lang w:val="fr-FR"/>
        </w:rPr>
        <w:t xml:space="preserve"> sur les frontières internationales, qui a permis d</w:t>
      </w:r>
      <w:r w:rsidR="00C959B2" w:rsidRPr="008918F0">
        <w:rPr>
          <w:lang w:val="fr-FR"/>
        </w:rPr>
        <w:t>’</w:t>
      </w:r>
      <w:r w:rsidR="000A06BE" w:rsidRPr="008918F0">
        <w:rPr>
          <w:lang w:val="fr-FR"/>
        </w:rPr>
        <w:t xml:space="preserve">utiliser pour le portail amélioré </w:t>
      </w:r>
      <w:r w:rsidR="000A3AC1" w:rsidRPr="008918F0">
        <w:rPr>
          <w:lang w:val="fr-FR"/>
        </w:rPr>
        <w:t xml:space="preserve">une carte du monde </w:t>
      </w:r>
      <w:r w:rsidR="000A06BE" w:rsidRPr="008918F0">
        <w:rPr>
          <w:lang w:val="fr-FR"/>
        </w:rPr>
        <w:t>qui soit conforme aux politiques de l</w:t>
      </w:r>
      <w:r w:rsidR="00C959B2" w:rsidRPr="008918F0">
        <w:rPr>
          <w:lang w:val="fr-FR"/>
        </w:rPr>
        <w:t>’</w:t>
      </w:r>
      <w:r w:rsidR="000A06BE" w:rsidRPr="008918F0">
        <w:rPr>
          <w:lang w:val="fr-FR"/>
        </w:rPr>
        <w:t>organisation.</w:t>
      </w:r>
    </w:p>
    <w:p w:rsidR="0006001B" w:rsidRPr="008918F0" w:rsidRDefault="00FB6E4B" w:rsidP="00F02C91">
      <w:pPr>
        <w:pStyle w:val="Heading2"/>
      </w:pPr>
      <w:bookmarkStart w:id="21" w:name="_Toc20743530"/>
      <w:r w:rsidRPr="008918F0">
        <w:t>Eff</w:t>
      </w:r>
      <w:r w:rsidR="000A06BE" w:rsidRPr="008918F0">
        <w:t>icacité du projet</w:t>
      </w:r>
      <w:bookmarkEnd w:id="20"/>
      <w:bookmarkEnd w:id="21"/>
    </w:p>
    <w:p w:rsidR="0006001B" w:rsidRPr="008918F0" w:rsidRDefault="000A06BE" w:rsidP="00F02C91">
      <w:pPr>
        <w:pStyle w:val="Heading5"/>
      </w:pPr>
      <w:r w:rsidRPr="008918F0">
        <w:t>Efficacité et utili</w:t>
      </w:r>
      <w:r w:rsidR="000A3AC1" w:rsidRPr="008918F0">
        <w:t>t</w:t>
      </w:r>
      <w:r w:rsidRPr="008918F0">
        <w:t xml:space="preserve">é des guides pratiques du projet sur </w:t>
      </w:r>
      <w:r w:rsidR="00025F69" w:rsidRPr="008918F0">
        <w:t>l</w:t>
      </w:r>
      <w:r w:rsidR="00C959B2" w:rsidRPr="008918F0">
        <w:t>’</w:t>
      </w:r>
      <w:r w:rsidR="00025F69" w:rsidRPr="008918F0">
        <w:t>identification</w:t>
      </w:r>
      <w:r w:rsidRPr="008918F0">
        <w:t xml:space="preserve"> et l</w:t>
      </w:r>
      <w:r w:rsidR="00C959B2" w:rsidRPr="008918F0">
        <w:t>’</w:t>
      </w:r>
      <w:r w:rsidRPr="008918F0">
        <w:t>utilisation d</w:t>
      </w:r>
      <w:r w:rsidR="00C959B2" w:rsidRPr="008918F0">
        <w:t>’</w:t>
      </w:r>
      <w:r w:rsidRPr="008918F0">
        <w:t>inventions se trouvant dans le domaine public et consignation des expériences et bonnes pratiques dans ces domaines par certains CATI, en particulier dans les pays en développement</w:t>
      </w:r>
    </w:p>
    <w:p w:rsidR="0006001B" w:rsidRPr="008918F0" w:rsidRDefault="0006001B" w:rsidP="00F02C91">
      <w:pPr>
        <w:rPr>
          <w:lang w:val="fr-FR"/>
        </w:rPr>
      </w:pPr>
    </w:p>
    <w:p w:rsidR="0006001B" w:rsidRPr="008918F0" w:rsidRDefault="000A06BE" w:rsidP="00F02C91">
      <w:pPr>
        <w:pStyle w:val="ONUMFS"/>
        <w:rPr>
          <w:lang w:val="fr-FR"/>
        </w:rPr>
      </w:pPr>
      <w:r w:rsidRPr="008918F0">
        <w:rPr>
          <w:b/>
          <w:lang w:val="fr-FR"/>
        </w:rPr>
        <w:t>Observation n</w:t>
      </w:r>
      <w:r w:rsidR="00F02C91" w:rsidRPr="008918F0">
        <w:rPr>
          <w:b/>
          <w:lang w:val="fr-FR"/>
        </w:rPr>
        <w:t>°</w:t>
      </w:r>
      <w:r w:rsidRPr="008918F0">
        <w:rPr>
          <w:b/>
          <w:lang w:val="fr-FR"/>
        </w:rPr>
        <w:t> 6</w:t>
      </w:r>
      <w:r w:rsidR="00C959B2" w:rsidRPr="008918F0">
        <w:rPr>
          <w:b/>
          <w:lang w:val="fr-FR"/>
        </w:rPr>
        <w:t> :</w:t>
      </w:r>
      <w:r w:rsidR="00F95442" w:rsidRPr="008918F0">
        <w:rPr>
          <w:lang w:val="fr-FR"/>
        </w:rPr>
        <w:t xml:space="preserve"> </w:t>
      </w:r>
      <w:r w:rsidR="00583047" w:rsidRPr="008918F0">
        <w:rPr>
          <w:lang w:val="fr-FR"/>
        </w:rPr>
        <w:t xml:space="preserve">chacun </w:t>
      </w:r>
      <w:r w:rsidR="000A3AC1" w:rsidRPr="008918F0">
        <w:rPr>
          <w:lang w:val="fr-FR"/>
        </w:rPr>
        <w:t xml:space="preserve">des </w:t>
      </w:r>
      <w:r w:rsidR="00583047" w:rsidRPr="008918F0">
        <w:rPr>
          <w:lang w:val="fr-FR"/>
        </w:rPr>
        <w:t>deux</w:t>
      </w:r>
      <w:r w:rsidR="00DB6EA5" w:rsidRPr="008918F0">
        <w:rPr>
          <w:lang w:val="fr-FR"/>
        </w:rPr>
        <w:t> </w:t>
      </w:r>
      <w:r w:rsidR="00583047" w:rsidRPr="008918F0">
        <w:rPr>
          <w:lang w:val="fr-FR"/>
        </w:rPr>
        <w:t>guides a été rédigé par un expert principal (auteur) et cinq</w:t>
      </w:r>
      <w:r w:rsidR="00DB6EA5" w:rsidRPr="008918F0">
        <w:rPr>
          <w:lang w:val="fr-FR"/>
        </w:rPr>
        <w:t> </w:t>
      </w:r>
      <w:r w:rsidR="00583047" w:rsidRPr="008918F0">
        <w:rPr>
          <w:lang w:val="fr-FR"/>
        </w:rPr>
        <w:t>experts associés spécialis</w:t>
      </w:r>
      <w:r w:rsidR="00630E33" w:rsidRPr="008918F0">
        <w:rPr>
          <w:lang w:val="fr-FR"/>
        </w:rPr>
        <w:t>és.  Le</w:t>
      </w:r>
      <w:r w:rsidR="00583047" w:rsidRPr="008918F0">
        <w:rPr>
          <w:lang w:val="fr-FR"/>
        </w:rPr>
        <w:t>s guides ont fait l</w:t>
      </w:r>
      <w:r w:rsidR="00C959B2" w:rsidRPr="008918F0">
        <w:rPr>
          <w:lang w:val="fr-FR"/>
        </w:rPr>
        <w:t>’</w:t>
      </w:r>
      <w:r w:rsidR="00583047" w:rsidRPr="008918F0">
        <w:rPr>
          <w:lang w:val="fr-FR"/>
        </w:rPr>
        <w:t>objet d</w:t>
      </w:r>
      <w:r w:rsidR="00C959B2" w:rsidRPr="008918F0">
        <w:rPr>
          <w:lang w:val="fr-FR"/>
        </w:rPr>
        <w:t>’</w:t>
      </w:r>
      <w:r w:rsidR="00583047" w:rsidRPr="008918F0">
        <w:rPr>
          <w:lang w:val="fr-FR"/>
        </w:rPr>
        <w:t>un test pilote dans neuf</w:t>
      </w:r>
      <w:r w:rsidR="00DB6EA5" w:rsidRPr="008918F0">
        <w:rPr>
          <w:lang w:val="fr-FR"/>
        </w:rPr>
        <w:t> </w:t>
      </w:r>
      <w:r w:rsidR="00583047" w:rsidRPr="008918F0">
        <w:rPr>
          <w:lang w:val="fr-FR"/>
        </w:rPr>
        <w:t xml:space="preserve">pays (voir la note de bas de page </w:t>
      </w:r>
      <w:r w:rsidR="00DB6EA5" w:rsidRPr="008918F0">
        <w:rPr>
          <w:lang w:val="fr-FR"/>
        </w:rPr>
        <w:t>n°</w:t>
      </w:r>
      <w:r w:rsidR="00583047" w:rsidRPr="008918F0">
        <w:rPr>
          <w:lang w:val="fr-FR"/>
        </w:rPr>
        <w:t> 1)</w:t>
      </w:r>
      <w:r w:rsidR="000A3AC1" w:rsidRPr="008918F0">
        <w:rPr>
          <w:lang w:val="fr-FR"/>
        </w:rPr>
        <w:t>,</w:t>
      </w:r>
      <w:r w:rsidR="00583047" w:rsidRPr="008918F0">
        <w:rPr>
          <w:lang w:val="fr-FR"/>
        </w:rPr>
        <w:t xml:space="preserve"> avec l</w:t>
      </w:r>
      <w:r w:rsidR="00C959B2" w:rsidRPr="008918F0">
        <w:rPr>
          <w:lang w:val="fr-FR"/>
        </w:rPr>
        <w:t>’</w:t>
      </w:r>
      <w:r w:rsidR="00583047" w:rsidRPr="008918F0">
        <w:rPr>
          <w:lang w:val="fr-FR"/>
        </w:rPr>
        <w:t>appui d</w:t>
      </w:r>
      <w:r w:rsidR="00C959B2" w:rsidRPr="008918F0">
        <w:rPr>
          <w:lang w:val="fr-FR"/>
        </w:rPr>
        <w:t>’</w:t>
      </w:r>
      <w:r w:rsidR="00583047" w:rsidRPr="008918F0">
        <w:rPr>
          <w:lang w:val="fr-FR"/>
        </w:rPr>
        <w:t xml:space="preserve">experts nationaux et la collaboration des </w:t>
      </w:r>
      <w:r w:rsidR="0081059F" w:rsidRPr="008918F0">
        <w:rPr>
          <w:lang w:val="fr-FR"/>
        </w:rPr>
        <w:lastRenderedPageBreak/>
        <w:t>réseaux de C</w:t>
      </w:r>
      <w:r w:rsidR="00630E33" w:rsidRPr="008918F0">
        <w:rPr>
          <w:lang w:val="fr-FR"/>
        </w:rPr>
        <w:t>ATI.  Le</w:t>
      </w:r>
      <w:r w:rsidR="00583047" w:rsidRPr="008918F0">
        <w:rPr>
          <w:lang w:val="fr-FR"/>
        </w:rPr>
        <w:t xml:space="preserve"> processus de pilotage a inclus une révision des guides avec le personnel</w:t>
      </w:r>
      <w:r w:rsidR="00C959B2" w:rsidRPr="008918F0">
        <w:rPr>
          <w:lang w:val="fr-FR"/>
        </w:rPr>
        <w:t xml:space="preserve"> des CAT</w:t>
      </w:r>
      <w:r w:rsidR="00583047" w:rsidRPr="008918F0">
        <w:rPr>
          <w:lang w:val="fr-FR"/>
        </w:rPr>
        <w:t>I et d</w:t>
      </w:r>
      <w:r w:rsidR="00C959B2" w:rsidRPr="008918F0">
        <w:rPr>
          <w:lang w:val="fr-FR"/>
        </w:rPr>
        <w:t>’</w:t>
      </w:r>
      <w:r w:rsidR="00583047" w:rsidRPr="008918F0">
        <w:rPr>
          <w:lang w:val="fr-FR"/>
        </w:rPr>
        <w:t>autres utilisateurs potentiels, comme des inventeu</w:t>
      </w:r>
      <w:r w:rsidR="00630E33" w:rsidRPr="008918F0">
        <w:rPr>
          <w:lang w:val="fr-FR"/>
        </w:rPr>
        <w:t>rs.  Gr</w:t>
      </w:r>
      <w:r w:rsidR="00583047" w:rsidRPr="008918F0">
        <w:rPr>
          <w:lang w:val="fr-FR"/>
        </w:rPr>
        <w:t>âce à ce processus, des exemples pratiques ont été recueillis sur le domaine public et intégrés dans la version définitive des guides, en plus d</w:t>
      </w:r>
      <w:r w:rsidR="00C959B2" w:rsidRPr="008918F0">
        <w:rPr>
          <w:lang w:val="fr-FR"/>
        </w:rPr>
        <w:t>’</w:t>
      </w:r>
      <w:r w:rsidR="00583047" w:rsidRPr="008918F0">
        <w:rPr>
          <w:lang w:val="fr-FR"/>
        </w:rPr>
        <w:t>autres suggestions émises par les experts nationaux,</w:t>
      </w:r>
      <w:r w:rsidR="00C959B2" w:rsidRPr="008918F0">
        <w:rPr>
          <w:lang w:val="fr-FR"/>
        </w:rPr>
        <w:t xml:space="preserve"> les CAT</w:t>
      </w:r>
      <w:r w:rsidR="00583047" w:rsidRPr="008918F0">
        <w:rPr>
          <w:lang w:val="fr-FR"/>
        </w:rPr>
        <w:t>I et les utilisateurs potentie</w:t>
      </w:r>
      <w:r w:rsidR="00630E33" w:rsidRPr="008918F0">
        <w:rPr>
          <w:lang w:val="fr-FR"/>
        </w:rPr>
        <w:t>ls.  Le</w:t>
      </w:r>
      <w:r w:rsidR="00583047" w:rsidRPr="008918F0">
        <w:rPr>
          <w:lang w:val="fr-FR"/>
        </w:rPr>
        <w:t>s travaux relatifs aux guides ont débuté en octobre 2016 et avaient atteint la phase finale de relecture et de mise en page en septembre 2019 (version anglai</w:t>
      </w:r>
      <w:r w:rsidR="00630E33" w:rsidRPr="008918F0">
        <w:rPr>
          <w:lang w:val="fr-FR"/>
        </w:rPr>
        <w:t>se).  La</w:t>
      </w:r>
      <w:r w:rsidR="00583047" w:rsidRPr="008918F0">
        <w:rPr>
          <w:lang w:val="fr-FR"/>
        </w:rPr>
        <w:t xml:space="preserve"> publication des deux</w:t>
      </w:r>
      <w:r w:rsidR="00DB6EA5" w:rsidRPr="008918F0">
        <w:rPr>
          <w:lang w:val="fr-FR"/>
        </w:rPr>
        <w:t> </w:t>
      </w:r>
      <w:r w:rsidR="00583047" w:rsidRPr="008918F0">
        <w:rPr>
          <w:lang w:val="fr-FR"/>
        </w:rPr>
        <w:t>guides est prévue avant la fin de l</w:t>
      </w:r>
      <w:r w:rsidR="00C959B2" w:rsidRPr="008918F0">
        <w:rPr>
          <w:lang w:val="fr-FR"/>
        </w:rPr>
        <w:t>’</w:t>
      </w:r>
      <w:r w:rsidR="00583047" w:rsidRPr="008918F0">
        <w:rPr>
          <w:lang w:val="fr-FR"/>
        </w:rPr>
        <w:t xml:space="preserve">année 2019 et les autres versions linguistiques sont attendues </w:t>
      </w:r>
      <w:r w:rsidR="00C959B2" w:rsidRPr="008918F0">
        <w:rPr>
          <w:lang w:val="fr-FR"/>
        </w:rPr>
        <w:t>en 2020</w:t>
      </w:r>
      <w:r w:rsidR="00583047" w:rsidRPr="008918F0">
        <w:rPr>
          <w:lang w:val="fr-FR"/>
        </w:rPr>
        <w:t>.</w:t>
      </w:r>
    </w:p>
    <w:p w:rsidR="0006001B" w:rsidRPr="008918F0" w:rsidRDefault="00583047" w:rsidP="00F02C91">
      <w:pPr>
        <w:pStyle w:val="ONUMFS"/>
        <w:rPr>
          <w:lang w:val="fr-FR"/>
        </w:rPr>
      </w:pPr>
      <w:r w:rsidRPr="008918F0">
        <w:rPr>
          <w:b/>
          <w:lang w:val="fr-FR"/>
        </w:rPr>
        <w:t>Observation n</w:t>
      </w:r>
      <w:r w:rsidR="00F02C91" w:rsidRPr="008918F0">
        <w:rPr>
          <w:b/>
          <w:lang w:val="fr-FR"/>
        </w:rPr>
        <w:t>°</w:t>
      </w:r>
      <w:r w:rsidRPr="008918F0">
        <w:rPr>
          <w:b/>
          <w:lang w:val="fr-FR"/>
        </w:rPr>
        <w:t> </w:t>
      </w:r>
      <w:r w:rsidR="00D01D72" w:rsidRPr="008918F0">
        <w:rPr>
          <w:b/>
          <w:lang w:val="fr-FR"/>
        </w:rPr>
        <w:t>7</w:t>
      </w:r>
      <w:r w:rsidR="00C959B2" w:rsidRPr="008918F0">
        <w:rPr>
          <w:b/>
          <w:lang w:val="fr-FR"/>
        </w:rPr>
        <w:t> :</w:t>
      </w:r>
      <w:r w:rsidR="00D01D72" w:rsidRPr="008918F0">
        <w:rPr>
          <w:lang w:val="fr-FR"/>
        </w:rPr>
        <w:t xml:space="preserve"> </w:t>
      </w:r>
      <w:r w:rsidR="004B758E" w:rsidRPr="008918F0">
        <w:rPr>
          <w:lang w:val="fr-FR"/>
        </w:rPr>
        <w:t>l</w:t>
      </w:r>
      <w:r w:rsidRPr="008918F0">
        <w:rPr>
          <w:lang w:val="fr-FR"/>
        </w:rPr>
        <w:t>e délai de trois</w:t>
      </w:r>
      <w:r w:rsidR="00DB6EA5" w:rsidRPr="008918F0">
        <w:rPr>
          <w:lang w:val="fr-FR"/>
        </w:rPr>
        <w:t> </w:t>
      </w:r>
      <w:r w:rsidRPr="008918F0">
        <w:rPr>
          <w:lang w:val="fr-FR"/>
        </w:rPr>
        <w:t>ans pour l</w:t>
      </w:r>
      <w:r w:rsidR="00C959B2" w:rsidRPr="008918F0">
        <w:rPr>
          <w:lang w:val="fr-FR"/>
        </w:rPr>
        <w:t>’</w:t>
      </w:r>
      <w:r w:rsidRPr="008918F0">
        <w:rPr>
          <w:lang w:val="fr-FR"/>
        </w:rPr>
        <w:t>élaboration des guides, qui a duré environ un an de plus que ce qui ét</w:t>
      </w:r>
      <w:r w:rsidR="003F748C" w:rsidRPr="008918F0">
        <w:rPr>
          <w:lang w:val="fr-FR"/>
        </w:rPr>
        <w:t>ait</w:t>
      </w:r>
      <w:r w:rsidRPr="008918F0">
        <w:rPr>
          <w:lang w:val="fr-FR"/>
        </w:rPr>
        <w:t xml:space="preserve"> prévu dans le descriptif initial du projet, a été jugé nécessaire pour élaborer les guides en concertation avec leurs </w:t>
      </w:r>
      <w:r w:rsidR="004B758E" w:rsidRPr="008918F0">
        <w:rPr>
          <w:lang w:val="fr-FR"/>
        </w:rPr>
        <w:t xml:space="preserve">utilisateurs cibles, </w:t>
      </w:r>
      <w:r w:rsidR="00C959B2" w:rsidRPr="008918F0">
        <w:rPr>
          <w:lang w:val="fr-FR"/>
        </w:rPr>
        <w:t>à savoir</w:t>
      </w:r>
      <w:r w:rsidR="004B758E" w:rsidRPr="008918F0">
        <w:rPr>
          <w:lang w:val="fr-FR"/>
        </w:rPr>
        <w:t xml:space="preserve"> les </w:t>
      </w:r>
      <w:r w:rsidR="0081059F" w:rsidRPr="008918F0">
        <w:rPr>
          <w:lang w:val="fr-FR"/>
        </w:rPr>
        <w:t>réseaux de CATI</w:t>
      </w:r>
      <w:r w:rsidR="004B758E" w:rsidRPr="008918F0">
        <w:rPr>
          <w:lang w:val="fr-FR"/>
        </w:rPr>
        <w:t xml:space="preserve"> et leurs clients (inventeurs, chercheurs, etc.).  Les auteurs des guides, les experts et les membres du personnel</w:t>
      </w:r>
      <w:r w:rsidR="00C959B2" w:rsidRPr="008918F0">
        <w:rPr>
          <w:lang w:val="fr-FR"/>
        </w:rPr>
        <w:t xml:space="preserve"> des CAT</w:t>
      </w:r>
      <w:r w:rsidR="004B758E" w:rsidRPr="008918F0">
        <w:rPr>
          <w:lang w:val="fr-FR"/>
        </w:rPr>
        <w:t>I interrogés étaient d</w:t>
      </w:r>
      <w:r w:rsidR="00C959B2" w:rsidRPr="008918F0">
        <w:rPr>
          <w:lang w:val="fr-FR"/>
        </w:rPr>
        <w:t>’</w:t>
      </w:r>
      <w:r w:rsidR="004B758E" w:rsidRPr="008918F0">
        <w:rPr>
          <w:lang w:val="fr-FR"/>
        </w:rPr>
        <w:t>accord pour dire que le processus consultatif a considérablement renforcé les guides et leur utilité potentielle pour</w:t>
      </w:r>
      <w:r w:rsidR="00C959B2" w:rsidRPr="008918F0">
        <w:rPr>
          <w:lang w:val="fr-FR"/>
        </w:rPr>
        <w:t xml:space="preserve"> les CAT</w:t>
      </w:r>
      <w:r w:rsidR="004B758E" w:rsidRPr="008918F0">
        <w:rPr>
          <w:lang w:val="fr-FR"/>
        </w:rPr>
        <w:t>I.</w:t>
      </w:r>
    </w:p>
    <w:p w:rsidR="00F02C91" w:rsidRPr="008918F0" w:rsidRDefault="004B758E" w:rsidP="00F02C91">
      <w:pPr>
        <w:pStyle w:val="ONUMFS"/>
        <w:rPr>
          <w:lang w:val="fr-FR"/>
        </w:rPr>
      </w:pPr>
      <w:r w:rsidRPr="008918F0">
        <w:rPr>
          <w:b/>
          <w:lang w:val="fr-FR"/>
        </w:rPr>
        <w:t>Observation n</w:t>
      </w:r>
      <w:r w:rsidR="00F02C91" w:rsidRPr="008918F0">
        <w:rPr>
          <w:b/>
          <w:lang w:val="fr-FR"/>
        </w:rPr>
        <w:t>°</w:t>
      </w:r>
      <w:r w:rsidRPr="008918F0">
        <w:rPr>
          <w:b/>
          <w:lang w:val="fr-FR"/>
        </w:rPr>
        <w:t> </w:t>
      </w:r>
      <w:r w:rsidR="00D01D72" w:rsidRPr="008918F0">
        <w:rPr>
          <w:b/>
          <w:lang w:val="fr-FR"/>
        </w:rPr>
        <w:t>8</w:t>
      </w:r>
      <w:r w:rsidR="00C959B2" w:rsidRPr="008918F0">
        <w:rPr>
          <w:b/>
          <w:lang w:val="fr-FR"/>
        </w:rPr>
        <w:t> :</w:t>
      </w:r>
      <w:r w:rsidR="00281A68" w:rsidRPr="008918F0">
        <w:rPr>
          <w:lang w:val="fr-FR"/>
        </w:rPr>
        <w:t xml:space="preserve"> </w:t>
      </w:r>
      <w:r w:rsidRPr="008918F0">
        <w:rPr>
          <w:lang w:val="fr-FR"/>
        </w:rPr>
        <w:t>compte tenu de l</w:t>
      </w:r>
      <w:r w:rsidR="00C959B2" w:rsidRPr="008918F0">
        <w:rPr>
          <w:lang w:val="fr-FR"/>
        </w:rPr>
        <w:t>’</w:t>
      </w:r>
      <w:r w:rsidRPr="008918F0">
        <w:rPr>
          <w:lang w:val="fr-FR"/>
        </w:rPr>
        <w:t>approche collaborative suivie pour l</w:t>
      </w:r>
      <w:r w:rsidR="00C959B2" w:rsidRPr="008918F0">
        <w:rPr>
          <w:lang w:val="fr-FR"/>
        </w:rPr>
        <w:t>’</w:t>
      </w:r>
      <w:r w:rsidRPr="008918F0">
        <w:rPr>
          <w:lang w:val="fr-FR"/>
        </w:rPr>
        <w:t>élaboration des guide</w:t>
      </w:r>
      <w:r w:rsidR="003F748C" w:rsidRPr="008918F0">
        <w:rPr>
          <w:lang w:val="fr-FR"/>
        </w:rPr>
        <w:t>s</w:t>
      </w:r>
      <w:r w:rsidRPr="008918F0">
        <w:rPr>
          <w:lang w:val="fr-FR"/>
        </w:rPr>
        <w:t xml:space="preserve"> et la variété des experts impliqués, les guides ont été </w:t>
      </w:r>
      <w:r w:rsidR="000A3AC1" w:rsidRPr="008918F0">
        <w:rPr>
          <w:lang w:val="fr-FR"/>
        </w:rPr>
        <w:t xml:space="preserve">considérés comme </w:t>
      </w:r>
      <w:r w:rsidRPr="008918F0">
        <w:rPr>
          <w:lang w:val="fr-FR"/>
        </w:rPr>
        <w:t xml:space="preserve">exhaustifs en ce qui concerne </w:t>
      </w:r>
      <w:r w:rsidR="00025F69" w:rsidRPr="008918F0">
        <w:rPr>
          <w:lang w:val="fr-FR"/>
        </w:rPr>
        <w:t>l</w:t>
      </w:r>
      <w:r w:rsidR="00C959B2" w:rsidRPr="008918F0">
        <w:rPr>
          <w:lang w:val="fr-FR"/>
        </w:rPr>
        <w:t>’</w:t>
      </w:r>
      <w:r w:rsidR="00025F69" w:rsidRPr="008918F0">
        <w:rPr>
          <w:lang w:val="fr-FR"/>
        </w:rPr>
        <w:t>identification</w:t>
      </w:r>
      <w:r w:rsidRPr="008918F0">
        <w:rPr>
          <w:lang w:val="fr-FR"/>
        </w:rPr>
        <w:t xml:space="preserve"> et l</w:t>
      </w:r>
      <w:r w:rsidR="00C959B2" w:rsidRPr="008918F0">
        <w:rPr>
          <w:lang w:val="fr-FR"/>
        </w:rPr>
        <w:t>’</w:t>
      </w:r>
      <w:r w:rsidRPr="008918F0">
        <w:rPr>
          <w:lang w:val="fr-FR"/>
        </w:rPr>
        <w:t>utilisation des inventions se t</w:t>
      </w:r>
      <w:r w:rsidR="000A3AC1" w:rsidRPr="008918F0">
        <w:rPr>
          <w:lang w:val="fr-FR"/>
        </w:rPr>
        <w:t>rouvant dans le domaine public et comme comblant</w:t>
      </w:r>
      <w:r w:rsidRPr="008918F0">
        <w:rPr>
          <w:lang w:val="fr-FR"/>
        </w:rPr>
        <w:t xml:space="preserve"> une lacune existante</w:t>
      </w:r>
      <w:r w:rsidR="00D01D72" w:rsidRPr="008918F0">
        <w:rPr>
          <w:lang w:val="fr-FR"/>
        </w:rPr>
        <w:t xml:space="preserve"> </w:t>
      </w:r>
      <w:r w:rsidRPr="008918F0">
        <w:rPr>
          <w:lang w:val="fr-FR"/>
        </w:rPr>
        <w:t xml:space="preserve">et </w:t>
      </w:r>
      <w:r w:rsidR="000A3AC1" w:rsidRPr="008918F0">
        <w:rPr>
          <w:lang w:val="fr-FR"/>
        </w:rPr>
        <w:t xml:space="preserve">ils </w:t>
      </w:r>
      <w:r w:rsidRPr="008918F0">
        <w:rPr>
          <w:lang w:val="fr-FR"/>
        </w:rPr>
        <w:t>pourraient même être utilisés en dehors</w:t>
      </w:r>
      <w:r w:rsidR="00C959B2" w:rsidRPr="008918F0">
        <w:rPr>
          <w:lang w:val="fr-FR"/>
        </w:rPr>
        <w:t xml:space="preserve"> des CAT</w:t>
      </w:r>
      <w:r w:rsidRPr="008918F0">
        <w:rPr>
          <w:lang w:val="fr-FR"/>
        </w:rPr>
        <w:t>I et dans les pays développés.</w:t>
      </w:r>
    </w:p>
    <w:p w:rsidR="0006001B" w:rsidRPr="008918F0" w:rsidRDefault="004B758E" w:rsidP="00F02C91">
      <w:pPr>
        <w:pStyle w:val="ONUMFS"/>
        <w:rPr>
          <w:lang w:val="fr-FR"/>
        </w:rPr>
      </w:pPr>
      <w:r w:rsidRPr="008918F0">
        <w:rPr>
          <w:b/>
          <w:lang w:val="fr-FR"/>
        </w:rPr>
        <w:t>Observation n</w:t>
      </w:r>
      <w:r w:rsidR="00F02C91" w:rsidRPr="008918F0">
        <w:rPr>
          <w:b/>
          <w:lang w:val="fr-FR"/>
        </w:rPr>
        <w:t>°</w:t>
      </w:r>
      <w:r w:rsidRPr="008918F0">
        <w:rPr>
          <w:b/>
          <w:lang w:val="fr-FR"/>
        </w:rPr>
        <w:t> </w:t>
      </w:r>
      <w:r w:rsidR="001B602C" w:rsidRPr="008918F0">
        <w:rPr>
          <w:b/>
          <w:lang w:val="fr-FR"/>
        </w:rPr>
        <w:t>9</w:t>
      </w:r>
      <w:r w:rsidR="00C959B2" w:rsidRPr="008918F0">
        <w:rPr>
          <w:b/>
          <w:lang w:val="fr-FR"/>
        </w:rPr>
        <w:t> :</w:t>
      </w:r>
      <w:r w:rsidR="001B602C" w:rsidRPr="008918F0">
        <w:rPr>
          <w:lang w:val="fr-FR"/>
        </w:rPr>
        <w:t xml:space="preserve"> </w:t>
      </w:r>
      <w:r w:rsidR="0083286A" w:rsidRPr="008918F0">
        <w:rPr>
          <w:lang w:val="fr-FR"/>
        </w:rPr>
        <w:t>l</w:t>
      </w:r>
      <w:r w:rsidR="00C959B2" w:rsidRPr="008918F0">
        <w:rPr>
          <w:lang w:val="fr-FR"/>
        </w:rPr>
        <w:t>’</w:t>
      </w:r>
      <w:r w:rsidR="0083286A" w:rsidRPr="008918F0">
        <w:rPr>
          <w:lang w:val="fr-FR"/>
        </w:rPr>
        <w:t>efficacité et l</w:t>
      </w:r>
      <w:r w:rsidR="00C959B2" w:rsidRPr="008918F0">
        <w:rPr>
          <w:lang w:val="fr-FR"/>
        </w:rPr>
        <w:t>’</w:t>
      </w:r>
      <w:r w:rsidR="0083286A" w:rsidRPr="008918F0">
        <w:rPr>
          <w:lang w:val="fr-FR"/>
        </w:rPr>
        <w:t>utilité des guides à l</w:t>
      </w:r>
      <w:r w:rsidR="00C959B2" w:rsidRPr="008918F0">
        <w:rPr>
          <w:lang w:val="fr-FR"/>
        </w:rPr>
        <w:t>’</w:t>
      </w:r>
      <w:r w:rsidR="0083286A" w:rsidRPr="008918F0">
        <w:rPr>
          <w:lang w:val="fr-FR"/>
        </w:rPr>
        <w:t>appui des nouveaux services de certains CATI (par rapport à l</w:t>
      </w:r>
      <w:r w:rsidR="00C959B2" w:rsidRPr="008918F0">
        <w:rPr>
          <w:lang w:val="fr-FR"/>
        </w:rPr>
        <w:t>’</w:t>
      </w:r>
      <w:r w:rsidR="0083286A" w:rsidRPr="008918F0">
        <w:rPr>
          <w:lang w:val="fr-FR"/>
        </w:rPr>
        <w:t>objectif du projet) semblent prometteuse</w:t>
      </w:r>
      <w:r w:rsidR="003F748C" w:rsidRPr="008918F0">
        <w:rPr>
          <w:lang w:val="fr-FR"/>
        </w:rPr>
        <w:t>s</w:t>
      </w:r>
      <w:r w:rsidR="0083286A" w:rsidRPr="008918F0">
        <w:rPr>
          <w:lang w:val="fr-FR"/>
        </w:rPr>
        <w:t xml:space="preserve"> bien qu</w:t>
      </w:r>
      <w:r w:rsidR="00C959B2" w:rsidRPr="008918F0">
        <w:rPr>
          <w:lang w:val="fr-FR"/>
        </w:rPr>
        <w:t>’</w:t>
      </w:r>
      <w:r w:rsidR="0083286A" w:rsidRPr="008918F0">
        <w:rPr>
          <w:lang w:val="fr-FR"/>
        </w:rPr>
        <w:t>elles ne soient pas encore évidentes à ce stade,</w:t>
      </w:r>
      <w:r w:rsidR="00C959B2" w:rsidRPr="008918F0">
        <w:rPr>
          <w:lang w:val="fr-FR"/>
        </w:rPr>
        <w:t xml:space="preserve"> les CAT</w:t>
      </w:r>
      <w:r w:rsidR="0083286A" w:rsidRPr="008918F0">
        <w:rPr>
          <w:lang w:val="fr-FR"/>
        </w:rPr>
        <w:t xml:space="preserve">I </w:t>
      </w:r>
      <w:r w:rsidR="000A3AC1" w:rsidRPr="008918F0">
        <w:rPr>
          <w:lang w:val="fr-FR"/>
        </w:rPr>
        <w:t>n</w:t>
      </w:r>
      <w:r w:rsidR="00C959B2" w:rsidRPr="008918F0">
        <w:rPr>
          <w:lang w:val="fr-FR"/>
        </w:rPr>
        <w:t>’</w:t>
      </w:r>
      <w:r w:rsidR="000A3AC1" w:rsidRPr="008918F0">
        <w:rPr>
          <w:lang w:val="fr-FR"/>
        </w:rPr>
        <w:t>ayant</w:t>
      </w:r>
      <w:r w:rsidR="0083286A" w:rsidRPr="008918F0">
        <w:rPr>
          <w:lang w:val="fr-FR"/>
        </w:rPr>
        <w:t xml:space="preserve"> pas encore lancé de nouveaux services pour autant que la présente évaluation ait pu en jug</w:t>
      </w:r>
      <w:r w:rsidR="00630E33" w:rsidRPr="008918F0">
        <w:rPr>
          <w:lang w:val="fr-FR"/>
        </w:rPr>
        <w:t>er.  Le</w:t>
      </w:r>
      <w:r w:rsidR="0083286A" w:rsidRPr="008918F0">
        <w:rPr>
          <w:lang w:val="fr-FR"/>
        </w:rPr>
        <w:t>s experts et le personnel</w:t>
      </w:r>
      <w:r w:rsidR="00C959B2" w:rsidRPr="008918F0">
        <w:rPr>
          <w:lang w:val="fr-FR"/>
        </w:rPr>
        <w:t xml:space="preserve"> des CAT</w:t>
      </w:r>
      <w:r w:rsidR="0083286A" w:rsidRPr="008918F0">
        <w:rPr>
          <w:lang w:val="fr-FR"/>
        </w:rPr>
        <w:t>I interrogés ont indiqué qu</w:t>
      </w:r>
      <w:r w:rsidR="00C959B2" w:rsidRPr="008918F0">
        <w:rPr>
          <w:lang w:val="fr-FR"/>
        </w:rPr>
        <w:t>’</w:t>
      </w:r>
      <w:r w:rsidR="0083286A" w:rsidRPr="008918F0">
        <w:rPr>
          <w:lang w:val="fr-FR"/>
        </w:rPr>
        <w:t>offrir des services relatifs au domaine public ne serait approprié et possible pour</w:t>
      </w:r>
      <w:r w:rsidR="00C959B2" w:rsidRPr="008918F0">
        <w:rPr>
          <w:lang w:val="fr-FR"/>
        </w:rPr>
        <w:t xml:space="preserve"> les CAT</w:t>
      </w:r>
      <w:r w:rsidR="0083286A" w:rsidRPr="008918F0">
        <w:rPr>
          <w:lang w:val="fr-FR"/>
        </w:rPr>
        <w:t>I que s</w:t>
      </w:r>
      <w:r w:rsidR="00C959B2" w:rsidRPr="008918F0">
        <w:rPr>
          <w:lang w:val="fr-FR"/>
        </w:rPr>
        <w:t>’</w:t>
      </w:r>
      <w:r w:rsidR="0083286A" w:rsidRPr="008918F0">
        <w:rPr>
          <w:lang w:val="fr-FR"/>
        </w:rPr>
        <w:t>ils atteignent un niveau de maturité relativement élevé</w:t>
      </w:r>
      <w:r w:rsidR="00DA220D" w:rsidRPr="008918F0">
        <w:rPr>
          <w:rStyle w:val="FootnoteReference"/>
          <w:lang w:val="fr-FR"/>
        </w:rPr>
        <w:footnoteReference w:id="3"/>
      </w:r>
      <w:r w:rsidR="00DA220D" w:rsidRPr="008918F0">
        <w:rPr>
          <w:lang w:val="fr-FR"/>
        </w:rPr>
        <w:t xml:space="preserve">.  </w:t>
      </w:r>
      <w:r w:rsidR="0083286A" w:rsidRPr="008918F0">
        <w:rPr>
          <w:lang w:val="fr-FR"/>
        </w:rPr>
        <w:t>Cela est confirmé par le fait qu</w:t>
      </w:r>
      <w:r w:rsidR="00C959B2" w:rsidRPr="008918F0">
        <w:rPr>
          <w:lang w:val="fr-FR"/>
        </w:rPr>
        <w:t>’en 2018</w:t>
      </w:r>
      <w:r w:rsidR="0083286A" w:rsidRPr="008918F0">
        <w:rPr>
          <w:lang w:val="fr-FR"/>
        </w:rPr>
        <w:t>, seuls 32%</w:t>
      </w:r>
      <w:r w:rsidR="00C959B2" w:rsidRPr="008918F0">
        <w:rPr>
          <w:lang w:val="fr-FR"/>
        </w:rPr>
        <w:t xml:space="preserve"> des CAT</w:t>
      </w:r>
      <w:r w:rsidR="0083286A" w:rsidRPr="008918F0">
        <w:rPr>
          <w:lang w:val="fr-FR"/>
        </w:rPr>
        <w:t>I ont déclaré proposer des recherches sur la liberté d</w:t>
      </w:r>
      <w:r w:rsidR="00C959B2" w:rsidRPr="008918F0">
        <w:rPr>
          <w:lang w:val="fr-FR"/>
        </w:rPr>
        <w:t>’</w:t>
      </w:r>
      <w:r w:rsidR="0083286A" w:rsidRPr="008918F0">
        <w:rPr>
          <w:lang w:val="fr-FR"/>
        </w:rPr>
        <w:t>exploitation, un service essentiel en matière de domaine public</w:t>
      </w:r>
      <w:r w:rsidR="00DA220D" w:rsidRPr="008918F0">
        <w:rPr>
          <w:rStyle w:val="FootnoteReference"/>
          <w:lang w:val="fr-FR"/>
        </w:rPr>
        <w:footnoteReference w:id="4"/>
      </w:r>
      <w:r w:rsidR="00DA220D" w:rsidRPr="008918F0">
        <w:rPr>
          <w:lang w:val="fr-FR"/>
        </w:rPr>
        <w:t>.</w:t>
      </w:r>
      <w:r w:rsidR="0083286A" w:rsidRPr="008918F0">
        <w:rPr>
          <w:lang w:val="fr-FR"/>
        </w:rPr>
        <w:t xml:space="preserve">  Les personnes interrogées ont toutefois souligné que même si</w:t>
      </w:r>
      <w:r w:rsidR="00C959B2" w:rsidRPr="008918F0">
        <w:rPr>
          <w:lang w:val="fr-FR"/>
        </w:rPr>
        <w:t xml:space="preserve"> les CAT</w:t>
      </w:r>
      <w:r w:rsidR="0083286A" w:rsidRPr="008918F0">
        <w:rPr>
          <w:lang w:val="fr-FR"/>
        </w:rPr>
        <w:t>I ne proposaient pas de nouveaux services dans ce domaine, ils devaient tous comprendre l</w:t>
      </w:r>
      <w:r w:rsidR="00C959B2" w:rsidRPr="008918F0">
        <w:rPr>
          <w:lang w:val="fr-FR"/>
        </w:rPr>
        <w:t>’</w:t>
      </w:r>
      <w:r w:rsidR="0083286A" w:rsidRPr="008918F0">
        <w:rPr>
          <w:lang w:val="fr-FR"/>
        </w:rPr>
        <w:t>importance du domaine public pour l</w:t>
      </w:r>
      <w:r w:rsidR="00C959B2" w:rsidRPr="008918F0">
        <w:rPr>
          <w:lang w:val="fr-FR"/>
        </w:rPr>
        <w:t>’</w:t>
      </w:r>
      <w:r w:rsidR="0083286A" w:rsidRPr="008918F0">
        <w:rPr>
          <w:lang w:val="fr-FR"/>
        </w:rPr>
        <w:t>innovation et le développement de produits et être en mesure de transmettre ce message aux clients.</w:t>
      </w:r>
    </w:p>
    <w:p w:rsidR="0006001B" w:rsidRPr="008918F0" w:rsidRDefault="0083286A" w:rsidP="00F02C91">
      <w:pPr>
        <w:pStyle w:val="Heading5"/>
        <w:rPr>
          <w:szCs w:val="22"/>
        </w:rPr>
      </w:pPr>
      <w:r w:rsidRPr="008918F0">
        <w:t>Efficacité et utilité du matériel de formation mis au point pour</w:t>
      </w:r>
      <w:r w:rsidR="00C959B2" w:rsidRPr="008918F0">
        <w:t xml:space="preserve"> les CAT</w:t>
      </w:r>
      <w:r w:rsidRPr="008918F0">
        <w:t xml:space="preserve">I sur la base des guides afin de contribuer au développement des capacités de fournir des services en rapport avec </w:t>
      </w:r>
      <w:r w:rsidR="00025F69" w:rsidRPr="008918F0">
        <w:t>l</w:t>
      </w:r>
      <w:r w:rsidR="00C959B2" w:rsidRPr="008918F0">
        <w:t>’</w:t>
      </w:r>
      <w:r w:rsidR="00025F69" w:rsidRPr="008918F0">
        <w:t>identification</w:t>
      </w:r>
      <w:r w:rsidRPr="008918F0">
        <w:t xml:space="preserve"> et l</w:t>
      </w:r>
      <w:r w:rsidR="00C959B2" w:rsidRPr="008918F0">
        <w:t>’</w:t>
      </w:r>
      <w:r w:rsidRPr="008918F0">
        <w:t>utilisation d</w:t>
      </w:r>
      <w:r w:rsidR="00C959B2" w:rsidRPr="008918F0">
        <w:t>’</w:t>
      </w:r>
      <w:r w:rsidRPr="008918F0">
        <w:t>inventions se trouvant dans le domaine public</w:t>
      </w:r>
    </w:p>
    <w:p w:rsidR="0006001B" w:rsidRPr="008918F0" w:rsidRDefault="0006001B" w:rsidP="00F02C91">
      <w:pPr>
        <w:rPr>
          <w:lang w:val="fr-FR"/>
        </w:rPr>
      </w:pPr>
    </w:p>
    <w:p w:rsidR="0088090C" w:rsidRPr="008918F0" w:rsidRDefault="0083286A" w:rsidP="0088090C">
      <w:pPr>
        <w:pStyle w:val="ONUMFS"/>
        <w:rPr>
          <w:lang w:val="fr-FR"/>
        </w:rPr>
      </w:pPr>
      <w:r w:rsidRPr="008918F0">
        <w:rPr>
          <w:b/>
          <w:lang w:val="fr-FR"/>
        </w:rPr>
        <w:t>Observation n</w:t>
      </w:r>
      <w:r w:rsidR="0088090C" w:rsidRPr="008918F0">
        <w:rPr>
          <w:b/>
          <w:lang w:val="fr-FR"/>
        </w:rPr>
        <w:t>°</w:t>
      </w:r>
      <w:r w:rsidRPr="008918F0">
        <w:rPr>
          <w:b/>
          <w:lang w:val="fr-FR"/>
        </w:rPr>
        <w:t> 10</w:t>
      </w:r>
      <w:r w:rsidR="00C959B2" w:rsidRPr="008918F0">
        <w:rPr>
          <w:b/>
          <w:lang w:val="fr-FR"/>
        </w:rPr>
        <w:t> :</w:t>
      </w:r>
      <w:r w:rsidR="00544DB2" w:rsidRPr="008918F0">
        <w:rPr>
          <w:lang w:val="fr-FR"/>
        </w:rPr>
        <w:t xml:space="preserve"> </w:t>
      </w:r>
      <w:r w:rsidR="00574BD0" w:rsidRPr="008918F0">
        <w:rPr>
          <w:lang w:val="fr-FR"/>
        </w:rPr>
        <w:t xml:space="preserve">le matériel de formation </w:t>
      </w:r>
      <w:r w:rsidR="000A3AC1" w:rsidRPr="008918F0">
        <w:rPr>
          <w:lang w:val="fr-FR"/>
        </w:rPr>
        <w:t>basé sur les</w:t>
      </w:r>
      <w:r w:rsidR="00574BD0" w:rsidRPr="008918F0">
        <w:rPr>
          <w:lang w:val="fr-FR"/>
        </w:rPr>
        <w:t xml:space="preserve"> guides a été mis au point par les experts principaux (auteurs)</w:t>
      </w:r>
      <w:r w:rsidR="000A3AC1" w:rsidRPr="008918F0">
        <w:rPr>
          <w:lang w:val="fr-FR"/>
        </w:rPr>
        <w:t xml:space="preserve"> avec l</w:t>
      </w:r>
      <w:r w:rsidR="00C959B2" w:rsidRPr="008918F0">
        <w:rPr>
          <w:lang w:val="fr-FR"/>
        </w:rPr>
        <w:t>’</w:t>
      </w:r>
      <w:r w:rsidR="000A3AC1" w:rsidRPr="008918F0">
        <w:rPr>
          <w:lang w:val="fr-FR"/>
        </w:rPr>
        <w:t>aide d</w:t>
      </w:r>
      <w:r w:rsidR="00C959B2" w:rsidRPr="008918F0">
        <w:rPr>
          <w:lang w:val="fr-FR"/>
        </w:rPr>
        <w:t>’</w:t>
      </w:r>
      <w:r w:rsidR="000A3AC1" w:rsidRPr="008918F0">
        <w:rPr>
          <w:lang w:val="fr-FR"/>
        </w:rPr>
        <w:t>experts</w:t>
      </w:r>
      <w:r w:rsidR="00574BD0" w:rsidRPr="008918F0">
        <w:rPr>
          <w:lang w:val="fr-FR"/>
        </w:rPr>
        <w:t xml:space="preserve"> (associés et nationaux) et a été présenté au cours d</w:t>
      </w:r>
      <w:r w:rsidR="00C959B2" w:rsidRPr="008918F0">
        <w:rPr>
          <w:lang w:val="fr-FR"/>
        </w:rPr>
        <w:t>’</w:t>
      </w:r>
      <w:r w:rsidR="00574BD0" w:rsidRPr="008918F0">
        <w:rPr>
          <w:lang w:val="fr-FR"/>
        </w:rPr>
        <w:t>une série d</w:t>
      </w:r>
      <w:r w:rsidR="00C959B2" w:rsidRPr="008918F0">
        <w:rPr>
          <w:lang w:val="fr-FR"/>
        </w:rPr>
        <w:t>’</w:t>
      </w:r>
      <w:r w:rsidR="00574BD0" w:rsidRPr="008918F0">
        <w:rPr>
          <w:lang w:val="fr-FR"/>
        </w:rPr>
        <w:t>ateliers de deux</w:t>
      </w:r>
      <w:r w:rsidR="00DB6EA5" w:rsidRPr="008918F0">
        <w:rPr>
          <w:lang w:val="fr-FR"/>
        </w:rPr>
        <w:t> </w:t>
      </w:r>
      <w:r w:rsidR="00574BD0" w:rsidRPr="008918F0">
        <w:rPr>
          <w:lang w:val="fr-FR"/>
        </w:rPr>
        <w:t>jours organisés dans neuf</w:t>
      </w:r>
      <w:r w:rsidR="00DB6EA5" w:rsidRPr="008918F0">
        <w:rPr>
          <w:lang w:val="fr-FR"/>
        </w:rPr>
        <w:t> </w:t>
      </w:r>
      <w:r w:rsidR="00574BD0" w:rsidRPr="008918F0">
        <w:rPr>
          <w:lang w:val="fr-FR"/>
        </w:rPr>
        <w:t>pays pilotes (à l</w:t>
      </w:r>
      <w:r w:rsidR="00C959B2" w:rsidRPr="008918F0">
        <w:rPr>
          <w:lang w:val="fr-FR"/>
        </w:rPr>
        <w:t>’</w:t>
      </w:r>
      <w:r w:rsidR="00574BD0" w:rsidRPr="008918F0">
        <w:rPr>
          <w:lang w:val="fr-FR"/>
        </w:rPr>
        <w:t>exception de Cuba</w:t>
      </w:r>
      <w:r w:rsidR="000A3AC1" w:rsidRPr="008918F0">
        <w:rPr>
          <w:lang w:val="fr-FR"/>
        </w:rPr>
        <w:t>, mais incluant</w:t>
      </w:r>
      <w:r w:rsidR="00574BD0" w:rsidRPr="008918F0">
        <w:rPr>
          <w:lang w:val="fr-FR"/>
        </w:rPr>
        <w:t xml:space="preserve"> l</w:t>
      </w:r>
      <w:r w:rsidR="00C959B2" w:rsidRPr="008918F0">
        <w:rPr>
          <w:lang w:val="fr-FR"/>
        </w:rPr>
        <w:t>’</w:t>
      </w:r>
      <w:r w:rsidR="00574BD0" w:rsidRPr="008918F0">
        <w:rPr>
          <w:lang w:val="fr-FR"/>
        </w:rPr>
        <w:t>In</w:t>
      </w:r>
      <w:r w:rsidR="00630E33" w:rsidRPr="008918F0">
        <w:rPr>
          <w:lang w:val="fr-FR"/>
        </w:rPr>
        <w:t>de).  Le</w:t>
      </w:r>
      <w:r w:rsidR="00574BD0" w:rsidRPr="008918F0">
        <w:rPr>
          <w:lang w:val="fr-FR"/>
        </w:rPr>
        <w:t>s ateliers ont touché quelque 500 participants, membres du personnel</w:t>
      </w:r>
      <w:r w:rsidR="00C959B2" w:rsidRPr="008918F0">
        <w:rPr>
          <w:lang w:val="fr-FR"/>
        </w:rPr>
        <w:t xml:space="preserve"> des CAT</w:t>
      </w:r>
      <w:r w:rsidR="00574BD0" w:rsidRPr="008918F0">
        <w:rPr>
          <w:lang w:val="fr-FR"/>
        </w:rPr>
        <w:t>I et autres utilisateurs potentie</w:t>
      </w:r>
      <w:r w:rsidR="00630E33" w:rsidRPr="008918F0">
        <w:rPr>
          <w:lang w:val="fr-FR"/>
        </w:rPr>
        <w:t>ls.  Le</w:t>
      </w:r>
      <w:r w:rsidR="00574BD0" w:rsidRPr="008918F0">
        <w:rPr>
          <w:lang w:val="fr-FR"/>
        </w:rPr>
        <w:t xml:space="preserve"> matériel de formation incluait des présentations en PowerPoint de chacun des grands domaines thématiques des guides, ainsi que des exercices pratiques.</w:t>
      </w:r>
    </w:p>
    <w:p w:rsidR="0088090C" w:rsidRPr="008918F0" w:rsidRDefault="00574BD0" w:rsidP="0088090C">
      <w:pPr>
        <w:pStyle w:val="ONUMFS"/>
        <w:rPr>
          <w:b/>
          <w:lang w:val="fr-FR"/>
        </w:rPr>
      </w:pPr>
      <w:r w:rsidRPr="008918F0">
        <w:rPr>
          <w:b/>
          <w:lang w:val="fr-FR"/>
        </w:rPr>
        <w:t>Observation n</w:t>
      </w:r>
      <w:r w:rsidR="0088090C" w:rsidRPr="008918F0">
        <w:rPr>
          <w:b/>
          <w:lang w:val="fr-FR"/>
        </w:rPr>
        <w:t>°</w:t>
      </w:r>
      <w:r w:rsidR="003F748C" w:rsidRPr="008918F0">
        <w:rPr>
          <w:b/>
          <w:lang w:val="fr-FR"/>
        </w:rPr>
        <w:t> </w:t>
      </w:r>
      <w:r w:rsidR="00725C01" w:rsidRPr="008918F0">
        <w:rPr>
          <w:b/>
          <w:lang w:val="fr-FR"/>
        </w:rPr>
        <w:t>11</w:t>
      </w:r>
      <w:r w:rsidR="00C959B2" w:rsidRPr="008918F0">
        <w:rPr>
          <w:b/>
          <w:lang w:val="fr-FR"/>
        </w:rPr>
        <w:t> :</w:t>
      </w:r>
      <w:r w:rsidR="00725C01" w:rsidRPr="008918F0">
        <w:rPr>
          <w:b/>
          <w:lang w:val="fr-FR"/>
        </w:rPr>
        <w:t xml:space="preserve"> </w:t>
      </w:r>
      <w:r w:rsidRPr="008918F0">
        <w:rPr>
          <w:lang w:val="fr-FR"/>
        </w:rPr>
        <w:t>dans les enquêtes de satisfaction qui ont suivi les ateliers, la quasi</w:t>
      </w:r>
      <w:r w:rsidR="00AB7A2D">
        <w:rPr>
          <w:lang w:val="fr-FR"/>
        </w:rPr>
        <w:noBreakHyphen/>
      </w:r>
      <w:r w:rsidRPr="008918F0">
        <w:rPr>
          <w:lang w:val="fr-FR"/>
        </w:rPr>
        <w:t>totalité des participants (99,6%) a confirmé que les ateliers ont réussi à renforcer leurs connaissances et leurs compétences en matière d</w:t>
      </w:r>
      <w:r w:rsidR="00C959B2" w:rsidRPr="008918F0">
        <w:rPr>
          <w:lang w:val="fr-FR"/>
        </w:rPr>
        <w:t>’</w:t>
      </w:r>
      <w:r w:rsidR="00025F69" w:rsidRPr="008918F0">
        <w:rPr>
          <w:lang w:val="fr-FR"/>
        </w:rPr>
        <w:t>identification</w:t>
      </w:r>
      <w:r w:rsidRPr="008918F0">
        <w:rPr>
          <w:lang w:val="fr-FR"/>
        </w:rPr>
        <w:t xml:space="preserve"> et d</w:t>
      </w:r>
      <w:r w:rsidR="00C959B2" w:rsidRPr="008918F0">
        <w:rPr>
          <w:lang w:val="fr-FR"/>
        </w:rPr>
        <w:t>’</w:t>
      </w:r>
      <w:r w:rsidRPr="008918F0">
        <w:rPr>
          <w:lang w:val="fr-FR"/>
        </w:rPr>
        <w:t xml:space="preserve">utilisation des inventions se </w:t>
      </w:r>
      <w:r w:rsidRPr="008918F0">
        <w:rPr>
          <w:lang w:val="fr-FR"/>
        </w:rPr>
        <w:lastRenderedPageBreak/>
        <w:t>trouvant dans le domaine public et 98% des participants ont déclaré que les guides seront utiles dans leur travail quotidien.</w:t>
      </w:r>
    </w:p>
    <w:p w:rsidR="0088090C" w:rsidRPr="008918F0" w:rsidRDefault="00574BD0" w:rsidP="0088090C">
      <w:pPr>
        <w:pStyle w:val="ONUMFS"/>
        <w:rPr>
          <w:b/>
          <w:lang w:val="fr-FR"/>
        </w:rPr>
      </w:pPr>
      <w:r w:rsidRPr="008918F0">
        <w:rPr>
          <w:b/>
          <w:lang w:val="fr-FR"/>
        </w:rPr>
        <w:t>Observation n</w:t>
      </w:r>
      <w:r w:rsidR="0088090C" w:rsidRPr="008918F0">
        <w:rPr>
          <w:b/>
          <w:lang w:val="fr-FR"/>
        </w:rPr>
        <w:t>°</w:t>
      </w:r>
      <w:r w:rsidR="003F748C" w:rsidRPr="008918F0">
        <w:rPr>
          <w:b/>
          <w:lang w:val="fr-FR"/>
        </w:rPr>
        <w:t> </w:t>
      </w:r>
      <w:r w:rsidR="00664488" w:rsidRPr="008918F0">
        <w:rPr>
          <w:b/>
          <w:lang w:val="fr-FR"/>
        </w:rPr>
        <w:t>12</w:t>
      </w:r>
      <w:r w:rsidR="00C959B2" w:rsidRPr="008918F0">
        <w:rPr>
          <w:b/>
          <w:lang w:val="fr-FR"/>
        </w:rPr>
        <w:t> :</w:t>
      </w:r>
      <w:r w:rsidR="00664488" w:rsidRPr="008918F0">
        <w:rPr>
          <w:b/>
          <w:lang w:val="fr-FR"/>
        </w:rPr>
        <w:t xml:space="preserve"> </w:t>
      </w:r>
      <w:r w:rsidRPr="008918F0">
        <w:rPr>
          <w:lang w:val="fr-FR"/>
        </w:rPr>
        <w:t>le</w:t>
      </w:r>
      <w:r w:rsidR="00EC0854" w:rsidRPr="008918F0">
        <w:rPr>
          <w:lang w:val="fr-FR"/>
        </w:rPr>
        <w:t xml:space="preserve"> retour d</w:t>
      </w:r>
      <w:r w:rsidR="00C959B2" w:rsidRPr="008918F0">
        <w:rPr>
          <w:lang w:val="fr-FR"/>
        </w:rPr>
        <w:t>’</w:t>
      </w:r>
      <w:r w:rsidR="00EC0854" w:rsidRPr="008918F0">
        <w:rPr>
          <w:lang w:val="fr-FR"/>
        </w:rPr>
        <w:t xml:space="preserve">information </w:t>
      </w:r>
      <w:r w:rsidRPr="008918F0">
        <w:rPr>
          <w:lang w:val="fr-FR"/>
        </w:rPr>
        <w:t xml:space="preserve">des participants aux ateliers et des experts </w:t>
      </w:r>
      <w:r w:rsidR="00EC0854" w:rsidRPr="008918F0">
        <w:rPr>
          <w:lang w:val="fr-FR"/>
        </w:rPr>
        <w:t>a</w:t>
      </w:r>
      <w:r w:rsidRPr="008918F0">
        <w:rPr>
          <w:lang w:val="fr-FR"/>
        </w:rPr>
        <w:t xml:space="preserve"> indiqué que la formation et le matériel seront parfaits pour les participants possédant déjà une expérience dans ce domaine (</w:t>
      </w:r>
      <w:r w:rsidR="00C959B2" w:rsidRPr="008918F0">
        <w:rPr>
          <w:lang w:val="fr-FR"/>
        </w:rPr>
        <w:t>à savoir</w:t>
      </w:r>
      <w:r w:rsidRPr="008918F0">
        <w:rPr>
          <w:lang w:val="fr-FR"/>
        </w:rPr>
        <w:t xml:space="preserve"> la recherche de brevets) et conviendront moins aux </w:t>
      </w:r>
      <w:r w:rsidR="00EC0854" w:rsidRPr="008918F0">
        <w:rPr>
          <w:lang w:val="fr-FR"/>
        </w:rPr>
        <w:t>participants</w:t>
      </w:r>
      <w:r w:rsidRPr="008918F0">
        <w:rPr>
          <w:lang w:val="fr-FR"/>
        </w:rPr>
        <w:t xml:space="preserve"> moins versés en la matière</w:t>
      </w:r>
      <w:r w:rsidR="00EC0854" w:rsidRPr="008918F0">
        <w:rPr>
          <w:lang w:val="fr-FR"/>
        </w:rPr>
        <w:t>.</w:t>
      </w:r>
    </w:p>
    <w:p w:rsidR="0006001B" w:rsidRPr="008918F0" w:rsidRDefault="00C83D71" w:rsidP="0088090C">
      <w:pPr>
        <w:pStyle w:val="Heading5"/>
      </w:pPr>
      <w:r w:rsidRPr="008918F0">
        <w:t>Utilité de la liste d</w:t>
      </w:r>
      <w:r w:rsidR="00C959B2" w:rsidRPr="008918F0">
        <w:t>’</w:t>
      </w:r>
      <w:r w:rsidRPr="008918F0">
        <w:t xml:space="preserve">experts essentiels pour aider les </w:t>
      </w:r>
      <w:r w:rsidR="0081059F" w:rsidRPr="008918F0">
        <w:t>réseaux de CATI</w:t>
      </w:r>
      <w:r w:rsidRPr="008918F0">
        <w:t xml:space="preserve"> nationaux à utiliser les guides et à </w:t>
      </w:r>
      <w:r w:rsidR="003F748C" w:rsidRPr="008918F0">
        <w:t>développer</w:t>
      </w:r>
      <w:r w:rsidRPr="008918F0">
        <w:t xml:space="preserve"> de nouveaux services pour </w:t>
      </w:r>
      <w:r w:rsidR="00025F69" w:rsidRPr="008918F0">
        <w:t>l</w:t>
      </w:r>
      <w:r w:rsidR="00C959B2" w:rsidRPr="008918F0">
        <w:t>’</w:t>
      </w:r>
      <w:r w:rsidR="00025F69" w:rsidRPr="008918F0">
        <w:t>identification</w:t>
      </w:r>
      <w:r w:rsidRPr="008918F0">
        <w:t xml:space="preserve"> et l</w:t>
      </w:r>
      <w:r w:rsidR="00C959B2" w:rsidRPr="008918F0">
        <w:t>’</w:t>
      </w:r>
      <w:r w:rsidRPr="008918F0">
        <w:t>utilisation des inventions se trouvant dans le domaine public dans chaque région</w:t>
      </w:r>
    </w:p>
    <w:p w:rsidR="0006001B" w:rsidRPr="008918F0" w:rsidRDefault="0006001B" w:rsidP="00995402">
      <w:pPr>
        <w:rPr>
          <w:i/>
          <w:u w:val="single"/>
          <w:lang w:val="fr-FR"/>
        </w:rPr>
      </w:pPr>
    </w:p>
    <w:p w:rsidR="0088090C" w:rsidRPr="008918F0" w:rsidRDefault="00C83D71" w:rsidP="0088090C">
      <w:pPr>
        <w:pStyle w:val="ONUMFS"/>
        <w:rPr>
          <w:lang w:val="fr-FR"/>
        </w:rPr>
      </w:pPr>
      <w:r w:rsidRPr="008918F0">
        <w:rPr>
          <w:b/>
          <w:lang w:val="fr-FR"/>
        </w:rPr>
        <w:t>Observation n</w:t>
      </w:r>
      <w:r w:rsidR="0088090C" w:rsidRPr="008918F0">
        <w:rPr>
          <w:b/>
          <w:lang w:val="fr-FR"/>
        </w:rPr>
        <w:t>°</w:t>
      </w:r>
      <w:r w:rsidRPr="008918F0">
        <w:rPr>
          <w:b/>
          <w:lang w:val="fr-FR"/>
        </w:rPr>
        <w:t> </w:t>
      </w:r>
      <w:r w:rsidR="00D33315" w:rsidRPr="008918F0">
        <w:rPr>
          <w:b/>
          <w:lang w:val="fr-FR"/>
        </w:rPr>
        <w:t>13</w:t>
      </w:r>
      <w:r w:rsidR="00C959B2" w:rsidRPr="008918F0">
        <w:rPr>
          <w:b/>
          <w:lang w:val="fr-FR"/>
        </w:rPr>
        <w:t> :</w:t>
      </w:r>
      <w:r w:rsidR="00D33315" w:rsidRPr="008918F0">
        <w:rPr>
          <w:lang w:val="fr-FR"/>
        </w:rPr>
        <w:t xml:space="preserve"> </w:t>
      </w:r>
      <w:r w:rsidR="00DA7C7D" w:rsidRPr="008918F0">
        <w:rPr>
          <w:lang w:val="fr-FR"/>
        </w:rPr>
        <w:t>l</w:t>
      </w:r>
      <w:r w:rsidR="00C959B2" w:rsidRPr="008918F0">
        <w:rPr>
          <w:lang w:val="fr-FR"/>
        </w:rPr>
        <w:t>’</w:t>
      </w:r>
      <w:r w:rsidR="00DA7C7D" w:rsidRPr="008918F0">
        <w:rPr>
          <w:lang w:val="fr-FR"/>
        </w:rPr>
        <w:t>élaboration des deux</w:t>
      </w:r>
      <w:r w:rsidR="00DB6EA5" w:rsidRPr="008918F0">
        <w:rPr>
          <w:lang w:val="fr-FR"/>
        </w:rPr>
        <w:t> </w:t>
      </w:r>
      <w:r w:rsidR="00DA7C7D" w:rsidRPr="008918F0">
        <w:rPr>
          <w:lang w:val="fr-FR"/>
        </w:rPr>
        <w:t>guides a permis d</w:t>
      </w:r>
      <w:r w:rsidR="00C959B2" w:rsidRPr="008918F0">
        <w:rPr>
          <w:lang w:val="fr-FR"/>
        </w:rPr>
        <w:t>’</w:t>
      </w:r>
      <w:r w:rsidR="00DA7C7D" w:rsidRPr="008918F0">
        <w:rPr>
          <w:lang w:val="fr-FR"/>
        </w:rPr>
        <w:t xml:space="preserve">établir une liste de 14 experts essentiels, </w:t>
      </w:r>
      <w:r w:rsidR="00C959B2" w:rsidRPr="008918F0">
        <w:rPr>
          <w:lang w:val="fr-FR"/>
        </w:rPr>
        <w:t>à savoir</w:t>
      </w:r>
      <w:r w:rsidR="00DA7C7D" w:rsidRPr="008918F0">
        <w:rPr>
          <w:lang w:val="fr-FR"/>
        </w:rPr>
        <w:t xml:space="preserve"> les deux</w:t>
      </w:r>
      <w:r w:rsidR="00DB6EA5" w:rsidRPr="008918F0">
        <w:rPr>
          <w:lang w:val="fr-FR"/>
        </w:rPr>
        <w:t> </w:t>
      </w:r>
      <w:r w:rsidR="00DA7C7D" w:rsidRPr="008918F0">
        <w:rPr>
          <w:lang w:val="fr-FR"/>
        </w:rPr>
        <w:t>experts principaux (auteurs), les cinq</w:t>
      </w:r>
      <w:r w:rsidR="00DB6EA5" w:rsidRPr="008918F0">
        <w:rPr>
          <w:lang w:val="fr-FR"/>
        </w:rPr>
        <w:t> </w:t>
      </w:r>
      <w:r w:rsidR="00DA7C7D" w:rsidRPr="008918F0">
        <w:rPr>
          <w:lang w:val="fr-FR"/>
        </w:rPr>
        <w:t>experts associés et les sept</w:t>
      </w:r>
      <w:r w:rsidR="00DB6EA5" w:rsidRPr="008918F0">
        <w:rPr>
          <w:lang w:val="fr-FR"/>
        </w:rPr>
        <w:t> </w:t>
      </w:r>
      <w:r w:rsidR="00DA7C7D" w:rsidRPr="008918F0">
        <w:rPr>
          <w:lang w:val="fr-FR"/>
        </w:rPr>
        <w:t>experts nationa</w:t>
      </w:r>
      <w:r w:rsidR="00630E33" w:rsidRPr="008918F0">
        <w:rPr>
          <w:lang w:val="fr-FR"/>
        </w:rPr>
        <w:t>ux.  Ce</w:t>
      </w:r>
      <w:r w:rsidR="00DA7C7D" w:rsidRPr="008918F0">
        <w:rPr>
          <w:lang w:val="fr-FR"/>
        </w:rPr>
        <w:t>s experts ont joué un rôle essentiel dans le développement et la mise à l</w:t>
      </w:r>
      <w:r w:rsidR="00C959B2" w:rsidRPr="008918F0">
        <w:rPr>
          <w:lang w:val="fr-FR"/>
        </w:rPr>
        <w:t>’</w:t>
      </w:r>
      <w:r w:rsidR="00DA7C7D" w:rsidRPr="008918F0">
        <w:rPr>
          <w:lang w:val="fr-FR"/>
        </w:rPr>
        <w:t>essai des guides et leur travail a largement contribué à l</w:t>
      </w:r>
      <w:r w:rsidR="00C959B2" w:rsidRPr="008918F0">
        <w:rPr>
          <w:lang w:val="fr-FR"/>
        </w:rPr>
        <w:t>’</w:t>
      </w:r>
      <w:r w:rsidR="00DA7C7D" w:rsidRPr="008918F0">
        <w:rPr>
          <w:lang w:val="fr-FR"/>
        </w:rPr>
        <w:t>exhaustivité des guides.</w:t>
      </w:r>
    </w:p>
    <w:p w:rsidR="0088090C" w:rsidRPr="008918F0" w:rsidRDefault="00DA7C7D" w:rsidP="0088090C">
      <w:pPr>
        <w:pStyle w:val="ONUMFS"/>
        <w:rPr>
          <w:lang w:val="fr-FR"/>
        </w:rPr>
      </w:pPr>
      <w:r w:rsidRPr="008918F0">
        <w:rPr>
          <w:b/>
          <w:lang w:val="fr-FR"/>
        </w:rPr>
        <w:t xml:space="preserve">Observation </w:t>
      </w:r>
      <w:r w:rsidR="00DB6EA5" w:rsidRPr="008918F0">
        <w:rPr>
          <w:b/>
          <w:lang w:val="fr-FR"/>
        </w:rPr>
        <w:t>n°</w:t>
      </w:r>
      <w:r w:rsidRPr="008918F0">
        <w:rPr>
          <w:b/>
          <w:lang w:val="fr-FR"/>
        </w:rPr>
        <w:t> 14</w:t>
      </w:r>
      <w:r w:rsidR="00C959B2" w:rsidRPr="008918F0">
        <w:rPr>
          <w:b/>
          <w:lang w:val="fr-FR"/>
        </w:rPr>
        <w:t> :</w:t>
      </w:r>
      <w:r w:rsidRPr="008918F0">
        <w:rPr>
          <w:b/>
          <w:lang w:val="fr-FR"/>
        </w:rPr>
        <w:t xml:space="preserve"> </w:t>
      </w:r>
      <w:r w:rsidR="00EC0854" w:rsidRPr="008918F0">
        <w:rPr>
          <w:lang w:val="fr-FR"/>
        </w:rPr>
        <w:t>jusqu</w:t>
      </w:r>
      <w:r w:rsidR="00C959B2" w:rsidRPr="008918F0">
        <w:rPr>
          <w:lang w:val="fr-FR"/>
        </w:rPr>
        <w:t>’</w:t>
      </w:r>
      <w:r w:rsidR="00EC0854" w:rsidRPr="008918F0">
        <w:rPr>
          <w:lang w:val="fr-FR"/>
        </w:rPr>
        <w:t>ici</w:t>
      </w:r>
      <w:r w:rsidRPr="008918F0">
        <w:rPr>
          <w:lang w:val="fr-FR"/>
        </w:rPr>
        <w:t>, le rôle des experts essentiels a consisté à élaborer les guides et à organiser des formations dans neuf</w:t>
      </w:r>
      <w:r w:rsidR="00DB6EA5" w:rsidRPr="008918F0">
        <w:rPr>
          <w:lang w:val="fr-FR"/>
        </w:rPr>
        <w:t> </w:t>
      </w:r>
      <w:r w:rsidRPr="008918F0">
        <w:rPr>
          <w:lang w:val="fr-FR"/>
        </w:rPr>
        <w:t>pays, comme indiqué plus ha</w:t>
      </w:r>
      <w:r w:rsidR="00630E33" w:rsidRPr="008918F0">
        <w:rPr>
          <w:lang w:val="fr-FR"/>
        </w:rPr>
        <w:t>ut.  Le</w:t>
      </w:r>
      <w:r w:rsidRPr="008918F0">
        <w:rPr>
          <w:lang w:val="fr-FR"/>
        </w:rPr>
        <w:t xml:space="preserve">s experts essentiels doivent encore intervenir dans </w:t>
      </w:r>
      <w:r w:rsidR="00EC0854" w:rsidRPr="008918F0">
        <w:rPr>
          <w:lang w:val="fr-FR"/>
        </w:rPr>
        <w:t>le développement</w:t>
      </w:r>
      <w:r w:rsidRPr="008918F0">
        <w:rPr>
          <w:lang w:val="fr-FR"/>
        </w:rPr>
        <w:t xml:space="preserve"> de nouveaux services relatifs au domaine public et destinés</w:t>
      </w:r>
      <w:r w:rsidR="00C959B2" w:rsidRPr="008918F0">
        <w:rPr>
          <w:lang w:val="fr-FR"/>
        </w:rPr>
        <w:t xml:space="preserve"> aux C</w:t>
      </w:r>
      <w:r w:rsidR="00630E33" w:rsidRPr="008918F0">
        <w:rPr>
          <w:lang w:val="fr-FR"/>
        </w:rPr>
        <w:t>ATI.  Pa</w:t>
      </w:r>
      <w:r w:rsidRPr="008918F0">
        <w:rPr>
          <w:lang w:val="fr-FR"/>
        </w:rPr>
        <w:t>r ailleurs, les membres du personnel</w:t>
      </w:r>
      <w:r w:rsidR="00C959B2" w:rsidRPr="008918F0">
        <w:rPr>
          <w:lang w:val="fr-FR"/>
        </w:rPr>
        <w:t xml:space="preserve"> des CAT</w:t>
      </w:r>
      <w:r w:rsidRPr="008918F0">
        <w:rPr>
          <w:lang w:val="fr-FR"/>
        </w:rPr>
        <w:t>I interrogés ignoraient qu</w:t>
      </w:r>
      <w:r w:rsidR="00C959B2" w:rsidRPr="008918F0">
        <w:rPr>
          <w:lang w:val="fr-FR"/>
        </w:rPr>
        <w:t>’</w:t>
      </w:r>
      <w:r w:rsidRPr="008918F0">
        <w:rPr>
          <w:lang w:val="fr-FR"/>
        </w:rPr>
        <w:t>ils pouvaient compter sur le soutien des experts essentiels.</w:t>
      </w:r>
    </w:p>
    <w:p w:rsidR="00DA7C7D" w:rsidRPr="008918F0" w:rsidRDefault="00DA7C7D" w:rsidP="0088090C">
      <w:pPr>
        <w:pStyle w:val="Heading5"/>
      </w:pPr>
      <w:r w:rsidRPr="008918F0">
        <w:t>Efficacité et utilité des activités du projet visant à améliorer le portail sur la situation juridique afin de parvenir à une plus grande facilité d</w:t>
      </w:r>
      <w:r w:rsidR="00C959B2" w:rsidRPr="008918F0">
        <w:t>’</w:t>
      </w:r>
      <w:r w:rsidRPr="008918F0">
        <w:t>utilisation et d</w:t>
      </w:r>
      <w:r w:rsidR="00C959B2" w:rsidRPr="008918F0">
        <w:t>’</w:t>
      </w:r>
      <w:r w:rsidRPr="008918F0">
        <w:t>élargir le contenu concernant l</w:t>
      </w:r>
      <w:r w:rsidR="00EC0854" w:rsidRPr="008918F0">
        <w:t>es moyens</w:t>
      </w:r>
      <w:r w:rsidRPr="008918F0">
        <w:t xml:space="preserve"> d</w:t>
      </w:r>
      <w:r w:rsidR="00C959B2" w:rsidRPr="008918F0">
        <w:t>’</w:t>
      </w:r>
      <w:r w:rsidRPr="008918F0">
        <w:t>obtenir des informations sur la situation juridique dans différents territoires</w:t>
      </w:r>
    </w:p>
    <w:p w:rsidR="0006001B" w:rsidRPr="008918F0" w:rsidRDefault="0006001B" w:rsidP="0088090C">
      <w:pPr>
        <w:rPr>
          <w:lang w:val="fr-FR"/>
        </w:rPr>
      </w:pPr>
    </w:p>
    <w:p w:rsidR="0006001B" w:rsidRPr="008918F0" w:rsidRDefault="00DA7C7D" w:rsidP="0088090C">
      <w:pPr>
        <w:pStyle w:val="ONUMFS"/>
        <w:rPr>
          <w:lang w:val="fr-FR"/>
        </w:rPr>
      </w:pPr>
      <w:r w:rsidRPr="008918F0">
        <w:rPr>
          <w:b/>
          <w:lang w:val="fr-FR"/>
        </w:rPr>
        <w:t xml:space="preserve">Observation </w:t>
      </w:r>
      <w:r w:rsidR="00DB6EA5" w:rsidRPr="008918F0">
        <w:rPr>
          <w:b/>
          <w:lang w:val="fr-FR"/>
        </w:rPr>
        <w:t>n°</w:t>
      </w:r>
      <w:r w:rsidRPr="008918F0">
        <w:rPr>
          <w:b/>
          <w:lang w:val="fr-FR"/>
        </w:rPr>
        <w:t> 15</w:t>
      </w:r>
      <w:r w:rsidR="00C959B2" w:rsidRPr="008918F0">
        <w:rPr>
          <w:b/>
          <w:lang w:val="fr-FR"/>
        </w:rPr>
        <w:t> :</w:t>
      </w:r>
      <w:r w:rsidRPr="008918F0">
        <w:rPr>
          <w:b/>
          <w:lang w:val="fr-FR"/>
        </w:rPr>
        <w:t xml:space="preserve"> </w:t>
      </w:r>
      <w:r w:rsidRPr="008918F0">
        <w:rPr>
          <w:lang w:val="fr-FR"/>
        </w:rPr>
        <w:t>le portail sur la situation juridique a été considéré dans le descriptif de projet initial comme un instrument de soutien essentiel en matière de domaine public (pour permettre aux utilisateurs de connaître la situation juridique des brevets dans les différents territoir</w:t>
      </w:r>
      <w:r w:rsidR="00630E33" w:rsidRPr="008918F0">
        <w:rPr>
          <w:lang w:val="fr-FR"/>
        </w:rPr>
        <w:t>es).  Le</w:t>
      </w:r>
      <w:r w:rsidRPr="008918F0">
        <w:rPr>
          <w:lang w:val="fr-FR"/>
        </w:rPr>
        <w:t xml:space="preserve"> portail existant a été </w:t>
      </w:r>
      <w:r w:rsidR="00945D73" w:rsidRPr="008918F0">
        <w:rPr>
          <w:lang w:val="fr-FR"/>
        </w:rPr>
        <w:t>analysé</w:t>
      </w:r>
      <w:r w:rsidRPr="008918F0">
        <w:rPr>
          <w:lang w:val="fr-FR"/>
        </w:rPr>
        <w:t xml:space="preserve"> par un expert en communications et des commentaires ont été reçu</w:t>
      </w:r>
      <w:r w:rsidR="00945D73" w:rsidRPr="008918F0">
        <w:rPr>
          <w:lang w:val="fr-FR"/>
        </w:rPr>
        <w:t>s</w:t>
      </w:r>
      <w:r w:rsidRPr="008918F0">
        <w:rPr>
          <w:lang w:val="fr-FR"/>
        </w:rPr>
        <w:t xml:space="preserve"> de quelque 200 utilisateurs établis dans 20 pa</w:t>
      </w:r>
      <w:r w:rsidR="00630E33" w:rsidRPr="008918F0">
        <w:rPr>
          <w:lang w:val="fr-FR"/>
        </w:rPr>
        <w:t>ys.  Su</w:t>
      </w:r>
      <w:r w:rsidR="00945D73" w:rsidRPr="008918F0">
        <w:rPr>
          <w:lang w:val="fr-FR"/>
        </w:rPr>
        <w:t>r le fondement de cette analyse et de ces commentaires, un nouveau portail baptisé Portail d</w:t>
      </w:r>
      <w:r w:rsidR="00C959B2" w:rsidRPr="008918F0">
        <w:rPr>
          <w:lang w:val="fr-FR"/>
        </w:rPr>
        <w:t>’</w:t>
      </w:r>
      <w:r w:rsidR="00945D73" w:rsidRPr="008918F0">
        <w:rPr>
          <w:lang w:val="fr-FR"/>
        </w:rPr>
        <w:t>accès aux registres de brevets a été lancé en novembre 2018</w:t>
      </w:r>
      <w:r w:rsidR="009647E8" w:rsidRPr="008918F0">
        <w:rPr>
          <w:rStyle w:val="FootnoteReference"/>
          <w:lang w:val="fr-FR"/>
        </w:rPr>
        <w:footnoteReference w:id="5"/>
      </w:r>
      <w:r w:rsidR="009647E8" w:rsidRPr="008918F0">
        <w:rPr>
          <w:lang w:val="fr-FR"/>
        </w:rPr>
        <w:t>.</w:t>
      </w:r>
    </w:p>
    <w:p w:rsidR="0088090C" w:rsidRPr="008918F0" w:rsidRDefault="00945D73" w:rsidP="0088090C">
      <w:pPr>
        <w:pStyle w:val="ONUMFS"/>
        <w:rPr>
          <w:lang w:val="fr-FR"/>
        </w:rPr>
      </w:pPr>
      <w:r w:rsidRPr="008918F0">
        <w:rPr>
          <w:b/>
          <w:lang w:val="fr-FR"/>
        </w:rPr>
        <w:t xml:space="preserve">Observation </w:t>
      </w:r>
      <w:r w:rsidR="00DB6EA5" w:rsidRPr="008918F0">
        <w:rPr>
          <w:b/>
          <w:lang w:val="fr-FR"/>
        </w:rPr>
        <w:t>n°</w:t>
      </w:r>
      <w:r w:rsidRPr="008918F0">
        <w:rPr>
          <w:b/>
          <w:lang w:val="fr-FR"/>
        </w:rPr>
        <w:t> 16</w:t>
      </w:r>
      <w:r w:rsidR="00C959B2" w:rsidRPr="008918F0">
        <w:rPr>
          <w:b/>
          <w:lang w:val="fr-FR"/>
        </w:rPr>
        <w:t> :</w:t>
      </w:r>
      <w:r w:rsidRPr="008918F0">
        <w:rPr>
          <w:b/>
          <w:lang w:val="fr-FR"/>
        </w:rPr>
        <w:t xml:space="preserve"> </w:t>
      </w:r>
      <w:r w:rsidRPr="008918F0">
        <w:rPr>
          <w:lang w:val="fr-FR"/>
        </w:rPr>
        <w:t>le nouveau portail contient des informations de plus de 200 ressorts juridiques, qui ont été mises à jour dans le cadre du projet, soit quelque 25% de ressorts juridiques et de recueils d</w:t>
      </w:r>
      <w:r w:rsidR="00C959B2" w:rsidRPr="008918F0">
        <w:rPr>
          <w:lang w:val="fr-FR"/>
        </w:rPr>
        <w:t>’</w:t>
      </w:r>
      <w:r w:rsidRPr="008918F0">
        <w:rPr>
          <w:lang w:val="fr-FR"/>
        </w:rPr>
        <w:t xml:space="preserve">informations sur les brevets </w:t>
      </w:r>
      <w:r w:rsidR="00EC0854" w:rsidRPr="008918F0">
        <w:rPr>
          <w:lang w:val="fr-FR"/>
        </w:rPr>
        <w:t xml:space="preserve">de plus que dans </w:t>
      </w:r>
      <w:r w:rsidRPr="008918F0">
        <w:rPr>
          <w:lang w:val="fr-FR"/>
        </w:rPr>
        <w:t>la version antérieu</w:t>
      </w:r>
      <w:r w:rsidR="00630E33" w:rsidRPr="008918F0">
        <w:rPr>
          <w:lang w:val="fr-FR"/>
        </w:rPr>
        <w:t>re.  Su</w:t>
      </w:r>
      <w:r w:rsidRPr="008918F0">
        <w:rPr>
          <w:lang w:val="fr-FR"/>
        </w:rPr>
        <w:t>r la base des commentaires des utilisateurs, une nouvelle interface de portail a été créée, dotée de fonctionnalités supplémentaires, comme la possibilité de combiner des critères de recherche et de visualiser des informations au départ d</w:t>
      </w:r>
      <w:r w:rsidR="00C959B2" w:rsidRPr="008918F0">
        <w:rPr>
          <w:lang w:val="fr-FR"/>
        </w:rPr>
        <w:t>’</w:t>
      </w:r>
      <w:r w:rsidRPr="008918F0">
        <w:rPr>
          <w:lang w:val="fr-FR"/>
        </w:rPr>
        <w:t>une carte du monde ou d</w:t>
      </w:r>
      <w:r w:rsidR="00C959B2" w:rsidRPr="008918F0">
        <w:rPr>
          <w:lang w:val="fr-FR"/>
        </w:rPr>
        <w:t>’</w:t>
      </w:r>
      <w:r w:rsidRPr="008918F0">
        <w:rPr>
          <w:lang w:val="fr-FR"/>
        </w:rPr>
        <w:t>un tableau.</w:t>
      </w:r>
    </w:p>
    <w:p w:rsidR="0006001B" w:rsidRPr="008918F0" w:rsidRDefault="00945D73" w:rsidP="0088090C">
      <w:pPr>
        <w:pStyle w:val="ONUMFS"/>
        <w:rPr>
          <w:lang w:val="fr-FR"/>
        </w:rPr>
      </w:pPr>
      <w:r w:rsidRPr="008918F0">
        <w:rPr>
          <w:b/>
          <w:lang w:val="fr-FR"/>
        </w:rPr>
        <w:t xml:space="preserve">Observation </w:t>
      </w:r>
      <w:r w:rsidR="00DB6EA5" w:rsidRPr="008918F0">
        <w:rPr>
          <w:b/>
          <w:lang w:val="fr-FR"/>
        </w:rPr>
        <w:t>n°</w:t>
      </w:r>
      <w:r w:rsidRPr="008918F0">
        <w:rPr>
          <w:b/>
          <w:lang w:val="fr-FR"/>
        </w:rPr>
        <w:t> 17</w:t>
      </w:r>
      <w:r w:rsidR="00C959B2" w:rsidRPr="008918F0">
        <w:rPr>
          <w:b/>
          <w:lang w:val="fr-FR"/>
        </w:rPr>
        <w:t> :</w:t>
      </w:r>
      <w:r w:rsidR="009647E8" w:rsidRPr="008918F0">
        <w:rPr>
          <w:lang w:val="fr-FR"/>
        </w:rPr>
        <w:t xml:space="preserve"> </w:t>
      </w:r>
      <w:r w:rsidRPr="008918F0">
        <w:rPr>
          <w:lang w:val="fr-FR"/>
        </w:rPr>
        <w:t>le nouveau portail a enregistré une hausse significative du nombre de visiteurs par rapport à la version précédente</w:t>
      </w:r>
      <w:r w:rsidR="00C959B2" w:rsidRPr="008918F0">
        <w:rPr>
          <w:lang w:val="fr-FR"/>
        </w:rPr>
        <w:t> :</w:t>
      </w:r>
      <w:r w:rsidRPr="008918F0">
        <w:rPr>
          <w:lang w:val="fr-FR"/>
        </w:rPr>
        <w:t xml:space="preserve"> selon les statistiques du site</w:t>
      </w:r>
      <w:r w:rsidR="00DB6EA5" w:rsidRPr="008918F0">
        <w:rPr>
          <w:lang w:val="fr-FR"/>
        </w:rPr>
        <w:t> </w:t>
      </w:r>
      <w:r w:rsidRPr="008918F0">
        <w:rPr>
          <w:lang w:val="fr-FR"/>
        </w:rPr>
        <w:t>Web, l</w:t>
      </w:r>
      <w:r w:rsidR="00C959B2" w:rsidRPr="008918F0">
        <w:rPr>
          <w:lang w:val="fr-FR"/>
        </w:rPr>
        <w:t>’</w:t>
      </w:r>
      <w:r w:rsidRPr="008918F0">
        <w:rPr>
          <w:lang w:val="fr-FR"/>
        </w:rPr>
        <w:t xml:space="preserve">ancien portail enregistrait en moyenne 333 visites par mois contre </w:t>
      </w:r>
      <w:r w:rsidR="00DB6EA5" w:rsidRPr="008918F0">
        <w:rPr>
          <w:lang w:val="fr-FR"/>
        </w:rPr>
        <w:t>2000</w:t>
      </w:r>
      <w:r w:rsidRPr="008918F0">
        <w:rPr>
          <w:lang w:val="fr-FR"/>
        </w:rPr>
        <w:t> pour le nouveau portail, soit une augmentation de 500%.  Les personnes interrogées qui connaissaient bien l</w:t>
      </w:r>
      <w:r w:rsidR="00C959B2" w:rsidRPr="008918F0">
        <w:rPr>
          <w:lang w:val="fr-FR"/>
        </w:rPr>
        <w:t>’</w:t>
      </w:r>
      <w:r w:rsidRPr="008918F0">
        <w:rPr>
          <w:lang w:val="fr-FR"/>
        </w:rPr>
        <w:t xml:space="preserve">ancienne </w:t>
      </w:r>
      <w:r w:rsidR="00EC0854" w:rsidRPr="008918F0">
        <w:rPr>
          <w:lang w:val="fr-FR"/>
        </w:rPr>
        <w:t>et</w:t>
      </w:r>
      <w:r w:rsidRPr="008918F0">
        <w:rPr>
          <w:lang w:val="fr-FR"/>
        </w:rPr>
        <w:t xml:space="preserve"> la nouvelle plateforme ont indiqué que le nouveau portail représentait une amélioration notable en termes de facilité d</w:t>
      </w:r>
      <w:r w:rsidR="00C959B2" w:rsidRPr="008918F0">
        <w:rPr>
          <w:lang w:val="fr-FR"/>
        </w:rPr>
        <w:t>’</w:t>
      </w:r>
      <w:r w:rsidRPr="008918F0">
        <w:rPr>
          <w:lang w:val="fr-FR"/>
        </w:rPr>
        <w:t>utilisation et d</w:t>
      </w:r>
      <w:r w:rsidR="00C959B2" w:rsidRPr="008918F0">
        <w:rPr>
          <w:lang w:val="fr-FR"/>
        </w:rPr>
        <w:t>’</w:t>
      </w:r>
      <w:r w:rsidRPr="008918F0">
        <w:rPr>
          <w:lang w:val="fr-FR"/>
        </w:rPr>
        <w:t>exhaustivité du conte</w:t>
      </w:r>
      <w:r w:rsidR="00630E33" w:rsidRPr="008918F0">
        <w:rPr>
          <w:lang w:val="fr-FR"/>
        </w:rPr>
        <w:t>nu.  Un</w:t>
      </w:r>
      <w:r w:rsidRPr="008918F0">
        <w:rPr>
          <w:lang w:val="fr-FR"/>
        </w:rPr>
        <w:t xml:space="preserve"> problème </w:t>
      </w:r>
      <w:r w:rsidR="00EC0854" w:rsidRPr="008918F0">
        <w:rPr>
          <w:lang w:val="fr-FR"/>
        </w:rPr>
        <w:t>s</w:t>
      </w:r>
      <w:r w:rsidR="00C959B2" w:rsidRPr="008918F0">
        <w:rPr>
          <w:lang w:val="fr-FR"/>
        </w:rPr>
        <w:t>’</w:t>
      </w:r>
      <w:r w:rsidR="00EC0854" w:rsidRPr="008918F0">
        <w:rPr>
          <w:lang w:val="fr-FR"/>
        </w:rPr>
        <w:t xml:space="preserve">est posé en ce qui concerne </w:t>
      </w:r>
      <w:r w:rsidRPr="008918F0">
        <w:rPr>
          <w:lang w:val="fr-FR"/>
        </w:rPr>
        <w:t>la localisation du portail sur toutes les pages pertinentes du site</w:t>
      </w:r>
      <w:r w:rsidR="00DB6EA5" w:rsidRPr="008918F0">
        <w:rPr>
          <w:lang w:val="fr-FR"/>
        </w:rPr>
        <w:t> </w:t>
      </w:r>
      <w:r w:rsidRPr="008918F0">
        <w:rPr>
          <w:lang w:val="fr-FR"/>
        </w:rPr>
        <w:t>Web de l</w:t>
      </w:r>
      <w:r w:rsidR="00C959B2" w:rsidRPr="008918F0">
        <w:rPr>
          <w:lang w:val="fr-FR"/>
        </w:rPr>
        <w:t>’</w:t>
      </w:r>
      <w:r w:rsidRPr="008918F0">
        <w:rPr>
          <w:lang w:val="fr-FR"/>
        </w:rPr>
        <w:t xml:space="preserve">OMPI </w:t>
      </w:r>
      <w:r w:rsidRPr="008918F0">
        <w:rPr>
          <w:lang w:val="fr-FR"/>
        </w:rPr>
        <w:lastRenderedPageBreak/>
        <w:t>consacrées aux brevets et</w:t>
      </w:r>
      <w:r w:rsidR="00C959B2" w:rsidRPr="008918F0">
        <w:rPr>
          <w:lang w:val="fr-FR"/>
        </w:rPr>
        <w:t xml:space="preserve"> aux CAT</w:t>
      </w:r>
      <w:r w:rsidRPr="008918F0">
        <w:rPr>
          <w:lang w:val="fr-FR"/>
        </w:rPr>
        <w:t>I.  À titre d</w:t>
      </w:r>
      <w:r w:rsidR="00C959B2" w:rsidRPr="008918F0">
        <w:rPr>
          <w:lang w:val="fr-FR"/>
        </w:rPr>
        <w:t>’</w:t>
      </w:r>
      <w:r w:rsidRPr="008918F0">
        <w:rPr>
          <w:lang w:val="fr-FR"/>
        </w:rPr>
        <w:t>exemple, le portail n</w:t>
      </w:r>
      <w:r w:rsidR="00C959B2" w:rsidRPr="008918F0">
        <w:rPr>
          <w:lang w:val="fr-FR"/>
        </w:rPr>
        <w:t>’</w:t>
      </w:r>
      <w:r w:rsidRPr="008918F0">
        <w:rPr>
          <w:lang w:val="fr-FR"/>
        </w:rPr>
        <w:t xml:space="preserve">était pas visible ou relié aux pages essentielles </w:t>
      </w:r>
      <w:r w:rsidR="00EC0854" w:rsidRPr="008918F0">
        <w:rPr>
          <w:lang w:val="fr-FR"/>
        </w:rPr>
        <w:t>ci</w:t>
      </w:r>
      <w:r w:rsidR="00AB7A2D">
        <w:rPr>
          <w:lang w:val="fr-FR"/>
        </w:rPr>
        <w:noBreakHyphen/>
      </w:r>
      <w:r w:rsidR="00EC0854" w:rsidRPr="008918F0">
        <w:rPr>
          <w:lang w:val="fr-FR"/>
        </w:rPr>
        <w:t>après,</w:t>
      </w:r>
      <w:r w:rsidRPr="008918F0">
        <w:rPr>
          <w:lang w:val="fr-FR"/>
        </w:rPr>
        <w:t xml:space="preserve"> </w:t>
      </w:r>
      <w:r w:rsidR="00B06E7A" w:rsidRPr="008918F0">
        <w:rPr>
          <w:lang w:val="fr-FR"/>
        </w:rPr>
        <w:t>où des utilisateurs potentiels se seraient attendus à le trouver</w:t>
      </w:r>
      <w:r w:rsidR="00C959B2" w:rsidRPr="008918F0">
        <w:rPr>
          <w:lang w:val="fr-FR"/>
        </w:rPr>
        <w:t> :</w:t>
      </w:r>
    </w:p>
    <w:p w:rsidR="0006001B" w:rsidRPr="008918F0" w:rsidRDefault="00B06E7A" w:rsidP="0088090C">
      <w:pPr>
        <w:pStyle w:val="ListParagraph"/>
        <w:numPr>
          <w:ilvl w:val="0"/>
          <w:numId w:val="37"/>
        </w:numPr>
        <w:ind w:left="1134" w:hanging="567"/>
        <w:rPr>
          <w:lang w:val="fr-FR"/>
        </w:rPr>
      </w:pPr>
      <w:r w:rsidRPr="008918F0">
        <w:rPr>
          <w:lang w:val="fr-FR"/>
        </w:rPr>
        <w:t>page principale sur les brevets</w:t>
      </w:r>
      <w:r w:rsidR="00C959B2" w:rsidRPr="008918F0">
        <w:rPr>
          <w:lang w:val="fr-FR"/>
        </w:rPr>
        <w:t> :</w:t>
      </w:r>
      <w:r w:rsidR="00797965" w:rsidRPr="008918F0">
        <w:rPr>
          <w:lang w:val="fr-FR"/>
        </w:rPr>
        <w:t xml:space="preserve"> </w:t>
      </w:r>
      <w:hyperlink r:id="rId15" w:history="1">
        <w:r w:rsidR="0088090C" w:rsidRPr="008918F0">
          <w:rPr>
            <w:rStyle w:val="Hyperlink"/>
            <w:lang w:val="fr-FR"/>
          </w:rPr>
          <w:t>https://www.wipo.int/patents/fr/</w:t>
        </w:r>
      </w:hyperlink>
      <w:r w:rsidR="0088090C" w:rsidRPr="008918F0">
        <w:rPr>
          <w:rFonts w:cs="Times New Roman"/>
          <w:lang w:val="fr-FR"/>
        </w:rPr>
        <w:t>;</w:t>
      </w:r>
    </w:p>
    <w:p w:rsidR="0006001B" w:rsidRPr="008918F0" w:rsidRDefault="00B06E7A" w:rsidP="0088090C">
      <w:pPr>
        <w:pStyle w:val="ListParagraph"/>
        <w:numPr>
          <w:ilvl w:val="0"/>
          <w:numId w:val="37"/>
        </w:numPr>
        <w:ind w:left="1134" w:hanging="567"/>
        <w:rPr>
          <w:sz w:val="24"/>
          <w:szCs w:val="24"/>
          <w:lang w:val="fr-FR"/>
        </w:rPr>
      </w:pPr>
      <w:r w:rsidRPr="008918F0">
        <w:rPr>
          <w:lang w:val="fr-FR"/>
        </w:rPr>
        <w:t xml:space="preserve">page principale de </w:t>
      </w:r>
      <w:r w:rsidR="00797965" w:rsidRPr="008918F0">
        <w:rPr>
          <w:lang w:val="fr-FR"/>
        </w:rPr>
        <w:t>P</w:t>
      </w:r>
      <w:r w:rsidR="00AB7A2D">
        <w:rPr>
          <w:lang w:val="fr-FR"/>
        </w:rPr>
        <w:t>ATENTSCOPE</w:t>
      </w:r>
      <w:r w:rsidR="00C959B2" w:rsidRPr="008918F0">
        <w:rPr>
          <w:lang w:val="fr-FR"/>
        </w:rPr>
        <w:t> :</w:t>
      </w:r>
      <w:r w:rsidR="00797965" w:rsidRPr="008918F0">
        <w:rPr>
          <w:lang w:val="fr-FR"/>
        </w:rPr>
        <w:t xml:space="preserve"> </w:t>
      </w:r>
      <w:hyperlink r:id="rId16" w:history="1">
        <w:r w:rsidR="0088090C" w:rsidRPr="008918F0">
          <w:rPr>
            <w:rStyle w:val="Hyperlink"/>
            <w:lang w:val="fr-FR"/>
          </w:rPr>
          <w:t>https://www.wipo.int/patentscope/fr/index.html</w:t>
        </w:r>
      </w:hyperlink>
      <w:r w:rsidR="0088090C" w:rsidRPr="008918F0">
        <w:rPr>
          <w:rFonts w:cs="Times New Roman"/>
          <w:lang w:val="fr-FR"/>
        </w:rPr>
        <w:t>;</w:t>
      </w:r>
    </w:p>
    <w:p w:rsidR="0006001B" w:rsidRPr="008918F0" w:rsidRDefault="00B06E7A" w:rsidP="0088090C">
      <w:pPr>
        <w:pStyle w:val="ListParagraph"/>
        <w:numPr>
          <w:ilvl w:val="0"/>
          <w:numId w:val="37"/>
        </w:numPr>
        <w:ind w:left="1134" w:hanging="567"/>
        <w:rPr>
          <w:sz w:val="24"/>
          <w:szCs w:val="24"/>
          <w:lang w:val="fr-FR"/>
        </w:rPr>
      </w:pPr>
      <w:r w:rsidRPr="008918F0">
        <w:rPr>
          <w:lang w:val="fr-FR"/>
        </w:rPr>
        <w:t>page sur la situation juridique des brevets</w:t>
      </w:r>
      <w:r w:rsidR="00C959B2" w:rsidRPr="008918F0">
        <w:rPr>
          <w:lang w:val="fr-FR"/>
        </w:rPr>
        <w:t> :</w:t>
      </w:r>
      <w:r w:rsidR="00797965" w:rsidRPr="008918F0">
        <w:rPr>
          <w:lang w:val="fr-FR"/>
        </w:rPr>
        <w:t xml:space="preserve"> </w:t>
      </w:r>
      <w:hyperlink r:id="rId17" w:history="1">
        <w:r w:rsidR="00D9189B" w:rsidRPr="008918F0">
          <w:rPr>
            <w:rStyle w:val="Hyperlink"/>
            <w:lang w:val="fr-FR"/>
          </w:rPr>
          <w:t>https://www.wipo.int/patentscope/fr/programs/legal_status/index.html</w:t>
        </w:r>
      </w:hyperlink>
      <w:r w:rsidR="00D9189B" w:rsidRPr="008918F0">
        <w:rPr>
          <w:rFonts w:cs="Times New Roman"/>
          <w:lang w:val="fr-FR"/>
        </w:rPr>
        <w:t>;</w:t>
      </w:r>
    </w:p>
    <w:p w:rsidR="0006001B" w:rsidRPr="008918F0" w:rsidRDefault="00B06E7A" w:rsidP="0088090C">
      <w:pPr>
        <w:pStyle w:val="ListParagraph"/>
        <w:numPr>
          <w:ilvl w:val="0"/>
          <w:numId w:val="37"/>
        </w:numPr>
        <w:ind w:left="1134" w:hanging="567"/>
        <w:rPr>
          <w:rStyle w:val="Hyperlink"/>
          <w:rFonts w:cs="Arial"/>
          <w:color w:val="auto"/>
          <w:sz w:val="24"/>
          <w:szCs w:val="24"/>
          <w:u w:val="none"/>
          <w:lang w:val="fr-FR"/>
        </w:rPr>
      </w:pPr>
      <w:r w:rsidRPr="008918F0">
        <w:rPr>
          <w:lang w:val="fr-FR"/>
        </w:rPr>
        <w:t>page principale sur</w:t>
      </w:r>
      <w:r w:rsidR="00C959B2" w:rsidRPr="008918F0">
        <w:rPr>
          <w:lang w:val="fr-FR"/>
        </w:rPr>
        <w:t xml:space="preserve"> les CAT</w:t>
      </w:r>
      <w:r w:rsidRPr="008918F0">
        <w:rPr>
          <w:lang w:val="fr-FR"/>
        </w:rPr>
        <w:t>I</w:t>
      </w:r>
      <w:r w:rsidR="00C959B2" w:rsidRPr="008918F0">
        <w:rPr>
          <w:lang w:val="fr-FR"/>
        </w:rPr>
        <w:t> :</w:t>
      </w:r>
      <w:r w:rsidR="00797965" w:rsidRPr="008918F0">
        <w:rPr>
          <w:lang w:val="fr-FR"/>
        </w:rPr>
        <w:t xml:space="preserve"> </w:t>
      </w:r>
      <w:hyperlink r:id="rId18" w:history="1">
        <w:r w:rsidR="00D9189B" w:rsidRPr="008918F0">
          <w:rPr>
            <w:rStyle w:val="Hyperlink"/>
            <w:lang w:val="fr-FR"/>
          </w:rPr>
          <w:t>https://www.wipo.int/tisc/fr/index.html</w:t>
        </w:r>
      </w:hyperlink>
      <w:r w:rsidR="00D9189B" w:rsidRPr="008918F0">
        <w:rPr>
          <w:rFonts w:cs="Times New Roman"/>
          <w:lang w:val="fr-FR"/>
        </w:rPr>
        <w:t>.</w:t>
      </w:r>
    </w:p>
    <w:p w:rsidR="0088090C" w:rsidRPr="008918F0" w:rsidRDefault="0088090C" w:rsidP="0088090C">
      <w:pPr>
        <w:rPr>
          <w:lang w:val="fr-FR"/>
        </w:rPr>
      </w:pPr>
    </w:p>
    <w:p w:rsidR="0006001B" w:rsidRPr="008918F0" w:rsidRDefault="00063CEC" w:rsidP="00D9189B">
      <w:pPr>
        <w:pStyle w:val="Heading2"/>
      </w:pPr>
      <w:bookmarkStart w:id="22" w:name="_Toc20743531"/>
      <w:r w:rsidRPr="008918F0">
        <w:t>Viabilité</w:t>
      </w:r>
      <w:bookmarkEnd w:id="22"/>
    </w:p>
    <w:p w:rsidR="00B06E7A" w:rsidRPr="008918F0" w:rsidRDefault="00B06E7A" w:rsidP="00D9189B">
      <w:pPr>
        <w:pStyle w:val="Heading5"/>
      </w:pPr>
      <w:r w:rsidRPr="008918F0">
        <w:t xml:space="preserve">Probabilité de poursuite du travail visant à faciliter </w:t>
      </w:r>
      <w:r w:rsidR="00025F69" w:rsidRPr="008918F0">
        <w:t>l</w:t>
      </w:r>
      <w:r w:rsidR="00C959B2" w:rsidRPr="008918F0">
        <w:t>’</w:t>
      </w:r>
      <w:r w:rsidR="00025F69" w:rsidRPr="008918F0">
        <w:t>identification</w:t>
      </w:r>
      <w:r w:rsidRPr="008918F0">
        <w:t xml:space="preserve"> ou l</w:t>
      </w:r>
      <w:r w:rsidR="00C959B2" w:rsidRPr="008918F0">
        <w:t>’</w:t>
      </w:r>
      <w:r w:rsidRPr="008918F0">
        <w:t>utilisation par les pays en développement ou les pays les moins avancés d</w:t>
      </w:r>
      <w:r w:rsidR="00C959B2" w:rsidRPr="008918F0">
        <w:t>’</w:t>
      </w:r>
      <w:r w:rsidRPr="008918F0">
        <w:t>informations qui se trouvent ou sont tombées dans le domaine public</w:t>
      </w:r>
    </w:p>
    <w:p w:rsidR="0006001B" w:rsidRPr="008918F0" w:rsidRDefault="0006001B" w:rsidP="00D9189B">
      <w:pPr>
        <w:rPr>
          <w:lang w:val="fr-FR"/>
        </w:rPr>
      </w:pPr>
    </w:p>
    <w:p w:rsidR="0006001B" w:rsidRPr="008918F0" w:rsidRDefault="00B06E7A" w:rsidP="00D9189B">
      <w:pPr>
        <w:pStyle w:val="ONUMFS"/>
        <w:rPr>
          <w:lang w:val="fr-FR"/>
        </w:rPr>
      </w:pPr>
      <w:r w:rsidRPr="008918F0">
        <w:rPr>
          <w:b/>
          <w:lang w:val="fr-FR"/>
        </w:rPr>
        <w:t xml:space="preserve">Observation </w:t>
      </w:r>
      <w:r w:rsidR="00DB6EA5" w:rsidRPr="008918F0">
        <w:rPr>
          <w:b/>
          <w:lang w:val="fr-FR"/>
        </w:rPr>
        <w:t>n°</w:t>
      </w:r>
      <w:r w:rsidRPr="008918F0">
        <w:rPr>
          <w:b/>
          <w:lang w:val="fr-FR"/>
        </w:rPr>
        <w:t> 18</w:t>
      </w:r>
      <w:r w:rsidR="00C959B2" w:rsidRPr="008918F0">
        <w:rPr>
          <w:b/>
          <w:lang w:val="fr-FR"/>
        </w:rPr>
        <w:t> :</w:t>
      </w:r>
      <w:r w:rsidR="00077463" w:rsidRPr="008918F0">
        <w:rPr>
          <w:b/>
          <w:lang w:val="fr-FR"/>
        </w:rPr>
        <w:t xml:space="preserve"> </w:t>
      </w:r>
      <w:r w:rsidRPr="008918F0">
        <w:rPr>
          <w:lang w:val="fr-FR"/>
        </w:rPr>
        <w:t xml:space="preserve">les principaux résultats du projet, </w:t>
      </w:r>
      <w:r w:rsidR="00C959B2" w:rsidRPr="008918F0">
        <w:rPr>
          <w:lang w:val="fr-FR"/>
        </w:rPr>
        <w:t>à savoir</w:t>
      </w:r>
      <w:r w:rsidRPr="008918F0">
        <w:rPr>
          <w:lang w:val="fr-FR"/>
        </w:rPr>
        <w:t xml:space="preserve"> les deux</w:t>
      </w:r>
      <w:r w:rsidR="00DB6EA5" w:rsidRPr="008918F0">
        <w:rPr>
          <w:lang w:val="fr-FR"/>
        </w:rPr>
        <w:t> </w:t>
      </w:r>
      <w:r w:rsidRPr="008918F0">
        <w:rPr>
          <w:lang w:val="fr-FR"/>
        </w:rPr>
        <w:t>guides et le nouveau portail d</w:t>
      </w:r>
      <w:r w:rsidR="00C959B2" w:rsidRPr="008918F0">
        <w:rPr>
          <w:lang w:val="fr-FR"/>
        </w:rPr>
        <w:t>’</w:t>
      </w:r>
      <w:r w:rsidRPr="008918F0">
        <w:rPr>
          <w:lang w:val="fr-FR"/>
        </w:rPr>
        <w:t>accès aux registres de brevets, sont (ou seront) accessibles à to</w:t>
      </w:r>
      <w:r w:rsidR="00630E33" w:rsidRPr="008918F0">
        <w:rPr>
          <w:lang w:val="fr-FR"/>
        </w:rPr>
        <w:t>us.  Se</w:t>
      </w:r>
      <w:r w:rsidRPr="008918F0">
        <w:rPr>
          <w:lang w:val="fr-FR"/>
        </w:rPr>
        <w:t>lon les personnes interrogées,</w:t>
      </w:r>
      <w:r w:rsidRPr="008918F0">
        <w:rPr>
          <w:b/>
          <w:lang w:val="fr-FR"/>
        </w:rPr>
        <w:t xml:space="preserve"> </w:t>
      </w:r>
      <w:r w:rsidRPr="008918F0">
        <w:rPr>
          <w:lang w:val="fr-FR"/>
        </w:rPr>
        <w:t>ces résultats représentent une contribution significative à l</w:t>
      </w:r>
      <w:r w:rsidR="00C959B2" w:rsidRPr="008918F0">
        <w:rPr>
          <w:lang w:val="fr-FR"/>
        </w:rPr>
        <w:t>’</w:t>
      </w:r>
      <w:r w:rsidRPr="008918F0">
        <w:rPr>
          <w:lang w:val="fr-FR"/>
        </w:rPr>
        <w:t>utilisation de l</w:t>
      </w:r>
      <w:r w:rsidR="00C959B2" w:rsidRPr="008918F0">
        <w:rPr>
          <w:lang w:val="fr-FR"/>
        </w:rPr>
        <w:t>’</w:t>
      </w:r>
      <w:r w:rsidRPr="008918F0">
        <w:rPr>
          <w:lang w:val="fr-FR"/>
        </w:rPr>
        <w:t>information figurant dans le domaine publ</w:t>
      </w:r>
      <w:r w:rsidR="00630E33" w:rsidRPr="008918F0">
        <w:rPr>
          <w:lang w:val="fr-FR"/>
        </w:rPr>
        <w:t xml:space="preserve">ic.  À </w:t>
      </w:r>
      <w:r w:rsidRPr="008918F0">
        <w:rPr>
          <w:lang w:val="fr-FR"/>
        </w:rPr>
        <w:t>cet égard, les travau</w:t>
      </w:r>
      <w:r w:rsidR="003D400F" w:rsidRPr="008918F0">
        <w:rPr>
          <w:lang w:val="fr-FR"/>
        </w:rPr>
        <w:t>x se poursuivront en fonction de la disponibilité de ces résulta</w:t>
      </w:r>
      <w:r w:rsidR="00630E33" w:rsidRPr="008918F0">
        <w:rPr>
          <w:lang w:val="fr-FR"/>
        </w:rPr>
        <w:t>ts.  Pa</w:t>
      </w:r>
      <w:r w:rsidR="003D400F" w:rsidRPr="008918F0">
        <w:rPr>
          <w:lang w:val="fr-FR"/>
        </w:rPr>
        <w:t>r ailleurs, les activités d</w:t>
      </w:r>
      <w:r w:rsidR="00C959B2" w:rsidRPr="008918F0">
        <w:rPr>
          <w:lang w:val="fr-FR"/>
        </w:rPr>
        <w:t>’</w:t>
      </w:r>
      <w:r w:rsidR="003D400F" w:rsidRPr="008918F0">
        <w:rPr>
          <w:lang w:val="fr-FR"/>
        </w:rPr>
        <w:t xml:space="preserve">appui </w:t>
      </w:r>
      <w:r w:rsidR="00EC0854" w:rsidRPr="008918F0">
        <w:rPr>
          <w:lang w:val="fr-FR"/>
        </w:rPr>
        <w:t>ayant</w:t>
      </w:r>
      <w:r w:rsidR="003D400F" w:rsidRPr="008918F0">
        <w:rPr>
          <w:lang w:val="fr-FR"/>
        </w:rPr>
        <w:t xml:space="preserve"> commencé à être intégrées dans le budget du Secteur de l</w:t>
      </w:r>
      <w:r w:rsidR="00C959B2" w:rsidRPr="008918F0">
        <w:rPr>
          <w:lang w:val="fr-FR"/>
        </w:rPr>
        <w:t>’</w:t>
      </w:r>
      <w:r w:rsidR="003D400F" w:rsidRPr="008918F0">
        <w:rPr>
          <w:lang w:val="fr-FR"/>
        </w:rPr>
        <w:t>infrastructure mondiale de l</w:t>
      </w:r>
      <w:r w:rsidR="00C959B2" w:rsidRPr="008918F0">
        <w:rPr>
          <w:lang w:val="fr-FR"/>
        </w:rPr>
        <w:t>’</w:t>
      </w:r>
      <w:r w:rsidR="003D400F" w:rsidRPr="008918F0">
        <w:rPr>
          <w:lang w:val="fr-FR"/>
        </w:rPr>
        <w:t>OMPI, leur viabilité s</w:t>
      </w:r>
      <w:r w:rsidR="00C959B2" w:rsidRPr="008918F0">
        <w:rPr>
          <w:lang w:val="fr-FR"/>
        </w:rPr>
        <w:t>’</w:t>
      </w:r>
      <w:r w:rsidR="003D400F" w:rsidRPr="008918F0">
        <w:rPr>
          <w:lang w:val="fr-FR"/>
        </w:rPr>
        <w:t>en trouve renforc</w:t>
      </w:r>
      <w:r w:rsidR="00630E33" w:rsidRPr="008918F0">
        <w:rPr>
          <w:lang w:val="fr-FR"/>
        </w:rPr>
        <w:t>ée.  Ce</w:t>
      </w:r>
      <w:r w:rsidR="003D400F" w:rsidRPr="008918F0">
        <w:rPr>
          <w:lang w:val="fr-FR"/>
        </w:rPr>
        <w:t>lle</w:t>
      </w:r>
      <w:r w:rsidR="00AB7A2D">
        <w:rPr>
          <w:lang w:val="fr-FR"/>
        </w:rPr>
        <w:noBreakHyphen/>
      </w:r>
      <w:r w:rsidR="00EC0854" w:rsidRPr="008918F0">
        <w:rPr>
          <w:lang w:val="fr-FR"/>
        </w:rPr>
        <w:t>ci</w:t>
      </w:r>
      <w:r w:rsidR="003D400F" w:rsidRPr="008918F0">
        <w:rPr>
          <w:lang w:val="fr-FR"/>
        </w:rPr>
        <w:t xml:space="preserve"> est également subordonnée à la mise à disposition des budgets nécessaires pour mener à bien les activités d</w:t>
      </w:r>
      <w:r w:rsidR="00C959B2" w:rsidRPr="008918F0">
        <w:rPr>
          <w:lang w:val="fr-FR"/>
        </w:rPr>
        <w:t>’</w:t>
      </w:r>
      <w:r w:rsidR="003D400F" w:rsidRPr="008918F0">
        <w:rPr>
          <w:lang w:val="fr-FR"/>
        </w:rPr>
        <w:t>appui requises.</w:t>
      </w:r>
    </w:p>
    <w:p w:rsidR="0006001B" w:rsidRPr="008918F0" w:rsidRDefault="00B06E7A" w:rsidP="00D9189B">
      <w:pPr>
        <w:pStyle w:val="ONUMFS"/>
        <w:rPr>
          <w:lang w:val="fr-FR"/>
        </w:rPr>
      </w:pPr>
      <w:r w:rsidRPr="008918F0">
        <w:rPr>
          <w:b/>
          <w:lang w:val="fr-FR"/>
        </w:rPr>
        <w:t xml:space="preserve">Observation </w:t>
      </w:r>
      <w:r w:rsidR="00DB6EA5" w:rsidRPr="008918F0">
        <w:rPr>
          <w:b/>
          <w:lang w:val="fr-FR"/>
        </w:rPr>
        <w:t>n°</w:t>
      </w:r>
      <w:r w:rsidRPr="008918F0">
        <w:rPr>
          <w:b/>
          <w:lang w:val="fr-FR"/>
        </w:rPr>
        <w:t> 19</w:t>
      </w:r>
      <w:r w:rsidR="00C959B2" w:rsidRPr="008918F0">
        <w:rPr>
          <w:b/>
          <w:lang w:val="fr-FR"/>
        </w:rPr>
        <w:t> :</w:t>
      </w:r>
      <w:r w:rsidR="00E620DE" w:rsidRPr="008918F0">
        <w:rPr>
          <w:b/>
          <w:lang w:val="fr-FR"/>
        </w:rPr>
        <w:t xml:space="preserve"> </w:t>
      </w:r>
      <w:r w:rsidR="003D400F" w:rsidRPr="008918F0">
        <w:rPr>
          <w:lang w:val="fr-FR"/>
        </w:rPr>
        <w:t>du fait de cette intégration, l</w:t>
      </w:r>
      <w:r w:rsidR="00C959B2" w:rsidRPr="008918F0">
        <w:rPr>
          <w:lang w:val="fr-FR"/>
        </w:rPr>
        <w:t>’</w:t>
      </w:r>
      <w:r w:rsidR="003D400F" w:rsidRPr="008918F0">
        <w:rPr>
          <w:lang w:val="fr-FR"/>
        </w:rPr>
        <w:t>OMPI devrait maintenir ses activités d</w:t>
      </w:r>
      <w:r w:rsidR="00C959B2" w:rsidRPr="008918F0">
        <w:rPr>
          <w:lang w:val="fr-FR"/>
        </w:rPr>
        <w:t>’</w:t>
      </w:r>
      <w:r w:rsidR="003D400F" w:rsidRPr="008918F0">
        <w:rPr>
          <w:lang w:val="fr-FR"/>
        </w:rPr>
        <w:t>appui en matière de domaine public, notamment en utilisant la liste d</w:t>
      </w:r>
      <w:r w:rsidR="00C959B2" w:rsidRPr="008918F0">
        <w:rPr>
          <w:lang w:val="fr-FR"/>
        </w:rPr>
        <w:t>’</w:t>
      </w:r>
      <w:r w:rsidR="003D400F" w:rsidRPr="008918F0">
        <w:rPr>
          <w:lang w:val="fr-FR"/>
        </w:rPr>
        <w:t xml:space="preserve">experts essentiels pour soutenir les </w:t>
      </w:r>
      <w:r w:rsidR="0081059F" w:rsidRPr="008918F0">
        <w:rPr>
          <w:lang w:val="fr-FR"/>
        </w:rPr>
        <w:t>réseaux de CATI</w:t>
      </w:r>
      <w:r w:rsidR="003D400F" w:rsidRPr="008918F0">
        <w:rPr>
          <w:lang w:val="fr-FR"/>
        </w:rPr>
        <w:t xml:space="preserve"> et assurer la mise à jour du contenu du porta</w:t>
      </w:r>
      <w:r w:rsidR="00630E33" w:rsidRPr="008918F0">
        <w:rPr>
          <w:lang w:val="fr-FR"/>
        </w:rPr>
        <w:t>il.  En</w:t>
      </w:r>
      <w:r w:rsidR="003D400F" w:rsidRPr="008918F0">
        <w:rPr>
          <w:lang w:val="fr-FR"/>
        </w:rPr>
        <w:t xml:space="preserve"> parallèle, étant donné le niveau de maturité que doivent atteindre</w:t>
      </w:r>
      <w:r w:rsidR="00C959B2" w:rsidRPr="008918F0">
        <w:rPr>
          <w:lang w:val="fr-FR"/>
        </w:rPr>
        <w:t xml:space="preserve"> les CAT</w:t>
      </w:r>
      <w:r w:rsidR="003D400F" w:rsidRPr="008918F0">
        <w:rPr>
          <w:lang w:val="fr-FR"/>
        </w:rPr>
        <w:t>I pour développer et proposer des services dans ce domaine, comme indiqué plus haut, les personnes interrogées ont déclaré que l</w:t>
      </w:r>
      <w:r w:rsidR="00C959B2" w:rsidRPr="008918F0">
        <w:rPr>
          <w:lang w:val="fr-FR"/>
        </w:rPr>
        <w:t>’</w:t>
      </w:r>
      <w:r w:rsidR="003D400F" w:rsidRPr="008918F0">
        <w:rPr>
          <w:lang w:val="fr-FR"/>
        </w:rPr>
        <w:t xml:space="preserve">OMPI devra </w:t>
      </w:r>
      <w:r w:rsidR="00231265" w:rsidRPr="008918F0">
        <w:rPr>
          <w:lang w:val="fr-FR"/>
        </w:rPr>
        <w:t>faire preuve de sélectivité quant aux services proposés (</w:t>
      </w:r>
      <w:r w:rsidR="00C959B2" w:rsidRPr="008918F0">
        <w:rPr>
          <w:lang w:val="fr-FR"/>
        </w:rPr>
        <w:t>à savoir</w:t>
      </w:r>
      <w:r w:rsidR="00231265" w:rsidRPr="008918F0">
        <w:rPr>
          <w:lang w:val="fr-FR"/>
        </w:rPr>
        <w:t xml:space="preserve"> le type et les destinatair</w:t>
      </w:r>
      <w:r w:rsidR="00630E33" w:rsidRPr="008918F0">
        <w:rPr>
          <w:lang w:val="fr-FR"/>
        </w:rPr>
        <w:t>es).  Ce</w:t>
      </w:r>
      <w:r w:rsidR="00231265" w:rsidRPr="008918F0">
        <w:rPr>
          <w:lang w:val="fr-FR"/>
        </w:rPr>
        <w:t xml:space="preserve"> point est traité plus en détail dans les conclusions et recommandations ci</w:t>
      </w:r>
      <w:r w:rsidR="00AB7A2D">
        <w:rPr>
          <w:lang w:val="fr-FR"/>
        </w:rPr>
        <w:noBreakHyphen/>
      </w:r>
      <w:r w:rsidR="00231265" w:rsidRPr="008918F0">
        <w:rPr>
          <w:lang w:val="fr-FR"/>
        </w:rPr>
        <w:t>dessous.</w:t>
      </w:r>
    </w:p>
    <w:p w:rsidR="0006001B" w:rsidRPr="008918F0" w:rsidRDefault="00B06E7A" w:rsidP="00D9189B">
      <w:pPr>
        <w:pStyle w:val="ONUMFS"/>
        <w:rPr>
          <w:lang w:val="fr-FR"/>
        </w:rPr>
      </w:pPr>
      <w:r w:rsidRPr="008918F0">
        <w:rPr>
          <w:b/>
          <w:lang w:val="fr-FR"/>
        </w:rPr>
        <w:t xml:space="preserve">Observation </w:t>
      </w:r>
      <w:r w:rsidR="00DB6EA5" w:rsidRPr="008918F0">
        <w:rPr>
          <w:b/>
          <w:lang w:val="fr-FR"/>
        </w:rPr>
        <w:t>n°</w:t>
      </w:r>
      <w:r w:rsidRPr="008918F0">
        <w:rPr>
          <w:b/>
          <w:lang w:val="fr-FR"/>
        </w:rPr>
        <w:t> 20</w:t>
      </w:r>
      <w:r w:rsidR="00C959B2" w:rsidRPr="008918F0">
        <w:rPr>
          <w:b/>
          <w:lang w:val="fr-FR"/>
        </w:rPr>
        <w:t> :</w:t>
      </w:r>
      <w:r w:rsidR="00E620DE" w:rsidRPr="008918F0">
        <w:rPr>
          <w:b/>
          <w:lang w:val="fr-FR"/>
        </w:rPr>
        <w:t xml:space="preserve"> </w:t>
      </w:r>
      <w:r w:rsidR="00231265" w:rsidRPr="008918F0">
        <w:rPr>
          <w:lang w:val="fr-FR"/>
        </w:rPr>
        <w:t>la viabilité des réalisations du projet dépend non seulement de l</w:t>
      </w:r>
      <w:r w:rsidR="00C959B2" w:rsidRPr="008918F0">
        <w:rPr>
          <w:lang w:val="fr-FR"/>
        </w:rPr>
        <w:t>’</w:t>
      </w:r>
      <w:r w:rsidR="00231265" w:rsidRPr="008918F0">
        <w:rPr>
          <w:lang w:val="fr-FR"/>
        </w:rPr>
        <w:t>OMPI, mais également</w:t>
      </w:r>
      <w:r w:rsidR="00C959B2" w:rsidRPr="008918F0">
        <w:rPr>
          <w:lang w:val="fr-FR"/>
        </w:rPr>
        <w:t xml:space="preserve"> des CAT</w:t>
      </w:r>
      <w:r w:rsidR="00231265" w:rsidRPr="008918F0">
        <w:rPr>
          <w:lang w:val="fr-FR"/>
        </w:rPr>
        <w:t xml:space="preserve">I, de leurs réseaux, des institutions hôtes, des offices nationaux de </w:t>
      </w:r>
      <w:r w:rsidR="0069779E" w:rsidRPr="008918F0">
        <w:rPr>
          <w:lang w:val="fr-FR"/>
        </w:rPr>
        <w:t>propriété intellectuelle</w:t>
      </w:r>
      <w:r w:rsidR="00231265" w:rsidRPr="008918F0">
        <w:rPr>
          <w:lang w:val="fr-FR"/>
        </w:rPr>
        <w:t xml:space="preserve"> et </w:t>
      </w:r>
      <w:r w:rsidR="00EC0854" w:rsidRPr="008918F0">
        <w:rPr>
          <w:lang w:val="fr-FR"/>
        </w:rPr>
        <w:t xml:space="preserve">du soutien </w:t>
      </w:r>
      <w:r w:rsidR="00231265" w:rsidRPr="008918F0">
        <w:rPr>
          <w:lang w:val="fr-FR"/>
        </w:rPr>
        <w:t>des États membr</w:t>
      </w:r>
      <w:r w:rsidR="00630E33" w:rsidRPr="008918F0">
        <w:rPr>
          <w:lang w:val="fr-FR"/>
        </w:rPr>
        <w:t>es.  Le</w:t>
      </w:r>
      <w:r w:rsidR="00231265" w:rsidRPr="008918F0">
        <w:rPr>
          <w:lang w:val="fr-FR"/>
        </w:rPr>
        <w:t>s personnes interrogées considèrent que l</w:t>
      </w:r>
      <w:r w:rsidR="00C959B2" w:rsidRPr="008918F0">
        <w:rPr>
          <w:lang w:val="fr-FR"/>
        </w:rPr>
        <w:t>’</w:t>
      </w:r>
      <w:r w:rsidR="00231265" w:rsidRPr="008918F0">
        <w:rPr>
          <w:lang w:val="fr-FR"/>
        </w:rPr>
        <w:t xml:space="preserve">intérêt pour le domaine public </w:t>
      </w:r>
      <w:r w:rsidR="00EC0854" w:rsidRPr="008918F0">
        <w:rPr>
          <w:lang w:val="fr-FR"/>
        </w:rPr>
        <w:t xml:space="preserve">et le soutien de ces parties prenantes </w:t>
      </w:r>
      <w:r w:rsidR="00231265" w:rsidRPr="008918F0">
        <w:rPr>
          <w:lang w:val="fr-FR"/>
        </w:rPr>
        <w:t>seront importants pour la viabilité du projet.</w:t>
      </w:r>
    </w:p>
    <w:p w:rsidR="0006001B" w:rsidRPr="008918F0" w:rsidRDefault="00231265" w:rsidP="00D9189B">
      <w:pPr>
        <w:pStyle w:val="Heading2"/>
      </w:pPr>
      <w:bookmarkStart w:id="23" w:name="_Toc336032073"/>
      <w:bookmarkStart w:id="24" w:name="_Toc20743532"/>
      <w:r w:rsidRPr="008918F0">
        <w:t>Recommandations pour la mise en œuvre du Plan d</w:t>
      </w:r>
      <w:r w:rsidR="00C959B2" w:rsidRPr="008918F0">
        <w:t>’</w:t>
      </w:r>
      <w:r w:rsidRPr="008918F0">
        <w:t>action pour le développement</w:t>
      </w:r>
      <w:bookmarkEnd w:id="23"/>
      <w:bookmarkEnd w:id="24"/>
    </w:p>
    <w:p w:rsidR="0006001B" w:rsidRPr="008918F0" w:rsidRDefault="00231265" w:rsidP="00D9189B">
      <w:pPr>
        <w:pStyle w:val="Heading5"/>
      </w:pPr>
      <w:r w:rsidRPr="008918F0">
        <w:t>M</w:t>
      </w:r>
      <w:r w:rsidR="00063CEC" w:rsidRPr="008918F0">
        <w:t xml:space="preserve">esure </w:t>
      </w:r>
      <w:r w:rsidRPr="008918F0">
        <w:t xml:space="preserve">dans laquelle </w:t>
      </w:r>
      <w:r w:rsidR="00063CEC" w:rsidRPr="008918F0">
        <w:t>les recommandations n</w:t>
      </w:r>
      <w:r w:rsidRPr="008918F0">
        <w:rPr>
          <w:vertAlign w:val="superscript"/>
        </w:rPr>
        <w:t>os</w:t>
      </w:r>
      <w:r w:rsidR="00D9189B" w:rsidRPr="008918F0">
        <w:t> </w:t>
      </w:r>
      <w:r w:rsidR="00063CEC" w:rsidRPr="008918F0">
        <w:t>16 et</w:t>
      </w:r>
      <w:r w:rsidRPr="008918F0">
        <w:t> </w:t>
      </w:r>
      <w:r w:rsidR="00063CEC" w:rsidRPr="008918F0">
        <w:t>20 du Plan d</w:t>
      </w:r>
      <w:r w:rsidR="00C959B2" w:rsidRPr="008918F0">
        <w:t>’</w:t>
      </w:r>
      <w:r w:rsidR="00063CEC" w:rsidRPr="008918F0">
        <w:t>action pour le développement ont été mises en œ</w:t>
      </w:r>
      <w:r w:rsidRPr="008918F0">
        <w:t>uvre dans le cadre de ce projet</w:t>
      </w:r>
    </w:p>
    <w:p w:rsidR="00D9189B" w:rsidRPr="008918F0" w:rsidRDefault="00D9189B" w:rsidP="00D9189B">
      <w:pPr>
        <w:rPr>
          <w:lang w:val="fr-FR" w:eastAsia="en-US"/>
        </w:rPr>
      </w:pPr>
    </w:p>
    <w:p w:rsidR="0006001B" w:rsidRPr="008918F0" w:rsidRDefault="00B06E7A" w:rsidP="00D9189B">
      <w:pPr>
        <w:pStyle w:val="ONUMFS"/>
        <w:rPr>
          <w:lang w:val="fr-FR"/>
        </w:rPr>
      </w:pPr>
      <w:r w:rsidRPr="008918F0">
        <w:rPr>
          <w:b/>
          <w:lang w:val="fr-FR"/>
        </w:rPr>
        <w:t xml:space="preserve">Observation </w:t>
      </w:r>
      <w:r w:rsidR="00DB6EA5" w:rsidRPr="008918F0">
        <w:rPr>
          <w:b/>
          <w:lang w:val="fr-FR"/>
        </w:rPr>
        <w:t>n°</w:t>
      </w:r>
      <w:r w:rsidRPr="008918F0">
        <w:rPr>
          <w:b/>
          <w:lang w:val="fr-FR"/>
        </w:rPr>
        <w:t> 21</w:t>
      </w:r>
      <w:r w:rsidR="00C959B2" w:rsidRPr="008918F0">
        <w:rPr>
          <w:b/>
          <w:lang w:val="fr-FR"/>
        </w:rPr>
        <w:t> :</w:t>
      </w:r>
      <w:r w:rsidR="00F15C94" w:rsidRPr="008918F0">
        <w:rPr>
          <w:lang w:val="fr-FR"/>
        </w:rPr>
        <w:t xml:space="preserve"> </w:t>
      </w:r>
      <w:r w:rsidR="00231265" w:rsidRPr="008918F0">
        <w:rPr>
          <w:lang w:val="fr-FR"/>
        </w:rPr>
        <w:t xml:space="preserve">la recommandation </w:t>
      </w:r>
      <w:r w:rsidR="00DB6EA5" w:rsidRPr="008918F0">
        <w:rPr>
          <w:lang w:val="fr-FR"/>
        </w:rPr>
        <w:t>n°</w:t>
      </w:r>
      <w:r w:rsidR="00231265" w:rsidRPr="008918F0">
        <w:rPr>
          <w:lang w:val="fr-FR"/>
        </w:rPr>
        <w:t> 16 concerne la préservation du domaine public dans les processus normatifs de l</w:t>
      </w:r>
      <w:r w:rsidR="00C959B2" w:rsidRPr="008918F0">
        <w:rPr>
          <w:lang w:val="fr-FR"/>
        </w:rPr>
        <w:t>’</w:t>
      </w:r>
      <w:r w:rsidR="00231265" w:rsidRPr="008918F0">
        <w:rPr>
          <w:lang w:val="fr-FR"/>
        </w:rPr>
        <w:t>OMPI et l</w:t>
      </w:r>
      <w:r w:rsidR="00C959B2" w:rsidRPr="008918F0">
        <w:rPr>
          <w:lang w:val="fr-FR"/>
        </w:rPr>
        <w:t>’</w:t>
      </w:r>
      <w:r w:rsidR="00231265" w:rsidRPr="008918F0">
        <w:rPr>
          <w:lang w:val="fr-FR"/>
        </w:rPr>
        <w:t>approfondissement de l</w:t>
      </w:r>
      <w:r w:rsidR="00C959B2" w:rsidRPr="008918F0">
        <w:rPr>
          <w:lang w:val="fr-FR"/>
        </w:rPr>
        <w:t>’</w:t>
      </w:r>
      <w:r w:rsidR="00231265" w:rsidRPr="008918F0">
        <w:rPr>
          <w:lang w:val="fr-FR"/>
        </w:rPr>
        <w:t>analyse de ses avantag</w:t>
      </w:r>
      <w:r w:rsidR="00630E33" w:rsidRPr="008918F0">
        <w:rPr>
          <w:lang w:val="fr-FR"/>
        </w:rPr>
        <w:t>es.  La</w:t>
      </w:r>
      <w:r w:rsidR="00231265" w:rsidRPr="008918F0">
        <w:rPr>
          <w:lang w:val="fr-FR"/>
        </w:rPr>
        <w:t xml:space="preserve"> recommandation </w:t>
      </w:r>
      <w:r w:rsidR="009A486C">
        <w:rPr>
          <w:lang w:val="fr-FR"/>
        </w:rPr>
        <w:t>n° </w:t>
      </w:r>
      <w:r w:rsidR="00231265" w:rsidRPr="008918F0">
        <w:rPr>
          <w:lang w:val="fr-FR"/>
        </w:rPr>
        <w:t>20 concerne la promotion d</w:t>
      </w:r>
      <w:r w:rsidR="00C959B2" w:rsidRPr="008918F0">
        <w:rPr>
          <w:lang w:val="fr-FR"/>
        </w:rPr>
        <w:t>’</w:t>
      </w:r>
      <w:r w:rsidR="00231265" w:rsidRPr="008918F0">
        <w:rPr>
          <w:lang w:val="fr-FR"/>
        </w:rPr>
        <w:t>activités d</w:t>
      </w:r>
      <w:r w:rsidR="00C959B2" w:rsidRPr="008918F0">
        <w:rPr>
          <w:lang w:val="fr-FR"/>
        </w:rPr>
        <w:t>’</w:t>
      </w:r>
      <w:r w:rsidR="00231265" w:rsidRPr="008918F0">
        <w:rPr>
          <w:lang w:val="fr-FR"/>
        </w:rPr>
        <w:t>appui au domaine public, notamment l</w:t>
      </w:r>
      <w:r w:rsidR="00C959B2" w:rsidRPr="008918F0">
        <w:rPr>
          <w:lang w:val="fr-FR"/>
        </w:rPr>
        <w:t>’</w:t>
      </w:r>
      <w:r w:rsidR="00231265" w:rsidRPr="008918F0">
        <w:rPr>
          <w:lang w:val="fr-FR"/>
        </w:rPr>
        <w:t>établissement éventuel de lignes directrices afin de recenser les objets qui sont tombés dans le domaine public.</w:t>
      </w:r>
    </w:p>
    <w:p w:rsidR="0006001B" w:rsidRPr="008918F0" w:rsidRDefault="00B06E7A" w:rsidP="00D9189B">
      <w:pPr>
        <w:pStyle w:val="ONUMFS"/>
        <w:rPr>
          <w:lang w:val="fr-FR"/>
        </w:rPr>
      </w:pPr>
      <w:r w:rsidRPr="008918F0">
        <w:rPr>
          <w:b/>
          <w:lang w:val="fr-FR"/>
        </w:rPr>
        <w:t xml:space="preserve">Observation </w:t>
      </w:r>
      <w:r w:rsidR="00DB6EA5" w:rsidRPr="008918F0">
        <w:rPr>
          <w:b/>
          <w:lang w:val="fr-FR"/>
        </w:rPr>
        <w:t>n°</w:t>
      </w:r>
      <w:r w:rsidRPr="008918F0">
        <w:rPr>
          <w:b/>
          <w:lang w:val="fr-FR"/>
        </w:rPr>
        <w:t> 22</w:t>
      </w:r>
      <w:r w:rsidR="00C959B2" w:rsidRPr="008918F0">
        <w:rPr>
          <w:b/>
          <w:lang w:val="fr-FR"/>
        </w:rPr>
        <w:t> :</w:t>
      </w:r>
      <w:r w:rsidR="00231265" w:rsidRPr="008918F0">
        <w:rPr>
          <w:lang w:val="fr-FR"/>
        </w:rPr>
        <w:t xml:space="preserve"> ce projet a grandement contribué à la réalisation de ces deux</w:t>
      </w:r>
      <w:r w:rsidR="00DB6EA5" w:rsidRPr="008918F0">
        <w:rPr>
          <w:lang w:val="fr-FR"/>
        </w:rPr>
        <w:t> </w:t>
      </w:r>
      <w:r w:rsidR="00231265" w:rsidRPr="008918F0">
        <w:rPr>
          <w:lang w:val="fr-FR"/>
        </w:rPr>
        <w:t>recommandatio</w:t>
      </w:r>
      <w:r w:rsidR="00630E33" w:rsidRPr="008918F0">
        <w:rPr>
          <w:lang w:val="fr-FR"/>
        </w:rPr>
        <w:t>ns.  Le</w:t>
      </w:r>
      <w:r w:rsidR="00231265" w:rsidRPr="008918F0">
        <w:rPr>
          <w:lang w:val="fr-FR"/>
        </w:rPr>
        <w:t xml:space="preserve"> projet a approfondi l</w:t>
      </w:r>
      <w:r w:rsidR="00C959B2" w:rsidRPr="008918F0">
        <w:rPr>
          <w:lang w:val="fr-FR"/>
        </w:rPr>
        <w:t>’</w:t>
      </w:r>
      <w:r w:rsidR="00231265" w:rsidRPr="008918F0">
        <w:rPr>
          <w:lang w:val="fr-FR"/>
        </w:rPr>
        <w:t xml:space="preserve">analyse des avantages du domaine public en </w:t>
      </w:r>
      <w:r w:rsidR="00231265" w:rsidRPr="008918F0">
        <w:rPr>
          <w:lang w:val="fr-FR"/>
        </w:rPr>
        <w:lastRenderedPageBreak/>
        <w:t>produisant des guides exhaustifs et en organisant des formatio</w:t>
      </w:r>
      <w:r w:rsidR="00630E33" w:rsidRPr="008918F0">
        <w:rPr>
          <w:lang w:val="fr-FR"/>
        </w:rPr>
        <w:t>ns.  Le</w:t>
      </w:r>
      <w:r w:rsidR="00231265" w:rsidRPr="008918F0">
        <w:rPr>
          <w:lang w:val="fr-FR"/>
        </w:rPr>
        <w:t xml:space="preserve"> projet répond également directement à la recommandation </w:t>
      </w:r>
      <w:r w:rsidR="009A486C">
        <w:rPr>
          <w:lang w:val="fr-FR"/>
        </w:rPr>
        <w:t>n° </w:t>
      </w:r>
      <w:r w:rsidR="00231265" w:rsidRPr="008918F0">
        <w:rPr>
          <w:lang w:val="fr-FR"/>
        </w:rPr>
        <w:t xml:space="preserve">20 </w:t>
      </w:r>
      <w:r w:rsidR="00EC0854" w:rsidRPr="008918F0">
        <w:rPr>
          <w:lang w:val="fr-FR"/>
        </w:rPr>
        <w:t>grâce à</w:t>
      </w:r>
      <w:r w:rsidR="00231265" w:rsidRPr="008918F0">
        <w:rPr>
          <w:lang w:val="fr-FR"/>
        </w:rPr>
        <w:t xml:space="preserve"> la production des guides, notamment le premier d</w:t>
      </w:r>
      <w:r w:rsidR="00C959B2" w:rsidRPr="008918F0">
        <w:rPr>
          <w:lang w:val="fr-FR"/>
        </w:rPr>
        <w:t>’</w:t>
      </w:r>
      <w:r w:rsidR="00231265" w:rsidRPr="008918F0">
        <w:rPr>
          <w:lang w:val="fr-FR"/>
        </w:rPr>
        <w:t xml:space="preserve">entre eux qui est axé sur les </w:t>
      </w:r>
      <w:r w:rsidR="00EC0854" w:rsidRPr="008918F0">
        <w:rPr>
          <w:lang w:val="fr-FR"/>
        </w:rPr>
        <w:t>moyens</w:t>
      </w:r>
      <w:r w:rsidR="00231265" w:rsidRPr="008918F0">
        <w:rPr>
          <w:lang w:val="fr-FR"/>
        </w:rPr>
        <w:t xml:space="preserve"> d</w:t>
      </w:r>
      <w:r w:rsidR="00C959B2" w:rsidRPr="008918F0">
        <w:rPr>
          <w:lang w:val="fr-FR"/>
        </w:rPr>
        <w:t>’</w:t>
      </w:r>
      <w:r w:rsidR="00025F69" w:rsidRPr="008918F0">
        <w:rPr>
          <w:lang w:val="fr-FR"/>
        </w:rPr>
        <w:t>identification</w:t>
      </w:r>
      <w:r w:rsidR="00231265" w:rsidRPr="008918F0">
        <w:rPr>
          <w:lang w:val="fr-FR"/>
        </w:rPr>
        <w:t xml:space="preserve"> des objets se trouvant dans le domaine public.</w:t>
      </w:r>
    </w:p>
    <w:p w:rsidR="0006001B" w:rsidRPr="008918F0" w:rsidRDefault="00D9189B" w:rsidP="00D9189B">
      <w:pPr>
        <w:pStyle w:val="Heading1"/>
        <w:rPr>
          <w:lang w:val="fr-FR"/>
        </w:rPr>
      </w:pPr>
      <w:bookmarkStart w:id="25" w:name="_Toc20743533"/>
      <w:r w:rsidRPr="008918F0">
        <w:rPr>
          <w:lang w:val="fr-FR"/>
        </w:rPr>
        <w:t>Conclusions et recommandations</w:t>
      </w:r>
      <w:bookmarkEnd w:id="25"/>
    </w:p>
    <w:p w:rsidR="0006001B" w:rsidRPr="008918F0" w:rsidRDefault="0006001B" w:rsidP="00D9189B">
      <w:pPr>
        <w:rPr>
          <w:lang w:val="fr-FR"/>
        </w:rPr>
      </w:pPr>
    </w:p>
    <w:p w:rsidR="0006001B" w:rsidRPr="008918F0" w:rsidRDefault="00063CEC" w:rsidP="00D9189B">
      <w:pPr>
        <w:pStyle w:val="ONUMFS"/>
        <w:rPr>
          <w:lang w:val="fr-FR"/>
        </w:rPr>
      </w:pPr>
      <w:r w:rsidRPr="008918F0">
        <w:rPr>
          <w:b/>
          <w:lang w:val="fr-FR"/>
        </w:rPr>
        <w:t>Conclusion n°</w:t>
      </w:r>
      <w:r w:rsidR="003F748C" w:rsidRPr="008918F0">
        <w:rPr>
          <w:b/>
          <w:lang w:val="fr-FR"/>
        </w:rPr>
        <w:t> </w:t>
      </w:r>
      <w:r w:rsidRPr="008918F0">
        <w:rPr>
          <w:b/>
          <w:lang w:val="fr-FR"/>
        </w:rPr>
        <w:t>1 (</w:t>
      </w:r>
      <w:r w:rsidRPr="008918F0">
        <w:rPr>
          <w:b/>
          <w:i/>
          <w:lang w:val="fr-FR"/>
        </w:rPr>
        <w:t>voir les observations n</w:t>
      </w:r>
      <w:r w:rsidRPr="008918F0">
        <w:rPr>
          <w:b/>
          <w:i/>
          <w:vertAlign w:val="superscript"/>
          <w:lang w:val="fr-FR"/>
        </w:rPr>
        <w:t>os</w:t>
      </w:r>
      <w:r w:rsidR="003F748C" w:rsidRPr="008918F0">
        <w:rPr>
          <w:b/>
          <w:i/>
          <w:lang w:val="fr-FR"/>
        </w:rPr>
        <w:t> 1</w:t>
      </w:r>
      <w:r w:rsidRPr="008918F0">
        <w:rPr>
          <w:b/>
          <w:i/>
          <w:lang w:val="fr-FR"/>
        </w:rPr>
        <w:t xml:space="preserve"> à</w:t>
      </w:r>
      <w:r w:rsidR="003F748C" w:rsidRPr="008918F0">
        <w:rPr>
          <w:b/>
          <w:i/>
          <w:lang w:val="fr-FR"/>
        </w:rPr>
        <w:t> </w:t>
      </w:r>
      <w:r w:rsidRPr="008918F0">
        <w:rPr>
          <w:b/>
          <w:i/>
          <w:lang w:val="fr-FR"/>
        </w:rPr>
        <w:t>17</w:t>
      </w:r>
      <w:r w:rsidRPr="008918F0">
        <w:rPr>
          <w:b/>
          <w:lang w:val="fr-FR"/>
        </w:rPr>
        <w:t>).</w:t>
      </w:r>
      <w:r w:rsidR="005C58F1" w:rsidRPr="008918F0">
        <w:rPr>
          <w:b/>
          <w:lang w:val="fr-FR"/>
        </w:rPr>
        <w:t xml:space="preserve">  </w:t>
      </w:r>
      <w:r w:rsidR="0098067C" w:rsidRPr="008918F0">
        <w:rPr>
          <w:lang w:val="fr-FR"/>
        </w:rPr>
        <w:t xml:space="preserve">Le projet a réussi à produire </w:t>
      </w:r>
      <w:r w:rsidR="00EC0854" w:rsidRPr="008918F0">
        <w:rPr>
          <w:lang w:val="fr-FR"/>
        </w:rPr>
        <w:t>l</w:t>
      </w:r>
      <w:r w:rsidR="0098067C" w:rsidRPr="008918F0">
        <w:rPr>
          <w:lang w:val="fr-FR"/>
        </w:rPr>
        <w:t>es principaux résultats</w:t>
      </w:r>
      <w:r w:rsidR="00EC0854" w:rsidRPr="008918F0">
        <w:rPr>
          <w:lang w:val="fr-FR"/>
        </w:rPr>
        <w:t xml:space="preserve"> recherchés</w:t>
      </w:r>
      <w:r w:rsidR="0098067C" w:rsidRPr="008918F0">
        <w:rPr>
          <w:lang w:val="fr-FR"/>
        </w:rPr>
        <w:t xml:space="preserve">, </w:t>
      </w:r>
      <w:r w:rsidR="00C959B2" w:rsidRPr="008918F0">
        <w:rPr>
          <w:lang w:val="fr-FR"/>
        </w:rPr>
        <w:t>à savoir</w:t>
      </w:r>
      <w:r w:rsidR="0098067C" w:rsidRPr="008918F0">
        <w:rPr>
          <w:lang w:val="fr-FR"/>
        </w:rPr>
        <w:t xml:space="preserve"> les deux</w:t>
      </w:r>
      <w:r w:rsidR="00DB6EA5" w:rsidRPr="008918F0">
        <w:rPr>
          <w:lang w:val="fr-FR"/>
        </w:rPr>
        <w:t> </w:t>
      </w:r>
      <w:r w:rsidR="0098067C" w:rsidRPr="008918F0">
        <w:rPr>
          <w:lang w:val="fr-FR"/>
        </w:rPr>
        <w:t>guides et un nouveau portail amélioré sur la situation juridiq</w:t>
      </w:r>
      <w:r w:rsidR="00630E33" w:rsidRPr="008918F0">
        <w:rPr>
          <w:lang w:val="fr-FR"/>
        </w:rPr>
        <w:t>ue.  Ce</w:t>
      </w:r>
      <w:r w:rsidR="0098067C" w:rsidRPr="008918F0">
        <w:rPr>
          <w:lang w:val="fr-FR"/>
        </w:rPr>
        <w:t xml:space="preserve">s résultats ont été obtenus par une approche collaborative en intégrant les </w:t>
      </w:r>
      <w:r w:rsidR="00EC0854" w:rsidRPr="008918F0">
        <w:rPr>
          <w:lang w:val="fr-FR"/>
        </w:rPr>
        <w:t>retours d</w:t>
      </w:r>
      <w:r w:rsidR="00C959B2" w:rsidRPr="008918F0">
        <w:rPr>
          <w:lang w:val="fr-FR"/>
        </w:rPr>
        <w:t>’</w:t>
      </w:r>
      <w:r w:rsidR="00EC0854" w:rsidRPr="008918F0">
        <w:rPr>
          <w:lang w:val="fr-FR"/>
        </w:rPr>
        <w:t>information</w:t>
      </w:r>
      <w:r w:rsidR="0098067C" w:rsidRPr="008918F0">
        <w:rPr>
          <w:lang w:val="fr-FR"/>
        </w:rPr>
        <w:t xml:space="preserve"> et </w:t>
      </w:r>
      <w:r w:rsidR="00EC0854" w:rsidRPr="008918F0">
        <w:rPr>
          <w:lang w:val="fr-FR"/>
        </w:rPr>
        <w:t xml:space="preserve">les </w:t>
      </w:r>
      <w:r w:rsidR="0098067C" w:rsidRPr="008918F0">
        <w:rPr>
          <w:lang w:val="fr-FR"/>
        </w:rPr>
        <w:t>contributions d</w:t>
      </w:r>
      <w:r w:rsidR="00C959B2" w:rsidRPr="008918F0">
        <w:rPr>
          <w:lang w:val="fr-FR"/>
        </w:rPr>
        <w:t>’</w:t>
      </w:r>
      <w:r w:rsidR="0098067C" w:rsidRPr="008918F0">
        <w:rPr>
          <w:lang w:val="fr-FR"/>
        </w:rPr>
        <w:t>utilisateurs potentiels, ce qui a renforcé leur efficacité et leur utilité potentiell</w:t>
      </w:r>
      <w:r w:rsidR="00630E33" w:rsidRPr="008918F0">
        <w:rPr>
          <w:lang w:val="fr-FR"/>
        </w:rPr>
        <w:t>es.  En</w:t>
      </w:r>
      <w:r w:rsidR="0098067C" w:rsidRPr="008918F0">
        <w:rPr>
          <w:lang w:val="fr-FR"/>
        </w:rPr>
        <w:t xml:space="preserve"> ce qui concerne le portail, les statistiques de visites ont déjà démontré qu</w:t>
      </w:r>
      <w:r w:rsidR="00C959B2" w:rsidRPr="008918F0">
        <w:rPr>
          <w:lang w:val="fr-FR"/>
        </w:rPr>
        <w:t>’</w:t>
      </w:r>
      <w:r w:rsidR="0098067C" w:rsidRPr="008918F0">
        <w:rPr>
          <w:lang w:val="fr-FR"/>
        </w:rPr>
        <w:t>il est davantage utilisé et plus utile que la version antérieu</w:t>
      </w:r>
      <w:r w:rsidR="00630E33" w:rsidRPr="008918F0">
        <w:rPr>
          <w:lang w:val="fr-FR"/>
        </w:rPr>
        <w:t>re.  Qu</w:t>
      </w:r>
      <w:r w:rsidR="0098067C" w:rsidRPr="008918F0">
        <w:rPr>
          <w:lang w:val="fr-FR"/>
        </w:rPr>
        <w:t>ant aux guides, la réaction</w:t>
      </w:r>
      <w:r w:rsidR="00C959B2" w:rsidRPr="008918F0">
        <w:rPr>
          <w:lang w:val="fr-FR"/>
        </w:rPr>
        <w:t xml:space="preserve"> des CAT</w:t>
      </w:r>
      <w:r w:rsidR="0098067C" w:rsidRPr="008918F0">
        <w:rPr>
          <w:lang w:val="fr-FR"/>
        </w:rPr>
        <w:t>I et d</w:t>
      </w:r>
      <w:r w:rsidR="00C959B2" w:rsidRPr="008918F0">
        <w:rPr>
          <w:lang w:val="fr-FR"/>
        </w:rPr>
        <w:t>’</w:t>
      </w:r>
      <w:r w:rsidR="0098067C" w:rsidRPr="008918F0">
        <w:rPr>
          <w:lang w:val="fr-FR"/>
        </w:rPr>
        <w:t>autres utilisateurs a été positive et ils ont salué l</w:t>
      </w:r>
      <w:r w:rsidR="00C959B2" w:rsidRPr="008918F0">
        <w:rPr>
          <w:lang w:val="fr-FR"/>
        </w:rPr>
        <w:t>’</w:t>
      </w:r>
      <w:r w:rsidR="0098067C" w:rsidRPr="008918F0">
        <w:rPr>
          <w:lang w:val="fr-FR"/>
        </w:rPr>
        <w:t>ajout d</w:t>
      </w:r>
      <w:r w:rsidR="00C959B2" w:rsidRPr="008918F0">
        <w:rPr>
          <w:lang w:val="fr-FR"/>
        </w:rPr>
        <w:t>’</w:t>
      </w:r>
      <w:r w:rsidR="0098067C" w:rsidRPr="008918F0">
        <w:rPr>
          <w:lang w:val="fr-FR"/>
        </w:rPr>
        <w:t>un domaine dans lequel ils manquaient d</w:t>
      </w:r>
      <w:r w:rsidR="00C959B2" w:rsidRPr="008918F0">
        <w:rPr>
          <w:lang w:val="fr-FR"/>
        </w:rPr>
        <w:t>’</w:t>
      </w:r>
      <w:r w:rsidR="0098067C" w:rsidRPr="008918F0">
        <w:rPr>
          <w:lang w:val="fr-FR"/>
        </w:rPr>
        <w:t>informations complètes et de fond.</w:t>
      </w:r>
    </w:p>
    <w:p w:rsidR="0006001B" w:rsidRPr="008918F0" w:rsidRDefault="005C58F1" w:rsidP="00D9189B">
      <w:pPr>
        <w:pStyle w:val="ONUMFS"/>
        <w:rPr>
          <w:lang w:val="fr-FR"/>
        </w:rPr>
      </w:pPr>
      <w:r w:rsidRPr="008918F0">
        <w:rPr>
          <w:b/>
          <w:lang w:val="fr-FR"/>
        </w:rPr>
        <w:t>Conclusion 2 (</w:t>
      </w:r>
      <w:r w:rsidR="0098067C" w:rsidRPr="008918F0">
        <w:rPr>
          <w:b/>
          <w:i/>
          <w:lang w:val="fr-FR"/>
        </w:rPr>
        <w:t>voir les observations n</w:t>
      </w:r>
      <w:r w:rsidR="0098067C" w:rsidRPr="008918F0">
        <w:rPr>
          <w:b/>
          <w:i/>
          <w:vertAlign w:val="superscript"/>
          <w:lang w:val="fr-FR"/>
        </w:rPr>
        <w:t>os</w:t>
      </w:r>
      <w:r w:rsidR="0098067C" w:rsidRPr="008918F0">
        <w:rPr>
          <w:b/>
          <w:i/>
          <w:lang w:val="fr-FR"/>
        </w:rPr>
        <w:t> 6 à 9 et 18 à 20</w:t>
      </w:r>
      <w:r w:rsidR="0098067C" w:rsidRPr="008918F0">
        <w:rPr>
          <w:b/>
          <w:lang w:val="fr-FR"/>
        </w:rPr>
        <w:t>)</w:t>
      </w:r>
      <w:r w:rsidRPr="008918F0">
        <w:rPr>
          <w:lang w:val="fr-FR"/>
        </w:rPr>
        <w:t xml:space="preserve">.  </w:t>
      </w:r>
      <w:r w:rsidR="0098067C" w:rsidRPr="008918F0">
        <w:rPr>
          <w:lang w:val="fr-FR"/>
        </w:rPr>
        <w:t>Le projet a progressé dans la réalisation de ses objectifs, bien qu</w:t>
      </w:r>
      <w:r w:rsidR="00C959B2" w:rsidRPr="008918F0">
        <w:rPr>
          <w:lang w:val="fr-FR"/>
        </w:rPr>
        <w:t>’</w:t>
      </w:r>
      <w:r w:rsidR="0098067C" w:rsidRPr="008918F0">
        <w:rPr>
          <w:lang w:val="fr-FR"/>
        </w:rPr>
        <w:t>il soit irréaliste de s</w:t>
      </w:r>
      <w:r w:rsidR="00C959B2" w:rsidRPr="008918F0">
        <w:rPr>
          <w:lang w:val="fr-FR"/>
        </w:rPr>
        <w:t>’</w:t>
      </w:r>
      <w:r w:rsidR="0098067C" w:rsidRPr="008918F0">
        <w:rPr>
          <w:lang w:val="fr-FR"/>
        </w:rPr>
        <w:t>attendre à ce que</w:t>
      </w:r>
      <w:r w:rsidR="00C959B2" w:rsidRPr="008918F0">
        <w:rPr>
          <w:lang w:val="fr-FR"/>
        </w:rPr>
        <w:t xml:space="preserve"> les CAT</w:t>
      </w:r>
      <w:r w:rsidR="0098067C" w:rsidRPr="008918F0">
        <w:rPr>
          <w:lang w:val="fr-FR"/>
        </w:rPr>
        <w:t>I développent des services supplémentaires en matière de domaine public avant l</w:t>
      </w:r>
      <w:r w:rsidR="00C959B2" w:rsidRPr="008918F0">
        <w:rPr>
          <w:lang w:val="fr-FR"/>
        </w:rPr>
        <w:t>’</w:t>
      </w:r>
      <w:r w:rsidR="0098067C" w:rsidRPr="008918F0">
        <w:rPr>
          <w:lang w:val="fr-FR"/>
        </w:rPr>
        <w:t xml:space="preserve">achèvement du projet et avec le soutien apporté </w:t>
      </w:r>
      <w:r w:rsidR="00EC0854" w:rsidRPr="008918F0">
        <w:rPr>
          <w:lang w:val="fr-FR"/>
        </w:rPr>
        <w:t>jusqu</w:t>
      </w:r>
      <w:r w:rsidR="00C959B2" w:rsidRPr="008918F0">
        <w:rPr>
          <w:lang w:val="fr-FR"/>
        </w:rPr>
        <w:t>’</w:t>
      </w:r>
      <w:r w:rsidR="00EC0854" w:rsidRPr="008918F0">
        <w:rPr>
          <w:lang w:val="fr-FR"/>
        </w:rPr>
        <w:t>i</w:t>
      </w:r>
      <w:r w:rsidR="00630E33" w:rsidRPr="008918F0">
        <w:rPr>
          <w:lang w:val="fr-FR"/>
        </w:rPr>
        <w:t>ci.  Il</w:t>
      </w:r>
      <w:r w:rsidR="0098067C" w:rsidRPr="008918F0">
        <w:rPr>
          <w:lang w:val="fr-FR"/>
        </w:rPr>
        <w:t xml:space="preserve"> est également probable que le développement de services dans ce domaine sera limité</w:t>
      </w:r>
      <w:r w:rsidR="00C959B2" w:rsidRPr="008918F0">
        <w:rPr>
          <w:lang w:val="fr-FR"/>
        </w:rPr>
        <w:t xml:space="preserve"> aux CAT</w:t>
      </w:r>
      <w:r w:rsidR="0098067C" w:rsidRPr="008918F0">
        <w:rPr>
          <w:lang w:val="fr-FR"/>
        </w:rPr>
        <w:t>I ayant déjà atteint une certaine maturité, ce qui met en évidence le domaine sur lequel le soutien futur de l</w:t>
      </w:r>
      <w:r w:rsidR="00C959B2" w:rsidRPr="008918F0">
        <w:rPr>
          <w:lang w:val="fr-FR"/>
        </w:rPr>
        <w:t>’</w:t>
      </w:r>
      <w:r w:rsidR="0098067C" w:rsidRPr="008918F0">
        <w:rPr>
          <w:lang w:val="fr-FR"/>
        </w:rPr>
        <w:t>OMPI devrait se concentr</w:t>
      </w:r>
      <w:r w:rsidR="00630E33" w:rsidRPr="008918F0">
        <w:rPr>
          <w:lang w:val="fr-FR"/>
        </w:rPr>
        <w:t>er.  La</w:t>
      </w:r>
      <w:r w:rsidR="0098067C" w:rsidRPr="008918F0">
        <w:rPr>
          <w:lang w:val="fr-FR"/>
        </w:rPr>
        <w:t xml:space="preserve"> liste des experts essentiels aura un rôle à jouer dans le développement de services destinés</w:t>
      </w:r>
      <w:r w:rsidR="00C959B2" w:rsidRPr="008918F0">
        <w:rPr>
          <w:lang w:val="fr-FR"/>
        </w:rPr>
        <w:t xml:space="preserve"> aux C</w:t>
      </w:r>
      <w:r w:rsidR="00630E33" w:rsidRPr="008918F0">
        <w:rPr>
          <w:lang w:val="fr-FR"/>
        </w:rPr>
        <w:t>ATI.  Il</w:t>
      </w:r>
      <w:r w:rsidR="0098067C" w:rsidRPr="008918F0">
        <w:rPr>
          <w:lang w:val="fr-FR"/>
        </w:rPr>
        <w:t xml:space="preserve"> a également été jugé important que tous</w:t>
      </w:r>
      <w:r w:rsidR="00C959B2" w:rsidRPr="008918F0">
        <w:rPr>
          <w:lang w:val="fr-FR"/>
        </w:rPr>
        <w:t xml:space="preserve"> les CAT</w:t>
      </w:r>
      <w:r w:rsidR="0098067C" w:rsidRPr="008918F0">
        <w:rPr>
          <w:lang w:val="fr-FR"/>
        </w:rPr>
        <w:t>I connaissent et comprennent le rôle du domaine public dans leur travail, même s</w:t>
      </w:r>
      <w:r w:rsidR="00C959B2" w:rsidRPr="008918F0">
        <w:rPr>
          <w:lang w:val="fr-FR"/>
        </w:rPr>
        <w:t>’</w:t>
      </w:r>
      <w:r w:rsidR="0098067C" w:rsidRPr="008918F0">
        <w:rPr>
          <w:lang w:val="fr-FR"/>
        </w:rPr>
        <w:t>ils ne sont pas encore en mesure de proposer des services en la matière.</w:t>
      </w:r>
    </w:p>
    <w:p w:rsidR="00C959B2" w:rsidRPr="008918F0" w:rsidRDefault="0098067C" w:rsidP="00D9189B">
      <w:pPr>
        <w:pStyle w:val="ONUMFS"/>
        <w:rPr>
          <w:lang w:val="fr-FR"/>
        </w:rPr>
      </w:pPr>
      <w:r w:rsidRPr="008918F0">
        <w:rPr>
          <w:b/>
          <w:lang w:val="fr-FR"/>
        </w:rPr>
        <w:t xml:space="preserve">Conclusion </w:t>
      </w:r>
      <w:r w:rsidR="00DB6EA5" w:rsidRPr="008918F0">
        <w:rPr>
          <w:b/>
          <w:lang w:val="fr-FR"/>
        </w:rPr>
        <w:t>n°</w:t>
      </w:r>
      <w:r w:rsidRPr="008918F0">
        <w:rPr>
          <w:b/>
          <w:lang w:val="fr-FR"/>
        </w:rPr>
        <w:t> 3 (</w:t>
      </w:r>
      <w:r w:rsidRPr="008918F0">
        <w:rPr>
          <w:b/>
          <w:i/>
          <w:lang w:val="fr-FR"/>
        </w:rPr>
        <w:t>voir les observations n</w:t>
      </w:r>
      <w:r w:rsidRPr="008918F0">
        <w:rPr>
          <w:b/>
          <w:i/>
          <w:vertAlign w:val="superscript"/>
          <w:lang w:val="fr-FR"/>
        </w:rPr>
        <w:t>os</w:t>
      </w:r>
      <w:r w:rsidRPr="008918F0">
        <w:rPr>
          <w:b/>
          <w:i/>
          <w:lang w:val="fr-FR"/>
        </w:rPr>
        <w:t> 6 à 17, 21 et 22</w:t>
      </w:r>
      <w:r w:rsidRPr="008918F0">
        <w:rPr>
          <w:b/>
          <w:lang w:val="fr-FR"/>
        </w:rPr>
        <w:t xml:space="preserve">).  </w:t>
      </w:r>
      <w:r w:rsidRPr="008918F0">
        <w:rPr>
          <w:lang w:val="fr-FR"/>
        </w:rPr>
        <w:t xml:space="preserve">Les guides peuvent être utilisés en dehors des </w:t>
      </w:r>
      <w:r w:rsidR="0081059F" w:rsidRPr="008918F0">
        <w:rPr>
          <w:lang w:val="fr-FR"/>
        </w:rPr>
        <w:t>réseaux de CATI</w:t>
      </w:r>
      <w:r w:rsidRPr="008918F0">
        <w:rPr>
          <w:lang w:val="fr-FR"/>
        </w:rPr>
        <w:t xml:space="preserve"> et constitueront, de manière générale, une ressource importante pour le domaine publ</w:t>
      </w:r>
      <w:r w:rsidR="00630E33" w:rsidRPr="008918F0">
        <w:rPr>
          <w:lang w:val="fr-FR"/>
        </w:rPr>
        <w:t>ic.  Le</w:t>
      </w:r>
      <w:r w:rsidRPr="008918F0">
        <w:rPr>
          <w:lang w:val="fr-FR"/>
        </w:rPr>
        <w:t xml:space="preserve"> portail a été conçu non seulement comme un soutien pour</w:t>
      </w:r>
      <w:r w:rsidR="00C959B2" w:rsidRPr="008918F0">
        <w:rPr>
          <w:lang w:val="fr-FR"/>
        </w:rPr>
        <w:t xml:space="preserve"> les CAT</w:t>
      </w:r>
      <w:r w:rsidRPr="008918F0">
        <w:rPr>
          <w:lang w:val="fr-FR"/>
        </w:rPr>
        <w:t xml:space="preserve">I, mais il peut également constituer une ressource majeure pour les personnes travaillant dans le domaine des brevets, </w:t>
      </w:r>
      <w:r w:rsidR="00EC0854" w:rsidRPr="008918F0">
        <w:rPr>
          <w:lang w:val="fr-FR"/>
        </w:rPr>
        <w:t>pour autant qu</w:t>
      </w:r>
      <w:r w:rsidR="00C959B2" w:rsidRPr="008918F0">
        <w:rPr>
          <w:lang w:val="fr-FR"/>
        </w:rPr>
        <w:t>’</w:t>
      </w:r>
      <w:r w:rsidR="00EC0854" w:rsidRPr="008918F0">
        <w:rPr>
          <w:lang w:val="fr-FR"/>
        </w:rPr>
        <w:t>il soit</w:t>
      </w:r>
      <w:r w:rsidRPr="008918F0">
        <w:rPr>
          <w:lang w:val="fr-FR"/>
        </w:rPr>
        <w:t xml:space="preserve"> visible, diffusé et connu</w:t>
      </w:r>
      <w:r w:rsidR="005E7422" w:rsidRPr="008918F0">
        <w:rPr>
          <w:lang w:val="fr-FR"/>
        </w:rPr>
        <w:t>.</w:t>
      </w:r>
    </w:p>
    <w:p w:rsidR="00D9189B" w:rsidRPr="008918F0" w:rsidRDefault="0098067C" w:rsidP="00D9189B">
      <w:pPr>
        <w:pStyle w:val="ONUMFS"/>
        <w:rPr>
          <w:lang w:val="fr-FR"/>
        </w:rPr>
      </w:pPr>
      <w:r w:rsidRPr="008918F0">
        <w:rPr>
          <w:b/>
          <w:lang w:val="fr-FR"/>
        </w:rPr>
        <w:t xml:space="preserve">Conclusion </w:t>
      </w:r>
      <w:r w:rsidR="00DB6EA5" w:rsidRPr="008918F0">
        <w:rPr>
          <w:b/>
          <w:lang w:val="fr-FR"/>
        </w:rPr>
        <w:t>n°</w:t>
      </w:r>
      <w:r w:rsidRPr="008918F0">
        <w:rPr>
          <w:b/>
          <w:lang w:val="fr-FR"/>
        </w:rPr>
        <w:t> 4 (</w:t>
      </w:r>
      <w:r w:rsidRPr="008918F0">
        <w:rPr>
          <w:b/>
          <w:i/>
          <w:lang w:val="fr-FR"/>
        </w:rPr>
        <w:t>voir l</w:t>
      </w:r>
      <w:r w:rsidR="00C959B2" w:rsidRPr="008918F0">
        <w:rPr>
          <w:b/>
          <w:i/>
          <w:lang w:val="fr-FR"/>
        </w:rPr>
        <w:t>’</w:t>
      </w:r>
      <w:r w:rsidRPr="008918F0">
        <w:rPr>
          <w:b/>
          <w:i/>
          <w:lang w:val="fr-FR"/>
        </w:rPr>
        <w:t xml:space="preserve">observation </w:t>
      </w:r>
      <w:r w:rsidR="00DB6EA5" w:rsidRPr="008918F0">
        <w:rPr>
          <w:b/>
          <w:i/>
          <w:lang w:val="fr-FR"/>
        </w:rPr>
        <w:t>n°</w:t>
      </w:r>
      <w:r w:rsidRPr="008918F0">
        <w:rPr>
          <w:b/>
          <w:i/>
          <w:lang w:val="fr-FR"/>
        </w:rPr>
        <w:t> 2</w:t>
      </w:r>
      <w:r w:rsidRPr="008918F0">
        <w:rPr>
          <w:b/>
          <w:lang w:val="fr-FR"/>
        </w:rPr>
        <w:t>)</w:t>
      </w:r>
      <w:r w:rsidRPr="008918F0">
        <w:rPr>
          <w:lang w:val="fr-FR"/>
        </w:rPr>
        <w:t xml:space="preserve">.  La réalisation effective des objectifs du projet, </w:t>
      </w:r>
      <w:r w:rsidR="00C959B2" w:rsidRPr="008918F0">
        <w:rPr>
          <w:lang w:val="fr-FR"/>
        </w:rPr>
        <w:t>à savoir</w:t>
      </w:r>
      <w:r w:rsidRPr="008918F0">
        <w:rPr>
          <w:lang w:val="fr-FR"/>
        </w:rPr>
        <w:t xml:space="preserve"> la mise en place de nouveaux services CATI en matière de domaine public et leur utilisation, sera seulement connue </w:t>
      </w:r>
      <w:r w:rsidR="00EC0854" w:rsidRPr="008918F0">
        <w:rPr>
          <w:lang w:val="fr-FR"/>
        </w:rPr>
        <w:t>avec le</w:t>
      </w:r>
      <w:r w:rsidRPr="008918F0">
        <w:rPr>
          <w:lang w:val="fr-FR"/>
        </w:rPr>
        <w:t xml:space="preserve"> temps, lorsque les guides seront disponibles et le soutien four</w:t>
      </w:r>
      <w:r w:rsidR="00630E33" w:rsidRPr="008918F0">
        <w:rPr>
          <w:lang w:val="fr-FR"/>
        </w:rPr>
        <w:t xml:space="preserve">ni.  À </w:t>
      </w:r>
      <w:r w:rsidRPr="008918F0">
        <w:rPr>
          <w:lang w:val="fr-FR"/>
        </w:rPr>
        <w:t>cet égard</w:t>
      </w:r>
      <w:r w:rsidR="00AB7A2D">
        <w:rPr>
          <w:lang w:val="fr-FR"/>
        </w:rPr>
        <w:t xml:space="preserve">, </w:t>
      </w:r>
      <w:r w:rsidRPr="008918F0">
        <w:rPr>
          <w:lang w:val="fr-FR"/>
        </w:rPr>
        <w:t>les objectifs et indicateurs du projet devraient continuer à être surveillés</w:t>
      </w:r>
      <w:r w:rsidR="00EC0854" w:rsidRPr="008918F0">
        <w:rPr>
          <w:lang w:val="fr-FR"/>
        </w:rPr>
        <w:t>.</w:t>
      </w:r>
    </w:p>
    <w:p w:rsidR="0006001B" w:rsidRPr="008918F0" w:rsidRDefault="00063CEC" w:rsidP="00D9189B">
      <w:pPr>
        <w:pStyle w:val="ONUMFS"/>
        <w:rPr>
          <w:lang w:val="fr-FR"/>
        </w:rPr>
      </w:pPr>
      <w:r w:rsidRPr="008918F0">
        <w:rPr>
          <w:b/>
          <w:lang w:val="fr-FR"/>
        </w:rPr>
        <w:t>Recommandation n°</w:t>
      </w:r>
      <w:r w:rsidR="003F748C" w:rsidRPr="008918F0">
        <w:rPr>
          <w:b/>
          <w:lang w:val="fr-FR"/>
        </w:rPr>
        <w:t> </w:t>
      </w:r>
      <w:r w:rsidRPr="008918F0">
        <w:rPr>
          <w:b/>
          <w:lang w:val="fr-FR"/>
        </w:rPr>
        <w:t xml:space="preserve">1 </w:t>
      </w:r>
      <w:r w:rsidRPr="008918F0">
        <w:rPr>
          <w:b/>
          <w:i/>
          <w:lang w:val="fr-FR"/>
        </w:rPr>
        <w:t>(voir les conclusions n</w:t>
      </w:r>
      <w:r w:rsidRPr="008918F0">
        <w:rPr>
          <w:b/>
          <w:i/>
          <w:vertAlign w:val="superscript"/>
          <w:lang w:val="fr-FR"/>
        </w:rPr>
        <w:t>os</w:t>
      </w:r>
      <w:r w:rsidR="008078D5" w:rsidRPr="008918F0">
        <w:rPr>
          <w:b/>
          <w:i/>
          <w:lang w:val="fr-FR"/>
        </w:rPr>
        <w:t> </w:t>
      </w:r>
      <w:r w:rsidRPr="008918F0">
        <w:rPr>
          <w:b/>
          <w:i/>
          <w:lang w:val="fr-FR"/>
        </w:rPr>
        <w:t>1 et</w:t>
      </w:r>
      <w:r w:rsidR="008078D5" w:rsidRPr="008918F0">
        <w:rPr>
          <w:b/>
          <w:i/>
          <w:lang w:val="fr-FR"/>
        </w:rPr>
        <w:t> </w:t>
      </w:r>
      <w:r w:rsidRPr="008918F0">
        <w:rPr>
          <w:b/>
          <w:i/>
          <w:lang w:val="fr-FR"/>
        </w:rPr>
        <w:t>4 et les observations n</w:t>
      </w:r>
      <w:r w:rsidRPr="008918F0">
        <w:rPr>
          <w:b/>
          <w:i/>
          <w:vertAlign w:val="superscript"/>
          <w:lang w:val="fr-FR"/>
        </w:rPr>
        <w:t>os</w:t>
      </w:r>
      <w:r w:rsidR="008078D5" w:rsidRPr="008918F0">
        <w:rPr>
          <w:b/>
          <w:i/>
          <w:lang w:val="fr-FR"/>
        </w:rPr>
        <w:t> </w:t>
      </w:r>
      <w:r w:rsidRPr="008918F0">
        <w:rPr>
          <w:b/>
          <w:i/>
          <w:lang w:val="fr-FR"/>
        </w:rPr>
        <w:t>1 à</w:t>
      </w:r>
      <w:r w:rsidR="008078D5" w:rsidRPr="008918F0">
        <w:rPr>
          <w:b/>
          <w:i/>
          <w:lang w:val="fr-FR"/>
        </w:rPr>
        <w:t> </w:t>
      </w:r>
      <w:r w:rsidRPr="008918F0">
        <w:rPr>
          <w:b/>
          <w:i/>
          <w:lang w:val="fr-FR"/>
        </w:rPr>
        <w:t>22</w:t>
      </w:r>
      <w:r w:rsidRPr="008918F0">
        <w:rPr>
          <w:b/>
          <w:lang w:val="fr-FR"/>
        </w:rPr>
        <w:t>).</w:t>
      </w:r>
      <w:r w:rsidR="005C58F1" w:rsidRPr="008918F0">
        <w:rPr>
          <w:b/>
          <w:lang w:val="fr-FR"/>
        </w:rPr>
        <w:t xml:space="preserve">  </w:t>
      </w:r>
      <w:r w:rsidR="008078D5" w:rsidRPr="008918F0">
        <w:rPr>
          <w:lang w:val="fr-FR"/>
        </w:rPr>
        <w:t>Lors de l</w:t>
      </w:r>
      <w:r w:rsidR="00C959B2" w:rsidRPr="008918F0">
        <w:rPr>
          <w:lang w:val="fr-FR"/>
        </w:rPr>
        <w:t>’</w:t>
      </w:r>
      <w:r w:rsidR="008078D5" w:rsidRPr="008918F0">
        <w:rPr>
          <w:lang w:val="fr-FR"/>
        </w:rPr>
        <w:t>intégration de ce projet, il est recommandé à la Division de l</w:t>
      </w:r>
      <w:r w:rsidR="00C959B2" w:rsidRPr="008918F0">
        <w:rPr>
          <w:lang w:val="fr-FR"/>
        </w:rPr>
        <w:t>’</w:t>
      </w:r>
      <w:r w:rsidR="008078D5" w:rsidRPr="008918F0">
        <w:rPr>
          <w:lang w:val="fr-FR"/>
        </w:rPr>
        <w:t>appui à la technologie et à l</w:t>
      </w:r>
      <w:r w:rsidR="00C959B2" w:rsidRPr="008918F0">
        <w:rPr>
          <w:lang w:val="fr-FR"/>
        </w:rPr>
        <w:t>’</w:t>
      </w:r>
      <w:r w:rsidR="008078D5" w:rsidRPr="008918F0">
        <w:rPr>
          <w:lang w:val="fr-FR"/>
        </w:rPr>
        <w:t>innovation du Secrétariat de l</w:t>
      </w:r>
      <w:r w:rsidR="00C959B2" w:rsidRPr="008918F0">
        <w:rPr>
          <w:lang w:val="fr-FR"/>
        </w:rPr>
        <w:t>’</w:t>
      </w:r>
      <w:r w:rsidR="008078D5" w:rsidRPr="008918F0">
        <w:rPr>
          <w:lang w:val="fr-FR"/>
        </w:rPr>
        <w:t>OMPI de prendre en considération les éléments suivants</w:t>
      </w:r>
      <w:r w:rsidR="00C959B2" w:rsidRPr="008918F0">
        <w:rPr>
          <w:lang w:val="fr-FR"/>
        </w:rPr>
        <w:t> :</w:t>
      </w:r>
    </w:p>
    <w:p w:rsidR="008078D5" w:rsidRPr="008918F0" w:rsidRDefault="008078D5" w:rsidP="00D9189B">
      <w:pPr>
        <w:pStyle w:val="ONUMFS"/>
        <w:numPr>
          <w:ilvl w:val="1"/>
          <w:numId w:val="32"/>
        </w:numPr>
        <w:rPr>
          <w:lang w:val="fr-FR"/>
        </w:rPr>
      </w:pPr>
      <w:r w:rsidRPr="008918F0">
        <w:rPr>
          <w:lang w:val="fr-FR"/>
        </w:rPr>
        <w:t>se concentrer sur l</w:t>
      </w:r>
      <w:r w:rsidR="00C959B2" w:rsidRPr="008918F0">
        <w:rPr>
          <w:lang w:val="fr-FR"/>
        </w:rPr>
        <w:t>’</w:t>
      </w:r>
      <w:r w:rsidRPr="008918F0">
        <w:rPr>
          <w:lang w:val="fr-FR"/>
        </w:rPr>
        <w:t xml:space="preserve">appui à la sélection des </w:t>
      </w:r>
      <w:r w:rsidR="0081059F" w:rsidRPr="008918F0">
        <w:rPr>
          <w:lang w:val="fr-FR"/>
        </w:rPr>
        <w:t>réseaux de CATI</w:t>
      </w:r>
      <w:r w:rsidRPr="008918F0">
        <w:rPr>
          <w:lang w:val="fr-FR"/>
        </w:rPr>
        <w:t xml:space="preserve"> (niveau de maturité 3) </w:t>
      </w:r>
      <w:r w:rsidR="00EC0854" w:rsidRPr="008918F0">
        <w:rPr>
          <w:lang w:val="fr-FR"/>
        </w:rPr>
        <w:t xml:space="preserve">afin de développer </w:t>
      </w:r>
      <w:r w:rsidRPr="008918F0">
        <w:rPr>
          <w:lang w:val="fr-FR"/>
        </w:rPr>
        <w:t xml:space="preserve">leurs services </w:t>
      </w:r>
      <w:r w:rsidR="00EC0854" w:rsidRPr="008918F0">
        <w:rPr>
          <w:lang w:val="fr-FR"/>
        </w:rPr>
        <w:t>en matière de</w:t>
      </w:r>
      <w:r w:rsidRPr="008918F0">
        <w:rPr>
          <w:lang w:val="fr-FR"/>
        </w:rPr>
        <w:t xml:space="preserve"> domaine public, notamment la manière dont</w:t>
      </w:r>
      <w:r w:rsidR="00C959B2" w:rsidRPr="008918F0">
        <w:rPr>
          <w:lang w:val="fr-FR"/>
        </w:rPr>
        <w:t xml:space="preserve"> les CAT</w:t>
      </w:r>
      <w:r w:rsidRPr="008918F0">
        <w:rPr>
          <w:lang w:val="fr-FR"/>
        </w:rPr>
        <w:t xml:space="preserve">I passeront de la connaissance du contenu des guides à </w:t>
      </w:r>
      <w:r w:rsidR="00EC0854" w:rsidRPr="008918F0">
        <w:rPr>
          <w:lang w:val="fr-FR"/>
        </w:rPr>
        <w:t>la fourniture</w:t>
      </w:r>
      <w:r w:rsidRPr="008918F0">
        <w:rPr>
          <w:lang w:val="fr-FR"/>
        </w:rPr>
        <w:t xml:space="preserve"> d</w:t>
      </w:r>
      <w:r w:rsidR="00C959B2" w:rsidRPr="008918F0">
        <w:rPr>
          <w:lang w:val="fr-FR"/>
        </w:rPr>
        <w:t>’</w:t>
      </w:r>
      <w:r w:rsidRPr="008918F0">
        <w:rPr>
          <w:lang w:val="fr-FR"/>
        </w:rPr>
        <w:t>un nouveau service;</w:t>
      </w:r>
    </w:p>
    <w:p w:rsidR="008078D5" w:rsidRPr="008918F0" w:rsidRDefault="008078D5" w:rsidP="00D9189B">
      <w:pPr>
        <w:pStyle w:val="ONUMFS"/>
        <w:numPr>
          <w:ilvl w:val="1"/>
          <w:numId w:val="32"/>
        </w:numPr>
        <w:rPr>
          <w:lang w:val="fr-FR"/>
        </w:rPr>
      </w:pPr>
      <w:r w:rsidRPr="008918F0">
        <w:rPr>
          <w:lang w:val="fr-FR"/>
        </w:rPr>
        <w:t>définir plus précisément le rôle de la liste d</w:t>
      </w:r>
      <w:r w:rsidR="00C959B2" w:rsidRPr="008918F0">
        <w:rPr>
          <w:lang w:val="fr-FR"/>
        </w:rPr>
        <w:t>’</w:t>
      </w:r>
      <w:r w:rsidRPr="008918F0">
        <w:rPr>
          <w:lang w:val="fr-FR"/>
        </w:rPr>
        <w:t xml:space="preserve">experts </w:t>
      </w:r>
      <w:r w:rsidR="00EC0854" w:rsidRPr="008918F0">
        <w:rPr>
          <w:lang w:val="fr-FR"/>
        </w:rPr>
        <w:t>essentiels</w:t>
      </w:r>
      <w:r w:rsidRPr="008918F0">
        <w:rPr>
          <w:lang w:val="fr-FR"/>
        </w:rPr>
        <w:t xml:space="preserve"> et informer les </w:t>
      </w:r>
      <w:r w:rsidR="0081059F" w:rsidRPr="008918F0">
        <w:rPr>
          <w:lang w:val="fr-FR"/>
        </w:rPr>
        <w:t>réseaux de CATI</w:t>
      </w:r>
      <w:r w:rsidRPr="008918F0">
        <w:rPr>
          <w:lang w:val="fr-FR"/>
        </w:rPr>
        <w:t xml:space="preserve"> de leur rôle de soutien potentiel;</w:t>
      </w:r>
    </w:p>
    <w:p w:rsidR="008078D5" w:rsidRPr="008918F0" w:rsidRDefault="008078D5" w:rsidP="00D9189B">
      <w:pPr>
        <w:pStyle w:val="ONUMFS"/>
        <w:numPr>
          <w:ilvl w:val="1"/>
          <w:numId w:val="32"/>
        </w:numPr>
        <w:rPr>
          <w:lang w:val="fr-FR"/>
        </w:rPr>
      </w:pPr>
      <w:r w:rsidRPr="008918F0">
        <w:rPr>
          <w:lang w:val="fr-FR"/>
        </w:rPr>
        <w:t xml:space="preserve">inclure des informations concernant le domaine public </w:t>
      </w:r>
      <w:r w:rsidR="003F748C" w:rsidRPr="008918F0">
        <w:rPr>
          <w:lang w:val="fr-FR"/>
        </w:rPr>
        <w:t>provenant</w:t>
      </w:r>
      <w:r w:rsidRPr="008918F0">
        <w:rPr>
          <w:lang w:val="fr-FR"/>
        </w:rPr>
        <w:t xml:space="preserve"> du matériel de formation dans les ateliers ou les séances de formation types</w:t>
      </w:r>
      <w:r w:rsidR="00C959B2" w:rsidRPr="008918F0">
        <w:rPr>
          <w:lang w:val="fr-FR"/>
        </w:rPr>
        <w:t xml:space="preserve"> des CAT</w:t>
      </w:r>
      <w:r w:rsidRPr="008918F0">
        <w:rPr>
          <w:lang w:val="fr-FR"/>
        </w:rPr>
        <w:t>I;</w:t>
      </w:r>
    </w:p>
    <w:p w:rsidR="008078D5" w:rsidRPr="008918F0" w:rsidRDefault="008078D5" w:rsidP="00D9189B">
      <w:pPr>
        <w:pStyle w:val="ONUMFS"/>
        <w:numPr>
          <w:ilvl w:val="1"/>
          <w:numId w:val="32"/>
        </w:numPr>
        <w:rPr>
          <w:lang w:val="fr-FR"/>
        </w:rPr>
      </w:pPr>
      <w:r w:rsidRPr="008918F0">
        <w:rPr>
          <w:lang w:val="fr-FR"/>
        </w:rPr>
        <w:lastRenderedPageBreak/>
        <w:t xml:space="preserve">examiner la </w:t>
      </w:r>
      <w:r w:rsidR="00EC0854" w:rsidRPr="008918F0">
        <w:rPr>
          <w:lang w:val="fr-FR"/>
        </w:rPr>
        <w:t>possibilité</w:t>
      </w:r>
      <w:r w:rsidRPr="008918F0">
        <w:rPr>
          <w:lang w:val="fr-FR"/>
        </w:rPr>
        <w:t xml:space="preserve"> de créer un cours ou un module d</w:t>
      </w:r>
      <w:r w:rsidR="00C959B2" w:rsidRPr="008918F0">
        <w:rPr>
          <w:lang w:val="fr-FR"/>
        </w:rPr>
        <w:t>’</w:t>
      </w:r>
      <w:r w:rsidRPr="008918F0">
        <w:rPr>
          <w:lang w:val="fr-FR"/>
        </w:rPr>
        <w:t>apprentissage en ligne basé sur les guides avec l</w:t>
      </w:r>
      <w:r w:rsidR="00C959B2" w:rsidRPr="008918F0">
        <w:rPr>
          <w:lang w:val="fr-FR"/>
        </w:rPr>
        <w:t>’</w:t>
      </w:r>
      <w:r w:rsidRPr="008918F0">
        <w:rPr>
          <w:lang w:val="fr-FR"/>
        </w:rPr>
        <w:t>Académie de l</w:t>
      </w:r>
      <w:r w:rsidR="00C959B2" w:rsidRPr="008918F0">
        <w:rPr>
          <w:lang w:val="fr-FR"/>
        </w:rPr>
        <w:t>’</w:t>
      </w:r>
      <w:r w:rsidRPr="008918F0">
        <w:rPr>
          <w:lang w:val="fr-FR"/>
        </w:rPr>
        <w:t>OMPI;</w:t>
      </w:r>
    </w:p>
    <w:p w:rsidR="008078D5" w:rsidRPr="008918F0" w:rsidRDefault="008078D5" w:rsidP="00D9189B">
      <w:pPr>
        <w:pStyle w:val="ONUMFS"/>
        <w:numPr>
          <w:ilvl w:val="1"/>
          <w:numId w:val="32"/>
        </w:numPr>
        <w:rPr>
          <w:lang w:val="fr-FR"/>
        </w:rPr>
      </w:pPr>
      <w:r w:rsidRPr="008918F0">
        <w:rPr>
          <w:lang w:val="fr-FR"/>
        </w:rPr>
        <w:t>mettre régulièrement à jour le contenu du portail d</w:t>
      </w:r>
      <w:r w:rsidR="00C959B2" w:rsidRPr="008918F0">
        <w:rPr>
          <w:lang w:val="fr-FR"/>
        </w:rPr>
        <w:t>’</w:t>
      </w:r>
      <w:r w:rsidRPr="008918F0">
        <w:rPr>
          <w:lang w:val="fr-FR"/>
        </w:rPr>
        <w:t>accès aux registres de brevets (sur la base des contributions des utilisateurs) et réviser ou mettre à jour chaque année ou tous les deux</w:t>
      </w:r>
      <w:r w:rsidR="00DB6EA5" w:rsidRPr="008918F0">
        <w:rPr>
          <w:lang w:val="fr-FR"/>
        </w:rPr>
        <w:t> </w:t>
      </w:r>
      <w:r w:rsidRPr="008918F0">
        <w:rPr>
          <w:lang w:val="fr-FR"/>
        </w:rPr>
        <w:t>ans les fichiers sur les ressorts juridiques;</w:t>
      </w:r>
    </w:p>
    <w:p w:rsidR="008078D5" w:rsidRPr="008918F0" w:rsidRDefault="008078D5" w:rsidP="00D9189B">
      <w:pPr>
        <w:pStyle w:val="ONUMFS"/>
        <w:numPr>
          <w:ilvl w:val="1"/>
          <w:numId w:val="32"/>
        </w:numPr>
        <w:rPr>
          <w:lang w:val="fr-FR"/>
        </w:rPr>
      </w:pPr>
      <w:r w:rsidRPr="008918F0">
        <w:rPr>
          <w:lang w:val="fr-FR"/>
        </w:rPr>
        <w:t xml:space="preserve">collaborer avec la Section des communications sur le Web pour </w:t>
      </w:r>
      <w:r w:rsidR="00EC0854" w:rsidRPr="008918F0">
        <w:rPr>
          <w:lang w:val="fr-FR"/>
        </w:rPr>
        <w:t>s</w:t>
      </w:r>
      <w:r w:rsidR="00C959B2" w:rsidRPr="008918F0">
        <w:rPr>
          <w:lang w:val="fr-FR"/>
        </w:rPr>
        <w:t>’</w:t>
      </w:r>
      <w:r w:rsidR="00EC0854" w:rsidRPr="008918F0">
        <w:rPr>
          <w:lang w:val="fr-FR"/>
        </w:rPr>
        <w:t>assurer</w:t>
      </w:r>
      <w:r w:rsidRPr="008918F0">
        <w:rPr>
          <w:lang w:val="fr-FR"/>
        </w:rPr>
        <w:t xml:space="preserve"> que le registre d</w:t>
      </w:r>
      <w:r w:rsidR="00C959B2" w:rsidRPr="008918F0">
        <w:rPr>
          <w:lang w:val="fr-FR"/>
        </w:rPr>
        <w:t>’</w:t>
      </w:r>
      <w:r w:rsidRPr="008918F0">
        <w:rPr>
          <w:lang w:val="fr-FR"/>
        </w:rPr>
        <w:t xml:space="preserve">accès aux registres de brevets </w:t>
      </w:r>
      <w:r w:rsidR="00EC0854" w:rsidRPr="008918F0">
        <w:rPr>
          <w:lang w:val="fr-FR"/>
        </w:rPr>
        <w:t>est</w:t>
      </w:r>
      <w:r w:rsidRPr="008918F0">
        <w:rPr>
          <w:lang w:val="fr-FR"/>
        </w:rPr>
        <w:t xml:space="preserve"> visible sur le site</w:t>
      </w:r>
      <w:r w:rsidR="00DB6EA5" w:rsidRPr="008918F0">
        <w:rPr>
          <w:lang w:val="fr-FR"/>
        </w:rPr>
        <w:t> </w:t>
      </w:r>
      <w:r w:rsidRPr="008918F0">
        <w:rPr>
          <w:lang w:val="fr-FR"/>
        </w:rPr>
        <w:t>Web de l</w:t>
      </w:r>
      <w:r w:rsidR="00C959B2" w:rsidRPr="008918F0">
        <w:rPr>
          <w:lang w:val="fr-FR"/>
        </w:rPr>
        <w:t>’</w:t>
      </w:r>
      <w:r w:rsidRPr="008918F0">
        <w:rPr>
          <w:lang w:val="fr-FR"/>
        </w:rPr>
        <w:t>OMPI;</w:t>
      </w:r>
    </w:p>
    <w:p w:rsidR="008078D5" w:rsidRPr="008918F0" w:rsidRDefault="008078D5" w:rsidP="00D9189B">
      <w:pPr>
        <w:pStyle w:val="ONUMFS"/>
        <w:numPr>
          <w:ilvl w:val="1"/>
          <w:numId w:val="32"/>
        </w:numPr>
        <w:rPr>
          <w:lang w:val="fr-FR"/>
        </w:rPr>
      </w:pPr>
      <w:r w:rsidRPr="008918F0">
        <w:rPr>
          <w:lang w:val="fr-FR"/>
        </w:rPr>
        <w:t xml:space="preserve">collaborer avec la Division des publications pour rendre les guides visibles en dehors des </w:t>
      </w:r>
      <w:r w:rsidR="0081059F" w:rsidRPr="008918F0">
        <w:rPr>
          <w:lang w:val="fr-FR"/>
        </w:rPr>
        <w:t>réseaux de CATI</w:t>
      </w:r>
      <w:r w:rsidRPr="008918F0">
        <w:rPr>
          <w:lang w:val="fr-FR"/>
        </w:rPr>
        <w:t>;</w:t>
      </w:r>
    </w:p>
    <w:p w:rsidR="00C959B2" w:rsidRPr="008918F0" w:rsidRDefault="008078D5" w:rsidP="00D9189B">
      <w:pPr>
        <w:pStyle w:val="ONUMFS"/>
        <w:numPr>
          <w:ilvl w:val="1"/>
          <w:numId w:val="32"/>
        </w:numPr>
        <w:rPr>
          <w:lang w:val="fr-FR"/>
        </w:rPr>
      </w:pPr>
      <w:r w:rsidRPr="008918F0">
        <w:rPr>
          <w:lang w:val="fr-FR"/>
        </w:rPr>
        <w:t xml:space="preserve">veiller à poursuivre le </w:t>
      </w:r>
      <w:r w:rsidR="003F748C" w:rsidRPr="008918F0">
        <w:rPr>
          <w:lang w:val="fr-FR"/>
        </w:rPr>
        <w:t>contrôle</w:t>
      </w:r>
      <w:r w:rsidRPr="008918F0">
        <w:rPr>
          <w:lang w:val="fr-FR"/>
        </w:rPr>
        <w:t xml:space="preserve"> des indicateurs de résultats dans le suivi ou rapport régulier </w:t>
      </w:r>
      <w:r w:rsidR="00EC0854" w:rsidRPr="008918F0">
        <w:rPr>
          <w:lang w:val="fr-FR"/>
        </w:rPr>
        <w:t>présenté par les</w:t>
      </w:r>
      <w:r w:rsidRPr="008918F0">
        <w:rPr>
          <w:lang w:val="fr-FR"/>
        </w:rPr>
        <w:t xml:space="preserve"> </w:t>
      </w:r>
      <w:r w:rsidR="0081059F" w:rsidRPr="008918F0">
        <w:rPr>
          <w:lang w:val="fr-FR"/>
        </w:rPr>
        <w:t>réseaux de CATI</w:t>
      </w:r>
      <w:r w:rsidRPr="008918F0">
        <w:rPr>
          <w:lang w:val="fr-FR"/>
        </w:rPr>
        <w:t xml:space="preserve"> au Secrétariat de l</w:t>
      </w:r>
      <w:r w:rsidR="00C959B2" w:rsidRPr="008918F0">
        <w:rPr>
          <w:lang w:val="fr-FR"/>
        </w:rPr>
        <w:t>’</w:t>
      </w:r>
      <w:r w:rsidRPr="008918F0">
        <w:rPr>
          <w:lang w:val="fr-FR"/>
        </w:rPr>
        <w:t>OMPI</w:t>
      </w:r>
      <w:r w:rsidR="000A6F04" w:rsidRPr="008918F0">
        <w:rPr>
          <w:lang w:val="fr-FR"/>
        </w:rPr>
        <w:t>.</w:t>
      </w:r>
    </w:p>
    <w:p w:rsidR="0006001B" w:rsidRPr="008918F0" w:rsidRDefault="00063CEC" w:rsidP="00D9189B">
      <w:pPr>
        <w:pStyle w:val="ONUMFS"/>
        <w:rPr>
          <w:lang w:val="fr-FR"/>
        </w:rPr>
      </w:pPr>
      <w:r w:rsidRPr="008918F0">
        <w:rPr>
          <w:b/>
          <w:lang w:val="fr-FR"/>
        </w:rPr>
        <w:t>Recommandation n°</w:t>
      </w:r>
      <w:r w:rsidR="003F748C" w:rsidRPr="008918F0">
        <w:rPr>
          <w:b/>
          <w:lang w:val="fr-FR"/>
        </w:rPr>
        <w:t> </w:t>
      </w:r>
      <w:r w:rsidRPr="008918F0">
        <w:rPr>
          <w:b/>
          <w:lang w:val="fr-FR"/>
        </w:rPr>
        <w:t xml:space="preserve">2 </w:t>
      </w:r>
      <w:r w:rsidRPr="008918F0">
        <w:rPr>
          <w:b/>
          <w:i/>
          <w:lang w:val="fr-FR"/>
        </w:rPr>
        <w:t>(</w:t>
      </w:r>
      <w:r w:rsidR="008078D5" w:rsidRPr="008918F0">
        <w:rPr>
          <w:b/>
          <w:i/>
          <w:lang w:val="fr-FR"/>
        </w:rPr>
        <w:t>voir les conclusions n</w:t>
      </w:r>
      <w:r w:rsidR="008078D5" w:rsidRPr="008918F0">
        <w:rPr>
          <w:b/>
          <w:i/>
          <w:vertAlign w:val="superscript"/>
          <w:lang w:val="fr-FR"/>
        </w:rPr>
        <w:t>os</w:t>
      </w:r>
      <w:r w:rsidR="008078D5" w:rsidRPr="008918F0">
        <w:rPr>
          <w:b/>
          <w:i/>
          <w:lang w:val="fr-FR"/>
        </w:rPr>
        <w:t> 1 et 4 et les observations n</w:t>
      </w:r>
      <w:r w:rsidR="008078D5" w:rsidRPr="008918F0">
        <w:rPr>
          <w:b/>
          <w:i/>
          <w:vertAlign w:val="superscript"/>
          <w:lang w:val="fr-FR"/>
        </w:rPr>
        <w:t>os</w:t>
      </w:r>
      <w:r w:rsidR="008078D5" w:rsidRPr="008918F0">
        <w:rPr>
          <w:b/>
          <w:i/>
          <w:lang w:val="fr-FR"/>
        </w:rPr>
        <w:t> 1 à 22</w:t>
      </w:r>
      <w:r w:rsidRPr="008918F0">
        <w:rPr>
          <w:b/>
          <w:lang w:val="fr-FR"/>
        </w:rPr>
        <w:t>).</w:t>
      </w:r>
      <w:r w:rsidR="005C58F1" w:rsidRPr="008918F0">
        <w:rPr>
          <w:b/>
          <w:lang w:val="fr-FR"/>
        </w:rPr>
        <w:t xml:space="preserve">  </w:t>
      </w:r>
      <w:r w:rsidR="008078D5" w:rsidRPr="008918F0">
        <w:rPr>
          <w:lang w:val="fr-FR"/>
        </w:rPr>
        <w:t xml:space="preserve">Il est recommandé aux États membres, à leurs offices nationaux de </w:t>
      </w:r>
      <w:r w:rsidR="0069779E" w:rsidRPr="008918F0">
        <w:rPr>
          <w:lang w:val="fr-FR"/>
        </w:rPr>
        <w:t>propriété intellectuelle</w:t>
      </w:r>
      <w:r w:rsidR="008078D5" w:rsidRPr="008918F0">
        <w:rPr>
          <w:lang w:val="fr-FR"/>
        </w:rPr>
        <w:t xml:space="preserve"> et aux autre</w:t>
      </w:r>
      <w:r w:rsidR="003F748C" w:rsidRPr="008918F0">
        <w:rPr>
          <w:lang w:val="fr-FR"/>
        </w:rPr>
        <w:t>s</w:t>
      </w:r>
      <w:r w:rsidR="008078D5" w:rsidRPr="008918F0">
        <w:rPr>
          <w:lang w:val="fr-FR"/>
        </w:rPr>
        <w:t xml:space="preserve"> entités qui accueillent</w:t>
      </w:r>
      <w:r w:rsidR="00C959B2" w:rsidRPr="008918F0">
        <w:rPr>
          <w:lang w:val="fr-FR"/>
        </w:rPr>
        <w:t xml:space="preserve"> des CAT</w:t>
      </w:r>
      <w:r w:rsidR="008078D5" w:rsidRPr="008918F0">
        <w:rPr>
          <w:lang w:val="fr-FR"/>
        </w:rPr>
        <w:t>I et leurs réseaux d</w:t>
      </w:r>
      <w:r w:rsidR="00EC0854" w:rsidRPr="008918F0">
        <w:rPr>
          <w:lang w:val="fr-FR"/>
        </w:rPr>
        <w:t xml:space="preserve">e leur </w:t>
      </w:r>
      <w:r w:rsidR="008078D5" w:rsidRPr="008918F0">
        <w:rPr>
          <w:lang w:val="fr-FR"/>
        </w:rPr>
        <w:t>apporter le soutien nécessaire pour inciter</w:t>
      </w:r>
      <w:r w:rsidR="00C959B2" w:rsidRPr="008918F0">
        <w:rPr>
          <w:lang w:val="fr-FR"/>
        </w:rPr>
        <w:t xml:space="preserve"> les CAT</w:t>
      </w:r>
      <w:r w:rsidR="008078D5" w:rsidRPr="008918F0">
        <w:rPr>
          <w:lang w:val="fr-FR"/>
        </w:rPr>
        <w:t xml:space="preserve">I à atteindre un niveau de maturité leur permettant </w:t>
      </w:r>
      <w:r w:rsidR="00EC0854" w:rsidRPr="008918F0">
        <w:rPr>
          <w:lang w:val="fr-FR"/>
        </w:rPr>
        <w:t>de fournir</w:t>
      </w:r>
      <w:r w:rsidR="008078D5" w:rsidRPr="008918F0">
        <w:rPr>
          <w:lang w:val="fr-FR"/>
        </w:rPr>
        <w:t xml:space="preserve"> des services en matière de domaine public</w:t>
      </w:r>
      <w:r w:rsidR="00031360" w:rsidRPr="008918F0">
        <w:rPr>
          <w:lang w:val="fr-FR"/>
        </w:rPr>
        <w:t>.</w:t>
      </w:r>
    </w:p>
    <w:p w:rsidR="0006001B" w:rsidRPr="008918F0" w:rsidRDefault="0006001B" w:rsidP="00D9189B">
      <w:pPr>
        <w:rPr>
          <w:lang w:val="fr-FR"/>
        </w:rPr>
      </w:pPr>
    </w:p>
    <w:p w:rsidR="00D9189B" w:rsidRPr="008918F0" w:rsidRDefault="00D9189B" w:rsidP="00D9189B">
      <w:pPr>
        <w:rPr>
          <w:lang w:val="fr-FR"/>
        </w:rPr>
      </w:pPr>
    </w:p>
    <w:p w:rsidR="0006001B" w:rsidRPr="008918F0" w:rsidRDefault="00063CEC" w:rsidP="00E61533">
      <w:pPr>
        <w:pStyle w:val="Endofdocument-Annex"/>
        <w:rPr>
          <w:lang w:val="fr-FR"/>
        </w:rPr>
      </w:pPr>
      <w:r w:rsidRPr="008918F0">
        <w:rPr>
          <w:lang w:val="fr-FR"/>
        </w:rPr>
        <w:t>[L</w:t>
      </w:r>
      <w:r w:rsidR="00C959B2" w:rsidRPr="008918F0">
        <w:rPr>
          <w:lang w:val="fr-FR"/>
        </w:rPr>
        <w:t>’</w:t>
      </w:r>
      <w:r w:rsidRPr="008918F0">
        <w:rPr>
          <w:lang w:val="fr-FR"/>
        </w:rPr>
        <w:t>appendice I suit]</w:t>
      </w:r>
    </w:p>
    <w:p w:rsidR="0006001B" w:rsidRPr="008918F0" w:rsidRDefault="0006001B" w:rsidP="00D9189B">
      <w:pPr>
        <w:rPr>
          <w:lang w:val="fr-FR"/>
        </w:rPr>
      </w:pPr>
    </w:p>
    <w:p w:rsidR="006D2F48" w:rsidRPr="008918F0" w:rsidRDefault="006D2F48" w:rsidP="00D9189B">
      <w:pPr>
        <w:rPr>
          <w:lang w:val="fr-FR"/>
        </w:rPr>
        <w:sectPr w:rsidR="006D2F48" w:rsidRPr="008918F0" w:rsidSect="00774F00">
          <w:headerReference w:type="default" r:id="rId19"/>
          <w:headerReference w:type="first" r:id="rId20"/>
          <w:endnotePr>
            <w:numFmt w:val="decimal"/>
          </w:endnotePr>
          <w:pgSz w:w="11907" w:h="16840" w:code="9"/>
          <w:pgMar w:top="567" w:right="1134" w:bottom="1417" w:left="1417" w:header="510" w:footer="1020" w:gutter="0"/>
          <w:pgNumType w:start="1"/>
          <w:cols w:space="720"/>
          <w:titlePg/>
          <w:docGrid w:linePitch="299"/>
        </w:sectPr>
      </w:pPr>
    </w:p>
    <w:p w:rsidR="0006001B" w:rsidRPr="008918F0" w:rsidRDefault="006D2F48" w:rsidP="006D2F48">
      <w:pPr>
        <w:rPr>
          <w:b/>
          <w:lang w:val="fr-FR"/>
        </w:rPr>
      </w:pPr>
      <w:r w:rsidRPr="008918F0">
        <w:rPr>
          <w:b/>
          <w:lang w:val="fr-FR"/>
        </w:rPr>
        <w:lastRenderedPageBreak/>
        <w:t>APPENDICE I</w:t>
      </w:r>
      <w:r w:rsidR="00C959B2" w:rsidRPr="008918F0">
        <w:rPr>
          <w:b/>
          <w:lang w:val="fr-FR"/>
        </w:rPr>
        <w:t> :</w:t>
      </w:r>
      <w:r w:rsidRPr="008918F0">
        <w:rPr>
          <w:b/>
          <w:lang w:val="fr-FR"/>
        </w:rPr>
        <w:t xml:space="preserve"> PERSONNES CONSULTÉES</w:t>
      </w:r>
    </w:p>
    <w:p w:rsidR="0006001B" w:rsidRPr="008918F0" w:rsidRDefault="0006001B" w:rsidP="00FB6E4B">
      <w:pPr>
        <w:rPr>
          <w:szCs w:val="22"/>
          <w:lang w:val="fr-FR"/>
        </w:rPr>
      </w:pPr>
    </w:p>
    <w:p w:rsidR="0006001B" w:rsidRPr="008918F0" w:rsidRDefault="00063CEC" w:rsidP="00063CEC">
      <w:pPr>
        <w:rPr>
          <w:b/>
          <w:szCs w:val="22"/>
          <w:lang w:val="fr-FR"/>
        </w:rPr>
      </w:pPr>
      <w:r w:rsidRPr="008918F0">
        <w:rPr>
          <w:b/>
          <w:szCs w:val="22"/>
          <w:lang w:val="fr-FR"/>
        </w:rPr>
        <w:t>Fonctionnaires de l</w:t>
      </w:r>
      <w:r w:rsidR="00C959B2" w:rsidRPr="008918F0">
        <w:rPr>
          <w:b/>
          <w:szCs w:val="22"/>
          <w:lang w:val="fr-FR"/>
        </w:rPr>
        <w:t>’</w:t>
      </w:r>
      <w:r w:rsidRPr="008918F0">
        <w:rPr>
          <w:b/>
          <w:szCs w:val="22"/>
          <w:lang w:val="fr-FR"/>
        </w:rPr>
        <w:t>OMPI</w:t>
      </w:r>
      <w:r w:rsidR="00C959B2" w:rsidRPr="008918F0">
        <w:rPr>
          <w:b/>
          <w:szCs w:val="22"/>
          <w:lang w:val="fr-FR"/>
        </w:rPr>
        <w:t> :</w:t>
      </w:r>
    </w:p>
    <w:p w:rsidR="0006001B" w:rsidRPr="008918F0" w:rsidRDefault="0006001B" w:rsidP="00554AEE">
      <w:pPr>
        <w:rPr>
          <w:lang w:val="fr-FR"/>
        </w:rPr>
      </w:pPr>
    </w:p>
    <w:p w:rsidR="00E61533" w:rsidRPr="008918F0" w:rsidRDefault="00554AEE" w:rsidP="00E61533">
      <w:pPr>
        <w:pStyle w:val="ONUMFS"/>
        <w:numPr>
          <w:ilvl w:val="0"/>
          <w:numId w:val="0"/>
        </w:numPr>
        <w:rPr>
          <w:lang w:val="fr-FR"/>
        </w:rPr>
      </w:pPr>
      <w:r w:rsidRPr="008918F0">
        <w:rPr>
          <w:lang w:val="fr-FR"/>
        </w:rPr>
        <w:t xml:space="preserve">Maya Bachner, </w:t>
      </w:r>
      <w:r w:rsidR="008078D5" w:rsidRPr="008918F0">
        <w:rPr>
          <w:lang w:val="fr-FR"/>
        </w:rPr>
        <w:t>d</w:t>
      </w:r>
      <w:r w:rsidRPr="008918F0">
        <w:rPr>
          <w:lang w:val="fr-FR"/>
        </w:rPr>
        <w:t>irect</w:t>
      </w:r>
      <w:r w:rsidR="008078D5" w:rsidRPr="008918F0">
        <w:rPr>
          <w:lang w:val="fr-FR"/>
        </w:rPr>
        <w:t>rice</w:t>
      </w:r>
      <w:r w:rsidRPr="008918F0">
        <w:rPr>
          <w:lang w:val="fr-FR"/>
        </w:rPr>
        <w:t xml:space="preserve">, </w:t>
      </w:r>
      <w:r w:rsidR="008078D5" w:rsidRPr="008918F0">
        <w:rPr>
          <w:lang w:val="fr-FR"/>
        </w:rPr>
        <w:t>Division de l</w:t>
      </w:r>
      <w:r w:rsidR="00C959B2" w:rsidRPr="008918F0">
        <w:rPr>
          <w:lang w:val="fr-FR"/>
        </w:rPr>
        <w:t>’</w:t>
      </w:r>
      <w:r w:rsidR="008078D5" w:rsidRPr="008918F0">
        <w:rPr>
          <w:lang w:val="fr-FR"/>
        </w:rPr>
        <w:t>exécution des programmes et du budget</w:t>
      </w:r>
    </w:p>
    <w:p w:rsidR="00E61533" w:rsidRPr="008918F0" w:rsidRDefault="00554AEE" w:rsidP="00E61533">
      <w:pPr>
        <w:pStyle w:val="ONUMFS"/>
        <w:numPr>
          <w:ilvl w:val="0"/>
          <w:numId w:val="0"/>
        </w:numPr>
        <w:rPr>
          <w:lang w:val="fr-FR"/>
        </w:rPr>
      </w:pPr>
      <w:r w:rsidRPr="008918F0">
        <w:rPr>
          <w:lang w:val="fr-FR"/>
        </w:rPr>
        <w:t xml:space="preserve">Irfan Baloch, </w:t>
      </w:r>
      <w:r w:rsidR="008078D5" w:rsidRPr="008918F0">
        <w:rPr>
          <w:lang w:val="fr-FR"/>
        </w:rPr>
        <w:t>d</w:t>
      </w:r>
      <w:r w:rsidRPr="008918F0">
        <w:rPr>
          <w:lang w:val="fr-FR"/>
        </w:rPr>
        <w:t>irect</w:t>
      </w:r>
      <w:r w:rsidR="008078D5" w:rsidRPr="008918F0">
        <w:rPr>
          <w:lang w:val="fr-FR"/>
        </w:rPr>
        <w:t>eu</w:t>
      </w:r>
      <w:r w:rsidRPr="008918F0">
        <w:rPr>
          <w:lang w:val="fr-FR"/>
        </w:rPr>
        <w:t xml:space="preserve">r, </w:t>
      </w:r>
      <w:r w:rsidR="008078D5" w:rsidRPr="008918F0">
        <w:rPr>
          <w:lang w:val="fr-FR"/>
        </w:rPr>
        <w:t>Division de la coordination du Plan</w:t>
      </w:r>
      <w:r w:rsidR="00E61533" w:rsidRPr="008918F0">
        <w:rPr>
          <w:lang w:val="fr-FR"/>
        </w:rPr>
        <w:t xml:space="preserve"> d</w:t>
      </w:r>
      <w:r w:rsidR="00C959B2" w:rsidRPr="008918F0">
        <w:rPr>
          <w:lang w:val="fr-FR"/>
        </w:rPr>
        <w:t>’</w:t>
      </w:r>
      <w:r w:rsidR="00E61533" w:rsidRPr="008918F0">
        <w:rPr>
          <w:lang w:val="fr-FR"/>
        </w:rPr>
        <w:t>action pour le développement</w:t>
      </w:r>
    </w:p>
    <w:p w:rsidR="00E61533" w:rsidRPr="008918F0" w:rsidRDefault="008E3A39" w:rsidP="00E61533">
      <w:pPr>
        <w:pStyle w:val="ONUMFS"/>
        <w:numPr>
          <w:ilvl w:val="0"/>
          <w:numId w:val="0"/>
        </w:numPr>
        <w:rPr>
          <w:lang w:val="fr-FR"/>
        </w:rPr>
      </w:pPr>
      <w:r w:rsidRPr="008918F0">
        <w:rPr>
          <w:lang w:val="fr-FR"/>
        </w:rPr>
        <w:t xml:space="preserve">Alejandro Roca Campaña, </w:t>
      </w:r>
      <w:r w:rsidR="008078D5" w:rsidRPr="008918F0">
        <w:rPr>
          <w:lang w:val="fr-FR"/>
        </w:rPr>
        <w:t>directeur principal, Département de l</w:t>
      </w:r>
      <w:r w:rsidR="00C959B2" w:rsidRPr="008918F0">
        <w:rPr>
          <w:lang w:val="fr-FR"/>
        </w:rPr>
        <w:t>’</w:t>
      </w:r>
      <w:r w:rsidR="008078D5" w:rsidRPr="008918F0">
        <w:rPr>
          <w:lang w:val="fr-FR"/>
        </w:rPr>
        <w:t>infrastructure de l</w:t>
      </w:r>
      <w:r w:rsidR="00C959B2" w:rsidRPr="008918F0">
        <w:rPr>
          <w:lang w:val="fr-FR"/>
        </w:rPr>
        <w:t>’</w:t>
      </w:r>
      <w:r w:rsidR="008078D5" w:rsidRPr="008918F0">
        <w:rPr>
          <w:lang w:val="fr-FR"/>
        </w:rPr>
        <w:t>innovation et du savoir, Secteur de l</w:t>
      </w:r>
      <w:r w:rsidR="00C959B2" w:rsidRPr="008918F0">
        <w:rPr>
          <w:lang w:val="fr-FR"/>
        </w:rPr>
        <w:t>’</w:t>
      </w:r>
      <w:r w:rsidR="008078D5" w:rsidRPr="008918F0">
        <w:rPr>
          <w:lang w:val="fr-FR"/>
        </w:rPr>
        <w:t>infrastructure mondiale</w:t>
      </w:r>
    </w:p>
    <w:p w:rsidR="00E61533" w:rsidRPr="008918F0" w:rsidRDefault="008E3A39" w:rsidP="00E61533">
      <w:pPr>
        <w:pStyle w:val="ONUMFS"/>
        <w:numPr>
          <w:ilvl w:val="0"/>
          <w:numId w:val="0"/>
        </w:numPr>
        <w:rPr>
          <w:lang w:val="fr-FR"/>
        </w:rPr>
      </w:pPr>
      <w:r w:rsidRPr="008918F0">
        <w:rPr>
          <w:lang w:val="fr-FR"/>
        </w:rPr>
        <w:t xml:space="preserve">Andrew Czajkowski, </w:t>
      </w:r>
      <w:r w:rsidR="008078D5" w:rsidRPr="008918F0">
        <w:rPr>
          <w:lang w:val="fr-FR"/>
        </w:rPr>
        <w:t>directeur</w:t>
      </w:r>
      <w:r w:rsidRPr="008918F0">
        <w:rPr>
          <w:lang w:val="fr-FR"/>
        </w:rPr>
        <w:t xml:space="preserve">, </w:t>
      </w:r>
      <w:r w:rsidR="008078D5" w:rsidRPr="008918F0">
        <w:rPr>
          <w:lang w:val="fr-FR"/>
        </w:rPr>
        <w:t>Division de l</w:t>
      </w:r>
      <w:r w:rsidR="00C959B2" w:rsidRPr="008918F0">
        <w:rPr>
          <w:lang w:val="fr-FR"/>
        </w:rPr>
        <w:t>’</w:t>
      </w:r>
      <w:r w:rsidR="008078D5" w:rsidRPr="008918F0">
        <w:rPr>
          <w:lang w:val="fr-FR"/>
        </w:rPr>
        <w:t>appui à la technologie et à l</w:t>
      </w:r>
      <w:r w:rsidR="00C959B2" w:rsidRPr="008918F0">
        <w:rPr>
          <w:lang w:val="fr-FR"/>
        </w:rPr>
        <w:t>’</w:t>
      </w:r>
      <w:r w:rsidR="008078D5" w:rsidRPr="008918F0">
        <w:rPr>
          <w:lang w:val="fr-FR"/>
        </w:rPr>
        <w:t>innovation, Secteur de l</w:t>
      </w:r>
      <w:r w:rsidR="00C959B2" w:rsidRPr="008918F0">
        <w:rPr>
          <w:lang w:val="fr-FR"/>
        </w:rPr>
        <w:t>’</w:t>
      </w:r>
      <w:r w:rsidR="008078D5" w:rsidRPr="008918F0">
        <w:rPr>
          <w:lang w:val="fr-FR"/>
        </w:rPr>
        <w:t>infrastructure mondiale</w:t>
      </w:r>
    </w:p>
    <w:p w:rsidR="00E61533" w:rsidRPr="008918F0" w:rsidRDefault="008E3A39" w:rsidP="00E61533">
      <w:pPr>
        <w:pStyle w:val="ONUMFS"/>
        <w:numPr>
          <w:ilvl w:val="0"/>
          <w:numId w:val="0"/>
        </w:numPr>
        <w:rPr>
          <w:szCs w:val="22"/>
          <w:lang w:val="fr-FR"/>
        </w:rPr>
      </w:pPr>
      <w:r w:rsidRPr="008918F0">
        <w:rPr>
          <w:szCs w:val="22"/>
          <w:lang w:val="fr-FR"/>
        </w:rPr>
        <w:t xml:space="preserve">Georges Ghandour, </w:t>
      </w:r>
      <w:r w:rsidR="008078D5" w:rsidRPr="008918F0">
        <w:rPr>
          <w:szCs w:val="22"/>
          <w:lang w:val="fr-FR"/>
        </w:rPr>
        <w:t>administrateur principal de programme, Division de la coordination du Plan d</w:t>
      </w:r>
      <w:r w:rsidR="00C959B2" w:rsidRPr="008918F0">
        <w:rPr>
          <w:szCs w:val="22"/>
          <w:lang w:val="fr-FR"/>
        </w:rPr>
        <w:t>’</w:t>
      </w:r>
      <w:r w:rsidR="008078D5" w:rsidRPr="008918F0">
        <w:rPr>
          <w:szCs w:val="22"/>
          <w:lang w:val="fr-FR"/>
        </w:rPr>
        <w:t>action pour le développement, Secteur du développement</w:t>
      </w:r>
    </w:p>
    <w:p w:rsidR="00E61533" w:rsidRPr="008918F0" w:rsidRDefault="00554AEE" w:rsidP="00E61533">
      <w:pPr>
        <w:pStyle w:val="ONUMFS"/>
        <w:numPr>
          <w:ilvl w:val="0"/>
          <w:numId w:val="0"/>
        </w:numPr>
        <w:rPr>
          <w:lang w:val="fr-FR"/>
        </w:rPr>
      </w:pPr>
      <w:r w:rsidRPr="008918F0">
        <w:rPr>
          <w:lang w:val="fr-FR"/>
        </w:rPr>
        <w:t xml:space="preserve">Steven Kelly, </w:t>
      </w:r>
      <w:r w:rsidR="008078D5" w:rsidRPr="008918F0">
        <w:rPr>
          <w:lang w:val="fr-FR"/>
        </w:rPr>
        <w:t>rédacteur de contenu numérique, Section d</w:t>
      </w:r>
      <w:r w:rsidR="00A7265F" w:rsidRPr="008918F0">
        <w:rPr>
          <w:lang w:val="fr-FR"/>
        </w:rPr>
        <w:t>es communications sur le Web</w:t>
      </w:r>
    </w:p>
    <w:p w:rsidR="00E61533" w:rsidRPr="008918F0" w:rsidRDefault="00554AEE" w:rsidP="00E61533">
      <w:pPr>
        <w:pStyle w:val="ONUMFS"/>
        <w:numPr>
          <w:ilvl w:val="0"/>
          <w:numId w:val="0"/>
        </w:numPr>
        <w:rPr>
          <w:lang w:val="fr-FR"/>
        </w:rPr>
      </w:pPr>
      <w:r w:rsidRPr="008918F0">
        <w:rPr>
          <w:lang w:val="fr-FR"/>
        </w:rPr>
        <w:t xml:space="preserve">Irene Kitsara, </w:t>
      </w:r>
      <w:r w:rsidR="00A7265F" w:rsidRPr="008918F0">
        <w:rPr>
          <w:lang w:val="fr-FR"/>
        </w:rPr>
        <w:t>chargée d</w:t>
      </w:r>
      <w:r w:rsidR="00C959B2" w:rsidRPr="008918F0">
        <w:rPr>
          <w:lang w:val="fr-FR"/>
        </w:rPr>
        <w:t>’</w:t>
      </w:r>
      <w:r w:rsidR="00A7265F" w:rsidRPr="008918F0">
        <w:rPr>
          <w:lang w:val="fr-FR"/>
        </w:rPr>
        <w:t xml:space="preserve">information sur la </w:t>
      </w:r>
      <w:r w:rsidR="0069779E" w:rsidRPr="008918F0">
        <w:rPr>
          <w:lang w:val="fr-FR"/>
        </w:rPr>
        <w:t>propriété intellectuelle</w:t>
      </w:r>
      <w:r w:rsidRPr="008918F0">
        <w:rPr>
          <w:lang w:val="fr-FR"/>
        </w:rPr>
        <w:t xml:space="preserve">, </w:t>
      </w:r>
      <w:r w:rsidR="00A7265F" w:rsidRPr="008918F0">
        <w:rPr>
          <w:lang w:val="fr-FR"/>
        </w:rPr>
        <w:t>Division de l</w:t>
      </w:r>
      <w:r w:rsidR="00C959B2" w:rsidRPr="008918F0">
        <w:rPr>
          <w:lang w:val="fr-FR"/>
        </w:rPr>
        <w:t>’</w:t>
      </w:r>
      <w:r w:rsidR="00A7265F" w:rsidRPr="008918F0">
        <w:rPr>
          <w:lang w:val="fr-FR"/>
        </w:rPr>
        <w:t>appui à la technologie et à l</w:t>
      </w:r>
      <w:r w:rsidR="00C959B2" w:rsidRPr="008918F0">
        <w:rPr>
          <w:lang w:val="fr-FR"/>
        </w:rPr>
        <w:t>’</w:t>
      </w:r>
      <w:r w:rsidR="00A7265F" w:rsidRPr="008918F0">
        <w:rPr>
          <w:lang w:val="fr-FR"/>
        </w:rPr>
        <w:t>innovation</w:t>
      </w:r>
    </w:p>
    <w:p w:rsidR="00E61533" w:rsidRPr="008918F0" w:rsidRDefault="00554AEE" w:rsidP="00E61533">
      <w:pPr>
        <w:pStyle w:val="ONUMFS"/>
        <w:numPr>
          <w:ilvl w:val="0"/>
          <w:numId w:val="0"/>
        </w:numPr>
        <w:rPr>
          <w:lang w:val="fr-FR"/>
        </w:rPr>
      </w:pPr>
      <w:r w:rsidRPr="008918F0">
        <w:rPr>
          <w:lang w:val="fr-FR"/>
        </w:rPr>
        <w:t xml:space="preserve">Mario Matus, </w:t>
      </w:r>
      <w:r w:rsidR="00A7265F" w:rsidRPr="008918F0">
        <w:rPr>
          <w:lang w:val="fr-FR"/>
        </w:rPr>
        <w:t>vice</w:t>
      </w:r>
      <w:r w:rsidR="00AB7A2D">
        <w:rPr>
          <w:lang w:val="fr-FR"/>
        </w:rPr>
        <w:noBreakHyphen/>
      </w:r>
      <w:r w:rsidR="00A7265F" w:rsidRPr="008918F0">
        <w:rPr>
          <w:lang w:val="fr-FR"/>
        </w:rPr>
        <w:t>directeur général, Secteur du développement</w:t>
      </w:r>
    </w:p>
    <w:p w:rsidR="00E61533" w:rsidRPr="008918F0" w:rsidRDefault="00554AEE" w:rsidP="00E61533">
      <w:pPr>
        <w:pStyle w:val="ONUMFS"/>
        <w:numPr>
          <w:ilvl w:val="0"/>
          <w:numId w:val="0"/>
        </w:numPr>
        <w:rPr>
          <w:lang w:val="fr-FR"/>
        </w:rPr>
      </w:pPr>
      <w:r w:rsidRPr="008918F0">
        <w:rPr>
          <w:lang w:val="fr-FR"/>
        </w:rPr>
        <w:t xml:space="preserve">Nathalie Montillot, </w:t>
      </w:r>
      <w:r w:rsidR="00A7265F" w:rsidRPr="008918F0">
        <w:rPr>
          <w:lang w:val="fr-FR"/>
        </w:rPr>
        <w:t>administratrice de programme, Division de l</w:t>
      </w:r>
      <w:r w:rsidR="00C959B2" w:rsidRPr="008918F0">
        <w:rPr>
          <w:lang w:val="fr-FR"/>
        </w:rPr>
        <w:t>’</w:t>
      </w:r>
      <w:r w:rsidR="00A7265F" w:rsidRPr="008918F0">
        <w:rPr>
          <w:lang w:val="fr-FR"/>
        </w:rPr>
        <w:t>appui à la technologie et à l</w:t>
      </w:r>
      <w:r w:rsidR="00C959B2" w:rsidRPr="008918F0">
        <w:rPr>
          <w:lang w:val="fr-FR"/>
        </w:rPr>
        <w:t>’</w:t>
      </w:r>
      <w:r w:rsidR="00A7265F" w:rsidRPr="008918F0">
        <w:rPr>
          <w:lang w:val="fr-FR"/>
        </w:rPr>
        <w:t>innovation</w:t>
      </w:r>
    </w:p>
    <w:p w:rsidR="00E61533" w:rsidRPr="008918F0" w:rsidRDefault="00554AEE" w:rsidP="00E61533">
      <w:pPr>
        <w:pStyle w:val="ONUMFS"/>
        <w:numPr>
          <w:ilvl w:val="0"/>
          <w:numId w:val="0"/>
        </w:numPr>
        <w:rPr>
          <w:lang w:val="fr-FR"/>
        </w:rPr>
      </w:pPr>
      <w:r w:rsidRPr="008918F0">
        <w:rPr>
          <w:lang w:val="fr-FR"/>
        </w:rPr>
        <w:t xml:space="preserve">Alex Riechel, </w:t>
      </w:r>
      <w:r w:rsidR="00A7265F" w:rsidRPr="008918F0">
        <w:rPr>
          <w:lang w:val="fr-FR"/>
        </w:rPr>
        <w:t>chargé d</w:t>
      </w:r>
      <w:r w:rsidR="00C959B2" w:rsidRPr="008918F0">
        <w:rPr>
          <w:lang w:val="fr-FR"/>
        </w:rPr>
        <w:t>’</w:t>
      </w:r>
      <w:r w:rsidR="00A7265F" w:rsidRPr="008918F0">
        <w:rPr>
          <w:lang w:val="fr-FR"/>
        </w:rPr>
        <w:t xml:space="preserve">information sur la </w:t>
      </w:r>
      <w:r w:rsidR="0069779E" w:rsidRPr="008918F0">
        <w:rPr>
          <w:lang w:val="fr-FR"/>
        </w:rPr>
        <w:t>propriété intellectuelle</w:t>
      </w:r>
      <w:r w:rsidR="00A7265F" w:rsidRPr="008918F0">
        <w:rPr>
          <w:lang w:val="fr-FR"/>
        </w:rPr>
        <w:t>, Division de l</w:t>
      </w:r>
      <w:r w:rsidR="00C959B2" w:rsidRPr="008918F0">
        <w:rPr>
          <w:lang w:val="fr-FR"/>
        </w:rPr>
        <w:t>’</w:t>
      </w:r>
      <w:r w:rsidR="00A7265F" w:rsidRPr="008918F0">
        <w:rPr>
          <w:lang w:val="fr-FR"/>
        </w:rPr>
        <w:t>appui à la technologie et à l</w:t>
      </w:r>
      <w:r w:rsidR="00C959B2" w:rsidRPr="008918F0">
        <w:rPr>
          <w:lang w:val="fr-FR"/>
        </w:rPr>
        <w:t>’</w:t>
      </w:r>
      <w:r w:rsidR="00A7265F" w:rsidRPr="008918F0">
        <w:rPr>
          <w:lang w:val="fr-FR"/>
        </w:rPr>
        <w:t>innovation</w:t>
      </w:r>
    </w:p>
    <w:p w:rsidR="0006001B" w:rsidRPr="008918F0" w:rsidRDefault="00554AEE" w:rsidP="00E61533">
      <w:pPr>
        <w:pStyle w:val="ONUMFS"/>
        <w:numPr>
          <w:ilvl w:val="0"/>
          <w:numId w:val="0"/>
        </w:numPr>
        <w:rPr>
          <w:lang w:val="fr-FR"/>
        </w:rPr>
      </w:pPr>
      <w:r w:rsidRPr="008918F0">
        <w:rPr>
          <w:lang w:val="fr-FR"/>
        </w:rPr>
        <w:t xml:space="preserve">Vipin Saroha, </w:t>
      </w:r>
      <w:r w:rsidR="00A7265F" w:rsidRPr="008918F0">
        <w:rPr>
          <w:lang w:val="fr-FR"/>
        </w:rPr>
        <w:t>spécialiste adjoint de la gestion de l</w:t>
      </w:r>
      <w:r w:rsidR="00C959B2" w:rsidRPr="008918F0">
        <w:rPr>
          <w:lang w:val="fr-FR"/>
        </w:rPr>
        <w:t>’</w:t>
      </w:r>
      <w:r w:rsidR="00A7265F" w:rsidRPr="008918F0">
        <w:rPr>
          <w:lang w:val="fr-FR"/>
        </w:rPr>
        <w:t>information, Section des partenariats, des plateformes et des outils</w:t>
      </w:r>
    </w:p>
    <w:p w:rsidR="0006001B" w:rsidRPr="008918F0" w:rsidRDefault="0006001B" w:rsidP="00FB6E4B">
      <w:pPr>
        <w:rPr>
          <w:szCs w:val="22"/>
          <w:lang w:val="fr-FR"/>
        </w:rPr>
      </w:pPr>
    </w:p>
    <w:p w:rsidR="0006001B" w:rsidRPr="008918F0" w:rsidRDefault="00980F4A" w:rsidP="00FB6E4B">
      <w:pPr>
        <w:rPr>
          <w:b/>
          <w:szCs w:val="22"/>
          <w:lang w:val="fr-FR"/>
        </w:rPr>
      </w:pPr>
      <w:r w:rsidRPr="008918F0">
        <w:rPr>
          <w:b/>
          <w:szCs w:val="22"/>
          <w:lang w:val="fr-FR"/>
        </w:rPr>
        <w:t>Parties prenantes</w:t>
      </w:r>
      <w:r w:rsidR="00A7265F" w:rsidRPr="008918F0">
        <w:rPr>
          <w:b/>
          <w:szCs w:val="22"/>
          <w:lang w:val="fr-FR"/>
        </w:rPr>
        <w:t xml:space="preserve"> externes</w:t>
      </w:r>
      <w:r w:rsidR="00C959B2" w:rsidRPr="008918F0">
        <w:rPr>
          <w:b/>
          <w:szCs w:val="22"/>
          <w:lang w:val="fr-FR"/>
        </w:rPr>
        <w:t> :</w:t>
      </w:r>
    </w:p>
    <w:p w:rsidR="006D2F48" w:rsidRPr="008918F0" w:rsidRDefault="006D2F48" w:rsidP="00554AEE">
      <w:pPr>
        <w:rPr>
          <w:szCs w:val="22"/>
          <w:lang w:val="fr-FR"/>
        </w:rPr>
      </w:pPr>
    </w:p>
    <w:p w:rsidR="00E61533" w:rsidRPr="008918F0" w:rsidRDefault="00554AEE" w:rsidP="00E61533">
      <w:pPr>
        <w:pStyle w:val="ONUMFS"/>
        <w:numPr>
          <w:ilvl w:val="0"/>
          <w:numId w:val="0"/>
        </w:numPr>
        <w:rPr>
          <w:lang w:val="fr-FR"/>
        </w:rPr>
      </w:pPr>
      <w:r w:rsidRPr="008918F0">
        <w:rPr>
          <w:lang w:val="fr-FR"/>
        </w:rPr>
        <w:t xml:space="preserve">Komal Bajracharya, </w:t>
      </w:r>
      <w:r w:rsidR="00A7265F" w:rsidRPr="008918F0">
        <w:rPr>
          <w:lang w:val="fr-FR"/>
        </w:rPr>
        <w:t>chercheur associé</w:t>
      </w:r>
      <w:r w:rsidRPr="008918F0">
        <w:rPr>
          <w:lang w:val="fr-FR"/>
        </w:rPr>
        <w:t>, Kellogg School of Management, Chicago</w:t>
      </w:r>
      <w:r w:rsidR="00E61533" w:rsidRPr="008918F0">
        <w:rPr>
          <w:lang w:val="fr-FR"/>
        </w:rPr>
        <w:t xml:space="preserve"> (</w:t>
      </w:r>
      <w:r w:rsidR="00A7265F" w:rsidRPr="008918F0">
        <w:rPr>
          <w:lang w:val="fr-FR"/>
        </w:rPr>
        <w:t>États</w:t>
      </w:r>
      <w:r w:rsidR="00AB7A2D">
        <w:rPr>
          <w:lang w:val="fr-FR"/>
        </w:rPr>
        <w:noBreakHyphen/>
      </w:r>
      <w:r w:rsidR="00A7265F" w:rsidRPr="008918F0">
        <w:rPr>
          <w:lang w:val="fr-FR"/>
        </w:rPr>
        <w:t>Unis d</w:t>
      </w:r>
      <w:r w:rsidR="00C959B2" w:rsidRPr="008918F0">
        <w:rPr>
          <w:lang w:val="fr-FR"/>
        </w:rPr>
        <w:t>’</w:t>
      </w:r>
      <w:r w:rsidR="00A7265F" w:rsidRPr="008918F0">
        <w:rPr>
          <w:lang w:val="fr-FR"/>
        </w:rPr>
        <w:t>Amérique</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 xml:space="preserve">Noureddine Boukharouaa, </w:t>
      </w:r>
      <w:r w:rsidR="00A7265F" w:rsidRPr="008918F0">
        <w:rPr>
          <w:lang w:val="fr-FR"/>
        </w:rPr>
        <w:t>point de contact CATI, Office marocain de la propriété industrielle et commerciale (OMPIC), Casablanca</w:t>
      </w:r>
      <w:r w:rsidR="00E61533" w:rsidRPr="008918F0">
        <w:rPr>
          <w:lang w:val="fr-FR"/>
        </w:rPr>
        <w:t xml:space="preserve"> (</w:t>
      </w:r>
      <w:r w:rsidR="00A7265F" w:rsidRPr="008918F0">
        <w:rPr>
          <w:lang w:val="fr-FR"/>
        </w:rPr>
        <w:t>Maroc</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 xml:space="preserve">Mercedes Cullen, </w:t>
      </w:r>
      <w:r w:rsidR="00A7265F" w:rsidRPr="008918F0">
        <w:rPr>
          <w:lang w:val="fr-FR"/>
        </w:rPr>
        <w:t>cheffe des relations internationales et institutionnelles, Institut national de la propriété industrielle (INPI), Buenos Aires</w:t>
      </w:r>
      <w:r w:rsidR="00E61533" w:rsidRPr="008918F0">
        <w:rPr>
          <w:lang w:val="fr-FR"/>
        </w:rPr>
        <w:t xml:space="preserve"> (</w:t>
      </w:r>
      <w:r w:rsidR="00A7265F" w:rsidRPr="008918F0">
        <w:rPr>
          <w:lang w:val="fr-FR"/>
        </w:rPr>
        <w:t>Argentine</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 xml:space="preserve">Cynthia Gallagher, Patent Information Users Group (PIUG), </w:t>
      </w:r>
      <w:r w:rsidR="00F8485A" w:rsidRPr="008918F0">
        <w:rPr>
          <w:lang w:val="fr-FR"/>
        </w:rPr>
        <w:t>cheffe de projet, projet d</w:t>
      </w:r>
      <w:r w:rsidR="00C959B2" w:rsidRPr="008918F0">
        <w:rPr>
          <w:lang w:val="fr-FR"/>
        </w:rPr>
        <w:t>’</w:t>
      </w:r>
      <w:r w:rsidR="00F8485A" w:rsidRPr="008918F0">
        <w:rPr>
          <w:lang w:val="fr-FR"/>
        </w:rPr>
        <w:t>accès aux registres de brevets</w:t>
      </w:r>
      <w:r w:rsidR="00C959B2" w:rsidRPr="008918F0">
        <w:rPr>
          <w:lang w:val="fr-FR"/>
        </w:rPr>
        <w:t xml:space="preserve"> du PIU</w:t>
      </w:r>
      <w:r w:rsidR="00F8485A" w:rsidRPr="008918F0">
        <w:rPr>
          <w:lang w:val="fr-FR"/>
        </w:rPr>
        <w:t>G, Pfizer</w:t>
      </w:r>
    </w:p>
    <w:p w:rsidR="00E61533" w:rsidRPr="008918F0" w:rsidRDefault="00554AEE" w:rsidP="00E61533">
      <w:pPr>
        <w:pStyle w:val="ONUMFS"/>
        <w:numPr>
          <w:ilvl w:val="0"/>
          <w:numId w:val="0"/>
        </w:numPr>
        <w:rPr>
          <w:lang w:val="fr-FR"/>
        </w:rPr>
      </w:pPr>
      <w:r w:rsidRPr="008918F0">
        <w:rPr>
          <w:lang w:val="fr-FR"/>
        </w:rPr>
        <w:t xml:space="preserve">Paul Gerhard, </w:t>
      </w:r>
      <w:r w:rsidR="00F8485A" w:rsidRPr="008918F0">
        <w:rPr>
          <w:lang w:val="fr-FR"/>
        </w:rPr>
        <w:t>conseiller en c</w:t>
      </w:r>
      <w:r w:rsidRPr="008918F0">
        <w:rPr>
          <w:lang w:val="fr-FR"/>
        </w:rPr>
        <w:t xml:space="preserve">ommunications, </w:t>
      </w:r>
      <w:r w:rsidR="00F8485A" w:rsidRPr="008918F0">
        <w:rPr>
          <w:lang w:val="fr-FR"/>
        </w:rPr>
        <w:t>Genève</w:t>
      </w:r>
      <w:r w:rsidR="00E61533" w:rsidRPr="008918F0">
        <w:rPr>
          <w:lang w:val="fr-FR"/>
        </w:rPr>
        <w:t xml:space="preserve"> (</w:t>
      </w:r>
      <w:r w:rsidR="00F8485A" w:rsidRPr="008918F0">
        <w:rPr>
          <w:lang w:val="fr-FR"/>
        </w:rPr>
        <w:t>Suisse</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 xml:space="preserve">Lungelwa Kula, </w:t>
      </w:r>
      <w:r w:rsidR="00F8485A" w:rsidRPr="008918F0">
        <w:rPr>
          <w:lang w:val="fr-FR"/>
        </w:rPr>
        <w:t>directrice adjointe</w:t>
      </w:r>
      <w:r w:rsidRPr="008918F0">
        <w:rPr>
          <w:lang w:val="fr-FR"/>
        </w:rPr>
        <w:t>, NIPMO, Pretoria</w:t>
      </w:r>
      <w:r w:rsidR="00E61533" w:rsidRPr="008918F0">
        <w:rPr>
          <w:lang w:val="fr-FR"/>
        </w:rPr>
        <w:t xml:space="preserve"> (</w:t>
      </w:r>
      <w:r w:rsidR="00F8485A" w:rsidRPr="008918F0">
        <w:rPr>
          <w:lang w:val="fr-FR"/>
        </w:rPr>
        <w:t>Afrique du Sud</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 xml:space="preserve">Guido Moradei, </w:t>
      </w:r>
      <w:r w:rsidR="00F8485A" w:rsidRPr="008918F0">
        <w:rPr>
          <w:lang w:val="fr-FR"/>
        </w:rPr>
        <w:t>spécialiste de l</w:t>
      </w:r>
      <w:r w:rsidR="00C959B2" w:rsidRPr="008918F0">
        <w:rPr>
          <w:lang w:val="fr-FR"/>
        </w:rPr>
        <w:t>’</w:t>
      </w:r>
      <w:r w:rsidR="00F8485A" w:rsidRPr="008918F0">
        <w:rPr>
          <w:lang w:val="fr-FR"/>
        </w:rPr>
        <w:t xml:space="preserve">information sur les brevets, Italie, membre du Bureau de la </w:t>
      </w:r>
      <w:r w:rsidRPr="008918F0">
        <w:rPr>
          <w:lang w:val="fr-FR"/>
        </w:rPr>
        <w:t xml:space="preserve">Confederacy of European Patent Information User Groups (CEPIUG), </w:t>
      </w:r>
      <w:r w:rsidR="00F8485A" w:rsidRPr="008918F0">
        <w:rPr>
          <w:lang w:val="fr-FR"/>
        </w:rPr>
        <w:t>et membre de l</w:t>
      </w:r>
      <w:r w:rsidR="00C959B2" w:rsidRPr="008918F0">
        <w:rPr>
          <w:lang w:val="fr-FR"/>
        </w:rPr>
        <w:t>’</w:t>
      </w:r>
      <w:r w:rsidR="00F8485A" w:rsidRPr="008918F0">
        <w:rPr>
          <w:lang w:val="fr-FR"/>
        </w:rPr>
        <w:t>Association italienne des utilisateurs d</w:t>
      </w:r>
      <w:r w:rsidR="00C959B2" w:rsidRPr="008918F0">
        <w:rPr>
          <w:lang w:val="fr-FR"/>
        </w:rPr>
        <w:t>’</w:t>
      </w:r>
      <w:r w:rsidR="00F8485A" w:rsidRPr="008918F0">
        <w:rPr>
          <w:lang w:val="fr-FR"/>
        </w:rPr>
        <w:t>informations sur les brevets (AIDB)</w:t>
      </w:r>
    </w:p>
    <w:p w:rsidR="00E61533" w:rsidRPr="008918F0" w:rsidRDefault="00554AEE" w:rsidP="00E61533">
      <w:pPr>
        <w:pStyle w:val="ONUMFS"/>
        <w:numPr>
          <w:ilvl w:val="0"/>
          <w:numId w:val="0"/>
        </w:numPr>
        <w:rPr>
          <w:lang w:val="fr-FR"/>
        </w:rPr>
      </w:pPr>
      <w:r w:rsidRPr="008918F0">
        <w:rPr>
          <w:lang w:val="fr-FR"/>
        </w:rPr>
        <w:t xml:space="preserve">Pablo Paz, </w:t>
      </w:r>
      <w:r w:rsidR="00F8485A" w:rsidRPr="008918F0">
        <w:rPr>
          <w:lang w:val="fr-FR"/>
        </w:rPr>
        <w:t>c</w:t>
      </w:r>
      <w:r w:rsidRPr="008918F0">
        <w:rPr>
          <w:lang w:val="fr-FR"/>
        </w:rPr>
        <w:t>on</w:t>
      </w:r>
      <w:r w:rsidR="00F8485A" w:rsidRPr="008918F0">
        <w:rPr>
          <w:lang w:val="fr-FR"/>
        </w:rPr>
        <w:t>sultant, Buenos Aires</w:t>
      </w:r>
      <w:r w:rsidR="00E61533" w:rsidRPr="008918F0">
        <w:rPr>
          <w:lang w:val="fr-FR"/>
        </w:rPr>
        <w:t xml:space="preserve"> (</w:t>
      </w:r>
      <w:r w:rsidR="00F8485A" w:rsidRPr="008918F0">
        <w:rPr>
          <w:lang w:val="fr-FR"/>
        </w:rPr>
        <w:t>Argentine</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lastRenderedPageBreak/>
        <w:t xml:space="preserve">Donna Perdue, </w:t>
      </w:r>
      <w:r w:rsidR="00F8485A" w:rsidRPr="008918F0">
        <w:rPr>
          <w:lang w:val="fr-FR"/>
        </w:rPr>
        <w:t>c</w:t>
      </w:r>
      <w:r w:rsidRPr="008918F0">
        <w:rPr>
          <w:lang w:val="fr-FR"/>
        </w:rPr>
        <w:t>onsultant</w:t>
      </w:r>
      <w:r w:rsidR="00F8485A" w:rsidRPr="008918F0">
        <w:rPr>
          <w:lang w:val="fr-FR"/>
        </w:rPr>
        <w:t>e</w:t>
      </w:r>
      <w:r w:rsidRPr="008918F0">
        <w:rPr>
          <w:lang w:val="fr-FR"/>
        </w:rPr>
        <w:t>, San Diego</w:t>
      </w:r>
      <w:r w:rsidR="00E61533" w:rsidRPr="008918F0">
        <w:rPr>
          <w:lang w:val="fr-FR"/>
        </w:rPr>
        <w:t xml:space="preserve"> (</w:t>
      </w:r>
      <w:r w:rsidR="00F8485A" w:rsidRPr="008918F0">
        <w:rPr>
          <w:lang w:val="fr-FR"/>
        </w:rPr>
        <w:t>États</w:t>
      </w:r>
      <w:r w:rsidR="00AB7A2D">
        <w:rPr>
          <w:lang w:val="fr-FR"/>
        </w:rPr>
        <w:noBreakHyphen/>
      </w:r>
      <w:r w:rsidR="00F8485A" w:rsidRPr="008918F0">
        <w:rPr>
          <w:lang w:val="fr-FR"/>
        </w:rPr>
        <w:t>Unis d</w:t>
      </w:r>
      <w:r w:rsidR="00C959B2" w:rsidRPr="008918F0">
        <w:rPr>
          <w:lang w:val="fr-FR"/>
        </w:rPr>
        <w:t>’</w:t>
      </w:r>
      <w:r w:rsidR="00F8485A" w:rsidRPr="008918F0">
        <w:rPr>
          <w:lang w:val="fr-FR"/>
        </w:rPr>
        <w:t>Amérique</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Liliana Restrepo Gómez, Centro de Información Tecnológica y Apoyo a la Gestión de la Propiedad Industrial (CIGEPI), Superintendencia de Industria y Comercio, Bogota</w:t>
      </w:r>
      <w:r w:rsidR="00E61533" w:rsidRPr="008918F0">
        <w:rPr>
          <w:lang w:val="fr-FR"/>
        </w:rPr>
        <w:t xml:space="preserve"> (</w:t>
      </w:r>
      <w:r w:rsidRPr="008918F0">
        <w:rPr>
          <w:lang w:val="fr-FR"/>
        </w:rPr>
        <w:t>Colombi</w:t>
      </w:r>
      <w:r w:rsidR="00F8485A" w:rsidRPr="008918F0">
        <w:rPr>
          <w:lang w:val="fr-FR"/>
        </w:rPr>
        <w:t>e</w:t>
      </w:r>
      <w:r w:rsidR="00E61533" w:rsidRPr="008918F0">
        <w:rPr>
          <w:lang w:val="fr-FR"/>
        </w:rPr>
        <w:t>)</w:t>
      </w:r>
    </w:p>
    <w:p w:rsidR="00E61533" w:rsidRPr="008918F0" w:rsidRDefault="00554AEE" w:rsidP="00E61533">
      <w:pPr>
        <w:pStyle w:val="ONUMFS"/>
        <w:numPr>
          <w:ilvl w:val="0"/>
          <w:numId w:val="0"/>
        </w:numPr>
        <w:rPr>
          <w:lang w:val="fr-FR"/>
        </w:rPr>
      </w:pPr>
      <w:r w:rsidRPr="008918F0">
        <w:rPr>
          <w:lang w:val="fr-FR"/>
        </w:rPr>
        <w:t xml:space="preserve">Adrian Sablan, </w:t>
      </w:r>
      <w:r w:rsidR="00F8485A" w:rsidRPr="008918F0">
        <w:rPr>
          <w:lang w:val="fr-FR"/>
        </w:rPr>
        <w:t>coordinateur, IPOPHL, Manille</w:t>
      </w:r>
      <w:r w:rsidR="00E61533" w:rsidRPr="008918F0">
        <w:rPr>
          <w:lang w:val="fr-FR"/>
        </w:rPr>
        <w:t xml:space="preserve"> (Philippines)</w:t>
      </w:r>
    </w:p>
    <w:p w:rsidR="00E61533" w:rsidRPr="008918F0" w:rsidRDefault="00554AEE" w:rsidP="00E61533">
      <w:pPr>
        <w:pStyle w:val="ONUMFS"/>
        <w:numPr>
          <w:ilvl w:val="0"/>
          <w:numId w:val="0"/>
        </w:numPr>
        <w:rPr>
          <w:lang w:val="fr-FR"/>
        </w:rPr>
      </w:pPr>
      <w:r w:rsidRPr="008918F0">
        <w:rPr>
          <w:lang w:val="fr-FR"/>
        </w:rPr>
        <w:t xml:space="preserve">Chyreene Truluck, </w:t>
      </w:r>
      <w:r w:rsidR="00F8485A" w:rsidRPr="008918F0">
        <w:rPr>
          <w:lang w:val="fr-FR"/>
        </w:rPr>
        <w:t>associée, Spoor &amp; Fisher</w:t>
      </w:r>
      <w:r w:rsidR="00E61533" w:rsidRPr="008918F0">
        <w:rPr>
          <w:lang w:val="fr-FR"/>
        </w:rPr>
        <w:t xml:space="preserve"> (</w:t>
      </w:r>
      <w:r w:rsidR="00F8485A" w:rsidRPr="008918F0">
        <w:rPr>
          <w:lang w:val="fr-FR"/>
        </w:rPr>
        <w:t>Afrique du Sud</w:t>
      </w:r>
      <w:r w:rsidR="00E61533" w:rsidRPr="008918F0">
        <w:rPr>
          <w:lang w:val="fr-FR"/>
        </w:rPr>
        <w:t>)</w:t>
      </w:r>
    </w:p>
    <w:p w:rsidR="0006001B" w:rsidRPr="008918F0" w:rsidRDefault="00554AEE" w:rsidP="00E61533">
      <w:pPr>
        <w:pStyle w:val="ONUMFS"/>
        <w:numPr>
          <w:ilvl w:val="0"/>
          <w:numId w:val="0"/>
        </w:numPr>
        <w:rPr>
          <w:lang w:val="fr-FR"/>
        </w:rPr>
      </w:pPr>
      <w:r w:rsidRPr="008918F0">
        <w:rPr>
          <w:lang w:val="fr-FR"/>
        </w:rPr>
        <w:t xml:space="preserve">Vassilios Vlahakis, </w:t>
      </w:r>
      <w:r w:rsidR="00F8485A" w:rsidRPr="008918F0">
        <w:rPr>
          <w:lang w:val="fr-FR"/>
        </w:rPr>
        <w:t>consultant, Athènes</w:t>
      </w:r>
      <w:r w:rsidR="00E61533" w:rsidRPr="008918F0">
        <w:rPr>
          <w:lang w:val="fr-FR"/>
        </w:rPr>
        <w:t xml:space="preserve"> (</w:t>
      </w:r>
      <w:r w:rsidR="00F8485A" w:rsidRPr="008918F0">
        <w:rPr>
          <w:lang w:val="fr-FR"/>
        </w:rPr>
        <w:t>Grèce</w:t>
      </w:r>
      <w:r w:rsidR="00E61533" w:rsidRPr="008918F0">
        <w:rPr>
          <w:lang w:val="fr-FR"/>
        </w:rPr>
        <w:t>)</w:t>
      </w:r>
    </w:p>
    <w:p w:rsidR="0006001B" w:rsidRPr="008918F0" w:rsidRDefault="0006001B" w:rsidP="00554AEE">
      <w:pPr>
        <w:rPr>
          <w:szCs w:val="22"/>
          <w:lang w:val="fr-FR"/>
        </w:rPr>
      </w:pPr>
    </w:p>
    <w:p w:rsidR="0006001B" w:rsidRPr="008918F0" w:rsidRDefault="0006001B" w:rsidP="00FB6E4B">
      <w:pPr>
        <w:rPr>
          <w:szCs w:val="22"/>
          <w:lang w:val="fr-FR"/>
        </w:rPr>
      </w:pPr>
    </w:p>
    <w:p w:rsidR="0006001B" w:rsidRPr="008918F0" w:rsidRDefault="00063CEC" w:rsidP="00E61533">
      <w:pPr>
        <w:pStyle w:val="Endofdocument-Annex"/>
        <w:rPr>
          <w:lang w:val="fr-FR"/>
        </w:rPr>
      </w:pPr>
      <w:r w:rsidRPr="008918F0">
        <w:rPr>
          <w:lang w:val="fr-FR"/>
        </w:rPr>
        <w:t>[L</w:t>
      </w:r>
      <w:r w:rsidR="00C959B2" w:rsidRPr="008918F0">
        <w:rPr>
          <w:lang w:val="fr-FR"/>
        </w:rPr>
        <w:t>’</w:t>
      </w:r>
      <w:r w:rsidRPr="008918F0">
        <w:rPr>
          <w:lang w:val="fr-FR"/>
        </w:rPr>
        <w:t>appendice II suit]</w:t>
      </w:r>
    </w:p>
    <w:p w:rsidR="0006001B" w:rsidRPr="008918F0" w:rsidRDefault="0006001B" w:rsidP="00915F20">
      <w:pPr>
        <w:rPr>
          <w:lang w:val="fr-FR" w:eastAsia="en-US"/>
        </w:rPr>
      </w:pPr>
    </w:p>
    <w:p w:rsidR="00886318" w:rsidRPr="008918F0" w:rsidRDefault="00886318" w:rsidP="00886318">
      <w:pPr>
        <w:rPr>
          <w:b/>
          <w:lang w:val="fr-FR"/>
        </w:rPr>
        <w:sectPr w:rsidR="00886318" w:rsidRPr="008918F0" w:rsidSect="00774F00">
          <w:headerReference w:type="default" r:id="rId21"/>
          <w:headerReference w:type="first" r:id="rId22"/>
          <w:endnotePr>
            <w:numFmt w:val="decimal"/>
          </w:endnotePr>
          <w:pgSz w:w="11907" w:h="16840" w:code="9"/>
          <w:pgMar w:top="567" w:right="1134" w:bottom="1417" w:left="1417" w:header="510" w:footer="1020" w:gutter="0"/>
          <w:pgNumType w:start="1"/>
          <w:cols w:space="720"/>
          <w:titlePg/>
          <w:docGrid w:linePitch="299"/>
        </w:sectPr>
      </w:pPr>
    </w:p>
    <w:p w:rsidR="0006001B" w:rsidRPr="008918F0" w:rsidRDefault="00063CEC" w:rsidP="00886318">
      <w:pPr>
        <w:rPr>
          <w:b/>
          <w:caps/>
          <w:lang w:val="fr-FR"/>
        </w:rPr>
      </w:pPr>
      <w:r w:rsidRPr="008918F0">
        <w:rPr>
          <w:b/>
          <w:caps/>
          <w:lang w:val="fr-FR"/>
        </w:rPr>
        <w:lastRenderedPageBreak/>
        <w:t>Appendice</w:t>
      </w:r>
      <w:r w:rsidR="003F748C" w:rsidRPr="008918F0">
        <w:rPr>
          <w:b/>
          <w:caps/>
          <w:lang w:val="fr-FR"/>
        </w:rPr>
        <w:t> </w:t>
      </w:r>
      <w:r w:rsidRPr="008918F0">
        <w:rPr>
          <w:b/>
          <w:caps/>
          <w:lang w:val="fr-FR"/>
        </w:rPr>
        <w:t>II</w:t>
      </w:r>
      <w:r w:rsidR="00C959B2" w:rsidRPr="008918F0">
        <w:rPr>
          <w:b/>
          <w:caps/>
          <w:lang w:val="fr-FR"/>
        </w:rPr>
        <w:t> :</w:t>
      </w:r>
      <w:r w:rsidRPr="008918F0">
        <w:rPr>
          <w:b/>
          <w:caps/>
          <w:lang w:val="fr-FR"/>
        </w:rPr>
        <w:t xml:space="preserve"> Documents consultés</w:t>
      </w:r>
    </w:p>
    <w:p w:rsidR="0006001B" w:rsidRPr="008918F0" w:rsidRDefault="0006001B" w:rsidP="001059FC">
      <w:pPr>
        <w:rPr>
          <w:lang w:val="fr-FR"/>
        </w:rPr>
      </w:pPr>
    </w:p>
    <w:p w:rsidR="00C959B2" w:rsidRPr="00CA7920" w:rsidRDefault="00F94217" w:rsidP="00886318">
      <w:pPr>
        <w:pStyle w:val="ONUMFS"/>
        <w:numPr>
          <w:ilvl w:val="0"/>
          <w:numId w:val="0"/>
        </w:numPr>
        <w:rPr>
          <w:lang w:val="en-US"/>
        </w:rPr>
      </w:pPr>
      <w:r w:rsidRPr="00CA7920">
        <w:rPr>
          <w:lang w:val="en-US"/>
        </w:rPr>
        <w:t>Gerhard, P. (</w:t>
      </w:r>
      <w:r w:rsidR="00F8485A" w:rsidRPr="00CA7920">
        <w:rPr>
          <w:lang w:val="en-US"/>
        </w:rPr>
        <w:t>mars</w:t>
      </w:r>
      <w:r w:rsidR="003F748C" w:rsidRPr="00CA7920">
        <w:rPr>
          <w:lang w:val="en-US"/>
        </w:rPr>
        <w:t> </w:t>
      </w:r>
      <w:r w:rsidR="00AB7A2D" w:rsidRPr="00CA7920">
        <w:rPr>
          <w:lang w:val="en-US"/>
        </w:rPr>
        <w:t>2016),</w:t>
      </w:r>
      <w:r w:rsidR="00DB6EA5" w:rsidRPr="00CA7920">
        <w:rPr>
          <w:lang w:val="en-US"/>
        </w:rPr>
        <w:t xml:space="preserve"> </w:t>
      </w:r>
      <w:r w:rsidRPr="00CA7920">
        <w:rPr>
          <w:lang w:val="en-US"/>
        </w:rPr>
        <w:t xml:space="preserve">Optimization of the digital communication and web presence of the Access to Information and Knowledge Division services and tools </w:t>
      </w:r>
      <w:r w:rsidR="00C959B2" w:rsidRPr="00CA7920">
        <w:rPr>
          <w:lang w:val="en-US"/>
        </w:rPr>
        <w:t>“G</w:t>
      </w:r>
      <w:r w:rsidRPr="00CA7920">
        <w:rPr>
          <w:lang w:val="en-US"/>
        </w:rPr>
        <w:t>aps analysis and Recommendation</w:t>
      </w:r>
      <w:r w:rsidR="00C959B2" w:rsidRPr="00CA7920">
        <w:rPr>
          <w:lang w:val="en-US"/>
        </w:rPr>
        <w:t>s”</w:t>
      </w:r>
    </w:p>
    <w:p w:rsidR="00886318" w:rsidRPr="008918F0" w:rsidRDefault="003F748C" w:rsidP="00886318">
      <w:pPr>
        <w:pStyle w:val="ONUMFS"/>
        <w:numPr>
          <w:ilvl w:val="0"/>
          <w:numId w:val="0"/>
        </w:numPr>
        <w:rPr>
          <w:lang w:val="fr-FR"/>
        </w:rPr>
      </w:pPr>
      <w:r w:rsidRPr="008918F0">
        <w:rPr>
          <w:lang w:val="fr-FR"/>
        </w:rPr>
        <w:t>OMPI</w:t>
      </w:r>
      <w:r w:rsidR="004B6F2D" w:rsidRPr="008918F0">
        <w:rPr>
          <w:lang w:val="fr-FR"/>
        </w:rPr>
        <w:t xml:space="preserve"> (201</w:t>
      </w:r>
      <w:r w:rsidR="00D2107D" w:rsidRPr="008918F0">
        <w:rPr>
          <w:lang w:val="fr-FR"/>
        </w:rPr>
        <w:t>4</w:t>
      </w:r>
      <w:r w:rsidR="004B6F2D" w:rsidRPr="008918F0">
        <w:rPr>
          <w:lang w:val="fr-FR"/>
        </w:rPr>
        <w:t>),</w:t>
      </w:r>
      <w:r w:rsidR="00D2107D" w:rsidRPr="008918F0">
        <w:rPr>
          <w:lang w:val="fr-FR"/>
        </w:rPr>
        <w:t xml:space="preserve"> CDIP, </w:t>
      </w:r>
      <w:r w:rsidR="00D2107D" w:rsidRPr="008918F0">
        <w:rPr>
          <w:szCs w:val="22"/>
          <w:lang w:val="fr-FR"/>
        </w:rPr>
        <w:t>Projet</w:t>
      </w:r>
      <w:r w:rsidR="00F8485A" w:rsidRPr="008918F0">
        <w:rPr>
          <w:szCs w:val="22"/>
          <w:lang w:val="fr-FR"/>
        </w:rPr>
        <w:t xml:space="preserve"> sur l</w:t>
      </w:r>
      <w:r w:rsidR="00C959B2" w:rsidRPr="008918F0">
        <w:rPr>
          <w:szCs w:val="22"/>
          <w:lang w:val="fr-FR"/>
        </w:rPr>
        <w:t>’</w:t>
      </w:r>
      <w:r w:rsidR="00F8485A" w:rsidRPr="008918F0">
        <w:rPr>
          <w:szCs w:val="22"/>
          <w:lang w:val="fr-FR"/>
        </w:rPr>
        <w:t>utilisation de l</w:t>
      </w:r>
      <w:r w:rsidR="00C959B2" w:rsidRPr="008918F0">
        <w:rPr>
          <w:szCs w:val="22"/>
          <w:lang w:val="fr-FR"/>
        </w:rPr>
        <w:t>’</w:t>
      </w:r>
      <w:r w:rsidR="00F8485A" w:rsidRPr="008918F0">
        <w:rPr>
          <w:szCs w:val="22"/>
          <w:lang w:val="fr-FR"/>
        </w:rPr>
        <w:t>information figurant dans le domaine public aux fins du développement économique</w:t>
      </w:r>
      <w:r w:rsidR="00D2107D" w:rsidRPr="008918F0">
        <w:rPr>
          <w:szCs w:val="22"/>
          <w:lang w:val="fr-FR"/>
        </w:rPr>
        <w:t>, CDIP/16/4.</w:t>
      </w:r>
    </w:p>
    <w:p w:rsidR="00886318" w:rsidRPr="008918F0" w:rsidRDefault="003F748C" w:rsidP="00886318">
      <w:pPr>
        <w:pStyle w:val="ONUMFS"/>
        <w:numPr>
          <w:ilvl w:val="0"/>
          <w:numId w:val="0"/>
        </w:numPr>
        <w:rPr>
          <w:szCs w:val="22"/>
          <w:lang w:val="fr-FR"/>
        </w:rPr>
      </w:pPr>
      <w:r w:rsidRPr="008918F0">
        <w:rPr>
          <w:szCs w:val="22"/>
          <w:lang w:val="fr-FR"/>
        </w:rPr>
        <w:t>OMPI</w:t>
      </w:r>
      <w:r w:rsidR="00D2107D" w:rsidRPr="008918F0">
        <w:rPr>
          <w:szCs w:val="22"/>
          <w:lang w:val="fr-FR"/>
        </w:rPr>
        <w:t xml:space="preserve"> (2016), CDIP, </w:t>
      </w:r>
      <w:r w:rsidR="00F8485A" w:rsidRPr="008918F0">
        <w:rPr>
          <w:szCs w:val="22"/>
          <w:lang w:val="fr-FR"/>
        </w:rPr>
        <w:t>dix</w:t>
      </w:r>
      <w:r w:rsidR="00AB7A2D">
        <w:rPr>
          <w:szCs w:val="22"/>
          <w:lang w:val="fr-FR"/>
        </w:rPr>
        <w:noBreakHyphen/>
      </w:r>
      <w:r w:rsidR="00F8485A" w:rsidRPr="008918F0">
        <w:rPr>
          <w:szCs w:val="22"/>
          <w:lang w:val="fr-FR"/>
        </w:rPr>
        <w:t>huit</w:t>
      </w:r>
      <w:r w:rsidR="00C959B2" w:rsidRPr="008918F0">
        <w:rPr>
          <w:szCs w:val="22"/>
          <w:lang w:val="fr-FR"/>
        </w:rPr>
        <w:t>ième session</w:t>
      </w:r>
      <w:r w:rsidR="00D2107D" w:rsidRPr="008918F0">
        <w:rPr>
          <w:szCs w:val="22"/>
          <w:lang w:val="fr-FR"/>
        </w:rPr>
        <w:t xml:space="preserve">, </w:t>
      </w:r>
      <w:r w:rsidR="00F8485A" w:rsidRPr="008918F0">
        <w:rPr>
          <w:szCs w:val="22"/>
          <w:lang w:val="fr-FR"/>
        </w:rPr>
        <w:t>Rapport sur l</w:t>
      </w:r>
      <w:r w:rsidR="00C959B2" w:rsidRPr="008918F0">
        <w:rPr>
          <w:szCs w:val="22"/>
          <w:lang w:val="fr-FR"/>
        </w:rPr>
        <w:t>’</w:t>
      </w:r>
      <w:r w:rsidR="00F8485A" w:rsidRPr="008918F0">
        <w:rPr>
          <w:szCs w:val="22"/>
          <w:lang w:val="fr-FR"/>
        </w:rPr>
        <w:t>état d</w:t>
      </w:r>
      <w:r w:rsidR="00C959B2" w:rsidRPr="008918F0">
        <w:rPr>
          <w:szCs w:val="22"/>
          <w:lang w:val="fr-FR"/>
        </w:rPr>
        <w:t>’</w:t>
      </w:r>
      <w:r w:rsidR="00F8485A" w:rsidRPr="008918F0">
        <w:rPr>
          <w:szCs w:val="22"/>
          <w:lang w:val="fr-FR"/>
        </w:rPr>
        <w:t>avancement des projets</w:t>
      </w:r>
      <w:r w:rsidR="00D2107D" w:rsidRPr="008918F0">
        <w:rPr>
          <w:szCs w:val="22"/>
          <w:lang w:val="fr-FR"/>
        </w:rPr>
        <w:t>, CDIP/18/2.</w:t>
      </w:r>
    </w:p>
    <w:p w:rsidR="00886318" w:rsidRPr="008918F0" w:rsidRDefault="003F748C" w:rsidP="00886318">
      <w:pPr>
        <w:pStyle w:val="ONUMFS"/>
        <w:numPr>
          <w:ilvl w:val="0"/>
          <w:numId w:val="0"/>
        </w:numPr>
        <w:rPr>
          <w:szCs w:val="22"/>
          <w:lang w:val="fr-FR"/>
        </w:rPr>
      </w:pPr>
      <w:r w:rsidRPr="008918F0">
        <w:rPr>
          <w:szCs w:val="22"/>
          <w:lang w:val="fr-FR"/>
        </w:rPr>
        <w:t>OMPI</w:t>
      </w:r>
      <w:r w:rsidR="00D2107D" w:rsidRPr="008918F0">
        <w:rPr>
          <w:szCs w:val="22"/>
          <w:lang w:val="fr-FR"/>
        </w:rPr>
        <w:t xml:space="preserve"> (2017), CDIP, </w:t>
      </w:r>
      <w:r w:rsidR="00F8485A" w:rsidRPr="008918F0">
        <w:rPr>
          <w:szCs w:val="22"/>
          <w:lang w:val="fr-FR"/>
        </w:rPr>
        <w:t>vingt</w:t>
      </w:r>
      <w:r w:rsidR="00C959B2" w:rsidRPr="008918F0">
        <w:rPr>
          <w:szCs w:val="22"/>
          <w:lang w:val="fr-FR"/>
        </w:rPr>
        <w:t>ième session</w:t>
      </w:r>
      <w:r w:rsidR="00D2107D" w:rsidRPr="008918F0">
        <w:rPr>
          <w:szCs w:val="22"/>
          <w:lang w:val="fr-FR"/>
        </w:rPr>
        <w:t xml:space="preserve">, </w:t>
      </w:r>
      <w:r w:rsidR="00F8485A" w:rsidRPr="008918F0">
        <w:rPr>
          <w:szCs w:val="22"/>
          <w:lang w:val="fr-FR"/>
        </w:rPr>
        <w:t>Rapport sur l</w:t>
      </w:r>
      <w:r w:rsidR="00C959B2" w:rsidRPr="008918F0">
        <w:rPr>
          <w:szCs w:val="22"/>
          <w:lang w:val="fr-FR"/>
        </w:rPr>
        <w:t>’</w:t>
      </w:r>
      <w:r w:rsidR="00F8485A" w:rsidRPr="008918F0">
        <w:rPr>
          <w:szCs w:val="22"/>
          <w:lang w:val="fr-FR"/>
        </w:rPr>
        <w:t>état d</w:t>
      </w:r>
      <w:r w:rsidR="00C959B2" w:rsidRPr="008918F0">
        <w:rPr>
          <w:szCs w:val="22"/>
          <w:lang w:val="fr-FR"/>
        </w:rPr>
        <w:t>’</w:t>
      </w:r>
      <w:r w:rsidR="00F8485A" w:rsidRPr="008918F0">
        <w:rPr>
          <w:szCs w:val="22"/>
          <w:lang w:val="fr-FR"/>
        </w:rPr>
        <w:t>avancement des projets</w:t>
      </w:r>
      <w:r w:rsidR="00D2107D" w:rsidRPr="008918F0">
        <w:rPr>
          <w:szCs w:val="22"/>
          <w:lang w:val="fr-FR"/>
        </w:rPr>
        <w:t>, CDIP/20/2.</w:t>
      </w:r>
    </w:p>
    <w:p w:rsidR="00886318" w:rsidRPr="008918F0" w:rsidRDefault="003F748C" w:rsidP="00886318">
      <w:pPr>
        <w:pStyle w:val="ONUMFS"/>
        <w:numPr>
          <w:ilvl w:val="0"/>
          <w:numId w:val="0"/>
        </w:numPr>
        <w:rPr>
          <w:szCs w:val="22"/>
          <w:lang w:val="fr-FR"/>
        </w:rPr>
      </w:pPr>
      <w:r w:rsidRPr="008918F0">
        <w:rPr>
          <w:szCs w:val="22"/>
          <w:lang w:val="fr-FR"/>
        </w:rPr>
        <w:t>OMPI</w:t>
      </w:r>
      <w:r w:rsidR="00D2107D" w:rsidRPr="008918F0">
        <w:rPr>
          <w:szCs w:val="22"/>
          <w:lang w:val="fr-FR"/>
        </w:rPr>
        <w:t xml:space="preserve"> (2018), CDIP, </w:t>
      </w:r>
      <w:r w:rsidR="00F8485A" w:rsidRPr="008918F0">
        <w:rPr>
          <w:szCs w:val="22"/>
          <w:lang w:val="fr-FR"/>
        </w:rPr>
        <w:t>vingt</w:t>
      </w:r>
      <w:r w:rsidR="00AB7A2D">
        <w:rPr>
          <w:szCs w:val="22"/>
          <w:lang w:val="fr-FR"/>
        </w:rPr>
        <w:noBreakHyphen/>
      </w:r>
      <w:r w:rsidR="00F8485A" w:rsidRPr="008918F0">
        <w:rPr>
          <w:szCs w:val="22"/>
          <w:lang w:val="fr-FR"/>
        </w:rPr>
        <w:t>deux</w:t>
      </w:r>
      <w:r w:rsidR="00C959B2" w:rsidRPr="008918F0">
        <w:rPr>
          <w:szCs w:val="22"/>
          <w:lang w:val="fr-FR"/>
        </w:rPr>
        <w:t>ième session</w:t>
      </w:r>
      <w:r w:rsidR="00D2107D" w:rsidRPr="008918F0">
        <w:rPr>
          <w:szCs w:val="22"/>
          <w:lang w:val="fr-FR"/>
        </w:rPr>
        <w:t xml:space="preserve">, </w:t>
      </w:r>
      <w:r w:rsidR="00F8485A" w:rsidRPr="008918F0">
        <w:rPr>
          <w:szCs w:val="22"/>
          <w:lang w:val="fr-FR"/>
        </w:rPr>
        <w:t>Rapport sur l</w:t>
      </w:r>
      <w:r w:rsidR="00C959B2" w:rsidRPr="008918F0">
        <w:rPr>
          <w:szCs w:val="22"/>
          <w:lang w:val="fr-FR"/>
        </w:rPr>
        <w:t>’</w:t>
      </w:r>
      <w:r w:rsidR="00F8485A" w:rsidRPr="008918F0">
        <w:rPr>
          <w:szCs w:val="22"/>
          <w:lang w:val="fr-FR"/>
        </w:rPr>
        <w:t>état d</w:t>
      </w:r>
      <w:r w:rsidR="00C959B2" w:rsidRPr="008918F0">
        <w:rPr>
          <w:szCs w:val="22"/>
          <w:lang w:val="fr-FR"/>
        </w:rPr>
        <w:t>’</w:t>
      </w:r>
      <w:r w:rsidR="00F8485A" w:rsidRPr="008918F0">
        <w:rPr>
          <w:szCs w:val="22"/>
          <w:lang w:val="fr-FR"/>
        </w:rPr>
        <w:t>avancement des projets</w:t>
      </w:r>
      <w:r w:rsidR="00D2107D" w:rsidRPr="008918F0">
        <w:rPr>
          <w:szCs w:val="22"/>
          <w:lang w:val="fr-FR"/>
        </w:rPr>
        <w:t>, CDIP/22/2.</w:t>
      </w:r>
    </w:p>
    <w:p w:rsidR="00886318" w:rsidRPr="008918F0" w:rsidRDefault="003F748C" w:rsidP="00886318">
      <w:pPr>
        <w:pStyle w:val="ONUMFS"/>
        <w:numPr>
          <w:ilvl w:val="0"/>
          <w:numId w:val="0"/>
        </w:numPr>
        <w:rPr>
          <w:lang w:val="fr-FR"/>
        </w:rPr>
      </w:pPr>
      <w:r w:rsidRPr="008918F0">
        <w:rPr>
          <w:lang w:val="fr-FR"/>
        </w:rPr>
        <w:t>OMPI</w:t>
      </w:r>
      <w:r w:rsidR="00D2107D" w:rsidRPr="008918F0">
        <w:rPr>
          <w:lang w:val="fr-FR"/>
        </w:rPr>
        <w:t xml:space="preserve"> (2019), </w:t>
      </w:r>
      <w:r w:rsidR="00F8485A" w:rsidRPr="008918F0">
        <w:rPr>
          <w:lang w:val="fr-FR"/>
        </w:rPr>
        <w:t>Rapport annuel 2018 sur</w:t>
      </w:r>
      <w:r w:rsidR="00C959B2" w:rsidRPr="008918F0">
        <w:rPr>
          <w:lang w:val="fr-FR"/>
        </w:rPr>
        <w:t xml:space="preserve"> les CAT</w:t>
      </w:r>
      <w:r w:rsidR="00F8485A" w:rsidRPr="008918F0">
        <w:rPr>
          <w:lang w:val="fr-FR"/>
        </w:rPr>
        <w:t>I</w:t>
      </w:r>
      <w:r w:rsidR="00D2107D" w:rsidRPr="008918F0">
        <w:rPr>
          <w:lang w:val="fr-FR"/>
        </w:rPr>
        <w:t>.</w:t>
      </w:r>
    </w:p>
    <w:p w:rsidR="00886318" w:rsidRPr="008918F0" w:rsidRDefault="003F748C" w:rsidP="00886318">
      <w:pPr>
        <w:pStyle w:val="ONUMFS"/>
        <w:numPr>
          <w:ilvl w:val="0"/>
          <w:numId w:val="0"/>
        </w:numPr>
        <w:rPr>
          <w:lang w:val="fr-FR"/>
        </w:rPr>
      </w:pPr>
      <w:r w:rsidRPr="008918F0">
        <w:rPr>
          <w:lang w:val="fr-FR"/>
        </w:rPr>
        <w:t>OMPI</w:t>
      </w:r>
      <w:r w:rsidR="00D2107D" w:rsidRPr="008918F0">
        <w:rPr>
          <w:lang w:val="fr-FR"/>
        </w:rPr>
        <w:t xml:space="preserve"> (2019), CDIP, </w:t>
      </w:r>
      <w:r w:rsidR="00960C97" w:rsidRPr="008918F0">
        <w:rPr>
          <w:szCs w:val="22"/>
          <w:lang w:val="fr-FR"/>
        </w:rPr>
        <w:t>Rapport d</w:t>
      </w:r>
      <w:r w:rsidR="00C959B2" w:rsidRPr="008918F0">
        <w:rPr>
          <w:szCs w:val="22"/>
          <w:lang w:val="fr-FR"/>
        </w:rPr>
        <w:t>’</w:t>
      </w:r>
      <w:r w:rsidR="00960C97" w:rsidRPr="008918F0">
        <w:rPr>
          <w:szCs w:val="22"/>
          <w:lang w:val="fr-FR"/>
        </w:rPr>
        <w:t>achèvement du projet sur l</w:t>
      </w:r>
      <w:r w:rsidR="00C959B2" w:rsidRPr="008918F0">
        <w:rPr>
          <w:szCs w:val="22"/>
          <w:lang w:val="fr-FR"/>
        </w:rPr>
        <w:t>’</w:t>
      </w:r>
      <w:r w:rsidR="00960C97" w:rsidRPr="008918F0">
        <w:rPr>
          <w:szCs w:val="22"/>
          <w:lang w:val="fr-FR"/>
        </w:rPr>
        <w:t>utilisation de l</w:t>
      </w:r>
      <w:r w:rsidR="00C959B2" w:rsidRPr="008918F0">
        <w:rPr>
          <w:szCs w:val="22"/>
          <w:lang w:val="fr-FR"/>
        </w:rPr>
        <w:t>’</w:t>
      </w:r>
      <w:r w:rsidR="00960C97" w:rsidRPr="008918F0">
        <w:rPr>
          <w:szCs w:val="22"/>
          <w:lang w:val="fr-FR"/>
        </w:rPr>
        <w:t>information figurant dans le domaine public aux fins du développement économique</w:t>
      </w:r>
      <w:r w:rsidR="00D2107D" w:rsidRPr="008918F0">
        <w:rPr>
          <w:szCs w:val="22"/>
          <w:lang w:val="fr-FR"/>
        </w:rPr>
        <w:t>, CDIP/24/3.</w:t>
      </w:r>
    </w:p>
    <w:p w:rsidR="00886318" w:rsidRPr="008918F0" w:rsidRDefault="003F748C" w:rsidP="00886318">
      <w:pPr>
        <w:pStyle w:val="ONUMFS"/>
        <w:numPr>
          <w:ilvl w:val="0"/>
          <w:numId w:val="0"/>
        </w:numPr>
        <w:rPr>
          <w:lang w:val="fr-FR"/>
        </w:rPr>
      </w:pPr>
      <w:r w:rsidRPr="008918F0">
        <w:rPr>
          <w:lang w:val="fr-FR"/>
        </w:rPr>
        <w:t>OMPI</w:t>
      </w:r>
      <w:r w:rsidR="00F94217" w:rsidRPr="008918F0">
        <w:rPr>
          <w:lang w:val="fr-FR"/>
        </w:rPr>
        <w:t xml:space="preserve"> (2019), Guide </w:t>
      </w:r>
      <w:r w:rsidR="00960C97" w:rsidRPr="008918F0">
        <w:rPr>
          <w:lang w:val="fr-FR"/>
        </w:rPr>
        <w:t xml:space="preserve">sur </w:t>
      </w:r>
      <w:r w:rsidR="00025F69" w:rsidRPr="008918F0">
        <w:rPr>
          <w:lang w:val="fr-FR"/>
        </w:rPr>
        <w:t>l</w:t>
      </w:r>
      <w:r w:rsidR="00C959B2" w:rsidRPr="008918F0">
        <w:rPr>
          <w:lang w:val="fr-FR"/>
        </w:rPr>
        <w:t>’</w:t>
      </w:r>
      <w:r w:rsidR="00025F69" w:rsidRPr="008918F0">
        <w:rPr>
          <w:lang w:val="fr-FR"/>
        </w:rPr>
        <w:t>identification</w:t>
      </w:r>
      <w:r w:rsidR="00960C97" w:rsidRPr="008918F0">
        <w:rPr>
          <w:lang w:val="fr-FR"/>
        </w:rPr>
        <w:t xml:space="preserve"> des inventions se trouvant dans le domaine public</w:t>
      </w:r>
      <w:r w:rsidR="00F94217" w:rsidRPr="008918F0">
        <w:rPr>
          <w:lang w:val="fr-FR"/>
        </w:rPr>
        <w:t xml:space="preserve"> (</w:t>
      </w:r>
      <w:r w:rsidR="00960C97" w:rsidRPr="008918F0">
        <w:rPr>
          <w:lang w:val="fr-FR"/>
        </w:rPr>
        <w:t>projet</w:t>
      </w:r>
      <w:r w:rsidR="00F94217" w:rsidRPr="008918F0">
        <w:rPr>
          <w:lang w:val="fr-FR"/>
        </w:rPr>
        <w:t>).</w:t>
      </w:r>
    </w:p>
    <w:p w:rsidR="00C959B2" w:rsidRPr="008918F0" w:rsidRDefault="003F748C" w:rsidP="00886318">
      <w:pPr>
        <w:pStyle w:val="ONUMFS"/>
        <w:numPr>
          <w:ilvl w:val="0"/>
          <w:numId w:val="0"/>
        </w:numPr>
        <w:rPr>
          <w:lang w:val="fr-FR"/>
        </w:rPr>
      </w:pPr>
      <w:r w:rsidRPr="008918F0">
        <w:rPr>
          <w:lang w:val="fr-FR"/>
        </w:rPr>
        <w:t>OMPI</w:t>
      </w:r>
      <w:r w:rsidR="00F94217" w:rsidRPr="008918F0">
        <w:rPr>
          <w:lang w:val="fr-FR"/>
        </w:rPr>
        <w:t xml:space="preserve"> (2019), Guide </w:t>
      </w:r>
      <w:r w:rsidR="00960C97" w:rsidRPr="008918F0">
        <w:rPr>
          <w:lang w:val="fr-FR"/>
        </w:rPr>
        <w:t>sur l</w:t>
      </w:r>
      <w:r w:rsidR="00C959B2" w:rsidRPr="008918F0">
        <w:rPr>
          <w:lang w:val="fr-FR"/>
        </w:rPr>
        <w:t>’</w:t>
      </w:r>
      <w:r w:rsidR="00960C97" w:rsidRPr="008918F0">
        <w:rPr>
          <w:lang w:val="fr-FR"/>
        </w:rPr>
        <w:t>utilisation des inventions se trouvant dans le domaine public</w:t>
      </w:r>
      <w:r w:rsidR="00F94217" w:rsidRPr="008918F0">
        <w:rPr>
          <w:lang w:val="fr-FR"/>
        </w:rPr>
        <w:t xml:space="preserve"> (</w:t>
      </w:r>
      <w:r w:rsidR="00960C97" w:rsidRPr="008918F0">
        <w:rPr>
          <w:lang w:val="fr-FR"/>
        </w:rPr>
        <w:t>projet</w:t>
      </w:r>
      <w:r w:rsidR="00F94217" w:rsidRPr="008918F0">
        <w:rPr>
          <w:lang w:val="fr-FR"/>
        </w:rPr>
        <w:t>).</w:t>
      </w:r>
    </w:p>
    <w:p w:rsidR="00886318" w:rsidRPr="008918F0" w:rsidRDefault="003F748C" w:rsidP="00886318">
      <w:pPr>
        <w:pStyle w:val="ONUMFS"/>
        <w:numPr>
          <w:ilvl w:val="0"/>
          <w:numId w:val="0"/>
        </w:numPr>
        <w:rPr>
          <w:lang w:val="fr-FR"/>
        </w:rPr>
      </w:pPr>
      <w:r w:rsidRPr="008918F0">
        <w:rPr>
          <w:lang w:val="fr-FR"/>
        </w:rPr>
        <w:t>OMPI</w:t>
      </w:r>
      <w:r w:rsidR="004C525B" w:rsidRPr="008918F0">
        <w:rPr>
          <w:lang w:val="fr-FR"/>
        </w:rPr>
        <w:t xml:space="preserve"> (</w:t>
      </w:r>
      <w:r w:rsidR="00960C97" w:rsidRPr="008918F0">
        <w:rPr>
          <w:lang w:val="fr-FR"/>
        </w:rPr>
        <w:t>non daté), Calendrier du projet</w:t>
      </w:r>
      <w:r w:rsidR="00D2107D" w:rsidRPr="008918F0">
        <w:rPr>
          <w:lang w:val="fr-FR"/>
        </w:rPr>
        <w:t xml:space="preserve"> </w:t>
      </w:r>
      <w:r w:rsidR="00960C97" w:rsidRPr="008918F0">
        <w:rPr>
          <w:lang w:val="fr-FR"/>
        </w:rPr>
        <w:t>– Projet sur l</w:t>
      </w:r>
      <w:r w:rsidR="00C959B2" w:rsidRPr="008918F0">
        <w:rPr>
          <w:lang w:val="fr-FR"/>
        </w:rPr>
        <w:t>’</w:t>
      </w:r>
      <w:r w:rsidR="00960C97" w:rsidRPr="008918F0">
        <w:rPr>
          <w:lang w:val="fr-FR"/>
        </w:rPr>
        <w:t>utilisation de l</w:t>
      </w:r>
      <w:r w:rsidR="00C959B2" w:rsidRPr="008918F0">
        <w:rPr>
          <w:lang w:val="fr-FR"/>
        </w:rPr>
        <w:t>’</w:t>
      </w:r>
      <w:r w:rsidR="00960C97" w:rsidRPr="008918F0">
        <w:rPr>
          <w:lang w:val="fr-FR"/>
        </w:rPr>
        <w:t>information figurant dans le domaine public aux fins du développement économique.</w:t>
      </w:r>
    </w:p>
    <w:p w:rsidR="00886318" w:rsidRPr="008918F0" w:rsidRDefault="003F748C" w:rsidP="00886318">
      <w:pPr>
        <w:pStyle w:val="ONUMFS"/>
        <w:numPr>
          <w:ilvl w:val="0"/>
          <w:numId w:val="0"/>
        </w:numPr>
        <w:rPr>
          <w:lang w:val="fr-FR"/>
        </w:rPr>
      </w:pPr>
      <w:r w:rsidRPr="008918F0">
        <w:rPr>
          <w:lang w:val="fr-FR"/>
        </w:rPr>
        <w:t>OMPI</w:t>
      </w:r>
      <w:r w:rsidR="00F94217" w:rsidRPr="008918F0">
        <w:rPr>
          <w:lang w:val="fr-FR"/>
        </w:rPr>
        <w:t xml:space="preserve"> (</w:t>
      </w:r>
      <w:r w:rsidR="00960C97" w:rsidRPr="008918F0">
        <w:rPr>
          <w:lang w:val="fr-FR"/>
        </w:rPr>
        <w:t>non daté</w:t>
      </w:r>
      <w:r w:rsidR="00F94217" w:rsidRPr="008918F0">
        <w:rPr>
          <w:lang w:val="fr-FR"/>
        </w:rPr>
        <w:t>), P</w:t>
      </w:r>
      <w:r w:rsidR="00960C97" w:rsidRPr="008918F0">
        <w:rPr>
          <w:lang w:val="fr-FR"/>
        </w:rPr>
        <w:t>rocessus pilote</w:t>
      </w:r>
      <w:r w:rsidR="00F94217" w:rsidRPr="008918F0">
        <w:rPr>
          <w:lang w:val="fr-FR"/>
        </w:rPr>
        <w:t xml:space="preserve"> – </w:t>
      </w:r>
      <w:r w:rsidR="00960C97" w:rsidRPr="008918F0">
        <w:rPr>
          <w:lang w:val="fr-FR"/>
        </w:rPr>
        <w:t>commentaires sur les guides</w:t>
      </w:r>
      <w:r w:rsidR="00F94217" w:rsidRPr="008918F0">
        <w:rPr>
          <w:lang w:val="fr-FR"/>
        </w:rPr>
        <w:t>.</w:t>
      </w:r>
    </w:p>
    <w:p w:rsidR="0006001B" w:rsidRPr="008918F0" w:rsidRDefault="003F748C" w:rsidP="00886318">
      <w:pPr>
        <w:pStyle w:val="ONUMFS"/>
        <w:numPr>
          <w:ilvl w:val="0"/>
          <w:numId w:val="0"/>
        </w:numPr>
        <w:rPr>
          <w:lang w:val="fr-FR"/>
        </w:rPr>
      </w:pPr>
      <w:r w:rsidRPr="008918F0">
        <w:rPr>
          <w:lang w:val="fr-FR"/>
        </w:rPr>
        <w:t>OMPI</w:t>
      </w:r>
      <w:r w:rsidR="00F94217" w:rsidRPr="008918F0">
        <w:rPr>
          <w:lang w:val="fr-FR"/>
        </w:rPr>
        <w:t xml:space="preserve"> (2018</w:t>
      </w:r>
      <w:r w:rsidR="00AB7A2D">
        <w:rPr>
          <w:lang w:val="fr-FR"/>
        </w:rPr>
        <w:noBreakHyphen/>
      </w:r>
      <w:r w:rsidR="00F94217" w:rsidRPr="008918F0">
        <w:rPr>
          <w:lang w:val="fr-FR"/>
        </w:rPr>
        <w:t xml:space="preserve">2019), </w:t>
      </w:r>
      <w:r w:rsidR="00960C97" w:rsidRPr="008918F0">
        <w:rPr>
          <w:lang w:val="fr-FR"/>
        </w:rPr>
        <w:t>Questionnaire d</w:t>
      </w:r>
      <w:r w:rsidR="00C959B2" w:rsidRPr="008918F0">
        <w:rPr>
          <w:lang w:val="fr-FR"/>
        </w:rPr>
        <w:t>’</w:t>
      </w:r>
      <w:r w:rsidR="00960C97" w:rsidRPr="008918F0">
        <w:rPr>
          <w:lang w:val="fr-FR"/>
        </w:rPr>
        <w:t>évaluation</w:t>
      </w:r>
      <w:r w:rsidR="00F94217" w:rsidRPr="008918F0">
        <w:rPr>
          <w:lang w:val="fr-FR"/>
        </w:rPr>
        <w:t xml:space="preserve"> </w:t>
      </w:r>
      <w:r w:rsidR="00960C97" w:rsidRPr="008918F0">
        <w:rPr>
          <w:lang w:val="fr-FR"/>
        </w:rPr>
        <w:t>–</w:t>
      </w:r>
      <w:r w:rsidR="00F94217" w:rsidRPr="008918F0">
        <w:rPr>
          <w:lang w:val="fr-FR"/>
        </w:rPr>
        <w:t xml:space="preserve"> </w:t>
      </w:r>
      <w:r w:rsidR="00960C97" w:rsidRPr="008918F0">
        <w:rPr>
          <w:lang w:val="fr-FR"/>
        </w:rPr>
        <w:t xml:space="preserve">Atelier sur les guides sur </w:t>
      </w:r>
      <w:r w:rsidR="00025F69" w:rsidRPr="008918F0">
        <w:rPr>
          <w:lang w:val="fr-FR"/>
        </w:rPr>
        <w:t>l</w:t>
      </w:r>
      <w:r w:rsidR="00C959B2" w:rsidRPr="008918F0">
        <w:rPr>
          <w:lang w:val="fr-FR"/>
        </w:rPr>
        <w:t>’</w:t>
      </w:r>
      <w:r w:rsidR="00025F69" w:rsidRPr="008918F0">
        <w:rPr>
          <w:lang w:val="fr-FR"/>
        </w:rPr>
        <w:t>identification</w:t>
      </w:r>
      <w:r w:rsidR="00960C97" w:rsidRPr="008918F0">
        <w:rPr>
          <w:lang w:val="fr-FR"/>
        </w:rPr>
        <w:t xml:space="preserve"> et l</w:t>
      </w:r>
      <w:r w:rsidR="00C959B2" w:rsidRPr="008918F0">
        <w:rPr>
          <w:lang w:val="fr-FR"/>
        </w:rPr>
        <w:t>’</w:t>
      </w:r>
      <w:r w:rsidR="00960C97" w:rsidRPr="008918F0">
        <w:rPr>
          <w:lang w:val="fr-FR"/>
        </w:rPr>
        <w:t>utilisation des inventions se trouvant dans le domaine public</w:t>
      </w:r>
      <w:r w:rsidR="00F94217" w:rsidRPr="008918F0">
        <w:rPr>
          <w:lang w:val="fr-FR"/>
        </w:rPr>
        <w:t xml:space="preserve"> (</w:t>
      </w:r>
      <w:r w:rsidR="00960C97" w:rsidRPr="008918F0">
        <w:rPr>
          <w:lang w:val="fr-FR"/>
        </w:rPr>
        <w:t>divers</w:t>
      </w:r>
      <w:r w:rsidR="00F94217" w:rsidRPr="008918F0">
        <w:rPr>
          <w:lang w:val="fr-FR"/>
        </w:rPr>
        <w:t>).</w:t>
      </w:r>
    </w:p>
    <w:p w:rsidR="0006001B" w:rsidRPr="008918F0" w:rsidRDefault="0006001B" w:rsidP="004C525B">
      <w:pPr>
        <w:rPr>
          <w:lang w:val="fr-FR"/>
        </w:rPr>
      </w:pPr>
    </w:p>
    <w:p w:rsidR="0006001B" w:rsidRPr="008918F0" w:rsidRDefault="0006001B" w:rsidP="00FB6E4B">
      <w:pPr>
        <w:rPr>
          <w:szCs w:val="22"/>
          <w:lang w:val="fr-FR"/>
        </w:rPr>
      </w:pPr>
    </w:p>
    <w:p w:rsidR="00774F00" w:rsidRPr="008918F0" w:rsidRDefault="00063CEC" w:rsidP="00FB5BA8">
      <w:pPr>
        <w:pStyle w:val="Endofdocument-Annex"/>
        <w:rPr>
          <w:lang w:val="fr-FR"/>
        </w:rPr>
      </w:pPr>
      <w:r w:rsidRPr="008918F0">
        <w:rPr>
          <w:lang w:val="fr-FR"/>
        </w:rPr>
        <w:t>[L</w:t>
      </w:r>
      <w:r w:rsidR="00C959B2" w:rsidRPr="008918F0">
        <w:rPr>
          <w:lang w:val="fr-FR"/>
        </w:rPr>
        <w:t>’</w:t>
      </w:r>
      <w:r w:rsidRPr="008918F0">
        <w:rPr>
          <w:lang w:val="fr-FR"/>
        </w:rPr>
        <w:t>appendice III suit]</w:t>
      </w:r>
    </w:p>
    <w:p w:rsidR="00FB5BA8" w:rsidRPr="008918F0" w:rsidRDefault="00FB5BA8" w:rsidP="00FB5BA8">
      <w:pPr>
        <w:rPr>
          <w:lang w:val="fr-FR"/>
        </w:rPr>
      </w:pPr>
    </w:p>
    <w:p w:rsidR="00FB5BA8" w:rsidRPr="008918F0" w:rsidRDefault="00FB5BA8" w:rsidP="00FB5BA8">
      <w:pPr>
        <w:rPr>
          <w:lang w:val="fr-FR"/>
        </w:rPr>
        <w:sectPr w:rsidR="00FB5BA8" w:rsidRPr="008918F0" w:rsidSect="00774F00">
          <w:headerReference w:type="default" r:id="rId23"/>
          <w:headerReference w:type="first" r:id="rId24"/>
          <w:endnotePr>
            <w:numFmt w:val="decimal"/>
          </w:endnotePr>
          <w:pgSz w:w="11907" w:h="16840" w:code="9"/>
          <w:pgMar w:top="567" w:right="1134" w:bottom="1417" w:left="1417" w:header="510" w:footer="1020" w:gutter="0"/>
          <w:pgNumType w:start="1"/>
          <w:cols w:space="720"/>
          <w:titlePg/>
          <w:docGrid w:linePitch="299"/>
        </w:sectPr>
      </w:pPr>
    </w:p>
    <w:p w:rsidR="0006001B" w:rsidRDefault="00063CEC" w:rsidP="00FB5BA8">
      <w:pPr>
        <w:rPr>
          <w:b/>
          <w:caps/>
          <w:lang w:val="fr-FR"/>
        </w:rPr>
      </w:pPr>
      <w:r w:rsidRPr="008918F0">
        <w:rPr>
          <w:b/>
          <w:caps/>
          <w:lang w:val="fr-FR"/>
        </w:rPr>
        <w:lastRenderedPageBreak/>
        <w:t>Appendice</w:t>
      </w:r>
      <w:r w:rsidR="003F748C" w:rsidRPr="008918F0">
        <w:rPr>
          <w:b/>
          <w:caps/>
          <w:lang w:val="fr-FR"/>
        </w:rPr>
        <w:t> </w:t>
      </w:r>
      <w:r w:rsidRPr="008918F0">
        <w:rPr>
          <w:b/>
          <w:caps/>
          <w:lang w:val="fr-FR"/>
        </w:rPr>
        <w:t>III</w:t>
      </w:r>
      <w:r w:rsidR="00C959B2" w:rsidRPr="008918F0">
        <w:rPr>
          <w:b/>
          <w:caps/>
          <w:lang w:val="fr-FR"/>
        </w:rPr>
        <w:t> :</w:t>
      </w:r>
      <w:r w:rsidRPr="008918F0">
        <w:rPr>
          <w:b/>
          <w:caps/>
          <w:lang w:val="fr-FR"/>
        </w:rPr>
        <w:t xml:space="preserve"> Rapport initial</w:t>
      </w:r>
    </w:p>
    <w:p w:rsidR="00AB7A2D" w:rsidRPr="008918F0" w:rsidRDefault="00AB7A2D" w:rsidP="00FB5BA8">
      <w:pPr>
        <w:rPr>
          <w:b/>
          <w:caps/>
          <w:lang w:val="fr-FR"/>
        </w:rPr>
      </w:pPr>
    </w:p>
    <w:p w:rsidR="0006001B" w:rsidRPr="008918F0" w:rsidRDefault="00063CEC" w:rsidP="00063CEC">
      <w:pPr>
        <w:pStyle w:val="Reporttext"/>
        <w:ind w:firstLine="0"/>
        <w:rPr>
          <w:rFonts w:ascii="Arial" w:hAnsi="Arial" w:cs="Arial"/>
          <w:b/>
          <w:lang w:val="fr-FR"/>
        </w:rPr>
      </w:pPr>
      <w:r w:rsidRPr="008918F0">
        <w:rPr>
          <w:rFonts w:ascii="Arial" w:hAnsi="Arial" w:cs="Arial"/>
          <w:b/>
          <w:lang w:val="fr-FR"/>
        </w:rPr>
        <w:t>1.</w:t>
      </w:r>
      <w:r w:rsidRPr="008918F0">
        <w:rPr>
          <w:rFonts w:ascii="Arial" w:hAnsi="Arial" w:cs="Arial"/>
          <w:lang w:val="fr-FR"/>
        </w:rPr>
        <w:tab/>
      </w:r>
      <w:r w:rsidRPr="008918F0">
        <w:rPr>
          <w:rFonts w:ascii="Arial" w:hAnsi="Arial" w:cs="Arial"/>
          <w:b/>
          <w:lang w:val="fr-FR"/>
        </w:rPr>
        <w:t>Introduction</w:t>
      </w:r>
    </w:p>
    <w:p w:rsidR="0006001B" w:rsidRPr="008918F0" w:rsidRDefault="0006001B" w:rsidP="00D10112">
      <w:pPr>
        <w:autoSpaceDE w:val="0"/>
        <w:autoSpaceDN w:val="0"/>
        <w:adjustRightInd w:val="0"/>
        <w:jc w:val="both"/>
        <w:rPr>
          <w:lang w:val="fr-FR"/>
        </w:rPr>
      </w:pPr>
    </w:p>
    <w:p w:rsidR="0006001B" w:rsidRPr="008918F0" w:rsidRDefault="00230818" w:rsidP="00FB5BA8">
      <w:pPr>
        <w:pStyle w:val="ONUMFS"/>
        <w:numPr>
          <w:ilvl w:val="0"/>
          <w:numId w:val="0"/>
        </w:numPr>
        <w:rPr>
          <w:lang w:val="fr-FR"/>
        </w:rPr>
      </w:pPr>
      <w:r w:rsidRPr="008918F0">
        <w:rPr>
          <w:lang w:val="fr-FR"/>
        </w:rPr>
        <w:t>Le présent document est un rapport initial d</w:t>
      </w:r>
      <w:r w:rsidR="00C959B2" w:rsidRPr="008918F0">
        <w:rPr>
          <w:lang w:val="fr-FR"/>
        </w:rPr>
        <w:t>’</w:t>
      </w:r>
      <w:r w:rsidRPr="008918F0">
        <w:rPr>
          <w:lang w:val="fr-FR"/>
        </w:rPr>
        <w:t>évaluation du projet du Plan d</w:t>
      </w:r>
      <w:r w:rsidR="00C959B2" w:rsidRPr="008918F0">
        <w:rPr>
          <w:lang w:val="fr-FR"/>
        </w:rPr>
        <w:t>’</w:t>
      </w:r>
      <w:r w:rsidRPr="008918F0">
        <w:rPr>
          <w:lang w:val="fr-FR"/>
        </w:rPr>
        <w:t>action pour le développement sur l</w:t>
      </w:r>
      <w:r w:rsidR="00C959B2" w:rsidRPr="008918F0">
        <w:rPr>
          <w:lang w:val="fr-FR"/>
        </w:rPr>
        <w:t>’</w:t>
      </w:r>
      <w:r w:rsidRPr="008918F0">
        <w:rPr>
          <w:lang w:val="fr-FR"/>
        </w:rPr>
        <w:t>utilisation de l</w:t>
      </w:r>
      <w:r w:rsidR="00C959B2" w:rsidRPr="008918F0">
        <w:rPr>
          <w:lang w:val="fr-FR"/>
        </w:rPr>
        <w:t>’</w:t>
      </w:r>
      <w:r w:rsidRPr="008918F0">
        <w:rPr>
          <w:lang w:val="fr-FR"/>
        </w:rPr>
        <w:t>information figurant dans le domaine public aux fins du développement économiq</w:t>
      </w:r>
      <w:r w:rsidR="00630E33" w:rsidRPr="008918F0">
        <w:rPr>
          <w:lang w:val="fr-FR"/>
        </w:rPr>
        <w:t>ue.  Il</w:t>
      </w:r>
      <w:r w:rsidR="00063CEC" w:rsidRPr="008918F0">
        <w:rPr>
          <w:lang w:val="fr-FR"/>
        </w:rPr>
        <w:t xml:space="preserve"> présente l</w:t>
      </w:r>
      <w:r w:rsidR="00C959B2" w:rsidRPr="008918F0">
        <w:rPr>
          <w:lang w:val="fr-FR"/>
        </w:rPr>
        <w:t>’</w:t>
      </w:r>
      <w:r w:rsidR="00063CEC" w:rsidRPr="008918F0">
        <w:rPr>
          <w:lang w:val="fr-FR"/>
        </w:rPr>
        <w:t>objet de l</w:t>
      </w:r>
      <w:r w:rsidR="00C959B2" w:rsidRPr="008918F0">
        <w:rPr>
          <w:lang w:val="fr-FR"/>
        </w:rPr>
        <w:t>’</w:t>
      </w:r>
      <w:r w:rsidR="00063CEC" w:rsidRPr="008918F0">
        <w:rPr>
          <w:lang w:val="fr-FR"/>
        </w:rPr>
        <w:t>évaluation, les objectifs visés, la stratégie adoptée, la méthode suivie et le programme de trava</w:t>
      </w:r>
      <w:r w:rsidR="00630E33" w:rsidRPr="008918F0">
        <w:rPr>
          <w:lang w:val="fr-FR"/>
        </w:rPr>
        <w:t>il.  Le</w:t>
      </w:r>
      <w:r w:rsidR="00063CEC" w:rsidRPr="008918F0">
        <w:rPr>
          <w:lang w:val="fr-FR"/>
        </w:rPr>
        <w:t xml:space="preserve"> rapport final sera fondé sur le présent rapport initial, sous réserve d</w:t>
      </w:r>
      <w:r w:rsidR="003C4BC2" w:rsidRPr="008918F0">
        <w:rPr>
          <w:lang w:val="fr-FR"/>
        </w:rPr>
        <w:t xml:space="preserve">e son </w:t>
      </w:r>
      <w:r w:rsidR="00063CEC" w:rsidRPr="008918F0">
        <w:rPr>
          <w:lang w:val="fr-FR"/>
        </w:rPr>
        <w:t>approbation par l</w:t>
      </w:r>
      <w:r w:rsidR="00C959B2" w:rsidRPr="008918F0">
        <w:rPr>
          <w:lang w:val="fr-FR"/>
        </w:rPr>
        <w:t>’</w:t>
      </w:r>
      <w:r w:rsidR="00063CEC" w:rsidRPr="008918F0">
        <w:rPr>
          <w:lang w:val="fr-FR"/>
        </w:rPr>
        <w:t>OMPI.</w:t>
      </w:r>
    </w:p>
    <w:p w:rsidR="0006001B" w:rsidRPr="008918F0" w:rsidRDefault="00026673" w:rsidP="00026673">
      <w:pPr>
        <w:rPr>
          <w:b/>
          <w:lang w:val="fr-FR"/>
        </w:rPr>
      </w:pPr>
      <w:r w:rsidRPr="008918F0">
        <w:rPr>
          <w:b/>
          <w:lang w:val="fr-FR"/>
        </w:rPr>
        <w:t>2.</w:t>
      </w:r>
      <w:r w:rsidRPr="008918F0">
        <w:rPr>
          <w:b/>
          <w:lang w:val="fr-FR"/>
        </w:rPr>
        <w:tab/>
      </w:r>
      <w:r w:rsidR="003C4BC2" w:rsidRPr="008918F0">
        <w:rPr>
          <w:b/>
          <w:lang w:val="fr-FR"/>
        </w:rPr>
        <w:t>Finalité et objectifs</w:t>
      </w:r>
    </w:p>
    <w:p w:rsidR="0006001B" w:rsidRPr="008918F0" w:rsidRDefault="0006001B" w:rsidP="00026673">
      <w:pPr>
        <w:rPr>
          <w:b/>
          <w:lang w:val="fr-FR"/>
        </w:rPr>
      </w:pPr>
    </w:p>
    <w:p w:rsidR="00FB5BA8" w:rsidRPr="008918F0" w:rsidRDefault="00063CEC" w:rsidP="00FB5BA8">
      <w:pPr>
        <w:pStyle w:val="ONUMFS"/>
        <w:numPr>
          <w:ilvl w:val="0"/>
          <w:numId w:val="0"/>
        </w:numPr>
        <w:rPr>
          <w:lang w:val="fr-FR"/>
        </w:rPr>
      </w:pPr>
      <w:r w:rsidRPr="008918F0">
        <w:rPr>
          <w:lang w:val="fr-FR"/>
        </w:rPr>
        <w:t>L</w:t>
      </w:r>
      <w:r w:rsidR="003C4BC2" w:rsidRPr="008918F0">
        <w:rPr>
          <w:lang w:val="fr-FR"/>
        </w:rPr>
        <w:t xml:space="preserve">a finalité première </w:t>
      </w:r>
      <w:r w:rsidRPr="008918F0">
        <w:rPr>
          <w:lang w:val="fr-FR"/>
        </w:rPr>
        <w:t>de cette évaluation est de déterminer dans quelle mesure le projet a été correctement mis en œuvre et les résultats escomptés obten</w:t>
      </w:r>
      <w:r w:rsidR="00630E33" w:rsidRPr="008918F0">
        <w:rPr>
          <w:lang w:val="fr-FR"/>
        </w:rPr>
        <w:t>us.  El</w:t>
      </w:r>
      <w:r w:rsidR="003C4BC2" w:rsidRPr="008918F0">
        <w:rPr>
          <w:lang w:val="fr-FR"/>
        </w:rPr>
        <w:t xml:space="preserve">le </w:t>
      </w:r>
      <w:r w:rsidR="00EC0854" w:rsidRPr="008918F0">
        <w:rPr>
          <w:lang w:val="fr-FR"/>
        </w:rPr>
        <w:t>fondera</w:t>
      </w:r>
      <w:r w:rsidR="003C4BC2" w:rsidRPr="008918F0">
        <w:rPr>
          <w:lang w:val="fr-FR"/>
        </w:rPr>
        <w:t xml:space="preserve"> la prise de décisions du Comité du développement et de la propriété intellectuelle </w:t>
      </w:r>
      <w:r w:rsidR="0099473B" w:rsidRPr="008918F0">
        <w:rPr>
          <w:lang w:val="fr-FR"/>
        </w:rPr>
        <w:t>(CDIP).</w:t>
      </w:r>
    </w:p>
    <w:p w:rsidR="00FB5BA8" w:rsidRPr="008918F0" w:rsidRDefault="00063CEC" w:rsidP="00FB5BA8">
      <w:pPr>
        <w:pStyle w:val="ONUMFS"/>
        <w:numPr>
          <w:ilvl w:val="0"/>
          <w:numId w:val="0"/>
        </w:numPr>
        <w:rPr>
          <w:lang w:val="fr-FR"/>
        </w:rPr>
      </w:pPr>
      <w:r w:rsidRPr="008918F0">
        <w:rPr>
          <w:lang w:val="fr-FR"/>
        </w:rPr>
        <w:t>La présente évaluation vise un double objectif</w:t>
      </w:r>
      <w:r w:rsidR="00C959B2" w:rsidRPr="008918F0">
        <w:rPr>
          <w:lang w:val="fr-FR"/>
        </w:rPr>
        <w:t> :</w:t>
      </w:r>
    </w:p>
    <w:p w:rsidR="0006001B" w:rsidRPr="008918F0" w:rsidRDefault="003C4BC2" w:rsidP="00063CEC">
      <w:pPr>
        <w:pStyle w:val="ONUME"/>
        <w:numPr>
          <w:ilvl w:val="0"/>
          <w:numId w:val="18"/>
        </w:numPr>
        <w:rPr>
          <w:lang w:val="fr-FR"/>
        </w:rPr>
      </w:pPr>
      <w:r w:rsidRPr="008918F0">
        <w:rPr>
          <w:lang w:val="fr-FR"/>
        </w:rPr>
        <w:t>t</w:t>
      </w:r>
      <w:r w:rsidR="00063CEC" w:rsidRPr="008918F0">
        <w:rPr>
          <w:lang w:val="fr-FR"/>
        </w:rPr>
        <w:t xml:space="preserve">irer profit des expériences </w:t>
      </w:r>
      <w:r w:rsidRPr="008918F0">
        <w:rPr>
          <w:lang w:val="fr-FR"/>
        </w:rPr>
        <w:t>durant</w:t>
      </w:r>
      <w:r w:rsidR="00063CEC" w:rsidRPr="008918F0">
        <w:rPr>
          <w:lang w:val="fr-FR"/>
        </w:rPr>
        <w:t xml:space="preserve"> l</w:t>
      </w:r>
      <w:r w:rsidR="00C959B2" w:rsidRPr="008918F0">
        <w:rPr>
          <w:lang w:val="fr-FR"/>
        </w:rPr>
        <w:t>’</w:t>
      </w:r>
      <w:r w:rsidR="00063CEC" w:rsidRPr="008918F0">
        <w:rPr>
          <w:lang w:val="fr-FR"/>
        </w:rPr>
        <w:t>exécution du projet</w:t>
      </w:r>
      <w:r w:rsidR="00C959B2" w:rsidRPr="008918F0">
        <w:rPr>
          <w:lang w:val="fr-FR"/>
        </w:rPr>
        <w:t> :</w:t>
      </w:r>
      <w:r w:rsidR="00063CEC" w:rsidRPr="008918F0">
        <w:rPr>
          <w:lang w:val="fr-FR"/>
        </w:rPr>
        <w:t xml:space="preserve"> savoir ce qui a bien fonctionné et ce qui n</w:t>
      </w:r>
      <w:r w:rsidR="00C959B2" w:rsidRPr="008918F0">
        <w:rPr>
          <w:lang w:val="fr-FR"/>
        </w:rPr>
        <w:t>’</w:t>
      </w:r>
      <w:r w:rsidR="00063CEC" w:rsidRPr="008918F0">
        <w:rPr>
          <w:lang w:val="fr-FR"/>
        </w:rPr>
        <w:t>a pas bien fonctionné dans l</w:t>
      </w:r>
      <w:r w:rsidR="00C959B2" w:rsidRPr="008918F0">
        <w:rPr>
          <w:lang w:val="fr-FR"/>
        </w:rPr>
        <w:t>’</w:t>
      </w:r>
      <w:r w:rsidR="00063CEC" w:rsidRPr="008918F0">
        <w:rPr>
          <w:lang w:val="fr-FR"/>
        </w:rPr>
        <w:t xml:space="preserve">intérêt de la poursuite </w:t>
      </w:r>
      <w:r w:rsidRPr="008918F0">
        <w:rPr>
          <w:lang w:val="fr-FR"/>
        </w:rPr>
        <w:t>des activités dans le domaine concer</w:t>
      </w:r>
      <w:r w:rsidR="00630E33" w:rsidRPr="008918F0">
        <w:rPr>
          <w:lang w:val="fr-FR"/>
        </w:rPr>
        <w:t>né.  Ce</w:t>
      </w:r>
      <w:r w:rsidR="00063CEC" w:rsidRPr="008918F0">
        <w:rPr>
          <w:lang w:val="fr-FR"/>
        </w:rPr>
        <w:t>la inclut l</w:t>
      </w:r>
      <w:r w:rsidR="00C959B2" w:rsidRPr="008918F0">
        <w:rPr>
          <w:lang w:val="fr-FR"/>
        </w:rPr>
        <w:t>’</w:t>
      </w:r>
      <w:r w:rsidR="00063CEC" w:rsidRPr="008918F0">
        <w:rPr>
          <w:lang w:val="fr-FR"/>
        </w:rPr>
        <w:t xml:space="preserve">évaluation du cadre de conception du projet, la gestion de projet, </w:t>
      </w:r>
      <w:r w:rsidR="00C959B2" w:rsidRPr="008918F0">
        <w:rPr>
          <w:lang w:val="fr-FR"/>
        </w:rPr>
        <w:t>y compris</w:t>
      </w:r>
      <w:r w:rsidR="00063CEC" w:rsidRPr="008918F0">
        <w:rPr>
          <w:lang w:val="fr-FR"/>
        </w:rPr>
        <w:t xml:space="preserve"> les outils de suivi et d</w:t>
      </w:r>
      <w:r w:rsidR="00C959B2" w:rsidRPr="008918F0">
        <w:rPr>
          <w:lang w:val="fr-FR"/>
        </w:rPr>
        <w:t>’</w:t>
      </w:r>
      <w:r w:rsidR="00063CEC" w:rsidRPr="008918F0">
        <w:rPr>
          <w:lang w:val="fr-FR"/>
        </w:rPr>
        <w:t>établissement de rapports, ainsi que la mesure et le compte rendu des résultats obtenus à ce jour et l</w:t>
      </w:r>
      <w:r w:rsidR="00C959B2" w:rsidRPr="008918F0">
        <w:rPr>
          <w:lang w:val="fr-FR"/>
        </w:rPr>
        <w:t>’</w:t>
      </w:r>
      <w:r w:rsidR="00063CEC" w:rsidRPr="008918F0">
        <w:rPr>
          <w:lang w:val="fr-FR"/>
        </w:rPr>
        <w:t xml:space="preserve">évaluation de la durabilité </w:t>
      </w:r>
      <w:r w:rsidRPr="008918F0">
        <w:rPr>
          <w:lang w:val="fr-FR"/>
        </w:rPr>
        <w:t>probable des résultats obtenus;</w:t>
      </w:r>
    </w:p>
    <w:p w:rsidR="0006001B" w:rsidRPr="008918F0" w:rsidRDefault="003C4BC2" w:rsidP="0099473B">
      <w:pPr>
        <w:pStyle w:val="ONUME"/>
        <w:numPr>
          <w:ilvl w:val="0"/>
          <w:numId w:val="18"/>
        </w:numPr>
        <w:rPr>
          <w:lang w:val="fr-FR"/>
        </w:rPr>
      </w:pPr>
      <w:r w:rsidRPr="008918F0">
        <w:rPr>
          <w:lang w:val="fr-FR"/>
        </w:rPr>
        <w:t>fournir une évaluation fondée sur des données factuelles afin de soutenir la prise de décisions</w:t>
      </w:r>
      <w:r w:rsidR="00C959B2" w:rsidRPr="008918F0">
        <w:rPr>
          <w:lang w:val="fr-FR"/>
        </w:rPr>
        <w:t xml:space="preserve"> du CDI</w:t>
      </w:r>
      <w:r w:rsidRPr="008918F0">
        <w:rPr>
          <w:lang w:val="fr-FR"/>
        </w:rPr>
        <w:t>P concernant le développement de cette activité.</w:t>
      </w:r>
    </w:p>
    <w:p w:rsidR="00031E05" w:rsidRPr="008918F0" w:rsidRDefault="003C4BC2" w:rsidP="0099473B">
      <w:pPr>
        <w:pStyle w:val="ONUME"/>
        <w:numPr>
          <w:ilvl w:val="0"/>
          <w:numId w:val="0"/>
        </w:numPr>
        <w:rPr>
          <w:lang w:val="fr-FR"/>
        </w:rPr>
      </w:pPr>
      <w:r w:rsidRPr="008918F0">
        <w:rPr>
          <w:lang w:val="fr-FR"/>
        </w:rPr>
        <w:t>En particulier, l</w:t>
      </w:r>
      <w:r w:rsidR="00C959B2" w:rsidRPr="008918F0">
        <w:rPr>
          <w:lang w:val="fr-FR"/>
        </w:rPr>
        <w:t>’</w:t>
      </w:r>
      <w:r w:rsidRPr="008918F0">
        <w:rPr>
          <w:lang w:val="fr-FR"/>
        </w:rPr>
        <w:t>évaluation déterminera dans quelle mesure le projet a permis de faciliter l</w:t>
      </w:r>
      <w:r w:rsidR="00C959B2" w:rsidRPr="008918F0">
        <w:rPr>
          <w:lang w:val="fr-FR"/>
        </w:rPr>
        <w:t>’</w:t>
      </w:r>
      <w:r w:rsidRPr="008918F0">
        <w:rPr>
          <w:lang w:val="fr-FR"/>
        </w:rPr>
        <w:t xml:space="preserve">accès </w:t>
      </w:r>
      <w:r w:rsidR="00031E05" w:rsidRPr="008918F0">
        <w:rPr>
          <w:lang w:val="fr-FR"/>
        </w:rPr>
        <w:t>des pays en développement et</w:t>
      </w:r>
      <w:r w:rsidR="00C959B2" w:rsidRPr="008918F0">
        <w:rPr>
          <w:lang w:val="fr-FR"/>
        </w:rPr>
        <w:t xml:space="preserve"> des PMA</w:t>
      </w:r>
      <w:r w:rsidR="00031E05" w:rsidRPr="008918F0">
        <w:rPr>
          <w:lang w:val="fr-FR"/>
        </w:rPr>
        <w:t xml:space="preserve"> </w:t>
      </w:r>
      <w:r w:rsidRPr="008918F0">
        <w:rPr>
          <w:lang w:val="fr-FR"/>
        </w:rPr>
        <w:t>au</w:t>
      </w:r>
      <w:r w:rsidR="00031E05" w:rsidRPr="008918F0">
        <w:rPr>
          <w:lang w:val="fr-FR"/>
        </w:rPr>
        <w:t>x</w:t>
      </w:r>
      <w:r w:rsidRPr="008918F0">
        <w:rPr>
          <w:lang w:val="fr-FR"/>
        </w:rPr>
        <w:t xml:space="preserve"> savoir</w:t>
      </w:r>
      <w:r w:rsidR="00031E05" w:rsidRPr="008918F0">
        <w:rPr>
          <w:lang w:val="fr-FR"/>
        </w:rPr>
        <w:t>s</w:t>
      </w:r>
      <w:r w:rsidRPr="008918F0">
        <w:rPr>
          <w:lang w:val="fr-FR"/>
        </w:rPr>
        <w:t xml:space="preserve"> et à la technologie et d</w:t>
      </w:r>
      <w:r w:rsidR="00C959B2" w:rsidRPr="008918F0">
        <w:rPr>
          <w:lang w:val="fr-FR"/>
        </w:rPr>
        <w:t>’</w:t>
      </w:r>
      <w:r w:rsidRPr="008918F0">
        <w:rPr>
          <w:lang w:val="fr-FR"/>
        </w:rPr>
        <w:t xml:space="preserve">aider les États membres intéressés à </w:t>
      </w:r>
      <w:r w:rsidR="00031E05" w:rsidRPr="008918F0">
        <w:rPr>
          <w:lang w:val="fr-FR"/>
        </w:rPr>
        <w:t>identifier</w:t>
      </w:r>
      <w:r w:rsidRPr="008918F0">
        <w:rPr>
          <w:lang w:val="fr-FR"/>
        </w:rPr>
        <w:t xml:space="preserve"> et </w:t>
      </w:r>
      <w:r w:rsidR="00EC0854" w:rsidRPr="008918F0">
        <w:rPr>
          <w:lang w:val="fr-FR"/>
        </w:rPr>
        <w:t xml:space="preserve">à </w:t>
      </w:r>
      <w:r w:rsidR="00031E05" w:rsidRPr="008918F0">
        <w:rPr>
          <w:lang w:val="fr-FR"/>
        </w:rPr>
        <w:t>utiliser</w:t>
      </w:r>
      <w:r w:rsidRPr="008918F0">
        <w:rPr>
          <w:lang w:val="fr-FR"/>
        </w:rPr>
        <w:t xml:space="preserve"> les </w:t>
      </w:r>
      <w:r w:rsidR="00031E05" w:rsidRPr="008918F0">
        <w:rPr>
          <w:lang w:val="fr-FR"/>
        </w:rPr>
        <w:t>informations</w:t>
      </w:r>
      <w:r w:rsidRPr="008918F0">
        <w:rPr>
          <w:lang w:val="fr-FR"/>
        </w:rPr>
        <w:t xml:space="preserve"> </w:t>
      </w:r>
      <w:r w:rsidR="00031E05" w:rsidRPr="008918F0">
        <w:rPr>
          <w:lang w:val="fr-FR"/>
        </w:rPr>
        <w:t>figur</w:t>
      </w:r>
      <w:r w:rsidR="00EC0854" w:rsidRPr="008918F0">
        <w:rPr>
          <w:lang w:val="fr-FR"/>
        </w:rPr>
        <w:t>a</w:t>
      </w:r>
      <w:r w:rsidR="00031E05" w:rsidRPr="008918F0">
        <w:rPr>
          <w:lang w:val="fr-FR"/>
        </w:rPr>
        <w:t xml:space="preserve">nt </w:t>
      </w:r>
      <w:r w:rsidR="00EC0854" w:rsidRPr="008918F0">
        <w:rPr>
          <w:lang w:val="fr-FR"/>
        </w:rPr>
        <w:t xml:space="preserve">dans le domaine public ou qui sont tombées dedans dans leur territoire </w:t>
      </w:r>
      <w:r w:rsidRPr="008918F0">
        <w:rPr>
          <w:lang w:val="fr-FR"/>
        </w:rPr>
        <w:t xml:space="preserve">en </w:t>
      </w:r>
      <w:r w:rsidR="00031E05" w:rsidRPr="008918F0">
        <w:rPr>
          <w:lang w:val="fr-FR"/>
        </w:rPr>
        <w:t>encourageant la fourniture</w:t>
      </w:r>
      <w:r w:rsidR="00C959B2" w:rsidRPr="008918F0">
        <w:rPr>
          <w:lang w:val="fr-FR"/>
        </w:rPr>
        <w:t> :</w:t>
      </w:r>
    </w:p>
    <w:p w:rsidR="00031E05" w:rsidRPr="008918F0" w:rsidRDefault="00031E05" w:rsidP="00FB5BA8">
      <w:pPr>
        <w:pStyle w:val="ONUME"/>
        <w:numPr>
          <w:ilvl w:val="0"/>
          <w:numId w:val="29"/>
        </w:numPr>
        <w:ind w:left="567" w:hanging="567"/>
        <w:rPr>
          <w:b/>
          <w:bCs/>
          <w:lang w:val="fr-FR"/>
        </w:rPr>
      </w:pPr>
      <w:r w:rsidRPr="008918F0">
        <w:rPr>
          <w:lang w:val="fr-FR"/>
        </w:rPr>
        <w:t>de services améliorés de centres d</w:t>
      </w:r>
      <w:r w:rsidR="00C959B2" w:rsidRPr="008918F0">
        <w:rPr>
          <w:lang w:val="fr-FR"/>
        </w:rPr>
        <w:t>’</w:t>
      </w:r>
      <w:r w:rsidRPr="008918F0">
        <w:rPr>
          <w:lang w:val="fr-FR"/>
        </w:rPr>
        <w:t>appui à la technologie et à l</w:t>
      </w:r>
      <w:r w:rsidR="00C959B2" w:rsidRPr="008918F0">
        <w:rPr>
          <w:lang w:val="fr-FR"/>
        </w:rPr>
        <w:t>’</w:t>
      </w:r>
      <w:r w:rsidRPr="008918F0">
        <w:rPr>
          <w:lang w:val="fr-FR"/>
        </w:rPr>
        <w:t>innovation (CATI) pour identifier les inventions figurant dans le domaine public</w:t>
      </w:r>
      <w:r w:rsidR="0099473B" w:rsidRPr="008918F0">
        <w:rPr>
          <w:lang w:val="fr-FR"/>
        </w:rPr>
        <w:t>;</w:t>
      </w:r>
    </w:p>
    <w:p w:rsidR="00031E05" w:rsidRPr="008918F0" w:rsidRDefault="00031E05" w:rsidP="00FB5BA8">
      <w:pPr>
        <w:pStyle w:val="ONUME"/>
        <w:numPr>
          <w:ilvl w:val="0"/>
          <w:numId w:val="29"/>
        </w:numPr>
        <w:ind w:left="567" w:hanging="567"/>
        <w:rPr>
          <w:b/>
          <w:bCs/>
          <w:lang w:val="fr-FR"/>
        </w:rPr>
      </w:pPr>
      <w:r w:rsidRPr="008918F0">
        <w:rPr>
          <w:lang w:val="fr-FR"/>
        </w:rPr>
        <w:t>de services améliorés de CATI pour promouvoir l</w:t>
      </w:r>
      <w:r w:rsidR="00C959B2" w:rsidRPr="008918F0">
        <w:rPr>
          <w:lang w:val="fr-FR"/>
        </w:rPr>
        <w:t>’</w:t>
      </w:r>
      <w:r w:rsidRPr="008918F0">
        <w:rPr>
          <w:lang w:val="fr-FR"/>
        </w:rPr>
        <w:t>utilisation des inventions figurant dans le domaine public comme point de départ pour l</w:t>
      </w:r>
      <w:r w:rsidR="00C959B2" w:rsidRPr="008918F0">
        <w:rPr>
          <w:lang w:val="fr-FR"/>
        </w:rPr>
        <w:t>’</w:t>
      </w:r>
      <w:r w:rsidRPr="008918F0">
        <w:rPr>
          <w:lang w:val="fr-FR"/>
        </w:rPr>
        <w:t>obtention de nouveaux résultats de recherche et la création de nouveaux produits, et favoriser leur gestion et leur commercialisation ultérieures;</w:t>
      </w:r>
      <w:r w:rsidR="0099473B" w:rsidRPr="008918F0">
        <w:rPr>
          <w:lang w:val="fr-FR"/>
        </w:rPr>
        <w:t xml:space="preserve"> </w:t>
      </w:r>
      <w:r w:rsidR="00DB6EA5" w:rsidRPr="008918F0">
        <w:rPr>
          <w:lang w:val="fr-FR"/>
        </w:rPr>
        <w:t xml:space="preserve"> </w:t>
      </w:r>
      <w:r w:rsidRPr="008918F0">
        <w:rPr>
          <w:lang w:val="fr-FR"/>
        </w:rPr>
        <w:t>et</w:t>
      </w:r>
    </w:p>
    <w:p w:rsidR="0006001B" w:rsidRPr="008918F0" w:rsidRDefault="00031E05" w:rsidP="00FB5BA8">
      <w:pPr>
        <w:pStyle w:val="ONUME"/>
        <w:numPr>
          <w:ilvl w:val="0"/>
          <w:numId w:val="29"/>
        </w:numPr>
        <w:ind w:left="567" w:hanging="567"/>
        <w:rPr>
          <w:b/>
          <w:bCs/>
          <w:lang w:val="fr-FR"/>
        </w:rPr>
      </w:pPr>
      <w:r w:rsidRPr="008918F0">
        <w:rPr>
          <w:lang w:val="fr-FR"/>
        </w:rPr>
        <w:t>d</w:t>
      </w:r>
      <w:r w:rsidR="00C959B2" w:rsidRPr="008918F0">
        <w:rPr>
          <w:lang w:val="fr-FR"/>
        </w:rPr>
        <w:t>’</w:t>
      </w:r>
      <w:r w:rsidRPr="008918F0">
        <w:rPr>
          <w:lang w:val="fr-FR"/>
        </w:rPr>
        <w:t>un portail amélioré sur la situation juridique qui soit plus facile à utiliser et qui propose un contenu élargi sur les moyens d</w:t>
      </w:r>
      <w:r w:rsidR="00C959B2" w:rsidRPr="008918F0">
        <w:rPr>
          <w:lang w:val="fr-FR"/>
        </w:rPr>
        <w:t>’</w:t>
      </w:r>
      <w:r w:rsidRPr="008918F0">
        <w:rPr>
          <w:lang w:val="fr-FR"/>
        </w:rPr>
        <w:t>obtenir des informations sur la situation juridique dans différents territoires</w:t>
      </w:r>
      <w:r w:rsidR="0099473B" w:rsidRPr="008918F0">
        <w:rPr>
          <w:lang w:val="fr-FR"/>
        </w:rPr>
        <w:t>.</w:t>
      </w:r>
    </w:p>
    <w:p w:rsidR="0006001B" w:rsidRPr="008918F0" w:rsidRDefault="00BE141D" w:rsidP="00BE141D">
      <w:pPr>
        <w:rPr>
          <w:b/>
          <w:lang w:val="fr-FR"/>
        </w:rPr>
      </w:pPr>
      <w:r w:rsidRPr="008918F0">
        <w:rPr>
          <w:b/>
          <w:lang w:val="fr-FR"/>
        </w:rPr>
        <w:t>3.</w:t>
      </w:r>
      <w:r w:rsidRPr="008918F0">
        <w:rPr>
          <w:b/>
          <w:lang w:val="fr-FR"/>
        </w:rPr>
        <w:tab/>
      </w:r>
      <w:r w:rsidR="00031E05" w:rsidRPr="008918F0">
        <w:rPr>
          <w:b/>
          <w:lang w:val="fr-FR"/>
        </w:rPr>
        <w:t>Stratégie d</w:t>
      </w:r>
      <w:r w:rsidR="00C959B2" w:rsidRPr="008918F0">
        <w:rPr>
          <w:b/>
          <w:lang w:val="fr-FR"/>
        </w:rPr>
        <w:t>’</w:t>
      </w:r>
      <w:r w:rsidR="00031E05" w:rsidRPr="008918F0">
        <w:rPr>
          <w:b/>
          <w:lang w:val="fr-FR"/>
        </w:rPr>
        <w:t>évaluation</w:t>
      </w:r>
    </w:p>
    <w:p w:rsidR="0006001B" w:rsidRPr="008918F0" w:rsidRDefault="0006001B" w:rsidP="00C81CD7">
      <w:pPr>
        <w:pStyle w:val="Reporttext"/>
        <w:spacing w:before="0"/>
        <w:ind w:firstLine="0"/>
        <w:rPr>
          <w:rFonts w:ascii="Arial" w:hAnsi="Arial" w:cs="Arial"/>
          <w:lang w:val="fr-FR"/>
        </w:rPr>
      </w:pPr>
    </w:p>
    <w:p w:rsidR="00FB5BA8" w:rsidRPr="008918F0" w:rsidRDefault="00031E05" w:rsidP="00FB5BA8">
      <w:pPr>
        <w:pStyle w:val="ListParagraph"/>
        <w:numPr>
          <w:ilvl w:val="0"/>
          <w:numId w:val="39"/>
        </w:numPr>
        <w:spacing w:after="220"/>
        <w:ind w:left="567" w:hanging="567"/>
        <w:contextualSpacing w:val="0"/>
        <w:rPr>
          <w:lang w:val="fr-FR"/>
        </w:rPr>
      </w:pPr>
      <w:r w:rsidRPr="008918F0">
        <w:rPr>
          <w:lang w:val="fr-FR"/>
        </w:rPr>
        <w:t>L</w:t>
      </w:r>
      <w:r w:rsidR="00C959B2" w:rsidRPr="008918F0">
        <w:rPr>
          <w:lang w:val="fr-FR"/>
        </w:rPr>
        <w:t>’</w:t>
      </w:r>
      <w:r w:rsidRPr="008918F0">
        <w:rPr>
          <w:lang w:val="fr-FR"/>
        </w:rPr>
        <w:t>évaluation sera réalisée selon une démarche participative et fera intervenir toutes les parties prenantes concernées dans les différentes étapes de l</w:t>
      </w:r>
      <w:r w:rsidR="00C959B2" w:rsidRPr="008918F0">
        <w:rPr>
          <w:lang w:val="fr-FR"/>
        </w:rPr>
        <w:t>’</w:t>
      </w:r>
      <w:r w:rsidRPr="008918F0">
        <w:rPr>
          <w:lang w:val="fr-FR"/>
        </w:rPr>
        <w:t>évaluation, dans la mesure du possible</w:t>
      </w:r>
      <w:r w:rsidR="00063CEC" w:rsidRPr="008918F0">
        <w:rPr>
          <w:lang w:val="fr-FR"/>
        </w:rPr>
        <w:t>.</w:t>
      </w:r>
    </w:p>
    <w:p w:rsidR="00FB5BA8" w:rsidRPr="008918F0" w:rsidRDefault="00063CEC" w:rsidP="00FB5BA8">
      <w:pPr>
        <w:pStyle w:val="ListParagraph"/>
        <w:numPr>
          <w:ilvl w:val="0"/>
          <w:numId w:val="39"/>
        </w:numPr>
        <w:spacing w:after="220"/>
        <w:ind w:left="567" w:hanging="567"/>
        <w:contextualSpacing w:val="0"/>
        <w:rPr>
          <w:lang w:val="fr-FR"/>
        </w:rPr>
      </w:pPr>
      <w:r w:rsidRPr="008918F0">
        <w:rPr>
          <w:lang w:val="fr-FR"/>
        </w:rPr>
        <w:t>Les informations et les données seront recueillies à partir de sources multiples, selon différentes méthodes de recherche, de sorte que les résultats obtenus puissent être recoupés.</w:t>
      </w:r>
    </w:p>
    <w:p w:rsidR="00FB5BA8" w:rsidRPr="008918F0" w:rsidRDefault="00063CEC" w:rsidP="00FB5BA8">
      <w:pPr>
        <w:pStyle w:val="ListParagraph"/>
        <w:numPr>
          <w:ilvl w:val="0"/>
          <w:numId w:val="39"/>
        </w:numPr>
        <w:spacing w:after="220"/>
        <w:ind w:left="567" w:hanging="567"/>
        <w:contextualSpacing w:val="0"/>
        <w:rPr>
          <w:lang w:val="fr-FR"/>
        </w:rPr>
      </w:pPr>
      <w:r w:rsidRPr="008918F0">
        <w:rPr>
          <w:lang w:val="fr-FR"/>
        </w:rPr>
        <w:lastRenderedPageBreak/>
        <w:t>L</w:t>
      </w:r>
      <w:r w:rsidR="00C959B2" w:rsidRPr="008918F0">
        <w:rPr>
          <w:lang w:val="fr-FR"/>
        </w:rPr>
        <w:t>’</w:t>
      </w:r>
      <w:r w:rsidRPr="008918F0">
        <w:rPr>
          <w:lang w:val="fr-FR"/>
        </w:rPr>
        <w:t>évaluation comprendra dans une même mesure des questions relatives à la conception du projet (“ce qui a fonctionné”) et des questions relatives à l</w:t>
      </w:r>
      <w:r w:rsidR="00C959B2" w:rsidRPr="008918F0">
        <w:rPr>
          <w:lang w:val="fr-FR"/>
        </w:rPr>
        <w:t>’</w:t>
      </w:r>
      <w:r w:rsidRPr="008918F0">
        <w:rPr>
          <w:lang w:val="fr-FR"/>
        </w:rPr>
        <w:t>utilité du projet (“ce qui a été réalisé”).</w:t>
      </w:r>
      <w:r w:rsidR="0099473B" w:rsidRPr="008918F0">
        <w:rPr>
          <w:lang w:val="fr-FR"/>
        </w:rPr>
        <w:t xml:space="preserve"> </w:t>
      </w:r>
      <w:r w:rsidR="00DB6EA5" w:rsidRPr="008918F0">
        <w:rPr>
          <w:lang w:val="fr-FR"/>
        </w:rPr>
        <w:t xml:space="preserve"> </w:t>
      </w:r>
      <w:r w:rsidRPr="008918F0">
        <w:rPr>
          <w:lang w:val="fr-FR"/>
        </w:rPr>
        <w:t>Cette évaluation contribuera directement à la réalisation des objectifs susmentionnés.</w:t>
      </w:r>
    </w:p>
    <w:p w:rsidR="0006001B" w:rsidRPr="008918F0" w:rsidRDefault="00C81CD7" w:rsidP="00C81CD7">
      <w:pPr>
        <w:rPr>
          <w:b/>
          <w:lang w:val="fr-FR"/>
        </w:rPr>
      </w:pPr>
      <w:r w:rsidRPr="008918F0">
        <w:rPr>
          <w:b/>
          <w:lang w:val="fr-FR"/>
        </w:rPr>
        <w:t>4.</w:t>
      </w:r>
      <w:r w:rsidR="00DB6EA5" w:rsidRPr="008918F0">
        <w:rPr>
          <w:b/>
          <w:lang w:val="fr-FR"/>
        </w:rPr>
        <w:t xml:space="preserve"> </w:t>
      </w:r>
      <w:r w:rsidRPr="008918F0">
        <w:rPr>
          <w:b/>
          <w:lang w:val="fr-FR"/>
        </w:rPr>
        <w:t xml:space="preserve"> </w:t>
      </w:r>
      <w:r w:rsidR="00A22008" w:rsidRPr="008918F0">
        <w:rPr>
          <w:b/>
          <w:lang w:val="fr-FR"/>
        </w:rPr>
        <w:tab/>
      </w:r>
      <w:r w:rsidR="00031E05" w:rsidRPr="008918F0">
        <w:rPr>
          <w:b/>
          <w:lang w:val="fr-FR"/>
        </w:rPr>
        <w:t>Cadre d</w:t>
      </w:r>
      <w:r w:rsidR="00C959B2" w:rsidRPr="008918F0">
        <w:rPr>
          <w:b/>
          <w:lang w:val="fr-FR"/>
        </w:rPr>
        <w:t>’</w:t>
      </w:r>
      <w:r w:rsidR="00031E05" w:rsidRPr="008918F0">
        <w:rPr>
          <w:b/>
          <w:lang w:val="fr-FR"/>
        </w:rPr>
        <w:t>évaluation</w:t>
      </w:r>
    </w:p>
    <w:p w:rsidR="00C81CD7" w:rsidRPr="008918F0" w:rsidRDefault="00C81CD7" w:rsidP="00FB5BA8">
      <w:pPr>
        <w:rPr>
          <w:lang w:val="fr-FR"/>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1"/>
        <w:gridCol w:w="1843"/>
        <w:gridCol w:w="1936"/>
        <w:gridCol w:w="2033"/>
      </w:tblGrid>
      <w:tr w:rsidR="00774F00" w:rsidRPr="008918F0" w:rsidTr="00AB7A2D">
        <w:trPr>
          <w:cantSplit/>
          <w:tblHeader/>
        </w:trPr>
        <w:tc>
          <w:tcPr>
            <w:tcW w:w="3261" w:type="dxa"/>
            <w:tcBorders>
              <w:bottom w:val="single" w:sz="4" w:space="0" w:color="auto"/>
            </w:tcBorders>
          </w:tcPr>
          <w:p w:rsidR="0099473B" w:rsidRPr="008918F0" w:rsidRDefault="00063CEC" w:rsidP="00FB5BA8">
            <w:pPr>
              <w:spacing w:line="240" w:lineRule="atLeast"/>
              <w:rPr>
                <w:b/>
                <w:sz w:val="20"/>
                <w:lang w:val="fr-FR"/>
              </w:rPr>
            </w:pPr>
            <w:r w:rsidRPr="008918F0">
              <w:rPr>
                <w:b/>
                <w:sz w:val="20"/>
                <w:lang w:val="fr-FR"/>
              </w:rPr>
              <w:t>Thème et questions</w:t>
            </w:r>
          </w:p>
        </w:tc>
        <w:tc>
          <w:tcPr>
            <w:tcW w:w="1843" w:type="dxa"/>
            <w:tcBorders>
              <w:bottom w:val="single" w:sz="4" w:space="0" w:color="auto"/>
            </w:tcBorders>
          </w:tcPr>
          <w:p w:rsidR="0099473B" w:rsidRPr="008918F0" w:rsidRDefault="00063CEC" w:rsidP="00FB5BA8">
            <w:pPr>
              <w:spacing w:line="240" w:lineRule="atLeast"/>
              <w:rPr>
                <w:b/>
                <w:sz w:val="20"/>
                <w:lang w:val="fr-FR"/>
              </w:rPr>
            </w:pPr>
            <w:r w:rsidRPr="008918F0">
              <w:rPr>
                <w:b/>
                <w:sz w:val="20"/>
                <w:lang w:val="fr-FR"/>
              </w:rPr>
              <w:t>Indicateurs proposés</w:t>
            </w:r>
          </w:p>
        </w:tc>
        <w:tc>
          <w:tcPr>
            <w:tcW w:w="1936" w:type="dxa"/>
            <w:tcBorders>
              <w:bottom w:val="single" w:sz="4" w:space="0" w:color="auto"/>
            </w:tcBorders>
          </w:tcPr>
          <w:p w:rsidR="0099473B" w:rsidRPr="008918F0" w:rsidRDefault="00063CEC" w:rsidP="00FB5BA8">
            <w:pPr>
              <w:spacing w:line="240" w:lineRule="atLeast"/>
              <w:rPr>
                <w:b/>
                <w:sz w:val="20"/>
                <w:lang w:val="fr-FR"/>
              </w:rPr>
            </w:pPr>
            <w:r w:rsidRPr="008918F0">
              <w:rPr>
                <w:b/>
                <w:sz w:val="20"/>
                <w:lang w:val="fr-FR"/>
              </w:rPr>
              <w:t>Outils de collecte de données</w:t>
            </w:r>
          </w:p>
        </w:tc>
        <w:tc>
          <w:tcPr>
            <w:tcW w:w="2033" w:type="dxa"/>
            <w:tcBorders>
              <w:bottom w:val="single" w:sz="4" w:space="0" w:color="auto"/>
            </w:tcBorders>
          </w:tcPr>
          <w:p w:rsidR="0099473B" w:rsidRPr="008918F0" w:rsidRDefault="00063CEC" w:rsidP="00FB5BA8">
            <w:pPr>
              <w:spacing w:line="240" w:lineRule="atLeast"/>
              <w:rPr>
                <w:b/>
                <w:sz w:val="20"/>
                <w:lang w:val="fr-FR"/>
              </w:rPr>
            </w:pPr>
            <w:r w:rsidRPr="008918F0">
              <w:rPr>
                <w:b/>
                <w:sz w:val="20"/>
                <w:lang w:val="fr-FR"/>
              </w:rPr>
              <w:t>Sources d</w:t>
            </w:r>
            <w:r w:rsidR="00C959B2" w:rsidRPr="008918F0">
              <w:rPr>
                <w:b/>
                <w:sz w:val="20"/>
                <w:lang w:val="fr-FR"/>
              </w:rPr>
              <w:t>’</w:t>
            </w:r>
            <w:r w:rsidRPr="008918F0">
              <w:rPr>
                <w:b/>
                <w:sz w:val="20"/>
                <w:lang w:val="fr-FR"/>
              </w:rPr>
              <w:t>information</w:t>
            </w:r>
          </w:p>
        </w:tc>
      </w:tr>
      <w:tr w:rsidR="00774F00" w:rsidRPr="008918F0" w:rsidTr="00AB7A2D">
        <w:trPr>
          <w:cantSplit/>
        </w:trPr>
        <w:tc>
          <w:tcPr>
            <w:tcW w:w="9073" w:type="dxa"/>
            <w:gridSpan w:val="4"/>
            <w:tcBorders>
              <w:bottom w:val="single" w:sz="4" w:space="0" w:color="auto"/>
            </w:tcBorders>
          </w:tcPr>
          <w:p w:rsidR="0099473B" w:rsidRPr="008918F0" w:rsidRDefault="00063CEC" w:rsidP="00FB5BA8">
            <w:pPr>
              <w:rPr>
                <w:b/>
                <w:sz w:val="20"/>
                <w:lang w:val="fr-FR"/>
              </w:rPr>
            </w:pPr>
            <w:r w:rsidRPr="008918F0">
              <w:rPr>
                <w:b/>
                <w:sz w:val="20"/>
                <w:lang w:val="fr-FR"/>
              </w:rPr>
              <w:t>Conception et gestion du projet</w:t>
            </w:r>
          </w:p>
        </w:tc>
      </w:tr>
      <w:tr w:rsidR="00774F00" w:rsidRPr="008918F0" w:rsidTr="00AB7A2D">
        <w:trPr>
          <w:cantSplit/>
        </w:trPr>
        <w:tc>
          <w:tcPr>
            <w:tcW w:w="3261" w:type="dxa"/>
            <w:tcBorders>
              <w:bottom w:val="single" w:sz="4" w:space="0" w:color="auto"/>
            </w:tcBorders>
          </w:tcPr>
          <w:p w:rsidR="0099473B" w:rsidRPr="008918F0" w:rsidRDefault="0099473B" w:rsidP="00FB5BA8">
            <w:pPr>
              <w:rPr>
                <w:sz w:val="20"/>
                <w:lang w:val="fr-FR"/>
              </w:rPr>
            </w:pPr>
            <w:r w:rsidRPr="008918F0">
              <w:rPr>
                <w:sz w:val="20"/>
                <w:lang w:val="fr-FR"/>
              </w:rPr>
              <w:t>1.</w:t>
            </w:r>
            <w:r w:rsidR="00FB5BA8" w:rsidRPr="008918F0">
              <w:rPr>
                <w:sz w:val="20"/>
                <w:lang w:val="fr-FR"/>
              </w:rPr>
              <w:tab/>
            </w:r>
            <w:r w:rsidR="00031E05" w:rsidRPr="008918F0">
              <w:rPr>
                <w:sz w:val="20"/>
                <w:lang w:val="fr-FR"/>
              </w:rPr>
              <w:t>Pertinence du descriptif d</w:t>
            </w:r>
            <w:r w:rsidR="00EC0854" w:rsidRPr="008918F0">
              <w:rPr>
                <w:sz w:val="20"/>
                <w:lang w:val="fr-FR"/>
              </w:rPr>
              <w:t>e</w:t>
            </w:r>
            <w:r w:rsidR="00031E05" w:rsidRPr="008918F0">
              <w:rPr>
                <w:sz w:val="20"/>
                <w:lang w:val="fr-FR"/>
              </w:rPr>
              <w:t xml:space="preserve"> projet initial en tant que guide pour la mise en œuvre du projet et l</w:t>
            </w:r>
            <w:r w:rsidR="00C959B2" w:rsidRPr="008918F0">
              <w:rPr>
                <w:sz w:val="20"/>
                <w:lang w:val="fr-FR"/>
              </w:rPr>
              <w:t>’</w:t>
            </w:r>
            <w:r w:rsidR="00031E05" w:rsidRPr="008918F0">
              <w:rPr>
                <w:sz w:val="20"/>
                <w:lang w:val="fr-FR"/>
              </w:rPr>
              <w:t>évaluation des résultats obtenus</w:t>
            </w:r>
            <w:r w:rsidRPr="008918F0">
              <w:rPr>
                <w:sz w:val="20"/>
                <w:lang w:val="fr-FR"/>
              </w:rPr>
              <w:t>.</w:t>
            </w:r>
          </w:p>
        </w:tc>
        <w:tc>
          <w:tcPr>
            <w:tcW w:w="1843" w:type="dxa"/>
            <w:tcBorders>
              <w:bottom w:val="single" w:sz="4" w:space="0" w:color="auto"/>
            </w:tcBorders>
          </w:tcPr>
          <w:p w:rsidR="0099473B" w:rsidRPr="008918F0" w:rsidRDefault="00063CEC" w:rsidP="00FB5BA8">
            <w:pPr>
              <w:rPr>
                <w:sz w:val="20"/>
                <w:lang w:val="fr-FR"/>
              </w:rPr>
            </w:pPr>
            <w:r w:rsidRPr="008918F0">
              <w:rPr>
                <w:sz w:val="20"/>
                <w:lang w:val="fr-FR"/>
              </w:rPr>
              <w:t>Modifications requises durant la mise en œuvre du projet</w:t>
            </w:r>
          </w:p>
        </w:tc>
        <w:tc>
          <w:tcPr>
            <w:tcW w:w="1936" w:type="dxa"/>
            <w:tcBorders>
              <w:bottom w:val="single" w:sz="4" w:space="0" w:color="auto"/>
            </w:tcBorders>
          </w:tcPr>
          <w:p w:rsidR="00C959B2" w:rsidRPr="008918F0" w:rsidRDefault="00063CEC" w:rsidP="00FB5BA8">
            <w:pPr>
              <w:rPr>
                <w:sz w:val="20"/>
                <w:lang w:val="fr-FR"/>
              </w:rPr>
            </w:pPr>
            <w:r w:rsidRPr="008918F0">
              <w:rPr>
                <w:sz w:val="20"/>
                <w:lang w:val="fr-FR"/>
              </w:rPr>
              <w:t>Examen des documents</w:t>
            </w:r>
          </w:p>
          <w:p w:rsidR="0099473B" w:rsidRPr="008918F0" w:rsidRDefault="00063CEC" w:rsidP="00FB5BA8">
            <w:pPr>
              <w:rPr>
                <w:sz w:val="20"/>
                <w:lang w:val="fr-FR"/>
              </w:rPr>
            </w:pPr>
            <w:r w:rsidRPr="008918F0">
              <w:rPr>
                <w:sz w:val="20"/>
                <w:lang w:val="fr-FR"/>
              </w:rPr>
              <w:t>Entretiens</w:t>
            </w:r>
          </w:p>
        </w:tc>
        <w:tc>
          <w:tcPr>
            <w:tcW w:w="2033" w:type="dxa"/>
            <w:tcBorders>
              <w:bottom w:val="single" w:sz="4" w:space="0" w:color="auto"/>
            </w:tcBorders>
          </w:tcPr>
          <w:p w:rsidR="006D2F48" w:rsidRPr="008918F0" w:rsidRDefault="00063CEC"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063CEC" w:rsidP="00FB5BA8">
            <w:pPr>
              <w:rPr>
                <w:sz w:val="20"/>
                <w:lang w:val="fr-FR"/>
              </w:rPr>
            </w:pPr>
            <w:r w:rsidRPr="008918F0">
              <w:rPr>
                <w:sz w:val="20"/>
                <w:lang w:val="fr-FR"/>
              </w:rPr>
              <w:t>Parties prenantes externes</w:t>
            </w:r>
          </w:p>
        </w:tc>
      </w:tr>
      <w:tr w:rsidR="00774F00" w:rsidRPr="008918F0" w:rsidTr="00AB7A2D">
        <w:trPr>
          <w:cantSplit/>
        </w:trPr>
        <w:tc>
          <w:tcPr>
            <w:tcW w:w="3261" w:type="dxa"/>
            <w:tcBorders>
              <w:bottom w:val="single" w:sz="4" w:space="0" w:color="auto"/>
            </w:tcBorders>
          </w:tcPr>
          <w:p w:rsidR="0099473B" w:rsidRPr="008918F0" w:rsidRDefault="00FB5BA8" w:rsidP="00FB5BA8">
            <w:pPr>
              <w:rPr>
                <w:sz w:val="20"/>
                <w:lang w:val="fr-FR"/>
              </w:rPr>
            </w:pPr>
            <w:r w:rsidRPr="008918F0">
              <w:rPr>
                <w:sz w:val="20"/>
                <w:lang w:val="fr-FR"/>
              </w:rPr>
              <w:t>2.</w:t>
            </w:r>
            <w:r w:rsidRPr="008918F0">
              <w:rPr>
                <w:sz w:val="20"/>
                <w:lang w:val="fr-FR"/>
              </w:rPr>
              <w:tab/>
            </w:r>
            <w:r w:rsidR="00031E05" w:rsidRPr="008918F0">
              <w:rPr>
                <w:sz w:val="20"/>
                <w:lang w:val="fr-FR"/>
              </w:rPr>
              <w:t>Outils de suivi du projet, d</w:t>
            </w:r>
            <w:r w:rsidR="00C959B2" w:rsidRPr="008918F0">
              <w:rPr>
                <w:sz w:val="20"/>
                <w:lang w:val="fr-FR"/>
              </w:rPr>
              <w:t>’</w:t>
            </w:r>
            <w:r w:rsidR="00031E05" w:rsidRPr="008918F0">
              <w:rPr>
                <w:sz w:val="20"/>
                <w:lang w:val="fr-FR"/>
              </w:rPr>
              <w:t>autoévaluation et d</w:t>
            </w:r>
            <w:r w:rsidR="00C959B2" w:rsidRPr="008918F0">
              <w:rPr>
                <w:sz w:val="20"/>
                <w:lang w:val="fr-FR"/>
              </w:rPr>
              <w:t>’</w:t>
            </w:r>
            <w:r w:rsidR="00031E05" w:rsidRPr="008918F0">
              <w:rPr>
                <w:sz w:val="20"/>
                <w:lang w:val="fr-FR"/>
              </w:rPr>
              <w:t xml:space="preserve">établissement de rapports et analyse de leur utilité et de leur adéquation </w:t>
            </w:r>
            <w:r w:rsidR="00EC0854" w:rsidRPr="008918F0">
              <w:rPr>
                <w:sz w:val="20"/>
                <w:lang w:val="fr-FR"/>
              </w:rPr>
              <w:t>pour</w:t>
            </w:r>
            <w:r w:rsidR="00031E05" w:rsidRPr="008918F0">
              <w:rPr>
                <w:sz w:val="20"/>
                <w:lang w:val="fr-FR"/>
              </w:rPr>
              <w:t xml:space="preserve"> fournir à l</w:t>
            </w:r>
            <w:r w:rsidR="00C959B2" w:rsidRPr="008918F0">
              <w:rPr>
                <w:sz w:val="20"/>
                <w:lang w:val="fr-FR"/>
              </w:rPr>
              <w:t>’</w:t>
            </w:r>
            <w:r w:rsidR="00031E05" w:rsidRPr="008918F0">
              <w:rPr>
                <w:sz w:val="20"/>
                <w:lang w:val="fr-FR"/>
              </w:rPr>
              <w:t>équipe chargée du projet et aux principales parties prenantes des informations utiles à la prise de décisions</w:t>
            </w:r>
            <w:r w:rsidR="0099473B" w:rsidRPr="008918F0">
              <w:rPr>
                <w:sz w:val="20"/>
                <w:lang w:val="fr-FR"/>
              </w:rPr>
              <w:t>.</w:t>
            </w:r>
          </w:p>
        </w:tc>
        <w:tc>
          <w:tcPr>
            <w:tcW w:w="1843" w:type="dxa"/>
            <w:tcBorders>
              <w:bottom w:val="single" w:sz="4" w:space="0" w:color="auto"/>
            </w:tcBorders>
          </w:tcPr>
          <w:p w:rsidR="0099473B" w:rsidRPr="008918F0" w:rsidRDefault="00063CEC" w:rsidP="00FB5BA8">
            <w:pPr>
              <w:rPr>
                <w:sz w:val="20"/>
                <w:lang w:val="fr-FR"/>
              </w:rPr>
            </w:pPr>
            <w:r w:rsidRPr="008918F0">
              <w:rPr>
                <w:sz w:val="20"/>
                <w:lang w:val="fr-FR"/>
              </w:rPr>
              <w:t>Utilité des outils de suivi et d</w:t>
            </w:r>
            <w:r w:rsidR="00C959B2" w:rsidRPr="008918F0">
              <w:rPr>
                <w:sz w:val="20"/>
                <w:lang w:val="fr-FR"/>
              </w:rPr>
              <w:t>’</w:t>
            </w:r>
            <w:r w:rsidRPr="008918F0">
              <w:rPr>
                <w:sz w:val="20"/>
                <w:lang w:val="fr-FR"/>
              </w:rPr>
              <w:t>établissement de rapports</w:t>
            </w:r>
          </w:p>
        </w:tc>
        <w:tc>
          <w:tcPr>
            <w:tcW w:w="1936" w:type="dxa"/>
            <w:tcBorders>
              <w:bottom w:val="single" w:sz="4" w:space="0" w:color="auto"/>
            </w:tcBorders>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Borders>
              <w:bottom w:val="single" w:sz="4" w:space="0" w:color="auto"/>
            </w:tcBorders>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3261" w:type="dxa"/>
            <w:tcBorders>
              <w:bottom w:val="single" w:sz="4" w:space="0" w:color="auto"/>
            </w:tcBorders>
          </w:tcPr>
          <w:p w:rsidR="0099473B" w:rsidRPr="008918F0" w:rsidRDefault="0099473B" w:rsidP="00FB5BA8">
            <w:pPr>
              <w:rPr>
                <w:sz w:val="20"/>
                <w:lang w:val="fr-FR"/>
              </w:rPr>
            </w:pPr>
            <w:r w:rsidRPr="008918F0">
              <w:rPr>
                <w:sz w:val="20"/>
                <w:lang w:val="fr-FR"/>
              </w:rPr>
              <w:t>3.</w:t>
            </w:r>
            <w:r w:rsidR="00FB5BA8" w:rsidRPr="008918F0">
              <w:rPr>
                <w:sz w:val="20"/>
                <w:lang w:val="fr-FR"/>
              </w:rPr>
              <w:tab/>
            </w:r>
            <w:r w:rsidR="00031E05" w:rsidRPr="008918F0">
              <w:rPr>
                <w:sz w:val="20"/>
                <w:lang w:val="fr-FR"/>
              </w:rPr>
              <w:t>Mesure dans laquelle d</w:t>
            </w:r>
            <w:r w:rsidR="00C959B2" w:rsidRPr="008918F0">
              <w:rPr>
                <w:sz w:val="20"/>
                <w:lang w:val="fr-FR"/>
              </w:rPr>
              <w:t>’</w:t>
            </w:r>
            <w:r w:rsidR="00031E05" w:rsidRPr="008918F0">
              <w:rPr>
                <w:sz w:val="20"/>
                <w:lang w:val="fr-FR"/>
              </w:rPr>
              <w:t xml:space="preserve">autres entités au sein du Secrétariat ont contribué et permis une mise en œuvre efficace </w:t>
            </w:r>
            <w:r w:rsidR="00EC0854" w:rsidRPr="008918F0">
              <w:rPr>
                <w:sz w:val="20"/>
                <w:lang w:val="fr-FR"/>
              </w:rPr>
              <w:t xml:space="preserve">et rationnelle </w:t>
            </w:r>
            <w:r w:rsidR="00031E05" w:rsidRPr="008918F0">
              <w:rPr>
                <w:sz w:val="20"/>
                <w:lang w:val="fr-FR"/>
              </w:rPr>
              <w:t>du projet.</w:t>
            </w:r>
          </w:p>
        </w:tc>
        <w:tc>
          <w:tcPr>
            <w:tcW w:w="1843" w:type="dxa"/>
            <w:tcBorders>
              <w:bottom w:val="single" w:sz="4" w:space="0" w:color="auto"/>
            </w:tcBorders>
          </w:tcPr>
          <w:p w:rsidR="0099473B" w:rsidRPr="008918F0" w:rsidRDefault="005A1FEF" w:rsidP="00FB5BA8">
            <w:pPr>
              <w:rPr>
                <w:sz w:val="20"/>
                <w:lang w:val="fr-FR"/>
              </w:rPr>
            </w:pPr>
            <w:r w:rsidRPr="008918F0">
              <w:rPr>
                <w:sz w:val="20"/>
                <w:lang w:val="fr-FR"/>
              </w:rPr>
              <w:t>Nombre de services de l</w:t>
            </w:r>
            <w:r w:rsidR="00C959B2" w:rsidRPr="008918F0">
              <w:rPr>
                <w:sz w:val="20"/>
                <w:lang w:val="fr-FR"/>
              </w:rPr>
              <w:t>’</w:t>
            </w:r>
            <w:r w:rsidRPr="008918F0">
              <w:rPr>
                <w:sz w:val="20"/>
                <w:lang w:val="fr-FR"/>
              </w:rPr>
              <w:t>OMPI impliqués dans le projet et leur contribution</w:t>
            </w:r>
          </w:p>
        </w:tc>
        <w:tc>
          <w:tcPr>
            <w:tcW w:w="1936" w:type="dxa"/>
            <w:tcBorders>
              <w:bottom w:val="single" w:sz="4" w:space="0" w:color="auto"/>
            </w:tcBorders>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Borders>
              <w:bottom w:val="single" w:sz="4" w:space="0" w:color="auto"/>
            </w:tcBorders>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3261" w:type="dxa"/>
            <w:tcBorders>
              <w:bottom w:val="single" w:sz="4" w:space="0" w:color="auto"/>
            </w:tcBorders>
          </w:tcPr>
          <w:p w:rsidR="0099473B" w:rsidRPr="008918F0" w:rsidRDefault="00FB5BA8" w:rsidP="00FB5BA8">
            <w:pPr>
              <w:rPr>
                <w:sz w:val="20"/>
                <w:lang w:val="fr-FR"/>
              </w:rPr>
            </w:pPr>
            <w:r w:rsidRPr="008918F0">
              <w:rPr>
                <w:sz w:val="20"/>
                <w:lang w:val="fr-FR"/>
              </w:rPr>
              <w:t>4.</w:t>
            </w:r>
            <w:r w:rsidRPr="008918F0">
              <w:rPr>
                <w:sz w:val="20"/>
                <w:lang w:val="fr-FR"/>
              </w:rPr>
              <w:tab/>
            </w:r>
            <w:r w:rsidR="00031E05" w:rsidRPr="008918F0">
              <w:rPr>
                <w:sz w:val="20"/>
                <w:lang w:val="fr-FR"/>
              </w:rPr>
              <w:t>Mesure dans laquelle les risques recensés dans le descriptif de projet initial se sont concrétisés ou ont été atténués</w:t>
            </w:r>
            <w:r w:rsidR="0099473B" w:rsidRPr="008918F0">
              <w:rPr>
                <w:sz w:val="20"/>
                <w:lang w:val="fr-FR"/>
              </w:rPr>
              <w:t>.</w:t>
            </w:r>
          </w:p>
        </w:tc>
        <w:tc>
          <w:tcPr>
            <w:tcW w:w="1843" w:type="dxa"/>
            <w:tcBorders>
              <w:bottom w:val="single" w:sz="4" w:space="0" w:color="auto"/>
            </w:tcBorders>
          </w:tcPr>
          <w:p w:rsidR="0099473B" w:rsidRPr="008918F0" w:rsidRDefault="005A1FEF" w:rsidP="00FB5BA8">
            <w:pPr>
              <w:rPr>
                <w:sz w:val="20"/>
                <w:lang w:val="fr-FR"/>
              </w:rPr>
            </w:pPr>
            <w:r w:rsidRPr="008918F0">
              <w:rPr>
                <w:sz w:val="20"/>
                <w:lang w:val="fr-FR"/>
              </w:rPr>
              <w:t>Types de risques rencontrés durant la mise en œuvre du projet et façon dont ceux</w:t>
            </w:r>
            <w:r w:rsidR="00AB7A2D">
              <w:rPr>
                <w:sz w:val="20"/>
                <w:lang w:val="fr-FR"/>
              </w:rPr>
              <w:noBreakHyphen/>
            </w:r>
            <w:r w:rsidRPr="008918F0">
              <w:rPr>
                <w:sz w:val="20"/>
                <w:lang w:val="fr-FR"/>
              </w:rPr>
              <w:t>ci ont été gérés</w:t>
            </w:r>
          </w:p>
        </w:tc>
        <w:tc>
          <w:tcPr>
            <w:tcW w:w="1936" w:type="dxa"/>
            <w:tcBorders>
              <w:bottom w:val="single" w:sz="4" w:space="0" w:color="auto"/>
            </w:tcBorders>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Borders>
              <w:bottom w:val="single" w:sz="4" w:space="0" w:color="auto"/>
            </w:tcBorders>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3261" w:type="dxa"/>
            <w:tcBorders>
              <w:bottom w:val="single" w:sz="4" w:space="0" w:color="auto"/>
            </w:tcBorders>
          </w:tcPr>
          <w:p w:rsidR="0099473B" w:rsidRPr="008918F0" w:rsidRDefault="00FB5BA8" w:rsidP="00FB5BA8">
            <w:pPr>
              <w:rPr>
                <w:sz w:val="20"/>
                <w:lang w:val="fr-FR"/>
              </w:rPr>
            </w:pPr>
            <w:r w:rsidRPr="008918F0">
              <w:rPr>
                <w:sz w:val="20"/>
                <w:lang w:val="fr-FR"/>
              </w:rPr>
              <w:t>5.</w:t>
            </w:r>
            <w:r w:rsidRPr="008918F0">
              <w:rPr>
                <w:sz w:val="20"/>
                <w:lang w:val="fr-FR"/>
              </w:rPr>
              <w:tab/>
            </w:r>
            <w:r w:rsidR="00980F4A" w:rsidRPr="008918F0">
              <w:rPr>
                <w:sz w:val="20"/>
                <w:lang w:val="fr-FR"/>
              </w:rPr>
              <w:t>Capacité du projet de réagir aux tendances et technologies émergentes et aux autres forces extérieures</w:t>
            </w:r>
            <w:r w:rsidR="0099473B" w:rsidRPr="008918F0">
              <w:rPr>
                <w:sz w:val="20"/>
                <w:lang w:val="fr-FR"/>
              </w:rPr>
              <w:t>.</w:t>
            </w:r>
          </w:p>
        </w:tc>
        <w:tc>
          <w:tcPr>
            <w:tcW w:w="1843" w:type="dxa"/>
            <w:tcBorders>
              <w:bottom w:val="single" w:sz="4" w:space="0" w:color="auto"/>
            </w:tcBorders>
          </w:tcPr>
          <w:p w:rsidR="0099473B" w:rsidRPr="008918F0" w:rsidRDefault="005A1FEF" w:rsidP="00FB5BA8">
            <w:pPr>
              <w:rPr>
                <w:sz w:val="20"/>
                <w:lang w:val="fr-FR"/>
              </w:rPr>
            </w:pPr>
            <w:r w:rsidRPr="008918F0">
              <w:rPr>
                <w:sz w:val="20"/>
                <w:lang w:val="fr-FR"/>
              </w:rPr>
              <w:t xml:space="preserve">Capacité réelle du projet </w:t>
            </w:r>
            <w:r w:rsidR="00EC0854" w:rsidRPr="008918F0">
              <w:rPr>
                <w:sz w:val="20"/>
                <w:lang w:val="fr-FR"/>
              </w:rPr>
              <w:t>de</w:t>
            </w:r>
            <w:r w:rsidRPr="008918F0">
              <w:rPr>
                <w:sz w:val="20"/>
                <w:lang w:val="fr-FR"/>
              </w:rPr>
              <w:t xml:space="preserve"> réagir</w:t>
            </w:r>
          </w:p>
        </w:tc>
        <w:tc>
          <w:tcPr>
            <w:tcW w:w="1936" w:type="dxa"/>
            <w:tcBorders>
              <w:bottom w:val="single" w:sz="4" w:space="0" w:color="auto"/>
            </w:tcBorders>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Borders>
              <w:bottom w:val="single" w:sz="4" w:space="0" w:color="auto"/>
            </w:tcBorders>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9073" w:type="dxa"/>
            <w:gridSpan w:val="4"/>
            <w:tcBorders>
              <w:bottom w:val="single" w:sz="4" w:space="0" w:color="auto"/>
            </w:tcBorders>
          </w:tcPr>
          <w:p w:rsidR="0099473B" w:rsidRPr="008918F0" w:rsidRDefault="005A1FEF" w:rsidP="00FB5BA8">
            <w:pPr>
              <w:rPr>
                <w:b/>
                <w:sz w:val="20"/>
                <w:lang w:val="fr-FR"/>
              </w:rPr>
            </w:pPr>
            <w:r w:rsidRPr="008918F0">
              <w:rPr>
                <w:b/>
                <w:sz w:val="20"/>
                <w:lang w:val="fr-FR"/>
              </w:rPr>
              <w:t>Efficacité</w:t>
            </w:r>
          </w:p>
        </w:tc>
      </w:tr>
      <w:tr w:rsidR="00774F00" w:rsidRPr="008918F0" w:rsidTr="00AB7A2D">
        <w:trPr>
          <w:cantSplit/>
        </w:trPr>
        <w:tc>
          <w:tcPr>
            <w:tcW w:w="3261" w:type="dxa"/>
          </w:tcPr>
          <w:p w:rsidR="0099473B" w:rsidRPr="008918F0" w:rsidRDefault="00FB5BA8" w:rsidP="00FB5BA8">
            <w:pPr>
              <w:rPr>
                <w:sz w:val="20"/>
                <w:lang w:val="fr-FR"/>
              </w:rPr>
            </w:pPr>
            <w:r w:rsidRPr="008918F0">
              <w:rPr>
                <w:sz w:val="20"/>
                <w:lang w:val="fr-FR"/>
              </w:rPr>
              <w:t>1.</w:t>
            </w:r>
            <w:r w:rsidRPr="008918F0">
              <w:rPr>
                <w:sz w:val="20"/>
                <w:lang w:val="fr-FR"/>
              </w:rPr>
              <w:tab/>
            </w:r>
            <w:r w:rsidR="00980F4A" w:rsidRPr="008918F0">
              <w:rPr>
                <w:sz w:val="20"/>
                <w:lang w:val="fr-FR"/>
              </w:rPr>
              <w:t xml:space="preserve">Efficacité et utilité des guides pratiques du projet sur </w:t>
            </w:r>
            <w:r w:rsidR="00025F69" w:rsidRPr="008918F0">
              <w:rPr>
                <w:sz w:val="20"/>
                <w:lang w:val="fr-FR"/>
              </w:rPr>
              <w:t>l</w:t>
            </w:r>
            <w:r w:rsidR="00C959B2" w:rsidRPr="008918F0">
              <w:rPr>
                <w:sz w:val="20"/>
                <w:lang w:val="fr-FR"/>
              </w:rPr>
              <w:t>’</w:t>
            </w:r>
            <w:r w:rsidR="00025F69" w:rsidRPr="008918F0">
              <w:rPr>
                <w:sz w:val="20"/>
                <w:lang w:val="fr-FR"/>
              </w:rPr>
              <w:t>identification</w:t>
            </w:r>
            <w:r w:rsidR="00980F4A" w:rsidRPr="008918F0">
              <w:rPr>
                <w:sz w:val="20"/>
                <w:lang w:val="fr-FR"/>
              </w:rPr>
              <w:t xml:space="preserve"> et l</w:t>
            </w:r>
            <w:r w:rsidR="00C959B2" w:rsidRPr="008918F0">
              <w:rPr>
                <w:sz w:val="20"/>
                <w:lang w:val="fr-FR"/>
              </w:rPr>
              <w:t>’</w:t>
            </w:r>
            <w:r w:rsidR="00980F4A" w:rsidRPr="008918F0">
              <w:rPr>
                <w:sz w:val="20"/>
                <w:lang w:val="fr-FR"/>
              </w:rPr>
              <w:t>utilisation des inventions se trouvant dans le domaine public ainsi que consignation des expériences et des bonnes pratiques dans ces domaines par</w:t>
            </w:r>
            <w:r w:rsidR="00C959B2" w:rsidRPr="008918F0">
              <w:rPr>
                <w:sz w:val="20"/>
                <w:lang w:val="fr-FR"/>
              </w:rPr>
              <w:t xml:space="preserve"> des CAT</w:t>
            </w:r>
            <w:r w:rsidR="00980F4A" w:rsidRPr="008918F0">
              <w:rPr>
                <w:sz w:val="20"/>
                <w:lang w:val="fr-FR"/>
              </w:rPr>
              <w:t>I sélectionnés</w:t>
            </w:r>
            <w:r w:rsidR="0099473B" w:rsidRPr="008918F0">
              <w:rPr>
                <w:sz w:val="20"/>
                <w:lang w:val="fr-FR"/>
              </w:rPr>
              <w:t>,</w:t>
            </w:r>
            <w:r w:rsidR="00980F4A" w:rsidRPr="008918F0">
              <w:rPr>
                <w:sz w:val="20"/>
                <w:lang w:val="fr-FR"/>
              </w:rPr>
              <w:t xml:space="preserve"> en particulier dans les pays en développement</w:t>
            </w:r>
            <w:r w:rsidR="0099473B" w:rsidRPr="008918F0">
              <w:rPr>
                <w:sz w:val="20"/>
                <w:lang w:val="fr-FR"/>
              </w:rPr>
              <w:t>.</w:t>
            </w:r>
          </w:p>
        </w:tc>
        <w:tc>
          <w:tcPr>
            <w:tcW w:w="1843" w:type="dxa"/>
          </w:tcPr>
          <w:p w:rsidR="0099473B" w:rsidRPr="008918F0" w:rsidRDefault="00980F4A" w:rsidP="00FB5BA8">
            <w:pPr>
              <w:rPr>
                <w:sz w:val="20"/>
                <w:lang w:val="fr-FR"/>
              </w:rPr>
            </w:pPr>
            <w:r w:rsidRPr="008918F0">
              <w:rPr>
                <w:sz w:val="20"/>
                <w:lang w:val="fr-FR"/>
              </w:rPr>
              <w:t>Mesure dans laquelle les guides pratiques du projet sont efficaces et utiles</w:t>
            </w:r>
          </w:p>
        </w:tc>
        <w:tc>
          <w:tcPr>
            <w:tcW w:w="1936" w:type="dxa"/>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3261" w:type="dxa"/>
          </w:tcPr>
          <w:p w:rsidR="0099473B" w:rsidRPr="008918F0" w:rsidRDefault="0099473B" w:rsidP="00FB5BA8">
            <w:pPr>
              <w:rPr>
                <w:sz w:val="20"/>
                <w:lang w:val="fr-FR"/>
              </w:rPr>
            </w:pPr>
            <w:r w:rsidRPr="008918F0">
              <w:rPr>
                <w:sz w:val="20"/>
                <w:lang w:val="fr-FR"/>
              </w:rPr>
              <w:lastRenderedPageBreak/>
              <w:br w:type="page"/>
            </w:r>
            <w:r w:rsidR="00FB5BA8" w:rsidRPr="008918F0">
              <w:rPr>
                <w:sz w:val="20"/>
                <w:lang w:val="fr-FR"/>
              </w:rPr>
              <w:t>2.</w:t>
            </w:r>
            <w:r w:rsidR="00FB5BA8" w:rsidRPr="008918F0">
              <w:rPr>
                <w:sz w:val="20"/>
                <w:lang w:val="fr-FR"/>
              </w:rPr>
              <w:tab/>
            </w:r>
            <w:r w:rsidR="00980F4A" w:rsidRPr="008918F0">
              <w:rPr>
                <w:sz w:val="20"/>
                <w:lang w:val="fr-FR"/>
              </w:rPr>
              <w:t>Efficacité et utilité du matériel de formation développé pour</w:t>
            </w:r>
            <w:r w:rsidR="00C959B2" w:rsidRPr="008918F0">
              <w:rPr>
                <w:sz w:val="20"/>
                <w:lang w:val="fr-FR"/>
              </w:rPr>
              <w:t xml:space="preserve"> les CAT</w:t>
            </w:r>
            <w:r w:rsidR="00980F4A" w:rsidRPr="008918F0">
              <w:rPr>
                <w:sz w:val="20"/>
                <w:lang w:val="fr-FR"/>
              </w:rPr>
              <w:t>I à partir des guides afin d</w:t>
            </w:r>
            <w:r w:rsidR="00C959B2" w:rsidRPr="008918F0">
              <w:rPr>
                <w:sz w:val="20"/>
                <w:lang w:val="fr-FR"/>
              </w:rPr>
              <w:t>’</w:t>
            </w:r>
            <w:r w:rsidR="00980F4A" w:rsidRPr="008918F0">
              <w:rPr>
                <w:sz w:val="20"/>
                <w:lang w:val="fr-FR"/>
              </w:rPr>
              <w:t>aider au développement de compétences pour fournir des services d</w:t>
            </w:r>
            <w:r w:rsidR="00C959B2" w:rsidRPr="008918F0">
              <w:rPr>
                <w:sz w:val="20"/>
                <w:lang w:val="fr-FR"/>
              </w:rPr>
              <w:t>’</w:t>
            </w:r>
            <w:r w:rsidR="00025F69" w:rsidRPr="008918F0">
              <w:rPr>
                <w:sz w:val="20"/>
                <w:lang w:val="fr-FR"/>
              </w:rPr>
              <w:t>identification</w:t>
            </w:r>
            <w:r w:rsidR="00980F4A" w:rsidRPr="008918F0">
              <w:rPr>
                <w:sz w:val="20"/>
                <w:lang w:val="fr-FR"/>
              </w:rPr>
              <w:t xml:space="preserve"> et d</w:t>
            </w:r>
            <w:r w:rsidR="00C959B2" w:rsidRPr="008918F0">
              <w:rPr>
                <w:sz w:val="20"/>
                <w:lang w:val="fr-FR"/>
              </w:rPr>
              <w:t>’</w:t>
            </w:r>
            <w:r w:rsidR="00980F4A" w:rsidRPr="008918F0">
              <w:rPr>
                <w:sz w:val="20"/>
                <w:lang w:val="fr-FR"/>
              </w:rPr>
              <w:t>utilisation d</w:t>
            </w:r>
            <w:r w:rsidR="00B944C6" w:rsidRPr="008918F0">
              <w:rPr>
                <w:sz w:val="20"/>
                <w:lang w:val="fr-FR"/>
              </w:rPr>
              <w:t xml:space="preserve">es </w:t>
            </w:r>
            <w:r w:rsidR="00980F4A" w:rsidRPr="008918F0">
              <w:rPr>
                <w:sz w:val="20"/>
                <w:lang w:val="fr-FR"/>
              </w:rPr>
              <w:t>inventions se trouvant dans le domaine public.</w:t>
            </w:r>
          </w:p>
        </w:tc>
        <w:tc>
          <w:tcPr>
            <w:tcW w:w="1843" w:type="dxa"/>
          </w:tcPr>
          <w:p w:rsidR="0099473B" w:rsidRPr="008918F0" w:rsidRDefault="00B944C6" w:rsidP="00FB5BA8">
            <w:pPr>
              <w:rPr>
                <w:sz w:val="20"/>
                <w:lang w:val="fr-FR"/>
              </w:rPr>
            </w:pPr>
            <w:r w:rsidRPr="008918F0">
              <w:rPr>
                <w:sz w:val="20"/>
                <w:lang w:val="fr-FR"/>
              </w:rPr>
              <w:t>Degré d</w:t>
            </w:r>
            <w:r w:rsidR="00C959B2" w:rsidRPr="008918F0">
              <w:rPr>
                <w:sz w:val="20"/>
                <w:lang w:val="fr-FR"/>
              </w:rPr>
              <w:t>’</w:t>
            </w:r>
            <w:r w:rsidRPr="008918F0">
              <w:rPr>
                <w:sz w:val="20"/>
                <w:lang w:val="fr-FR"/>
              </w:rPr>
              <w:t>efficacité et d</w:t>
            </w:r>
            <w:r w:rsidR="00C959B2" w:rsidRPr="008918F0">
              <w:rPr>
                <w:sz w:val="20"/>
                <w:lang w:val="fr-FR"/>
              </w:rPr>
              <w:t>’</w:t>
            </w:r>
            <w:r w:rsidRPr="008918F0">
              <w:rPr>
                <w:sz w:val="20"/>
                <w:lang w:val="fr-FR"/>
              </w:rPr>
              <w:t xml:space="preserve">utilité du matériel </w:t>
            </w:r>
            <w:r w:rsidR="00980F4A" w:rsidRPr="008918F0">
              <w:rPr>
                <w:sz w:val="20"/>
                <w:lang w:val="fr-FR"/>
              </w:rPr>
              <w:t>de formation utilisé durant les ateliers consacrés au</w:t>
            </w:r>
            <w:r w:rsidRPr="008918F0">
              <w:rPr>
                <w:sz w:val="20"/>
                <w:lang w:val="fr-FR"/>
              </w:rPr>
              <w:t>x</w:t>
            </w:r>
            <w:r w:rsidR="00980F4A" w:rsidRPr="008918F0">
              <w:rPr>
                <w:sz w:val="20"/>
                <w:lang w:val="fr-FR"/>
              </w:rPr>
              <w:t xml:space="preserve"> guide</w:t>
            </w:r>
            <w:r w:rsidRPr="008918F0">
              <w:rPr>
                <w:sz w:val="20"/>
                <w:lang w:val="fr-FR"/>
              </w:rPr>
              <w:t>s</w:t>
            </w:r>
            <w:r w:rsidR="00980F4A" w:rsidRPr="008918F0">
              <w:rPr>
                <w:sz w:val="20"/>
                <w:lang w:val="fr-FR"/>
              </w:rPr>
              <w:t xml:space="preserve"> </w:t>
            </w:r>
          </w:p>
        </w:tc>
        <w:tc>
          <w:tcPr>
            <w:tcW w:w="1936" w:type="dxa"/>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3261" w:type="dxa"/>
          </w:tcPr>
          <w:p w:rsidR="0099473B" w:rsidRPr="008918F0" w:rsidRDefault="0099473B" w:rsidP="00FB5BA8">
            <w:pPr>
              <w:rPr>
                <w:sz w:val="20"/>
                <w:lang w:val="fr-FR"/>
              </w:rPr>
            </w:pPr>
            <w:r w:rsidRPr="008918F0">
              <w:rPr>
                <w:sz w:val="20"/>
                <w:lang w:val="fr-FR"/>
              </w:rPr>
              <w:t>3.</w:t>
            </w:r>
            <w:r w:rsidR="00FB5BA8" w:rsidRPr="008918F0">
              <w:rPr>
                <w:sz w:val="20"/>
                <w:lang w:val="fr-FR"/>
              </w:rPr>
              <w:tab/>
            </w:r>
            <w:r w:rsidR="00980F4A" w:rsidRPr="008918F0">
              <w:rPr>
                <w:sz w:val="20"/>
                <w:lang w:val="fr-FR"/>
              </w:rPr>
              <w:t>Utilité de la liste d</w:t>
            </w:r>
            <w:r w:rsidR="00C959B2" w:rsidRPr="008918F0">
              <w:rPr>
                <w:sz w:val="20"/>
                <w:lang w:val="fr-FR"/>
              </w:rPr>
              <w:t>’</w:t>
            </w:r>
            <w:r w:rsidR="00980F4A" w:rsidRPr="008918F0">
              <w:rPr>
                <w:sz w:val="20"/>
                <w:lang w:val="fr-FR"/>
              </w:rPr>
              <w:t xml:space="preserve">experts essentiels pour aider les </w:t>
            </w:r>
            <w:r w:rsidR="0081059F" w:rsidRPr="008918F0">
              <w:rPr>
                <w:sz w:val="20"/>
                <w:lang w:val="fr-FR"/>
              </w:rPr>
              <w:t>réseaux de CATI</w:t>
            </w:r>
            <w:r w:rsidR="00980F4A" w:rsidRPr="008918F0">
              <w:rPr>
                <w:sz w:val="20"/>
                <w:lang w:val="fr-FR"/>
              </w:rPr>
              <w:t xml:space="preserve"> nationaux à utiliser les guides et pour développer de nouveaux services pour </w:t>
            </w:r>
            <w:r w:rsidR="00025F69" w:rsidRPr="008918F0">
              <w:rPr>
                <w:sz w:val="20"/>
                <w:lang w:val="fr-FR"/>
              </w:rPr>
              <w:t>l</w:t>
            </w:r>
            <w:r w:rsidR="00C959B2" w:rsidRPr="008918F0">
              <w:rPr>
                <w:sz w:val="20"/>
                <w:lang w:val="fr-FR"/>
              </w:rPr>
              <w:t>’</w:t>
            </w:r>
            <w:r w:rsidR="00025F69" w:rsidRPr="008918F0">
              <w:rPr>
                <w:sz w:val="20"/>
                <w:lang w:val="fr-FR"/>
              </w:rPr>
              <w:t>identification</w:t>
            </w:r>
            <w:r w:rsidR="00980F4A" w:rsidRPr="008918F0">
              <w:rPr>
                <w:sz w:val="20"/>
                <w:lang w:val="fr-FR"/>
              </w:rPr>
              <w:t xml:space="preserve"> et l</w:t>
            </w:r>
            <w:r w:rsidR="00C959B2" w:rsidRPr="008918F0">
              <w:rPr>
                <w:sz w:val="20"/>
                <w:lang w:val="fr-FR"/>
              </w:rPr>
              <w:t>’</w:t>
            </w:r>
            <w:r w:rsidR="00980F4A" w:rsidRPr="008918F0">
              <w:rPr>
                <w:sz w:val="20"/>
                <w:lang w:val="fr-FR"/>
              </w:rPr>
              <w:t>utilisation des inventions se trouvant dans le domaine public dans chaque région.</w:t>
            </w:r>
          </w:p>
        </w:tc>
        <w:tc>
          <w:tcPr>
            <w:tcW w:w="1843" w:type="dxa"/>
          </w:tcPr>
          <w:p w:rsidR="0099473B" w:rsidRPr="008918F0" w:rsidRDefault="00980F4A" w:rsidP="00FB5BA8">
            <w:pPr>
              <w:rPr>
                <w:sz w:val="20"/>
                <w:lang w:val="fr-FR"/>
              </w:rPr>
            </w:pPr>
            <w:r w:rsidRPr="008918F0">
              <w:rPr>
                <w:sz w:val="20"/>
                <w:lang w:val="fr-FR"/>
              </w:rPr>
              <w:t>Degré d</w:t>
            </w:r>
            <w:r w:rsidR="00C959B2" w:rsidRPr="008918F0">
              <w:rPr>
                <w:sz w:val="20"/>
                <w:lang w:val="fr-FR"/>
              </w:rPr>
              <w:t>’</w:t>
            </w:r>
            <w:r w:rsidRPr="008918F0">
              <w:rPr>
                <w:sz w:val="20"/>
                <w:lang w:val="fr-FR"/>
              </w:rPr>
              <w:t>utilité de la liste</w:t>
            </w:r>
          </w:p>
        </w:tc>
        <w:tc>
          <w:tcPr>
            <w:tcW w:w="1936" w:type="dxa"/>
          </w:tcPr>
          <w:p w:rsidR="00C959B2" w:rsidRPr="008918F0" w:rsidRDefault="005A1FEF" w:rsidP="00FB5BA8">
            <w:pPr>
              <w:rPr>
                <w:sz w:val="20"/>
                <w:lang w:val="fr-FR"/>
              </w:rPr>
            </w:pPr>
            <w:r w:rsidRPr="008918F0">
              <w:rPr>
                <w:sz w:val="20"/>
                <w:lang w:val="fr-FR"/>
              </w:rPr>
              <w:t>Examen des documents</w:t>
            </w:r>
          </w:p>
          <w:p w:rsidR="0006001B" w:rsidRPr="008918F0" w:rsidRDefault="005A1FEF" w:rsidP="00FB5BA8">
            <w:pPr>
              <w:rPr>
                <w:sz w:val="20"/>
                <w:lang w:val="fr-FR"/>
              </w:rPr>
            </w:pPr>
            <w:r w:rsidRPr="008918F0">
              <w:rPr>
                <w:sz w:val="20"/>
                <w:lang w:val="fr-FR"/>
              </w:rPr>
              <w:t>Entretiens</w:t>
            </w:r>
          </w:p>
          <w:p w:rsidR="0099473B" w:rsidRPr="008918F0" w:rsidRDefault="0099473B" w:rsidP="00FB5BA8">
            <w:pPr>
              <w:rPr>
                <w:sz w:val="20"/>
                <w:lang w:val="fr-FR"/>
              </w:rPr>
            </w:pPr>
          </w:p>
        </w:tc>
        <w:tc>
          <w:tcPr>
            <w:tcW w:w="2033" w:type="dxa"/>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3261" w:type="dxa"/>
          </w:tcPr>
          <w:p w:rsidR="0099473B" w:rsidRPr="008918F0" w:rsidRDefault="00FB5BA8" w:rsidP="00FB5BA8">
            <w:pPr>
              <w:rPr>
                <w:sz w:val="20"/>
                <w:lang w:val="fr-FR"/>
              </w:rPr>
            </w:pPr>
            <w:r w:rsidRPr="008918F0">
              <w:rPr>
                <w:sz w:val="20"/>
                <w:lang w:val="fr-FR"/>
              </w:rPr>
              <w:t>4.</w:t>
            </w:r>
            <w:r w:rsidRPr="008918F0">
              <w:rPr>
                <w:sz w:val="20"/>
                <w:lang w:val="fr-FR"/>
              </w:rPr>
              <w:tab/>
            </w:r>
            <w:r w:rsidR="00980F4A" w:rsidRPr="008918F0">
              <w:rPr>
                <w:sz w:val="20"/>
                <w:lang w:val="fr-FR"/>
              </w:rPr>
              <w:t>Efficacité et utilité des activités du projet concernant l</w:t>
            </w:r>
            <w:r w:rsidR="00C959B2" w:rsidRPr="008918F0">
              <w:rPr>
                <w:sz w:val="20"/>
                <w:lang w:val="fr-FR"/>
              </w:rPr>
              <w:t>’</w:t>
            </w:r>
            <w:r w:rsidR="00980F4A" w:rsidRPr="008918F0">
              <w:rPr>
                <w:sz w:val="20"/>
                <w:lang w:val="fr-FR"/>
              </w:rPr>
              <w:t>amélioration du portail sur la situation juridique pour parvenir à une plus grande facilité d</w:t>
            </w:r>
            <w:r w:rsidR="00C959B2" w:rsidRPr="008918F0">
              <w:rPr>
                <w:sz w:val="20"/>
                <w:lang w:val="fr-FR"/>
              </w:rPr>
              <w:t>’</w:t>
            </w:r>
            <w:r w:rsidR="00980F4A" w:rsidRPr="008918F0">
              <w:rPr>
                <w:sz w:val="20"/>
                <w:lang w:val="fr-FR"/>
              </w:rPr>
              <w:t>utilisation et élargir le contenu</w:t>
            </w:r>
            <w:r w:rsidR="00862082" w:rsidRPr="008918F0">
              <w:rPr>
                <w:sz w:val="20"/>
                <w:lang w:val="fr-FR"/>
              </w:rPr>
              <w:t xml:space="preserve"> sur les moyens d</w:t>
            </w:r>
            <w:r w:rsidR="00C959B2" w:rsidRPr="008918F0">
              <w:rPr>
                <w:sz w:val="20"/>
                <w:lang w:val="fr-FR"/>
              </w:rPr>
              <w:t>’</w:t>
            </w:r>
            <w:r w:rsidR="00862082" w:rsidRPr="008918F0">
              <w:rPr>
                <w:sz w:val="20"/>
                <w:lang w:val="fr-FR"/>
              </w:rPr>
              <w:t>obtenir des informations relatives à la situation juridique dans différents territoires.</w:t>
            </w:r>
          </w:p>
        </w:tc>
        <w:tc>
          <w:tcPr>
            <w:tcW w:w="1843" w:type="dxa"/>
          </w:tcPr>
          <w:p w:rsidR="0099473B" w:rsidRPr="008918F0" w:rsidRDefault="00862082" w:rsidP="00FB5BA8">
            <w:pPr>
              <w:rPr>
                <w:sz w:val="20"/>
                <w:lang w:val="fr-FR"/>
              </w:rPr>
            </w:pPr>
            <w:r w:rsidRPr="008918F0">
              <w:rPr>
                <w:sz w:val="20"/>
                <w:lang w:val="fr-FR"/>
              </w:rPr>
              <w:t>Degré d</w:t>
            </w:r>
            <w:r w:rsidR="00C959B2" w:rsidRPr="008918F0">
              <w:rPr>
                <w:sz w:val="20"/>
                <w:lang w:val="fr-FR"/>
              </w:rPr>
              <w:t>’</w:t>
            </w:r>
            <w:r w:rsidRPr="008918F0">
              <w:rPr>
                <w:sz w:val="20"/>
                <w:lang w:val="fr-FR"/>
              </w:rPr>
              <w:t>efficacité et d</w:t>
            </w:r>
            <w:r w:rsidR="00C959B2" w:rsidRPr="008918F0">
              <w:rPr>
                <w:sz w:val="20"/>
                <w:lang w:val="fr-FR"/>
              </w:rPr>
              <w:t>’</w:t>
            </w:r>
            <w:r w:rsidRPr="008918F0">
              <w:rPr>
                <w:sz w:val="20"/>
                <w:lang w:val="fr-FR"/>
              </w:rPr>
              <w:t>utilité du portail amélioré sur la situation juridique</w:t>
            </w:r>
          </w:p>
        </w:tc>
        <w:tc>
          <w:tcPr>
            <w:tcW w:w="1936" w:type="dxa"/>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9073" w:type="dxa"/>
            <w:gridSpan w:val="4"/>
          </w:tcPr>
          <w:p w:rsidR="0099473B" w:rsidRPr="008918F0" w:rsidRDefault="005A1FEF" w:rsidP="00FB5BA8">
            <w:pPr>
              <w:rPr>
                <w:b/>
                <w:sz w:val="20"/>
                <w:lang w:val="fr-FR"/>
              </w:rPr>
            </w:pPr>
            <w:r w:rsidRPr="008918F0">
              <w:rPr>
                <w:b/>
                <w:sz w:val="20"/>
                <w:lang w:val="fr-FR"/>
              </w:rPr>
              <w:t>Viabilité</w:t>
            </w:r>
          </w:p>
        </w:tc>
      </w:tr>
      <w:tr w:rsidR="00774F00" w:rsidRPr="008918F0" w:rsidTr="00AB7A2D">
        <w:trPr>
          <w:cantSplit/>
        </w:trPr>
        <w:tc>
          <w:tcPr>
            <w:tcW w:w="3261" w:type="dxa"/>
          </w:tcPr>
          <w:p w:rsidR="00862082" w:rsidRPr="008918F0" w:rsidRDefault="0099473B" w:rsidP="00FB5BA8">
            <w:pPr>
              <w:rPr>
                <w:sz w:val="20"/>
                <w:lang w:val="fr-FR"/>
              </w:rPr>
            </w:pPr>
            <w:r w:rsidRPr="008918F0">
              <w:rPr>
                <w:sz w:val="20"/>
                <w:lang w:val="fr-FR"/>
              </w:rPr>
              <w:t>1.</w:t>
            </w:r>
            <w:r w:rsidR="00FB5BA8" w:rsidRPr="008918F0">
              <w:rPr>
                <w:sz w:val="20"/>
                <w:lang w:val="fr-FR"/>
              </w:rPr>
              <w:tab/>
            </w:r>
            <w:r w:rsidR="00862082" w:rsidRPr="008918F0">
              <w:rPr>
                <w:sz w:val="20"/>
                <w:lang w:val="fr-FR"/>
              </w:rPr>
              <w:t xml:space="preserve">Probabilité de poursuite des activités relatives à la facilitation </w:t>
            </w:r>
            <w:r w:rsidR="00025F69" w:rsidRPr="008918F0">
              <w:rPr>
                <w:sz w:val="20"/>
                <w:lang w:val="fr-FR"/>
              </w:rPr>
              <w:t>de l</w:t>
            </w:r>
            <w:r w:rsidR="00C959B2" w:rsidRPr="008918F0">
              <w:rPr>
                <w:sz w:val="20"/>
                <w:lang w:val="fr-FR"/>
              </w:rPr>
              <w:t>’</w:t>
            </w:r>
            <w:r w:rsidR="00025F69" w:rsidRPr="008918F0">
              <w:rPr>
                <w:sz w:val="20"/>
                <w:lang w:val="fr-FR"/>
              </w:rPr>
              <w:t>identification</w:t>
            </w:r>
            <w:r w:rsidR="00862082" w:rsidRPr="008918F0">
              <w:rPr>
                <w:sz w:val="20"/>
                <w:lang w:val="fr-FR"/>
              </w:rPr>
              <w:t xml:space="preserve"> et de l</w:t>
            </w:r>
            <w:r w:rsidR="00C959B2" w:rsidRPr="008918F0">
              <w:rPr>
                <w:sz w:val="20"/>
                <w:lang w:val="fr-FR"/>
              </w:rPr>
              <w:t>’</w:t>
            </w:r>
            <w:r w:rsidR="00862082" w:rsidRPr="008918F0">
              <w:rPr>
                <w:sz w:val="20"/>
                <w:lang w:val="fr-FR"/>
              </w:rPr>
              <w:t>utilisation des objets se trouvant dans le domaine public ou qui sont tombés dedans dans les pays en développement et dans</w:t>
            </w:r>
            <w:r w:rsidR="00C959B2" w:rsidRPr="008918F0">
              <w:rPr>
                <w:sz w:val="20"/>
                <w:lang w:val="fr-FR"/>
              </w:rPr>
              <w:t xml:space="preserve"> les PMA</w:t>
            </w:r>
            <w:r w:rsidR="00862082" w:rsidRPr="008918F0">
              <w:rPr>
                <w:sz w:val="20"/>
                <w:lang w:val="fr-FR"/>
              </w:rPr>
              <w:t>.</w:t>
            </w:r>
          </w:p>
          <w:p w:rsidR="0099473B" w:rsidRPr="008918F0" w:rsidRDefault="0099473B" w:rsidP="00FB5BA8">
            <w:pPr>
              <w:rPr>
                <w:sz w:val="20"/>
                <w:lang w:val="fr-FR"/>
              </w:rPr>
            </w:pPr>
          </w:p>
        </w:tc>
        <w:tc>
          <w:tcPr>
            <w:tcW w:w="1843" w:type="dxa"/>
          </w:tcPr>
          <w:p w:rsidR="0099473B" w:rsidRPr="008918F0" w:rsidRDefault="00862082" w:rsidP="00FB5BA8">
            <w:pPr>
              <w:rPr>
                <w:sz w:val="20"/>
                <w:lang w:val="fr-FR"/>
              </w:rPr>
            </w:pPr>
            <w:r w:rsidRPr="008918F0">
              <w:rPr>
                <w:sz w:val="20"/>
                <w:lang w:val="fr-FR"/>
              </w:rPr>
              <w:t>Probabilité de poursuite des activités</w:t>
            </w:r>
          </w:p>
        </w:tc>
        <w:tc>
          <w:tcPr>
            <w:tcW w:w="1936" w:type="dxa"/>
          </w:tcPr>
          <w:p w:rsidR="00C959B2" w:rsidRPr="008918F0" w:rsidRDefault="005A1FEF" w:rsidP="00FB5BA8">
            <w:pPr>
              <w:rPr>
                <w:sz w:val="20"/>
                <w:lang w:val="fr-FR"/>
              </w:rPr>
            </w:pPr>
            <w:r w:rsidRPr="008918F0">
              <w:rPr>
                <w:sz w:val="20"/>
                <w:lang w:val="fr-FR"/>
              </w:rPr>
              <w:t>Examen des documents</w:t>
            </w:r>
          </w:p>
          <w:p w:rsidR="0099473B" w:rsidRPr="008918F0" w:rsidRDefault="005A1FEF" w:rsidP="00FB5BA8">
            <w:pPr>
              <w:rPr>
                <w:sz w:val="20"/>
                <w:lang w:val="fr-FR"/>
              </w:rPr>
            </w:pPr>
            <w:r w:rsidRPr="008918F0">
              <w:rPr>
                <w:sz w:val="20"/>
                <w:lang w:val="fr-FR"/>
              </w:rPr>
              <w:t>Entretiens</w:t>
            </w:r>
          </w:p>
        </w:tc>
        <w:tc>
          <w:tcPr>
            <w:tcW w:w="2033" w:type="dxa"/>
          </w:tcPr>
          <w:p w:rsidR="00C959B2" w:rsidRPr="008918F0" w:rsidRDefault="005A1FEF"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5A1FEF" w:rsidP="00FB5BA8">
            <w:pPr>
              <w:rPr>
                <w:sz w:val="20"/>
                <w:lang w:val="fr-FR"/>
              </w:rPr>
            </w:pPr>
            <w:r w:rsidRPr="008918F0">
              <w:rPr>
                <w:sz w:val="20"/>
                <w:lang w:val="fr-FR"/>
              </w:rPr>
              <w:t>Parties prenantes externes</w:t>
            </w:r>
          </w:p>
        </w:tc>
      </w:tr>
      <w:tr w:rsidR="00774F00" w:rsidRPr="008918F0" w:rsidTr="00AB7A2D">
        <w:trPr>
          <w:cantSplit/>
        </w:trPr>
        <w:tc>
          <w:tcPr>
            <w:tcW w:w="9073" w:type="dxa"/>
            <w:gridSpan w:val="4"/>
          </w:tcPr>
          <w:p w:rsidR="0099473B" w:rsidRPr="008918F0" w:rsidRDefault="005A1FEF" w:rsidP="00FB5BA8">
            <w:pPr>
              <w:rPr>
                <w:b/>
                <w:sz w:val="20"/>
                <w:lang w:val="fr-FR"/>
              </w:rPr>
            </w:pPr>
            <w:r w:rsidRPr="008918F0">
              <w:rPr>
                <w:b/>
                <w:sz w:val="20"/>
                <w:lang w:val="fr-FR"/>
              </w:rPr>
              <w:t>Mise en œuvre des recommandations du Plan d</w:t>
            </w:r>
            <w:r w:rsidR="00C959B2" w:rsidRPr="008918F0">
              <w:rPr>
                <w:b/>
                <w:sz w:val="20"/>
                <w:lang w:val="fr-FR"/>
              </w:rPr>
              <w:t>’</w:t>
            </w:r>
            <w:r w:rsidRPr="008918F0">
              <w:rPr>
                <w:b/>
                <w:sz w:val="20"/>
                <w:lang w:val="fr-FR"/>
              </w:rPr>
              <w:t>action pour le développement</w:t>
            </w:r>
          </w:p>
        </w:tc>
      </w:tr>
      <w:tr w:rsidR="00774F00" w:rsidRPr="008918F0" w:rsidTr="00AB7A2D">
        <w:trPr>
          <w:cantSplit/>
        </w:trPr>
        <w:tc>
          <w:tcPr>
            <w:tcW w:w="3261" w:type="dxa"/>
          </w:tcPr>
          <w:p w:rsidR="0099473B" w:rsidRPr="008918F0" w:rsidRDefault="0099473B" w:rsidP="00FB5BA8">
            <w:pPr>
              <w:rPr>
                <w:sz w:val="20"/>
                <w:lang w:val="fr-FR"/>
              </w:rPr>
            </w:pPr>
            <w:r w:rsidRPr="008918F0">
              <w:rPr>
                <w:sz w:val="20"/>
                <w:lang w:val="fr-FR"/>
              </w:rPr>
              <w:t>2.</w:t>
            </w:r>
            <w:r w:rsidR="00FB5BA8" w:rsidRPr="008918F0">
              <w:rPr>
                <w:sz w:val="20"/>
                <w:lang w:val="fr-FR"/>
              </w:rPr>
              <w:tab/>
            </w:r>
            <w:r w:rsidR="00862082" w:rsidRPr="008918F0">
              <w:rPr>
                <w:sz w:val="20"/>
                <w:lang w:val="fr-FR"/>
              </w:rPr>
              <w:t>Mesure dans laquelle les recommandations n</w:t>
            </w:r>
            <w:r w:rsidR="00862082" w:rsidRPr="008918F0">
              <w:rPr>
                <w:sz w:val="20"/>
                <w:vertAlign w:val="superscript"/>
                <w:lang w:val="fr-FR"/>
              </w:rPr>
              <w:t>os</w:t>
            </w:r>
            <w:r w:rsidR="00862082" w:rsidRPr="008918F0">
              <w:rPr>
                <w:sz w:val="20"/>
                <w:lang w:val="fr-FR"/>
              </w:rPr>
              <w:t> 16 et 20 du Plan d</w:t>
            </w:r>
            <w:r w:rsidR="00C959B2" w:rsidRPr="008918F0">
              <w:rPr>
                <w:sz w:val="20"/>
                <w:lang w:val="fr-FR"/>
              </w:rPr>
              <w:t>’</w:t>
            </w:r>
            <w:r w:rsidR="00862082" w:rsidRPr="008918F0">
              <w:rPr>
                <w:sz w:val="20"/>
                <w:lang w:val="fr-FR"/>
              </w:rPr>
              <w:t>action pour le développement ont été mises en œuvre dans le cadre de ce projet.</w:t>
            </w:r>
          </w:p>
        </w:tc>
        <w:tc>
          <w:tcPr>
            <w:tcW w:w="1843" w:type="dxa"/>
          </w:tcPr>
          <w:p w:rsidR="0099473B" w:rsidRPr="008918F0" w:rsidRDefault="00862082" w:rsidP="00FB5BA8">
            <w:pPr>
              <w:rPr>
                <w:sz w:val="20"/>
                <w:lang w:val="fr-FR"/>
              </w:rPr>
            </w:pPr>
            <w:r w:rsidRPr="008918F0">
              <w:rPr>
                <w:sz w:val="20"/>
                <w:lang w:val="fr-FR"/>
              </w:rPr>
              <w:t>Mesure dans laquelle les recommandations ont été mises en œuvre</w:t>
            </w:r>
          </w:p>
        </w:tc>
        <w:tc>
          <w:tcPr>
            <w:tcW w:w="1936" w:type="dxa"/>
          </w:tcPr>
          <w:p w:rsidR="00C959B2" w:rsidRPr="008918F0" w:rsidRDefault="001D4E11" w:rsidP="00FB5BA8">
            <w:pPr>
              <w:rPr>
                <w:sz w:val="20"/>
                <w:lang w:val="fr-FR"/>
              </w:rPr>
            </w:pPr>
            <w:r w:rsidRPr="008918F0">
              <w:rPr>
                <w:sz w:val="20"/>
                <w:lang w:val="fr-FR"/>
              </w:rPr>
              <w:t>Examen des documents</w:t>
            </w:r>
          </w:p>
          <w:p w:rsidR="0099473B" w:rsidRPr="008918F0" w:rsidRDefault="001D4E11" w:rsidP="00FB5BA8">
            <w:pPr>
              <w:rPr>
                <w:sz w:val="20"/>
                <w:lang w:val="fr-FR"/>
              </w:rPr>
            </w:pPr>
            <w:r w:rsidRPr="008918F0">
              <w:rPr>
                <w:sz w:val="20"/>
                <w:lang w:val="fr-FR"/>
              </w:rPr>
              <w:t>Entretiens</w:t>
            </w:r>
          </w:p>
        </w:tc>
        <w:tc>
          <w:tcPr>
            <w:tcW w:w="2033" w:type="dxa"/>
          </w:tcPr>
          <w:p w:rsidR="00C959B2" w:rsidRPr="008918F0" w:rsidRDefault="001D4E11" w:rsidP="00FB5BA8">
            <w:pPr>
              <w:rPr>
                <w:sz w:val="20"/>
                <w:lang w:val="fr-FR"/>
              </w:rPr>
            </w:pPr>
            <w:r w:rsidRPr="008918F0">
              <w:rPr>
                <w:sz w:val="20"/>
                <w:lang w:val="fr-FR"/>
              </w:rPr>
              <w:t>Fonctionnaires de l</w:t>
            </w:r>
            <w:r w:rsidR="00C959B2" w:rsidRPr="008918F0">
              <w:rPr>
                <w:sz w:val="20"/>
                <w:lang w:val="fr-FR"/>
              </w:rPr>
              <w:t>’</w:t>
            </w:r>
            <w:r w:rsidRPr="008918F0">
              <w:rPr>
                <w:sz w:val="20"/>
                <w:lang w:val="fr-FR"/>
              </w:rPr>
              <w:t>OMPI</w:t>
            </w:r>
          </w:p>
          <w:p w:rsidR="0099473B" w:rsidRPr="008918F0" w:rsidRDefault="001D4E11" w:rsidP="00FB5BA8">
            <w:pPr>
              <w:rPr>
                <w:sz w:val="20"/>
                <w:lang w:val="fr-FR"/>
              </w:rPr>
            </w:pPr>
            <w:r w:rsidRPr="008918F0">
              <w:rPr>
                <w:sz w:val="20"/>
                <w:lang w:val="fr-FR"/>
              </w:rPr>
              <w:t>Parties prenantes externes</w:t>
            </w:r>
          </w:p>
        </w:tc>
      </w:tr>
    </w:tbl>
    <w:p w:rsidR="0006001B" w:rsidRPr="008918F0" w:rsidRDefault="0006001B" w:rsidP="00733963">
      <w:pPr>
        <w:rPr>
          <w:lang w:val="fr-FR" w:eastAsia="en-CA"/>
        </w:rPr>
      </w:pPr>
    </w:p>
    <w:p w:rsidR="00FB5BA8" w:rsidRPr="008918F0" w:rsidRDefault="00FB5BA8" w:rsidP="00733963">
      <w:pPr>
        <w:rPr>
          <w:lang w:val="fr-FR" w:eastAsia="en-CA"/>
        </w:rPr>
      </w:pPr>
    </w:p>
    <w:p w:rsidR="0006001B" w:rsidRPr="008918F0" w:rsidRDefault="008918F0" w:rsidP="00733963">
      <w:pPr>
        <w:rPr>
          <w:lang w:val="fr-FR" w:eastAsia="en-CA"/>
        </w:rPr>
      </w:pPr>
      <w:r>
        <w:rPr>
          <w:lang w:val="fr-FR" w:eastAsia="en-CA"/>
        </w:rPr>
        <w:t>4.1.</w:t>
      </w:r>
      <w:r>
        <w:rPr>
          <w:lang w:val="fr-FR" w:eastAsia="en-CA"/>
        </w:rPr>
        <w:tab/>
      </w:r>
      <w:r w:rsidR="00862082" w:rsidRPr="008918F0">
        <w:rPr>
          <w:lang w:val="fr-FR" w:eastAsia="en-CA"/>
        </w:rPr>
        <w:t>Outils d</w:t>
      </w:r>
      <w:r w:rsidR="00C959B2" w:rsidRPr="008918F0">
        <w:rPr>
          <w:lang w:val="fr-FR" w:eastAsia="en-CA"/>
        </w:rPr>
        <w:t>’</w:t>
      </w:r>
      <w:r w:rsidR="00862082" w:rsidRPr="008918F0">
        <w:rPr>
          <w:lang w:val="fr-FR" w:eastAsia="en-CA"/>
        </w:rPr>
        <w:t>évaluation</w:t>
      </w:r>
    </w:p>
    <w:p w:rsidR="0006001B" w:rsidRPr="008918F0" w:rsidRDefault="0006001B" w:rsidP="00733963">
      <w:pPr>
        <w:rPr>
          <w:lang w:val="fr-FR" w:eastAsia="en-CA"/>
        </w:rPr>
      </w:pPr>
    </w:p>
    <w:p w:rsidR="0006001B" w:rsidRPr="008918F0" w:rsidRDefault="001D4E11" w:rsidP="001D4E11">
      <w:pPr>
        <w:spacing w:line="240" w:lineRule="atLeast"/>
        <w:rPr>
          <w:lang w:val="fr-FR"/>
        </w:rPr>
      </w:pPr>
      <w:r w:rsidRPr="008918F0">
        <w:rPr>
          <w:lang w:val="fr-FR"/>
        </w:rPr>
        <w:t>Les outils d</w:t>
      </w:r>
      <w:r w:rsidR="00C959B2" w:rsidRPr="008918F0">
        <w:rPr>
          <w:lang w:val="fr-FR"/>
        </w:rPr>
        <w:t>’</w:t>
      </w:r>
      <w:r w:rsidRPr="008918F0">
        <w:rPr>
          <w:lang w:val="fr-FR"/>
        </w:rPr>
        <w:t>évaluation seront utilisés pour les différents thèmes et les différentes questio</w:t>
      </w:r>
      <w:r w:rsidR="00630E33" w:rsidRPr="008918F0">
        <w:rPr>
          <w:lang w:val="fr-FR"/>
        </w:rPr>
        <w:t>ns.  De</w:t>
      </w:r>
      <w:r w:rsidRPr="008918F0">
        <w:rPr>
          <w:lang w:val="fr-FR"/>
        </w:rPr>
        <w:t>s informations supplémentaires sur ces outils et sur la façon dont ils seront mis en place</w:t>
      </w:r>
      <w:r w:rsidR="00862082" w:rsidRPr="008918F0">
        <w:rPr>
          <w:lang w:val="fr-FR"/>
        </w:rPr>
        <w:t xml:space="preserve"> sont présentées ci</w:t>
      </w:r>
      <w:r w:rsidR="00AB7A2D">
        <w:rPr>
          <w:lang w:val="fr-FR"/>
        </w:rPr>
        <w:noBreakHyphen/>
      </w:r>
      <w:r w:rsidR="00862082" w:rsidRPr="008918F0">
        <w:rPr>
          <w:lang w:val="fr-FR"/>
        </w:rPr>
        <w:t>après</w:t>
      </w:r>
      <w:r w:rsidRPr="008918F0">
        <w:rPr>
          <w:lang w:val="fr-FR"/>
        </w:rPr>
        <w:t>.</w:t>
      </w:r>
    </w:p>
    <w:p w:rsidR="0099473B" w:rsidRPr="008918F0" w:rsidRDefault="0099473B" w:rsidP="0099473B">
      <w:pPr>
        <w:spacing w:line="240" w:lineRule="atLeast"/>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08"/>
        <w:gridCol w:w="3413"/>
        <w:gridCol w:w="3925"/>
      </w:tblGrid>
      <w:tr w:rsidR="00774F00" w:rsidRPr="008918F0" w:rsidTr="00FB5BA8">
        <w:trPr>
          <w:tblHeader/>
        </w:trPr>
        <w:tc>
          <w:tcPr>
            <w:tcW w:w="1858" w:type="dxa"/>
            <w:shd w:val="clear" w:color="auto" w:fill="auto"/>
          </w:tcPr>
          <w:p w:rsidR="0099473B" w:rsidRPr="008918F0" w:rsidRDefault="00862082" w:rsidP="00FB5BA8">
            <w:pPr>
              <w:pageBreakBefore/>
              <w:spacing w:line="240" w:lineRule="atLeast"/>
              <w:rPr>
                <w:b/>
                <w:sz w:val="20"/>
                <w:lang w:val="fr-FR"/>
              </w:rPr>
            </w:pPr>
            <w:r w:rsidRPr="008918F0">
              <w:rPr>
                <w:b/>
                <w:sz w:val="20"/>
                <w:lang w:val="fr-FR"/>
              </w:rPr>
              <w:lastRenderedPageBreak/>
              <w:t>Outil</w:t>
            </w:r>
          </w:p>
        </w:tc>
        <w:tc>
          <w:tcPr>
            <w:tcW w:w="3158" w:type="dxa"/>
          </w:tcPr>
          <w:p w:rsidR="0099473B" w:rsidRPr="008918F0" w:rsidRDefault="001D4E11" w:rsidP="00FB5BA8">
            <w:pPr>
              <w:spacing w:line="240" w:lineRule="atLeast"/>
              <w:rPr>
                <w:b/>
                <w:sz w:val="20"/>
                <w:lang w:val="fr-FR"/>
              </w:rPr>
            </w:pPr>
            <w:r w:rsidRPr="008918F0">
              <w:rPr>
                <w:b/>
                <w:sz w:val="20"/>
                <w:lang w:val="fr-FR"/>
              </w:rPr>
              <w:t>Description</w:t>
            </w:r>
          </w:p>
        </w:tc>
        <w:tc>
          <w:tcPr>
            <w:tcW w:w="3632" w:type="dxa"/>
            <w:shd w:val="clear" w:color="auto" w:fill="auto"/>
          </w:tcPr>
          <w:p w:rsidR="0099473B" w:rsidRPr="008918F0" w:rsidRDefault="001D4E11" w:rsidP="00FB5BA8">
            <w:pPr>
              <w:spacing w:line="240" w:lineRule="atLeast"/>
              <w:rPr>
                <w:b/>
                <w:sz w:val="20"/>
                <w:lang w:val="fr-FR"/>
              </w:rPr>
            </w:pPr>
            <w:r w:rsidRPr="008918F0">
              <w:rPr>
                <w:b/>
                <w:sz w:val="20"/>
                <w:lang w:val="fr-FR"/>
              </w:rPr>
              <w:t>Source d</w:t>
            </w:r>
            <w:r w:rsidR="00C959B2" w:rsidRPr="008918F0">
              <w:rPr>
                <w:b/>
                <w:sz w:val="20"/>
                <w:lang w:val="fr-FR"/>
              </w:rPr>
              <w:t>’</w:t>
            </w:r>
            <w:r w:rsidRPr="008918F0">
              <w:rPr>
                <w:b/>
                <w:sz w:val="20"/>
                <w:lang w:val="fr-FR"/>
              </w:rPr>
              <w:t>information</w:t>
            </w:r>
          </w:p>
        </w:tc>
      </w:tr>
      <w:tr w:rsidR="00774F00" w:rsidRPr="008918F0" w:rsidTr="00FB5BA8">
        <w:tc>
          <w:tcPr>
            <w:tcW w:w="1858" w:type="dxa"/>
            <w:shd w:val="clear" w:color="auto" w:fill="auto"/>
          </w:tcPr>
          <w:p w:rsidR="0099473B" w:rsidRPr="008918F0" w:rsidRDefault="001D4E11" w:rsidP="00FB5BA8">
            <w:pPr>
              <w:spacing w:line="240" w:lineRule="atLeast"/>
              <w:rPr>
                <w:i/>
                <w:sz w:val="20"/>
                <w:lang w:val="fr-FR"/>
              </w:rPr>
            </w:pPr>
            <w:r w:rsidRPr="008918F0">
              <w:rPr>
                <w:i/>
                <w:sz w:val="20"/>
                <w:lang w:val="fr-FR"/>
              </w:rPr>
              <w:t>Entretiens – internes</w:t>
            </w:r>
          </w:p>
        </w:tc>
        <w:tc>
          <w:tcPr>
            <w:tcW w:w="3158" w:type="dxa"/>
          </w:tcPr>
          <w:p w:rsidR="0099473B" w:rsidRPr="008918F0" w:rsidRDefault="001D4E11" w:rsidP="00FB5BA8">
            <w:pPr>
              <w:spacing w:line="240" w:lineRule="atLeast"/>
              <w:rPr>
                <w:sz w:val="20"/>
                <w:lang w:val="fr-FR"/>
              </w:rPr>
            </w:pPr>
            <w:r w:rsidRPr="008918F0">
              <w:rPr>
                <w:sz w:val="20"/>
                <w:lang w:val="fr-FR"/>
              </w:rPr>
              <w:t xml:space="preserve">Quelque </w:t>
            </w:r>
            <w:r w:rsidR="00FB5BA8" w:rsidRPr="008918F0">
              <w:rPr>
                <w:sz w:val="20"/>
                <w:lang w:val="fr-FR"/>
              </w:rPr>
              <w:t>six</w:t>
            </w:r>
            <w:r w:rsidR="00DB6EA5" w:rsidRPr="008918F0">
              <w:rPr>
                <w:sz w:val="20"/>
                <w:lang w:val="fr-FR"/>
              </w:rPr>
              <w:t> </w:t>
            </w:r>
            <w:r w:rsidRPr="008918F0">
              <w:rPr>
                <w:sz w:val="20"/>
                <w:lang w:val="fr-FR"/>
              </w:rPr>
              <w:t>entretiens semi</w:t>
            </w:r>
            <w:r w:rsidR="00AB7A2D">
              <w:rPr>
                <w:sz w:val="20"/>
                <w:lang w:val="fr-FR"/>
              </w:rPr>
              <w:noBreakHyphen/>
            </w:r>
            <w:r w:rsidRPr="008918F0">
              <w:rPr>
                <w:sz w:val="20"/>
                <w:lang w:val="fr-FR"/>
              </w:rPr>
              <w:t>structurés</w:t>
            </w:r>
          </w:p>
        </w:tc>
        <w:tc>
          <w:tcPr>
            <w:tcW w:w="3632" w:type="dxa"/>
            <w:shd w:val="clear" w:color="auto" w:fill="auto"/>
          </w:tcPr>
          <w:p w:rsidR="0006001B" w:rsidRPr="008918F0" w:rsidRDefault="005C7973" w:rsidP="00FB5BA8">
            <w:pPr>
              <w:spacing w:line="240" w:lineRule="atLeast"/>
              <w:rPr>
                <w:i/>
                <w:sz w:val="20"/>
                <w:lang w:val="fr-FR"/>
              </w:rPr>
            </w:pPr>
            <w:r w:rsidRPr="008918F0">
              <w:rPr>
                <w:i/>
                <w:sz w:val="20"/>
                <w:lang w:val="fr-FR"/>
              </w:rPr>
              <w:t>Par téléphone ou en personne</w:t>
            </w:r>
            <w:r w:rsidR="00C959B2" w:rsidRPr="008918F0">
              <w:rPr>
                <w:i/>
                <w:sz w:val="20"/>
                <w:lang w:val="fr-FR"/>
              </w:rPr>
              <w:t> :</w:t>
            </w:r>
          </w:p>
          <w:p w:rsidR="0006001B" w:rsidRPr="008918F0" w:rsidRDefault="0006001B" w:rsidP="00FB5BA8">
            <w:pPr>
              <w:spacing w:line="240" w:lineRule="atLeast"/>
              <w:rPr>
                <w:sz w:val="20"/>
                <w:lang w:val="fr-FR"/>
              </w:rPr>
            </w:pPr>
          </w:p>
          <w:p w:rsidR="00C959B2" w:rsidRPr="008918F0" w:rsidRDefault="00862082" w:rsidP="00FB5BA8">
            <w:pPr>
              <w:spacing w:line="240" w:lineRule="atLeast"/>
              <w:rPr>
                <w:sz w:val="20"/>
                <w:lang w:val="fr-FR"/>
              </w:rPr>
            </w:pPr>
            <w:r w:rsidRPr="008918F0">
              <w:rPr>
                <w:sz w:val="20"/>
                <w:lang w:val="fr-FR"/>
              </w:rPr>
              <w:t>Membres du Secrétariat de l</w:t>
            </w:r>
            <w:r w:rsidR="00C959B2" w:rsidRPr="008918F0">
              <w:rPr>
                <w:sz w:val="20"/>
                <w:lang w:val="fr-FR"/>
              </w:rPr>
              <w:t>’</w:t>
            </w:r>
            <w:r w:rsidRPr="008918F0">
              <w:rPr>
                <w:sz w:val="20"/>
                <w:lang w:val="fr-FR"/>
              </w:rPr>
              <w:t>OMPI, notamment</w:t>
            </w:r>
            <w:r w:rsidR="00C959B2" w:rsidRPr="008918F0">
              <w:rPr>
                <w:sz w:val="20"/>
                <w:lang w:val="fr-FR"/>
              </w:rPr>
              <w:t> :</w:t>
            </w:r>
          </w:p>
          <w:p w:rsidR="006D2F48" w:rsidRPr="008918F0" w:rsidRDefault="00862082" w:rsidP="00FB5BA8">
            <w:pPr>
              <w:pStyle w:val="ListParagraph"/>
              <w:numPr>
                <w:ilvl w:val="0"/>
                <w:numId w:val="40"/>
              </w:numPr>
              <w:spacing w:line="240" w:lineRule="atLeast"/>
              <w:ind w:left="567" w:hanging="567"/>
              <w:rPr>
                <w:sz w:val="20"/>
                <w:lang w:val="fr-FR"/>
              </w:rPr>
            </w:pPr>
            <w:r w:rsidRPr="008918F0">
              <w:rPr>
                <w:sz w:val="20"/>
                <w:lang w:val="fr-FR"/>
              </w:rPr>
              <w:t>le Secteur du développement,</w:t>
            </w:r>
          </w:p>
          <w:p w:rsidR="0006001B" w:rsidRPr="008918F0" w:rsidRDefault="00862082" w:rsidP="00FB5BA8">
            <w:pPr>
              <w:pStyle w:val="ListParagraph"/>
              <w:numPr>
                <w:ilvl w:val="0"/>
                <w:numId w:val="40"/>
              </w:numPr>
              <w:spacing w:line="240" w:lineRule="atLeast"/>
              <w:ind w:left="567" w:hanging="567"/>
              <w:rPr>
                <w:sz w:val="20"/>
                <w:lang w:val="fr-FR"/>
              </w:rPr>
            </w:pPr>
            <w:r w:rsidRPr="008918F0">
              <w:rPr>
                <w:sz w:val="20"/>
                <w:lang w:val="fr-FR"/>
              </w:rPr>
              <w:t>le Département de l</w:t>
            </w:r>
            <w:r w:rsidR="00C959B2" w:rsidRPr="008918F0">
              <w:rPr>
                <w:sz w:val="20"/>
                <w:lang w:val="fr-FR"/>
              </w:rPr>
              <w:t>’</w:t>
            </w:r>
            <w:r w:rsidRPr="008918F0">
              <w:rPr>
                <w:sz w:val="20"/>
                <w:lang w:val="fr-FR"/>
              </w:rPr>
              <w:t>infrastructure de l</w:t>
            </w:r>
            <w:r w:rsidR="00C959B2" w:rsidRPr="008918F0">
              <w:rPr>
                <w:sz w:val="20"/>
                <w:lang w:val="fr-FR"/>
              </w:rPr>
              <w:t>’</w:t>
            </w:r>
            <w:r w:rsidRPr="008918F0">
              <w:rPr>
                <w:sz w:val="20"/>
                <w:lang w:val="fr-FR"/>
              </w:rPr>
              <w:t>i</w:t>
            </w:r>
            <w:r w:rsidR="0099473B" w:rsidRPr="008918F0">
              <w:rPr>
                <w:sz w:val="20"/>
                <w:lang w:val="fr-FR"/>
              </w:rPr>
              <w:t xml:space="preserve">nnovation </w:t>
            </w:r>
            <w:r w:rsidRPr="008918F0">
              <w:rPr>
                <w:sz w:val="20"/>
                <w:lang w:val="fr-FR"/>
              </w:rPr>
              <w:t>et du savoir ou la Division de l</w:t>
            </w:r>
            <w:r w:rsidR="00C959B2" w:rsidRPr="008918F0">
              <w:rPr>
                <w:sz w:val="20"/>
                <w:lang w:val="fr-FR"/>
              </w:rPr>
              <w:t>’</w:t>
            </w:r>
            <w:r w:rsidRPr="008918F0">
              <w:rPr>
                <w:sz w:val="20"/>
                <w:lang w:val="fr-FR"/>
              </w:rPr>
              <w:t>appui à la technologie et à l</w:t>
            </w:r>
            <w:r w:rsidR="00C959B2" w:rsidRPr="008918F0">
              <w:rPr>
                <w:sz w:val="20"/>
                <w:lang w:val="fr-FR"/>
              </w:rPr>
              <w:t>’</w:t>
            </w:r>
            <w:r w:rsidRPr="008918F0">
              <w:rPr>
                <w:sz w:val="20"/>
                <w:lang w:val="fr-FR"/>
              </w:rPr>
              <w:t>innovation,</w:t>
            </w:r>
          </w:p>
          <w:p w:rsidR="0099473B" w:rsidRPr="008918F0" w:rsidRDefault="00862082" w:rsidP="00FB5BA8">
            <w:pPr>
              <w:pStyle w:val="ListParagraph"/>
              <w:numPr>
                <w:ilvl w:val="0"/>
                <w:numId w:val="40"/>
              </w:numPr>
              <w:spacing w:line="240" w:lineRule="atLeast"/>
              <w:ind w:left="567" w:hanging="567"/>
              <w:rPr>
                <w:sz w:val="20"/>
                <w:lang w:val="fr-FR"/>
              </w:rPr>
            </w:pPr>
            <w:r w:rsidRPr="008918F0">
              <w:rPr>
                <w:sz w:val="20"/>
                <w:lang w:val="fr-FR"/>
              </w:rPr>
              <w:t xml:space="preserve">la Section des communications sur le Web </w:t>
            </w:r>
            <w:r w:rsidR="0099473B" w:rsidRPr="008918F0">
              <w:rPr>
                <w:sz w:val="20"/>
                <w:lang w:val="fr-FR"/>
              </w:rPr>
              <w:t xml:space="preserve">(WCS), </w:t>
            </w:r>
            <w:r w:rsidRPr="008918F0">
              <w:rPr>
                <w:sz w:val="20"/>
                <w:lang w:val="fr-FR"/>
              </w:rPr>
              <w:t>Division des communications</w:t>
            </w:r>
          </w:p>
        </w:tc>
      </w:tr>
      <w:tr w:rsidR="00774F00" w:rsidRPr="008918F0" w:rsidTr="00FB5BA8">
        <w:tc>
          <w:tcPr>
            <w:tcW w:w="1858" w:type="dxa"/>
            <w:shd w:val="clear" w:color="auto" w:fill="auto"/>
          </w:tcPr>
          <w:p w:rsidR="0099473B" w:rsidRPr="008918F0" w:rsidRDefault="005C7973" w:rsidP="00FB5BA8">
            <w:pPr>
              <w:spacing w:line="240" w:lineRule="atLeast"/>
              <w:rPr>
                <w:i/>
                <w:sz w:val="20"/>
                <w:lang w:val="fr-FR"/>
              </w:rPr>
            </w:pPr>
            <w:r w:rsidRPr="008918F0">
              <w:rPr>
                <w:i/>
                <w:sz w:val="20"/>
                <w:lang w:val="fr-FR"/>
              </w:rPr>
              <w:t>Entretiens – externes</w:t>
            </w:r>
          </w:p>
        </w:tc>
        <w:tc>
          <w:tcPr>
            <w:tcW w:w="3158" w:type="dxa"/>
          </w:tcPr>
          <w:p w:rsidR="0099473B" w:rsidRPr="008918F0" w:rsidRDefault="005C7973" w:rsidP="00FB5BA8">
            <w:pPr>
              <w:spacing w:line="240" w:lineRule="atLeast"/>
              <w:rPr>
                <w:sz w:val="20"/>
                <w:lang w:val="fr-FR"/>
              </w:rPr>
            </w:pPr>
            <w:r w:rsidRPr="008918F0">
              <w:rPr>
                <w:sz w:val="20"/>
                <w:lang w:val="fr-FR"/>
              </w:rPr>
              <w:t>Quelque 10</w:t>
            </w:r>
            <w:r w:rsidR="00AB7A2D">
              <w:rPr>
                <w:sz w:val="20"/>
                <w:lang w:val="fr-FR"/>
              </w:rPr>
              <w:t> </w:t>
            </w:r>
            <w:r w:rsidRPr="008918F0">
              <w:rPr>
                <w:sz w:val="20"/>
                <w:lang w:val="fr-FR"/>
              </w:rPr>
              <w:t>entretiens semi</w:t>
            </w:r>
            <w:r w:rsidR="00AB7A2D">
              <w:rPr>
                <w:sz w:val="20"/>
                <w:lang w:val="fr-FR"/>
              </w:rPr>
              <w:noBreakHyphen/>
            </w:r>
            <w:r w:rsidRPr="008918F0">
              <w:rPr>
                <w:sz w:val="20"/>
                <w:lang w:val="fr-FR"/>
              </w:rPr>
              <w:t>structurés</w:t>
            </w:r>
          </w:p>
        </w:tc>
        <w:tc>
          <w:tcPr>
            <w:tcW w:w="3632" w:type="dxa"/>
            <w:shd w:val="clear" w:color="auto" w:fill="auto"/>
          </w:tcPr>
          <w:p w:rsidR="0006001B" w:rsidRPr="008918F0" w:rsidRDefault="005C7973" w:rsidP="00FB5BA8">
            <w:pPr>
              <w:spacing w:line="240" w:lineRule="atLeast"/>
              <w:rPr>
                <w:i/>
                <w:sz w:val="20"/>
                <w:lang w:val="fr-FR"/>
              </w:rPr>
            </w:pPr>
            <w:r w:rsidRPr="008918F0">
              <w:rPr>
                <w:i/>
                <w:sz w:val="20"/>
                <w:lang w:val="fr-FR"/>
              </w:rPr>
              <w:t>Par téléphone ou en personne</w:t>
            </w:r>
            <w:r w:rsidR="00C959B2" w:rsidRPr="008918F0">
              <w:rPr>
                <w:i/>
                <w:sz w:val="20"/>
                <w:lang w:val="fr-FR"/>
              </w:rPr>
              <w:t> :</w:t>
            </w:r>
          </w:p>
          <w:p w:rsidR="0006001B" w:rsidRPr="008918F0" w:rsidRDefault="00862082" w:rsidP="00FB5BA8">
            <w:pPr>
              <w:pStyle w:val="ListParagraph"/>
              <w:numPr>
                <w:ilvl w:val="0"/>
                <w:numId w:val="42"/>
              </w:numPr>
              <w:ind w:left="567" w:hanging="567"/>
              <w:rPr>
                <w:sz w:val="20"/>
                <w:lang w:val="fr-FR"/>
              </w:rPr>
            </w:pPr>
            <w:r w:rsidRPr="008918F0">
              <w:rPr>
                <w:sz w:val="20"/>
                <w:lang w:val="fr-FR"/>
              </w:rPr>
              <w:t>consultants externes (portail, guides, formation</w:t>
            </w:r>
            <w:r w:rsidR="0099473B" w:rsidRPr="008918F0">
              <w:rPr>
                <w:sz w:val="20"/>
                <w:lang w:val="fr-FR"/>
              </w:rPr>
              <w:t>)</w:t>
            </w:r>
          </w:p>
          <w:p w:rsidR="0006001B" w:rsidRPr="008918F0" w:rsidRDefault="00862082" w:rsidP="00FB5BA8">
            <w:pPr>
              <w:pStyle w:val="ListParagraph"/>
              <w:numPr>
                <w:ilvl w:val="0"/>
                <w:numId w:val="42"/>
              </w:numPr>
              <w:ind w:left="567" w:hanging="567"/>
              <w:rPr>
                <w:sz w:val="20"/>
                <w:lang w:val="fr-FR"/>
              </w:rPr>
            </w:pPr>
            <w:r w:rsidRPr="008918F0">
              <w:rPr>
                <w:sz w:val="20"/>
                <w:lang w:val="fr-FR"/>
              </w:rPr>
              <w:t>points de contact CATI</w:t>
            </w:r>
          </w:p>
          <w:p w:rsidR="0099473B" w:rsidRPr="008918F0" w:rsidRDefault="00862082" w:rsidP="00FB5BA8">
            <w:pPr>
              <w:pStyle w:val="ListParagraph"/>
              <w:numPr>
                <w:ilvl w:val="0"/>
                <w:numId w:val="42"/>
              </w:numPr>
              <w:ind w:left="567" w:hanging="567"/>
              <w:rPr>
                <w:i/>
                <w:lang w:val="fr-FR"/>
              </w:rPr>
            </w:pPr>
            <w:r w:rsidRPr="008918F0">
              <w:rPr>
                <w:sz w:val="20"/>
                <w:lang w:val="fr-FR"/>
              </w:rPr>
              <w:t>experts nationaux CATI</w:t>
            </w:r>
          </w:p>
        </w:tc>
      </w:tr>
      <w:tr w:rsidR="0099473B" w:rsidRPr="008918F0" w:rsidTr="00FB5BA8">
        <w:tc>
          <w:tcPr>
            <w:tcW w:w="1858" w:type="dxa"/>
            <w:shd w:val="clear" w:color="auto" w:fill="auto"/>
          </w:tcPr>
          <w:p w:rsidR="0099473B" w:rsidRPr="008918F0" w:rsidRDefault="005C7973" w:rsidP="00FB5BA8">
            <w:pPr>
              <w:spacing w:line="240" w:lineRule="atLeast"/>
              <w:rPr>
                <w:i/>
                <w:sz w:val="20"/>
                <w:lang w:val="fr-FR"/>
              </w:rPr>
            </w:pPr>
            <w:r w:rsidRPr="008918F0">
              <w:rPr>
                <w:i/>
                <w:sz w:val="20"/>
                <w:lang w:val="fr-FR"/>
              </w:rPr>
              <w:t>Examen des documents</w:t>
            </w:r>
          </w:p>
        </w:tc>
        <w:tc>
          <w:tcPr>
            <w:tcW w:w="3158" w:type="dxa"/>
          </w:tcPr>
          <w:p w:rsidR="0099473B" w:rsidRPr="008918F0" w:rsidRDefault="005C7973" w:rsidP="00FB5BA8">
            <w:pPr>
              <w:spacing w:line="240" w:lineRule="atLeast"/>
              <w:rPr>
                <w:sz w:val="20"/>
                <w:lang w:val="fr-FR"/>
              </w:rPr>
            </w:pPr>
            <w:r w:rsidRPr="008918F0">
              <w:rPr>
                <w:sz w:val="20"/>
                <w:lang w:val="fr-FR"/>
              </w:rPr>
              <w:t>Examen de la documentation principale</w:t>
            </w:r>
          </w:p>
        </w:tc>
        <w:tc>
          <w:tcPr>
            <w:tcW w:w="3632" w:type="dxa"/>
            <w:shd w:val="clear" w:color="auto" w:fill="auto"/>
          </w:tcPr>
          <w:p w:rsidR="0099473B" w:rsidRPr="008918F0" w:rsidRDefault="00862082" w:rsidP="00FB5BA8">
            <w:pPr>
              <w:spacing w:line="240" w:lineRule="atLeast"/>
              <w:rPr>
                <w:sz w:val="20"/>
                <w:lang w:val="fr-FR"/>
              </w:rPr>
            </w:pPr>
            <w:r w:rsidRPr="008918F0">
              <w:rPr>
                <w:sz w:val="20"/>
                <w:lang w:val="fr-FR"/>
              </w:rPr>
              <w:t>Document</w:t>
            </w:r>
            <w:r w:rsidR="00151981" w:rsidRPr="008918F0">
              <w:rPr>
                <w:sz w:val="20"/>
                <w:lang w:val="fr-FR"/>
              </w:rPr>
              <w:t>s</w:t>
            </w:r>
            <w:r w:rsidRPr="008918F0">
              <w:rPr>
                <w:sz w:val="20"/>
                <w:lang w:val="fr-FR"/>
              </w:rPr>
              <w:t xml:space="preserve"> de l</w:t>
            </w:r>
            <w:r w:rsidR="00C959B2" w:rsidRPr="008918F0">
              <w:rPr>
                <w:sz w:val="20"/>
                <w:lang w:val="fr-FR"/>
              </w:rPr>
              <w:t>’</w:t>
            </w:r>
            <w:r w:rsidRPr="008918F0">
              <w:rPr>
                <w:sz w:val="20"/>
                <w:lang w:val="fr-FR"/>
              </w:rPr>
              <w:t xml:space="preserve">OMPI, </w:t>
            </w:r>
            <w:r w:rsidR="00C959B2" w:rsidRPr="008918F0">
              <w:rPr>
                <w:sz w:val="20"/>
                <w:lang w:val="fr-FR"/>
              </w:rPr>
              <w:t>y compris</w:t>
            </w:r>
            <w:r w:rsidRPr="008918F0">
              <w:rPr>
                <w:sz w:val="20"/>
                <w:lang w:val="fr-FR"/>
              </w:rPr>
              <w:t xml:space="preserve"> les rapports et publications internes et externes, le</w:t>
            </w:r>
            <w:r w:rsidR="00C94E1F" w:rsidRPr="008918F0">
              <w:rPr>
                <w:sz w:val="20"/>
                <w:lang w:val="fr-FR"/>
              </w:rPr>
              <w:t xml:space="preserve"> retour d</w:t>
            </w:r>
            <w:r w:rsidR="00C959B2" w:rsidRPr="008918F0">
              <w:rPr>
                <w:sz w:val="20"/>
                <w:lang w:val="fr-FR"/>
              </w:rPr>
              <w:t>’</w:t>
            </w:r>
            <w:r w:rsidR="00C94E1F" w:rsidRPr="008918F0">
              <w:rPr>
                <w:sz w:val="20"/>
                <w:lang w:val="fr-FR"/>
              </w:rPr>
              <w:t>information</w:t>
            </w:r>
            <w:r w:rsidRPr="008918F0">
              <w:rPr>
                <w:sz w:val="20"/>
                <w:lang w:val="fr-FR"/>
              </w:rPr>
              <w:t xml:space="preserve"> sur les ateliers, les projets de guides et le matériel de formation</w:t>
            </w:r>
            <w:r w:rsidR="0099473B" w:rsidRPr="008918F0">
              <w:rPr>
                <w:sz w:val="20"/>
                <w:lang w:val="fr-FR"/>
              </w:rPr>
              <w:t>.</w:t>
            </w:r>
          </w:p>
        </w:tc>
      </w:tr>
    </w:tbl>
    <w:p w:rsidR="0006001B" w:rsidRPr="008918F0" w:rsidRDefault="0006001B" w:rsidP="00733963">
      <w:pPr>
        <w:rPr>
          <w:lang w:val="fr-FR" w:eastAsia="en-CA"/>
        </w:rPr>
      </w:pPr>
    </w:p>
    <w:p w:rsidR="0006001B" w:rsidRPr="008918F0" w:rsidRDefault="00862082" w:rsidP="0099473B">
      <w:pPr>
        <w:rPr>
          <w:lang w:val="fr-FR"/>
        </w:rPr>
      </w:pPr>
      <w:r w:rsidRPr="008918F0">
        <w:rPr>
          <w:lang w:val="fr-FR"/>
        </w:rPr>
        <w:t>La liste des personnes à interroger sera convenue conjointement avec l</w:t>
      </w:r>
      <w:r w:rsidR="00C959B2" w:rsidRPr="008918F0">
        <w:rPr>
          <w:lang w:val="fr-FR"/>
        </w:rPr>
        <w:t>’</w:t>
      </w:r>
      <w:r w:rsidRPr="008918F0">
        <w:rPr>
          <w:lang w:val="fr-FR"/>
        </w:rPr>
        <w:t>OMPI.</w:t>
      </w:r>
    </w:p>
    <w:p w:rsidR="0006001B" w:rsidRPr="008918F0" w:rsidRDefault="0006001B" w:rsidP="0099473B">
      <w:pPr>
        <w:jc w:val="both"/>
        <w:rPr>
          <w:b/>
          <w:lang w:val="fr-FR"/>
        </w:rPr>
      </w:pPr>
    </w:p>
    <w:p w:rsidR="0006001B" w:rsidRPr="008918F0" w:rsidRDefault="005C7973" w:rsidP="005C7973">
      <w:pPr>
        <w:jc w:val="both"/>
        <w:rPr>
          <w:lang w:val="fr-FR"/>
        </w:rPr>
      </w:pPr>
      <w:r w:rsidRPr="008918F0">
        <w:rPr>
          <w:b/>
          <w:lang w:val="fr-FR"/>
        </w:rPr>
        <w:t>Méthodes d</w:t>
      </w:r>
      <w:r w:rsidR="00C959B2" w:rsidRPr="008918F0">
        <w:rPr>
          <w:b/>
          <w:lang w:val="fr-FR"/>
        </w:rPr>
        <w:t>’</w:t>
      </w:r>
      <w:r w:rsidRPr="008918F0">
        <w:rPr>
          <w:b/>
          <w:lang w:val="fr-FR"/>
        </w:rPr>
        <w:t>analyse des données</w:t>
      </w:r>
      <w:r w:rsidR="00C959B2" w:rsidRPr="008918F0">
        <w:rPr>
          <w:b/>
          <w:lang w:val="fr-FR"/>
        </w:rPr>
        <w:t> :</w:t>
      </w:r>
      <w:r w:rsidRPr="008918F0">
        <w:rPr>
          <w:lang w:val="fr-FR"/>
        </w:rPr>
        <w:t xml:space="preserve"> les données quantitatives et qualitatives recueillies seront analysées et compilées selon </w:t>
      </w:r>
      <w:r w:rsidR="00C94E1F" w:rsidRPr="008918F0">
        <w:rPr>
          <w:lang w:val="fr-FR"/>
        </w:rPr>
        <w:t>l</w:t>
      </w:r>
      <w:r w:rsidRPr="008918F0">
        <w:rPr>
          <w:lang w:val="fr-FR"/>
        </w:rPr>
        <w:t>es méthodes comparatives et statistiques</w:t>
      </w:r>
      <w:r w:rsidR="00C94E1F" w:rsidRPr="008918F0">
        <w:rPr>
          <w:lang w:val="fr-FR"/>
        </w:rPr>
        <w:t xml:space="preserve"> qui convienne</w:t>
      </w:r>
      <w:r w:rsidR="00630E33" w:rsidRPr="008918F0">
        <w:rPr>
          <w:lang w:val="fr-FR"/>
        </w:rPr>
        <w:t>nt.  Ce</w:t>
      </w:r>
      <w:r w:rsidRPr="008918F0">
        <w:rPr>
          <w:lang w:val="fr-FR"/>
        </w:rPr>
        <w:t>s données seront ensuite corrélées et organisées de manière à répondre aux questions d</w:t>
      </w:r>
      <w:r w:rsidR="00C959B2" w:rsidRPr="008918F0">
        <w:rPr>
          <w:lang w:val="fr-FR"/>
        </w:rPr>
        <w:t>’</w:t>
      </w:r>
      <w:r w:rsidRPr="008918F0">
        <w:rPr>
          <w:lang w:val="fr-FR"/>
        </w:rPr>
        <w:t>évaluati</w:t>
      </w:r>
      <w:r w:rsidR="00630E33" w:rsidRPr="008918F0">
        <w:rPr>
          <w:lang w:val="fr-FR"/>
        </w:rPr>
        <w:t>on.  Ce</w:t>
      </w:r>
      <w:r w:rsidRPr="008918F0">
        <w:rPr>
          <w:lang w:val="fr-FR"/>
        </w:rPr>
        <w:t>s résultats seront ensuite utilisés pour étayer les conclusions et les recommandations proposées.</w:t>
      </w:r>
    </w:p>
    <w:p w:rsidR="0006001B" w:rsidRPr="008918F0" w:rsidRDefault="0006001B" w:rsidP="00733963">
      <w:pPr>
        <w:rPr>
          <w:lang w:val="fr-FR" w:eastAsia="en-CA"/>
        </w:rPr>
      </w:pPr>
    </w:p>
    <w:p w:rsidR="0006001B" w:rsidRPr="008918F0" w:rsidRDefault="00733963" w:rsidP="00733963">
      <w:pPr>
        <w:rPr>
          <w:b/>
          <w:lang w:val="fr-FR"/>
        </w:rPr>
      </w:pPr>
      <w:r w:rsidRPr="008918F0">
        <w:rPr>
          <w:b/>
          <w:lang w:val="fr-FR"/>
        </w:rPr>
        <w:t>5.</w:t>
      </w:r>
      <w:r w:rsidR="00A22008" w:rsidRPr="008918F0">
        <w:rPr>
          <w:b/>
          <w:lang w:val="fr-FR"/>
        </w:rPr>
        <w:tab/>
      </w:r>
      <w:r w:rsidR="00C94E1F" w:rsidRPr="008918F0">
        <w:rPr>
          <w:b/>
          <w:lang w:val="fr-FR"/>
        </w:rPr>
        <w:t>Programme de travail et calendrier</w:t>
      </w:r>
    </w:p>
    <w:p w:rsidR="0006001B" w:rsidRPr="008918F0" w:rsidRDefault="0006001B" w:rsidP="00733963">
      <w:pPr>
        <w:rPr>
          <w:lang w:val="fr-FR" w:eastAsia="en-CA"/>
        </w:rPr>
      </w:pPr>
    </w:p>
    <w:p w:rsidR="0006001B" w:rsidRPr="008918F0" w:rsidRDefault="005C7973" w:rsidP="00FB5BA8">
      <w:pPr>
        <w:rPr>
          <w:lang w:val="fr-FR"/>
        </w:rPr>
      </w:pPr>
      <w:r w:rsidRPr="008918F0">
        <w:rPr>
          <w:lang w:val="fr-FR"/>
        </w:rPr>
        <w:t>Les étapes et le calendrier d</w:t>
      </w:r>
      <w:r w:rsidR="00C959B2" w:rsidRPr="008918F0">
        <w:rPr>
          <w:lang w:val="fr-FR"/>
        </w:rPr>
        <w:t>’</w:t>
      </w:r>
      <w:r w:rsidRPr="008918F0">
        <w:rPr>
          <w:lang w:val="fr-FR"/>
        </w:rPr>
        <w:t>exécution proposés sont indiqués ci</w:t>
      </w:r>
      <w:r w:rsidR="00AB7A2D">
        <w:rPr>
          <w:lang w:val="fr-FR"/>
        </w:rPr>
        <w:noBreakHyphen/>
      </w:r>
      <w:r w:rsidRPr="008918F0">
        <w:rPr>
          <w:lang w:val="fr-FR"/>
        </w:rPr>
        <w:t>après</w:t>
      </w:r>
      <w:r w:rsidR="00C959B2" w:rsidRPr="008918F0">
        <w:rPr>
          <w:lang w:val="fr-FR"/>
        </w:rPr>
        <w:t> :</w:t>
      </w:r>
    </w:p>
    <w:p w:rsidR="00733963" w:rsidRPr="008918F0" w:rsidRDefault="00733963" w:rsidP="00733963">
      <w:pPr>
        <w:jc w:val="both"/>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795"/>
        <w:gridCol w:w="3551"/>
      </w:tblGrid>
      <w:tr w:rsidR="00774F00" w:rsidRPr="008918F0" w:rsidTr="00FB5BA8">
        <w:trPr>
          <w:tblHeader/>
        </w:trPr>
        <w:tc>
          <w:tcPr>
            <w:tcW w:w="3100" w:type="pct"/>
            <w:shd w:val="clear" w:color="auto" w:fill="DBE5F1"/>
          </w:tcPr>
          <w:p w:rsidR="00B15EC7" w:rsidRPr="008918F0" w:rsidRDefault="005C7973" w:rsidP="00FB5BA8">
            <w:pPr>
              <w:pStyle w:val="Reporttext"/>
              <w:spacing w:before="0"/>
              <w:ind w:firstLine="0"/>
              <w:jc w:val="center"/>
              <w:rPr>
                <w:rFonts w:ascii="Arial" w:hAnsi="Arial" w:cs="Arial"/>
                <w:b/>
                <w:lang w:val="fr-FR"/>
              </w:rPr>
            </w:pPr>
            <w:r w:rsidRPr="008918F0">
              <w:rPr>
                <w:rFonts w:ascii="Arial" w:hAnsi="Arial" w:cs="Arial"/>
                <w:b/>
                <w:lang w:val="fr-FR"/>
              </w:rPr>
              <w:t>Étapes/Résultats escomptés</w:t>
            </w:r>
          </w:p>
        </w:tc>
        <w:tc>
          <w:tcPr>
            <w:tcW w:w="1900" w:type="pct"/>
            <w:shd w:val="clear" w:color="auto" w:fill="DBE5F1"/>
          </w:tcPr>
          <w:p w:rsidR="00B15EC7" w:rsidRPr="008918F0" w:rsidRDefault="005C7973" w:rsidP="00FB5BA8">
            <w:pPr>
              <w:pStyle w:val="Reporttext"/>
              <w:spacing w:before="0"/>
              <w:ind w:firstLine="0"/>
              <w:jc w:val="center"/>
              <w:rPr>
                <w:rFonts w:ascii="Arial" w:hAnsi="Arial" w:cs="Arial"/>
                <w:b/>
                <w:lang w:val="fr-FR"/>
              </w:rPr>
            </w:pPr>
            <w:r w:rsidRPr="008918F0">
              <w:rPr>
                <w:rFonts w:ascii="Arial" w:hAnsi="Arial" w:cs="Arial"/>
                <w:b/>
                <w:lang w:val="fr-FR"/>
              </w:rPr>
              <w:t>Dates clés</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Début des travaux</w:t>
            </w:r>
          </w:p>
        </w:tc>
        <w:tc>
          <w:tcPr>
            <w:tcW w:w="19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1</w:t>
            </w:r>
            <w:r w:rsidR="00C959B2" w:rsidRPr="008918F0">
              <w:rPr>
                <w:rFonts w:ascii="Arial" w:hAnsi="Arial" w:cs="Arial"/>
                <w:lang w:val="fr-FR"/>
              </w:rPr>
              <w:t>2 juillet 20</w:t>
            </w:r>
            <w:r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Présentation à l</w:t>
            </w:r>
            <w:r w:rsidR="00C959B2" w:rsidRPr="008918F0">
              <w:rPr>
                <w:rFonts w:ascii="Arial" w:hAnsi="Arial" w:cs="Arial"/>
                <w:lang w:val="fr-FR"/>
              </w:rPr>
              <w:t>’</w:t>
            </w:r>
            <w:r w:rsidRPr="008918F0">
              <w:rPr>
                <w:rFonts w:ascii="Arial" w:hAnsi="Arial" w:cs="Arial"/>
                <w:lang w:val="fr-FR"/>
              </w:rPr>
              <w:t>OMPI du rapport initial</w:t>
            </w:r>
          </w:p>
        </w:tc>
        <w:tc>
          <w:tcPr>
            <w:tcW w:w="19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2</w:t>
            </w:r>
            <w:r w:rsidR="00C959B2" w:rsidRPr="008918F0">
              <w:rPr>
                <w:rFonts w:ascii="Arial" w:hAnsi="Arial" w:cs="Arial"/>
                <w:lang w:val="fr-FR"/>
              </w:rPr>
              <w:t>1 juillet 20</w:t>
            </w:r>
            <w:r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Retour d</w:t>
            </w:r>
            <w:r w:rsidR="00C959B2" w:rsidRPr="008918F0">
              <w:rPr>
                <w:rFonts w:ascii="Arial" w:hAnsi="Arial" w:cs="Arial"/>
                <w:lang w:val="fr-FR"/>
              </w:rPr>
              <w:t>’</w:t>
            </w:r>
            <w:r w:rsidRPr="008918F0">
              <w:rPr>
                <w:rFonts w:ascii="Arial" w:hAnsi="Arial" w:cs="Arial"/>
                <w:lang w:val="fr-FR"/>
              </w:rPr>
              <w:t>information de l</w:t>
            </w:r>
            <w:r w:rsidR="00C959B2" w:rsidRPr="008918F0">
              <w:rPr>
                <w:rFonts w:ascii="Arial" w:hAnsi="Arial" w:cs="Arial"/>
                <w:lang w:val="fr-FR"/>
              </w:rPr>
              <w:t>’</w:t>
            </w:r>
            <w:r w:rsidRPr="008918F0">
              <w:rPr>
                <w:rFonts w:ascii="Arial" w:hAnsi="Arial" w:cs="Arial"/>
                <w:lang w:val="fr-FR"/>
              </w:rPr>
              <w:t>OMPI sur le rapport initial</w:t>
            </w:r>
          </w:p>
        </w:tc>
        <w:tc>
          <w:tcPr>
            <w:tcW w:w="19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2</w:t>
            </w:r>
            <w:r w:rsidR="00C959B2" w:rsidRPr="008918F0">
              <w:rPr>
                <w:rFonts w:ascii="Arial" w:hAnsi="Arial" w:cs="Arial"/>
                <w:lang w:val="fr-FR"/>
              </w:rPr>
              <w:t>7 juillet 20</w:t>
            </w:r>
            <w:r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Présentation à l</w:t>
            </w:r>
            <w:r w:rsidR="00C959B2" w:rsidRPr="008918F0">
              <w:rPr>
                <w:rFonts w:ascii="Arial" w:hAnsi="Arial" w:cs="Arial"/>
                <w:lang w:val="fr-FR"/>
              </w:rPr>
              <w:t>’</w:t>
            </w:r>
            <w:r w:rsidRPr="008918F0">
              <w:rPr>
                <w:rFonts w:ascii="Arial" w:hAnsi="Arial" w:cs="Arial"/>
                <w:lang w:val="fr-FR"/>
              </w:rPr>
              <w:t>OMPI de la version finale du rapport initial</w:t>
            </w:r>
          </w:p>
        </w:tc>
        <w:tc>
          <w:tcPr>
            <w:tcW w:w="1900" w:type="pct"/>
          </w:tcPr>
          <w:p w:rsidR="00B15EC7" w:rsidRPr="008918F0" w:rsidRDefault="00C959B2" w:rsidP="00FB5BA8">
            <w:pPr>
              <w:pStyle w:val="Reporttext"/>
              <w:spacing w:before="0"/>
              <w:ind w:firstLine="0"/>
              <w:jc w:val="both"/>
              <w:rPr>
                <w:rFonts w:ascii="Arial" w:hAnsi="Arial" w:cs="Arial"/>
                <w:lang w:val="fr-FR"/>
              </w:rPr>
            </w:pPr>
            <w:r w:rsidRPr="008918F0">
              <w:rPr>
                <w:rFonts w:ascii="Arial" w:hAnsi="Arial" w:cs="Arial"/>
                <w:lang w:val="fr-FR"/>
              </w:rPr>
              <w:t>5 août 20</w:t>
            </w:r>
            <w:r w:rsidR="005C7973"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Présentation à l</w:t>
            </w:r>
            <w:r w:rsidR="00C959B2" w:rsidRPr="008918F0">
              <w:rPr>
                <w:rFonts w:ascii="Arial" w:hAnsi="Arial" w:cs="Arial"/>
                <w:lang w:val="fr-FR"/>
              </w:rPr>
              <w:t>’</w:t>
            </w:r>
            <w:r w:rsidRPr="008918F0">
              <w:rPr>
                <w:rFonts w:ascii="Arial" w:hAnsi="Arial" w:cs="Arial"/>
                <w:lang w:val="fr-FR"/>
              </w:rPr>
              <w:t>OMPI d</w:t>
            </w:r>
            <w:r w:rsidR="00C959B2" w:rsidRPr="008918F0">
              <w:rPr>
                <w:rFonts w:ascii="Arial" w:hAnsi="Arial" w:cs="Arial"/>
                <w:lang w:val="fr-FR"/>
              </w:rPr>
              <w:t>’</w:t>
            </w:r>
            <w:r w:rsidRPr="008918F0">
              <w:rPr>
                <w:rFonts w:ascii="Arial" w:hAnsi="Arial" w:cs="Arial"/>
                <w:lang w:val="fr-FR"/>
              </w:rPr>
              <w:t>un projet de rapport</w:t>
            </w:r>
          </w:p>
        </w:tc>
        <w:tc>
          <w:tcPr>
            <w:tcW w:w="1900" w:type="pct"/>
          </w:tcPr>
          <w:p w:rsidR="00B15EC7" w:rsidRPr="008918F0" w:rsidRDefault="00C959B2" w:rsidP="00FB5BA8">
            <w:pPr>
              <w:pStyle w:val="Reporttext"/>
              <w:spacing w:before="0"/>
              <w:ind w:firstLine="0"/>
              <w:jc w:val="both"/>
              <w:rPr>
                <w:rFonts w:ascii="Arial" w:hAnsi="Arial" w:cs="Arial"/>
                <w:lang w:val="fr-FR"/>
              </w:rPr>
            </w:pPr>
            <w:r w:rsidRPr="008918F0">
              <w:rPr>
                <w:rFonts w:ascii="Arial" w:hAnsi="Arial" w:cs="Arial"/>
                <w:lang w:val="fr-FR"/>
              </w:rPr>
              <w:t>2 septembre 20</w:t>
            </w:r>
            <w:r w:rsidR="005C7973"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Corrections factuelles apportées par l</w:t>
            </w:r>
            <w:r w:rsidR="00C959B2" w:rsidRPr="008918F0">
              <w:rPr>
                <w:rFonts w:ascii="Arial" w:hAnsi="Arial" w:cs="Arial"/>
                <w:lang w:val="fr-FR"/>
              </w:rPr>
              <w:t>’</w:t>
            </w:r>
            <w:r w:rsidRPr="008918F0">
              <w:rPr>
                <w:rFonts w:ascii="Arial" w:hAnsi="Arial" w:cs="Arial"/>
                <w:lang w:val="fr-FR"/>
              </w:rPr>
              <w:t>OMPI au projet de rapport</w:t>
            </w:r>
          </w:p>
        </w:tc>
        <w:tc>
          <w:tcPr>
            <w:tcW w:w="1900" w:type="pct"/>
          </w:tcPr>
          <w:p w:rsidR="00B15EC7" w:rsidRPr="008918F0" w:rsidRDefault="00C959B2" w:rsidP="00FB5BA8">
            <w:pPr>
              <w:pStyle w:val="Reporttext"/>
              <w:spacing w:before="0"/>
              <w:ind w:firstLine="0"/>
              <w:jc w:val="both"/>
              <w:rPr>
                <w:rFonts w:ascii="Arial" w:hAnsi="Arial" w:cs="Arial"/>
                <w:lang w:val="fr-FR"/>
              </w:rPr>
            </w:pPr>
            <w:r w:rsidRPr="008918F0">
              <w:rPr>
                <w:rFonts w:ascii="Arial" w:hAnsi="Arial" w:cs="Arial"/>
                <w:lang w:val="fr-FR"/>
              </w:rPr>
              <w:t>6 septembre 20</w:t>
            </w:r>
            <w:r w:rsidR="005C7973"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Présentation à l</w:t>
            </w:r>
            <w:r w:rsidR="00C959B2" w:rsidRPr="008918F0">
              <w:rPr>
                <w:rFonts w:ascii="Arial" w:hAnsi="Arial" w:cs="Arial"/>
                <w:lang w:val="fr-FR"/>
              </w:rPr>
              <w:t>’</w:t>
            </w:r>
            <w:r w:rsidRPr="008918F0">
              <w:rPr>
                <w:rFonts w:ascii="Arial" w:hAnsi="Arial" w:cs="Arial"/>
                <w:lang w:val="fr-FR"/>
              </w:rPr>
              <w:t>OMPI du rapport final</w:t>
            </w:r>
          </w:p>
        </w:tc>
        <w:tc>
          <w:tcPr>
            <w:tcW w:w="19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1</w:t>
            </w:r>
            <w:r w:rsidR="00C959B2" w:rsidRPr="008918F0">
              <w:rPr>
                <w:rFonts w:ascii="Arial" w:hAnsi="Arial" w:cs="Arial"/>
                <w:lang w:val="fr-FR"/>
              </w:rPr>
              <w:t>3 septembre 20</w:t>
            </w:r>
            <w:r w:rsidRPr="008918F0">
              <w:rPr>
                <w:rFonts w:ascii="Arial" w:hAnsi="Arial" w:cs="Arial"/>
                <w:lang w:val="fr-FR"/>
              </w:rPr>
              <w:t>19</w:t>
            </w:r>
          </w:p>
        </w:tc>
      </w:tr>
      <w:tr w:rsidR="00774F00" w:rsidRPr="008918F0" w:rsidTr="00FB5BA8">
        <w:tc>
          <w:tcPr>
            <w:tcW w:w="31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Présentation</w:t>
            </w:r>
            <w:r w:rsidR="00C959B2" w:rsidRPr="008918F0">
              <w:rPr>
                <w:rFonts w:ascii="Arial" w:hAnsi="Arial" w:cs="Arial"/>
                <w:lang w:val="fr-FR"/>
              </w:rPr>
              <w:t xml:space="preserve"> au CDI</w:t>
            </w:r>
            <w:r w:rsidRPr="008918F0">
              <w:rPr>
                <w:rFonts w:ascii="Arial" w:hAnsi="Arial" w:cs="Arial"/>
                <w:lang w:val="fr-FR"/>
              </w:rPr>
              <w:t>P du rapport d</w:t>
            </w:r>
            <w:r w:rsidR="00C959B2" w:rsidRPr="008918F0">
              <w:rPr>
                <w:rFonts w:ascii="Arial" w:hAnsi="Arial" w:cs="Arial"/>
                <w:lang w:val="fr-FR"/>
              </w:rPr>
              <w:t>’</w:t>
            </w:r>
            <w:r w:rsidRPr="008918F0">
              <w:rPr>
                <w:rFonts w:ascii="Arial" w:hAnsi="Arial" w:cs="Arial"/>
                <w:lang w:val="fr-FR"/>
              </w:rPr>
              <w:t>évaluation</w:t>
            </w:r>
          </w:p>
        </w:tc>
        <w:tc>
          <w:tcPr>
            <w:tcW w:w="1900" w:type="pct"/>
          </w:tcPr>
          <w:p w:rsidR="00B15EC7" w:rsidRPr="008918F0" w:rsidRDefault="005C7973" w:rsidP="00FB5BA8">
            <w:pPr>
              <w:pStyle w:val="Reporttext"/>
              <w:spacing w:before="0"/>
              <w:ind w:firstLine="0"/>
              <w:jc w:val="both"/>
              <w:rPr>
                <w:rFonts w:ascii="Arial" w:hAnsi="Arial" w:cs="Arial"/>
                <w:lang w:val="fr-FR"/>
              </w:rPr>
            </w:pPr>
            <w:r w:rsidRPr="008918F0">
              <w:rPr>
                <w:rFonts w:ascii="Arial" w:hAnsi="Arial" w:cs="Arial"/>
                <w:lang w:val="fr-FR"/>
              </w:rPr>
              <w:t>18</w:t>
            </w:r>
            <w:r w:rsidR="00AB7A2D">
              <w:rPr>
                <w:rFonts w:ascii="Arial" w:hAnsi="Arial" w:cs="Arial"/>
                <w:lang w:val="fr-FR"/>
              </w:rPr>
              <w:noBreakHyphen/>
            </w:r>
            <w:r w:rsidRPr="008918F0">
              <w:rPr>
                <w:rFonts w:ascii="Arial" w:hAnsi="Arial" w:cs="Arial"/>
                <w:lang w:val="fr-FR"/>
              </w:rPr>
              <w:t>2</w:t>
            </w:r>
            <w:r w:rsidR="00C959B2" w:rsidRPr="008918F0">
              <w:rPr>
                <w:rFonts w:ascii="Arial" w:hAnsi="Arial" w:cs="Arial"/>
                <w:lang w:val="fr-FR"/>
              </w:rPr>
              <w:t>2 novembre 20</w:t>
            </w:r>
            <w:r w:rsidRPr="008918F0">
              <w:rPr>
                <w:rFonts w:ascii="Arial" w:hAnsi="Arial" w:cs="Arial"/>
                <w:lang w:val="fr-FR"/>
              </w:rPr>
              <w:t>19</w:t>
            </w:r>
          </w:p>
        </w:tc>
      </w:tr>
    </w:tbl>
    <w:p w:rsidR="0006001B" w:rsidRPr="008918F0" w:rsidRDefault="0006001B" w:rsidP="00FB5BA8">
      <w:pPr>
        <w:rPr>
          <w:lang w:val="fr-FR" w:eastAsia="en-CA"/>
        </w:rPr>
      </w:pPr>
    </w:p>
    <w:p w:rsidR="0006001B" w:rsidRPr="008918F0" w:rsidRDefault="00733963" w:rsidP="00FB5BA8">
      <w:pPr>
        <w:keepNext/>
        <w:rPr>
          <w:b/>
          <w:lang w:val="fr-FR"/>
        </w:rPr>
      </w:pPr>
      <w:r w:rsidRPr="008918F0">
        <w:rPr>
          <w:b/>
          <w:lang w:val="fr-FR"/>
        </w:rPr>
        <w:lastRenderedPageBreak/>
        <w:t>6</w:t>
      </w:r>
      <w:r w:rsidR="00C81CD7" w:rsidRPr="008918F0">
        <w:rPr>
          <w:b/>
          <w:lang w:val="fr-FR"/>
        </w:rPr>
        <w:t xml:space="preserve">. </w:t>
      </w:r>
      <w:r w:rsidR="00DB6EA5" w:rsidRPr="008918F0">
        <w:rPr>
          <w:b/>
          <w:lang w:val="fr-FR"/>
        </w:rPr>
        <w:t xml:space="preserve"> </w:t>
      </w:r>
      <w:r w:rsidR="00A22008" w:rsidRPr="008918F0">
        <w:rPr>
          <w:b/>
          <w:lang w:val="fr-FR"/>
        </w:rPr>
        <w:tab/>
      </w:r>
      <w:r w:rsidR="00C94E1F" w:rsidRPr="008918F0">
        <w:rPr>
          <w:b/>
          <w:lang w:val="fr-FR"/>
        </w:rPr>
        <w:t>Hypothèses et risques principaux</w:t>
      </w:r>
    </w:p>
    <w:p w:rsidR="0006001B" w:rsidRPr="008918F0" w:rsidRDefault="0006001B" w:rsidP="00FB5BA8">
      <w:pPr>
        <w:pStyle w:val="Numbers"/>
        <w:keepNext/>
        <w:numPr>
          <w:ilvl w:val="0"/>
          <w:numId w:val="0"/>
        </w:numPr>
        <w:spacing w:before="0"/>
        <w:jc w:val="both"/>
        <w:rPr>
          <w:rFonts w:ascii="Arial" w:hAnsi="Arial" w:cs="Arial"/>
          <w:lang w:val="fr-FR"/>
        </w:rPr>
      </w:pPr>
    </w:p>
    <w:p w:rsidR="0006001B" w:rsidRPr="008918F0" w:rsidRDefault="005C7973" w:rsidP="00FB5BA8">
      <w:pPr>
        <w:pStyle w:val="ONUMFS"/>
        <w:numPr>
          <w:ilvl w:val="0"/>
          <w:numId w:val="0"/>
        </w:numPr>
        <w:rPr>
          <w:lang w:val="fr-FR"/>
        </w:rPr>
      </w:pPr>
      <w:r w:rsidRPr="008918F0">
        <w:rPr>
          <w:lang w:val="fr-FR"/>
        </w:rPr>
        <w:t>L</w:t>
      </w:r>
      <w:r w:rsidR="00C959B2" w:rsidRPr="008918F0">
        <w:rPr>
          <w:lang w:val="fr-FR"/>
        </w:rPr>
        <w:t>’</w:t>
      </w:r>
      <w:r w:rsidRPr="008918F0">
        <w:rPr>
          <w:lang w:val="fr-FR"/>
        </w:rPr>
        <w:t>équipe chargée du projet et la Division de la coordination du Plan d</w:t>
      </w:r>
      <w:r w:rsidR="00C959B2" w:rsidRPr="008918F0">
        <w:rPr>
          <w:lang w:val="fr-FR"/>
        </w:rPr>
        <w:t>’</w:t>
      </w:r>
      <w:r w:rsidRPr="008918F0">
        <w:rPr>
          <w:lang w:val="fr-FR"/>
        </w:rPr>
        <w:t xml:space="preserve">action pour le développement devraient aider le consultant </w:t>
      </w:r>
      <w:r w:rsidR="00C94E1F" w:rsidRPr="008918F0">
        <w:rPr>
          <w:lang w:val="fr-FR"/>
        </w:rPr>
        <w:t xml:space="preserve">à </w:t>
      </w:r>
      <w:r w:rsidRPr="008918F0">
        <w:rPr>
          <w:lang w:val="fr-FR"/>
        </w:rPr>
        <w:t>recenser tous les documents essentiels et à accéder à ces documents</w:t>
      </w:r>
      <w:r w:rsidR="00C94E1F" w:rsidRPr="008918F0">
        <w:rPr>
          <w:lang w:val="fr-FR"/>
        </w:rPr>
        <w:t>,</w:t>
      </w:r>
      <w:r w:rsidRPr="008918F0">
        <w:rPr>
          <w:lang w:val="fr-FR"/>
        </w:rPr>
        <w:t xml:space="preserve"> informer les principales parties prenantes au sujet de l</w:t>
      </w:r>
      <w:r w:rsidR="00C959B2" w:rsidRPr="008918F0">
        <w:rPr>
          <w:lang w:val="fr-FR"/>
        </w:rPr>
        <w:t>’</w:t>
      </w:r>
      <w:r w:rsidRPr="008918F0">
        <w:rPr>
          <w:lang w:val="fr-FR"/>
        </w:rPr>
        <w:t>évaluation, présenter brièvement les thèmes examinés, fournir les coordonnées des personnes à contacter</w:t>
      </w:r>
      <w:r w:rsidR="00B944C6" w:rsidRPr="008918F0">
        <w:rPr>
          <w:lang w:val="fr-FR"/>
        </w:rPr>
        <w:t>,</w:t>
      </w:r>
      <w:r w:rsidR="00C94E1F" w:rsidRPr="008918F0">
        <w:rPr>
          <w:lang w:val="fr-FR"/>
        </w:rPr>
        <w:t xml:space="preserve"> </w:t>
      </w:r>
      <w:r w:rsidRPr="008918F0">
        <w:rPr>
          <w:lang w:val="fr-FR"/>
        </w:rPr>
        <w:t xml:space="preserve">faciliter les entretiens </w:t>
      </w:r>
      <w:r w:rsidR="00C94E1F" w:rsidRPr="008918F0">
        <w:rPr>
          <w:lang w:val="fr-FR"/>
        </w:rPr>
        <w:t xml:space="preserve">en tant que </w:t>
      </w:r>
      <w:r w:rsidRPr="008918F0">
        <w:rPr>
          <w:lang w:val="fr-FR"/>
        </w:rPr>
        <w:t>de besoin et fournir en temps utile un retour d</w:t>
      </w:r>
      <w:r w:rsidR="00C959B2" w:rsidRPr="008918F0">
        <w:rPr>
          <w:lang w:val="fr-FR"/>
        </w:rPr>
        <w:t>’</w:t>
      </w:r>
      <w:r w:rsidRPr="008918F0">
        <w:rPr>
          <w:lang w:val="fr-FR"/>
        </w:rPr>
        <w:t>information synthétique sur les résultats escompt</w:t>
      </w:r>
      <w:r w:rsidR="00630E33" w:rsidRPr="008918F0">
        <w:rPr>
          <w:lang w:val="fr-FR"/>
        </w:rPr>
        <w:t>és.  Pa</w:t>
      </w:r>
      <w:r w:rsidRPr="008918F0">
        <w:rPr>
          <w:lang w:val="fr-FR"/>
        </w:rPr>
        <w:t xml:space="preserve">r ailleurs, les entretiens qui </w:t>
      </w:r>
      <w:r w:rsidR="00C94E1F" w:rsidRPr="008918F0">
        <w:rPr>
          <w:lang w:val="fr-FR"/>
        </w:rPr>
        <w:t>seront menés</w:t>
      </w:r>
      <w:r w:rsidRPr="008918F0">
        <w:rPr>
          <w:lang w:val="fr-FR"/>
        </w:rPr>
        <w:t xml:space="preserve"> devraient être réussis et </w:t>
      </w:r>
      <w:r w:rsidR="00C94E1F" w:rsidRPr="008918F0">
        <w:rPr>
          <w:lang w:val="fr-FR"/>
        </w:rPr>
        <w:t xml:space="preserve">la langue </w:t>
      </w:r>
      <w:r w:rsidRPr="008918F0">
        <w:rPr>
          <w:lang w:val="fr-FR"/>
        </w:rPr>
        <w:t xml:space="preserve">ne devrait pas </w:t>
      </w:r>
      <w:r w:rsidR="00C94E1F" w:rsidRPr="008918F0">
        <w:rPr>
          <w:lang w:val="fr-FR"/>
        </w:rPr>
        <w:t xml:space="preserve">être un obstacle </w:t>
      </w:r>
      <w:r w:rsidRPr="008918F0">
        <w:rPr>
          <w:lang w:val="fr-FR"/>
        </w:rPr>
        <w:t>(le consultant par</w:t>
      </w:r>
      <w:r w:rsidR="00B944C6" w:rsidRPr="008918F0">
        <w:rPr>
          <w:lang w:val="fr-FR"/>
        </w:rPr>
        <w:t>lant</w:t>
      </w:r>
      <w:r w:rsidRPr="008918F0">
        <w:rPr>
          <w:lang w:val="fr-FR"/>
        </w:rPr>
        <w:t xml:space="preserve"> le français et l</w:t>
      </w:r>
      <w:r w:rsidR="00C959B2" w:rsidRPr="008918F0">
        <w:rPr>
          <w:lang w:val="fr-FR"/>
        </w:rPr>
        <w:t>’</w:t>
      </w:r>
      <w:r w:rsidRPr="008918F0">
        <w:rPr>
          <w:lang w:val="fr-FR"/>
        </w:rPr>
        <w:t>angla</w:t>
      </w:r>
      <w:r w:rsidR="00630E33" w:rsidRPr="008918F0">
        <w:rPr>
          <w:lang w:val="fr-FR"/>
        </w:rPr>
        <w:t>is).  De</w:t>
      </w:r>
      <w:r w:rsidRPr="008918F0">
        <w:rPr>
          <w:lang w:val="fr-FR"/>
        </w:rPr>
        <w:t xml:space="preserve"> plus, les personnes consultées devraient être disponibles et </w:t>
      </w:r>
      <w:r w:rsidR="00B944C6" w:rsidRPr="008918F0">
        <w:rPr>
          <w:lang w:val="fr-FR"/>
        </w:rPr>
        <w:t>prêtes</w:t>
      </w:r>
      <w:r w:rsidRPr="008918F0">
        <w:rPr>
          <w:lang w:val="fr-FR"/>
        </w:rPr>
        <w:t xml:space="preserve"> </w:t>
      </w:r>
      <w:r w:rsidR="00B944C6" w:rsidRPr="008918F0">
        <w:rPr>
          <w:lang w:val="fr-FR"/>
        </w:rPr>
        <w:t>à</w:t>
      </w:r>
      <w:r w:rsidRPr="008918F0">
        <w:rPr>
          <w:lang w:val="fr-FR"/>
        </w:rPr>
        <w:t xml:space="preserve"> fournir les informations demandées.</w:t>
      </w:r>
    </w:p>
    <w:p w:rsidR="0006001B" w:rsidRPr="008918F0" w:rsidRDefault="0006001B" w:rsidP="006E6A54">
      <w:pPr>
        <w:rPr>
          <w:lang w:val="fr-FR"/>
        </w:rPr>
      </w:pPr>
    </w:p>
    <w:p w:rsidR="0006001B" w:rsidRPr="008918F0" w:rsidRDefault="0006001B" w:rsidP="006E6A54">
      <w:pPr>
        <w:rPr>
          <w:lang w:val="fr-FR"/>
        </w:rPr>
      </w:pPr>
    </w:p>
    <w:p w:rsidR="0006001B" w:rsidRPr="008918F0" w:rsidRDefault="005C7973" w:rsidP="00FB5BA8">
      <w:pPr>
        <w:pStyle w:val="Endofdocument"/>
        <w:rPr>
          <w:lang w:val="fr-FR"/>
        </w:rPr>
      </w:pPr>
      <w:r w:rsidRPr="008918F0">
        <w:rPr>
          <w:lang w:val="fr-FR"/>
        </w:rPr>
        <w:t>[Fin de l</w:t>
      </w:r>
      <w:r w:rsidR="00C959B2" w:rsidRPr="008918F0">
        <w:rPr>
          <w:lang w:val="fr-FR"/>
        </w:rPr>
        <w:t>’</w:t>
      </w:r>
      <w:r w:rsidRPr="008918F0">
        <w:rPr>
          <w:lang w:val="fr-FR"/>
        </w:rPr>
        <w:t>appendice III et du document]</w:t>
      </w:r>
    </w:p>
    <w:sectPr w:rsidR="0006001B" w:rsidRPr="008918F0" w:rsidSect="00774F00">
      <w:headerReference w:type="default" r:id="rId25"/>
      <w:headerReference w:type="first" r:id="rId2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6C" w:rsidRDefault="009A486C">
      <w:r>
        <w:separator/>
      </w:r>
    </w:p>
  </w:endnote>
  <w:endnote w:type="continuationSeparator" w:id="0">
    <w:p w:rsidR="009A486C" w:rsidRDefault="009A486C" w:rsidP="003B38C1">
      <w:r>
        <w:separator/>
      </w:r>
    </w:p>
    <w:p w:rsidR="009A486C" w:rsidRPr="00CA7920" w:rsidRDefault="009A486C" w:rsidP="003B38C1">
      <w:pPr>
        <w:spacing w:after="60"/>
        <w:rPr>
          <w:sz w:val="17"/>
          <w:lang w:val="en-US"/>
        </w:rPr>
      </w:pPr>
      <w:r w:rsidRPr="00CA7920">
        <w:rPr>
          <w:sz w:val="17"/>
          <w:lang w:val="en-US"/>
        </w:rPr>
        <w:t>[Endnote continued from previous page]</w:t>
      </w:r>
    </w:p>
  </w:endnote>
  <w:endnote w:type="continuationNotice" w:id="1">
    <w:p w:rsidR="009A486C" w:rsidRPr="00CA7920" w:rsidRDefault="009A486C" w:rsidP="003B38C1">
      <w:pPr>
        <w:spacing w:before="60"/>
        <w:jc w:val="right"/>
        <w:rPr>
          <w:sz w:val="17"/>
          <w:szCs w:val="17"/>
          <w:lang w:val="en-US"/>
        </w:rPr>
      </w:pPr>
      <w:r w:rsidRPr="00CA792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Default="009A486C" w:rsidP="009B62BB">
    <w:pPr>
      <w:pStyle w:val="Footer"/>
      <w:jc w:val="right"/>
      <w:rPr>
        <w:color w:val="000000"/>
        <w:sz w:val="17"/>
      </w:rPr>
    </w:pPr>
    <w:bookmarkStart w:id="6" w:name="TITUS4FooterEvenPages"/>
    <w:r>
      <w:rPr>
        <w:color w:val="000000"/>
        <w:sz w:val="17"/>
      </w:rPr>
      <w:t xml:space="preserve">  </w:t>
    </w:r>
  </w:p>
  <w:p w:rsidR="009A486C" w:rsidRDefault="009A486C" w:rsidP="009B62BB">
    <w:pPr>
      <w:pStyle w:val="Footer"/>
      <w:jc w:val="right"/>
      <w:rPr>
        <w:color w:val="000000"/>
        <w:sz w:val="17"/>
      </w:rPr>
    </w:pPr>
  </w:p>
  <w:bookmarkEnd w:id="6"/>
  <w:p w:rsidR="009A486C" w:rsidRDefault="009A486C"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2D" w:rsidRDefault="00AB7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2D" w:rsidRDefault="00AB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6C" w:rsidRDefault="009A486C">
      <w:r>
        <w:separator/>
      </w:r>
    </w:p>
  </w:footnote>
  <w:footnote w:type="continuationSeparator" w:id="0">
    <w:p w:rsidR="009A486C" w:rsidRDefault="009A486C" w:rsidP="008B60B2">
      <w:r>
        <w:separator/>
      </w:r>
    </w:p>
    <w:p w:rsidR="009A486C" w:rsidRPr="00CA7920" w:rsidRDefault="009A486C" w:rsidP="008B60B2">
      <w:pPr>
        <w:spacing w:after="60"/>
        <w:rPr>
          <w:sz w:val="17"/>
          <w:szCs w:val="17"/>
          <w:lang w:val="en-US"/>
        </w:rPr>
      </w:pPr>
      <w:r w:rsidRPr="00CA7920">
        <w:rPr>
          <w:sz w:val="17"/>
          <w:szCs w:val="17"/>
          <w:lang w:val="en-US"/>
        </w:rPr>
        <w:t>[Footnote continued from previous page]</w:t>
      </w:r>
    </w:p>
  </w:footnote>
  <w:footnote w:type="continuationNotice" w:id="1">
    <w:p w:rsidR="009A486C" w:rsidRPr="00CA7920" w:rsidRDefault="009A486C" w:rsidP="008B60B2">
      <w:pPr>
        <w:spacing w:before="60"/>
        <w:jc w:val="right"/>
        <w:rPr>
          <w:sz w:val="17"/>
          <w:szCs w:val="17"/>
          <w:lang w:val="en-US"/>
        </w:rPr>
      </w:pPr>
      <w:r w:rsidRPr="00CA7920">
        <w:rPr>
          <w:sz w:val="17"/>
          <w:szCs w:val="17"/>
          <w:lang w:val="en-US"/>
        </w:rPr>
        <w:t>[Footnote continued on next page]</w:t>
      </w:r>
    </w:p>
  </w:footnote>
  <w:footnote w:id="2">
    <w:p w:rsidR="009A486C" w:rsidRPr="00F96A0F" w:rsidRDefault="009A486C">
      <w:pPr>
        <w:pStyle w:val="FootnoteText"/>
        <w:rPr>
          <w:lang w:val="fr-FR"/>
        </w:rPr>
      </w:pPr>
      <w:r w:rsidRPr="00F02C91">
        <w:rPr>
          <w:rStyle w:val="FootnoteReference"/>
          <w:lang w:val="fr-FR"/>
        </w:rPr>
        <w:footnoteRef/>
      </w:r>
      <w:r w:rsidRPr="00F02C91">
        <w:rPr>
          <w:lang w:val="fr-FR"/>
        </w:rPr>
        <w:t xml:space="preserve"> </w:t>
      </w:r>
      <w:r>
        <w:rPr>
          <w:lang w:val="fr-FR"/>
        </w:rPr>
        <w:tab/>
      </w:r>
      <w:r w:rsidRPr="00F02C91">
        <w:rPr>
          <w:lang w:val="fr-FR"/>
        </w:rPr>
        <w:t>Afrique du Sud et Kenya (région Afrique), Maroc (pays arabes), Malaisie et Philippines (région Asie et Pacifique), Argentine, Colombie et Cuba (région Amérique latine et Caraïbes) et Fédération de Russie (pays en transition et pays développés).</w:t>
      </w:r>
    </w:p>
  </w:footnote>
  <w:footnote w:id="3">
    <w:p w:rsidR="009A486C" w:rsidRPr="00F96A0F" w:rsidRDefault="009A486C">
      <w:pPr>
        <w:pStyle w:val="FootnoteText"/>
        <w:rPr>
          <w:lang w:val="fr-FR"/>
        </w:rPr>
      </w:pPr>
      <w:r w:rsidRPr="0088090C">
        <w:rPr>
          <w:rStyle w:val="FootnoteReference"/>
          <w:lang w:val="fr-FR"/>
        </w:rPr>
        <w:footnoteRef/>
      </w:r>
      <w:r w:rsidRPr="0088090C">
        <w:rPr>
          <w:lang w:val="fr-FR"/>
        </w:rPr>
        <w:t xml:space="preserve"> </w:t>
      </w:r>
      <w:r w:rsidRPr="0088090C">
        <w:rPr>
          <w:lang w:val="fr-FR"/>
        </w:rPr>
        <w:tab/>
        <w:t>Sur l</w:t>
      </w:r>
      <w:r>
        <w:rPr>
          <w:lang w:val="fr-FR"/>
        </w:rPr>
        <w:t>’</w:t>
      </w:r>
      <w:r w:rsidRPr="0088090C">
        <w:rPr>
          <w:lang w:val="fr-FR"/>
        </w:rPr>
        <w:t>échelle de maturité de l</w:t>
      </w:r>
      <w:r>
        <w:rPr>
          <w:lang w:val="fr-FR"/>
        </w:rPr>
        <w:t>’</w:t>
      </w:r>
      <w:r w:rsidRPr="0088090C">
        <w:rPr>
          <w:lang w:val="fr-FR"/>
        </w:rPr>
        <w:t xml:space="preserve">OMPI, au troisième niveau le plus élevé de maturité. </w:t>
      </w:r>
      <w:r>
        <w:rPr>
          <w:lang w:val="fr-FR"/>
        </w:rPr>
        <w:t xml:space="preserve"> </w:t>
      </w:r>
      <w:r w:rsidRPr="0088090C">
        <w:rPr>
          <w:lang w:val="fr-FR"/>
        </w:rPr>
        <w:t xml:space="preserve">Voir OMPI (2019), </w:t>
      </w:r>
      <w:r w:rsidRPr="0088090C">
        <w:rPr>
          <w:i/>
          <w:lang w:val="fr-FR"/>
        </w:rPr>
        <w:t>Rapport</w:t>
      </w:r>
      <w:r>
        <w:rPr>
          <w:i/>
          <w:lang w:val="fr-FR"/>
        </w:rPr>
        <w:t xml:space="preserve"> annuel 201</w:t>
      </w:r>
      <w:r w:rsidR="00C878D9">
        <w:rPr>
          <w:i/>
          <w:lang w:val="fr-FR"/>
        </w:rPr>
        <w:t>8</w:t>
      </w:r>
      <w:r>
        <w:rPr>
          <w:i/>
          <w:lang w:val="fr-FR"/>
        </w:rPr>
        <w:t xml:space="preserve"> sur les CATI</w:t>
      </w:r>
      <w:r w:rsidRPr="00F96A0F">
        <w:rPr>
          <w:lang w:val="fr-FR"/>
        </w:rPr>
        <w:t>, p</w:t>
      </w:r>
      <w:r>
        <w:rPr>
          <w:lang w:val="fr-FR"/>
        </w:rPr>
        <w:t>. </w:t>
      </w:r>
      <w:r w:rsidRPr="00F96A0F">
        <w:rPr>
          <w:lang w:val="fr-FR"/>
        </w:rPr>
        <w:t>9.</w:t>
      </w:r>
    </w:p>
  </w:footnote>
  <w:footnote w:id="4">
    <w:p w:rsidR="009A486C" w:rsidRPr="00F96A0F" w:rsidRDefault="009A486C">
      <w:pPr>
        <w:pStyle w:val="FootnoteText"/>
        <w:rPr>
          <w:lang w:val="fr-FR"/>
        </w:rPr>
      </w:pPr>
      <w:r w:rsidRPr="00F96A0F">
        <w:rPr>
          <w:rStyle w:val="FootnoteReference"/>
          <w:lang w:val="fr-FR"/>
        </w:rPr>
        <w:footnoteRef/>
      </w:r>
      <w:r w:rsidRPr="00F96A0F">
        <w:rPr>
          <w:lang w:val="fr-FR"/>
        </w:rPr>
        <w:t xml:space="preserve"> </w:t>
      </w:r>
      <w:r>
        <w:rPr>
          <w:lang w:val="fr-FR"/>
        </w:rPr>
        <w:tab/>
      </w:r>
      <w:r w:rsidRPr="00F96A0F">
        <w:rPr>
          <w:i/>
          <w:lang w:val="fr-FR"/>
        </w:rPr>
        <w:t>Ibid,</w:t>
      </w:r>
      <w:r w:rsidRPr="00F96A0F">
        <w:rPr>
          <w:lang w:val="fr-FR"/>
        </w:rPr>
        <w:t xml:space="preserve"> p.</w:t>
      </w:r>
      <w:r>
        <w:rPr>
          <w:lang w:val="fr-FR"/>
        </w:rPr>
        <w:t> </w:t>
      </w:r>
      <w:r w:rsidRPr="00F96A0F">
        <w:rPr>
          <w:lang w:val="fr-FR"/>
        </w:rPr>
        <w:t xml:space="preserve">5 (239 </w:t>
      </w:r>
      <w:r>
        <w:rPr>
          <w:lang w:val="fr-FR"/>
        </w:rPr>
        <w:t>CATI sur 750).</w:t>
      </w:r>
    </w:p>
  </w:footnote>
  <w:footnote w:id="5">
    <w:p w:rsidR="009A486C" w:rsidRPr="00F96A0F" w:rsidRDefault="009A486C">
      <w:pPr>
        <w:pStyle w:val="FootnoteText"/>
        <w:rPr>
          <w:lang w:val="fr-FR"/>
        </w:rPr>
      </w:pPr>
      <w:r w:rsidRPr="00F96A0F">
        <w:rPr>
          <w:rStyle w:val="FootnoteReference"/>
          <w:lang w:val="fr-FR"/>
        </w:rPr>
        <w:footnoteRef/>
      </w:r>
      <w:r w:rsidRPr="00F96A0F">
        <w:rPr>
          <w:lang w:val="fr-FR"/>
        </w:rPr>
        <w:t xml:space="preserve"> </w:t>
      </w:r>
      <w:r>
        <w:rPr>
          <w:lang w:val="fr-FR"/>
        </w:rPr>
        <w:tab/>
        <w:t>Portail d’accès aux registres de brevets :</w:t>
      </w:r>
      <w:r w:rsidRPr="00F96A0F">
        <w:rPr>
          <w:lang w:val="fr-FR"/>
        </w:rPr>
        <w:t xml:space="preserve"> </w:t>
      </w:r>
      <w:hyperlink r:id="rId1" w:history="1">
        <w:r w:rsidRPr="0088090C">
          <w:rPr>
            <w:rStyle w:val="Hyperlink"/>
            <w:rFonts w:cs="Arial"/>
            <w:lang w:val="fr-FR"/>
          </w:rPr>
          <w:t>https://www.wipo.int/patent_register_portal/en/index.html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Default="009A486C" w:rsidP="009B62BB">
    <w:pPr>
      <w:jc w:val="right"/>
      <w:rPr>
        <w:color w:val="000000"/>
        <w:sz w:val="17"/>
        <w:lang w:val="fr-FR"/>
      </w:rPr>
    </w:pPr>
    <w:bookmarkStart w:id="5" w:name="TITUS4HeaderEvenPages"/>
    <w:r>
      <w:rPr>
        <w:color w:val="000000"/>
        <w:sz w:val="17"/>
        <w:lang w:val="fr-FR"/>
      </w:rPr>
      <w:t xml:space="preserve"> </w:t>
    </w:r>
  </w:p>
  <w:bookmarkEnd w:id="5"/>
  <w:p w:rsidR="009A486C" w:rsidRPr="00150FAF" w:rsidRDefault="009A486C" w:rsidP="00752A3A">
    <w:pPr>
      <w:jc w:val="right"/>
      <w:rPr>
        <w:lang w:val="fr-FR"/>
      </w:rPr>
    </w:pPr>
    <w:r>
      <w:rPr>
        <w:lang w:val="fr-FR"/>
      </w:rPr>
      <w:t>CDIP/24</w:t>
    </w:r>
    <w:r w:rsidRPr="00150FAF">
      <w:rPr>
        <w:lang w:val="fr-FR"/>
      </w:rPr>
      <w:t>/</w:t>
    </w:r>
    <w:r>
      <w:rPr>
        <w:lang w:val="fr-FR"/>
      </w:rPr>
      <w:t>11</w:t>
    </w:r>
  </w:p>
  <w:p w:rsidR="009A486C" w:rsidRPr="00150FAF" w:rsidRDefault="009A486C" w:rsidP="00752A3A">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p>
  <w:p w:rsidR="009A486C" w:rsidRDefault="009A486C" w:rsidP="00752A3A">
    <w:pPr>
      <w:jc w:val="right"/>
      <w:rPr>
        <w:lang w:val="fr-FR"/>
      </w:rPr>
    </w:pPr>
  </w:p>
  <w:p w:rsidR="009A486C" w:rsidRPr="00150FAF" w:rsidRDefault="009A486C" w:rsidP="00752A3A">
    <w:pPr>
      <w:jc w:val="right"/>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Pr="00150FAF" w:rsidRDefault="009A486C" w:rsidP="00477D6B">
    <w:pPr>
      <w:jc w:val="right"/>
      <w:rPr>
        <w:lang w:val="fr-FR"/>
      </w:rPr>
    </w:pPr>
    <w:r>
      <w:rPr>
        <w:lang w:val="fr-FR"/>
      </w:rPr>
      <w:t>CDIP/24</w:t>
    </w:r>
    <w:r w:rsidRPr="00150FAF">
      <w:rPr>
        <w:lang w:val="fr-FR"/>
      </w:rPr>
      <w:t>/</w:t>
    </w:r>
    <w:r>
      <w:rPr>
        <w:lang w:val="fr-FR"/>
      </w:rPr>
      <w:t>11</w:t>
    </w:r>
  </w:p>
  <w:p w:rsidR="009A486C" w:rsidRPr="00150FAF" w:rsidRDefault="009A486C" w:rsidP="00477D6B">
    <w:pPr>
      <w:jc w:val="right"/>
      <w:rPr>
        <w:lang w:val="fr-FR"/>
      </w:rPr>
    </w:pPr>
    <w:r>
      <w:rPr>
        <w:lang w:val="fr-FR"/>
      </w:rPr>
      <w:t xml:space="preserve">Appendice III, </w:t>
    </w:r>
    <w:r w:rsidRPr="00150FAF">
      <w:rPr>
        <w:lang w:val="fr-FR"/>
      </w:rPr>
      <w:t xml:space="preserve">page </w:t>
    </w:r>
    <w:r>
      <w:rPr>
        <w:rStyle w:val="PageNumber"/>
      </w:rPr>
      <w:fldChar w:fldCharType="begin"/>
    </w:r>
    <w:r w:rsidRPr="00150FAF">
      <w:rPr>
        <w:rStyle w:val="PageNumber"/>
        <w:lang w:val="fr-FR"/>
      </w:rPr>
      <w:instrText xml:space="preserve"> PAGE </w:instrText>
    </w:r>
    <w:r>
      <w:rPr>
        <w:rStyle w:val="PageNumber"/>
      </w:rPr>
      <w:fldChar w:fldCharType="separate"/>
    </w:r>
    <w:r w:rsidR="00CA7920">
      <w:rPr>
        <w:rStyle w:val="PageNumber"/>
        <w:noProof/>
        <w:lang w:val="fr-FR"/>
      </w:rPr>
      <w:t>3</w:t>
    </w:r>
    <w:r>
      <w:rPr>
        <w:rStyle w:val="PageNumber"/>
      </w:rPr>
      <w:fldChar w:fldCharType="end"/>
    </w:r>
  </w:p>
  <w:p w:rsidR="009A486C" w:rsidRDefault="009A486C" w:rsidP="00477D6B">
    <w:pPr>
      <w:jc w:val="right"/>
      <w:rPr>
        <w:lang w:val="fr-FR"/>
      </w:rPr>
    </w:pPr>
  </w:p>
  <w:p w:rsidR="009A486C" w:rsidRPr="00150FAF" w:rsidRDefault="009A486C" w:rsidP="00477D6B">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Default="009A486C" w:rsidP="00774F00">
    <w:pPr>
      <w:pStyle w:val="Header"/>
      <w:jc w:val="right"/>
    </w:pPr>
    <w:r>
      <w:t>CDIP/24/11</w:t>
    </w:r>
  </w:p>
  <w:p w:rsidR="009A486C" w:rsidRDefault="009A486C" w:rsidP="00774F00">
    <w:pPr>
      <w:pStyle w:val="Header"/>
      <w:jc w:val="right"/>
    </w:pPr>
    <w:r>
      <w:t>APPENDICE III</w:t>
    </w:r>
  </w:p>
  <w:p w:rsidR="009A486C" w:rsidRDefault="009A486C" w:rsidP="00774F00">
    <w:pPr>
      <w:pStyle w:val="Header"/>
      <w:jc w:val="right"/>
    </w:pPr>
  </w:p>
  <w:p w:rsidR="009A486C" w:rsidRPr="00774F00" w:rsidRDefault="009A486C" w:rsidP="00774F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Pr="00150FAF" w:rsidRDefault="009A486C" w:rsidP="00477D6B">
    <w:pPr>
      <w:jc w:val="right"/>
      <w:rPr>
        <w:lang w:val="fr-FR"/>
      </w:rPr>
    </w:pPr>
    <w:r>
      <w:rPr>
        <w:lang w:val="fr-FR"/>
      </w:rPr>
      <w:t>CDIP/24</w:t>
    </w:r>
    <w:r w:rsidRPr="00150FAF">
      <w:rPr>
        <w:lang w:val="fr-FR"/>
      </w:rPr>
      <w:t>/</w:t>
    </w:r>
    <w:r>
      <w:rPr>
        <w:lang w:val="fr-FR"/>
      </w:rPr>
      <w:t>11</w:t>
    </w:r>
  </w:p>
  <w:p w:rsidR="009A486C" w:rsidRPr="00150FAF" w:rsidRDefault="009A486C" w:rsidP="00477D6B">
    <w:pPr>
      <w:jc w:val="right"/>
      <w:rPr>
        <w:lang w:val="fr-FR"/>
      </w:rPr>
    </w:pPr>
    <w:r w:rsidRPr="00150FAF">
      <w:rPr>
        <w:lang w:val="fr-FR"/>
      </w:rPr>
      <w:t xml:space="preserve">page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p w:rsidR="009A486C" w:rsidRDefault="009A486C" w:rsidP="00477D6B">
    <w:pPr>
      <w:jc w:val="right"/>
      <w:rPr>
        <w:lang w:val="fr-FR"/>
      </w:rPr>
    </w:pPr>
  </w:p>
  <w:p w:rsidR="009A486C" w:rsidRPr="00150FAF" w:rsidRDefault="009A486C"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2D" w:rsidRDefault="00AB7A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Pr="00150FAF" w:rsidRDefault="009A486C" w:rsidP="00477D6B">
    <w:pPr>
      <w:jc w:val="right"/>
      <w:rPr>
        <w:lang w:val="fr-FR"/>
      </w:rPr>
    </w:pPr>
    <w:r>
      <w:rPr>
        <w:lang w:val="fr-FR"/>
      </w:rPr>
      <w:t>CDIP/24</w:t>
    </w:r>
    <w:r w:rsidRPr="00150FAF">
      <w:rPr>
        <w:lang w:val="fr-FR"/>
      </w:rPr>
      <w:t>/</w:t>
    </w:r>
    <w:r>
      <w:rPr>
        <w:lang w:val="fr-FR"/>
      </w:rPr>
      <w:t>11</w:t>
    </w:r>
  </w:p>
  <w:p w:rsidR="009A486C" w:rsidRPr="00150FAF" w:rsidRDefault="009A486C" w:rsidP="00477D6B">
    <w:pPr>
      <w:jc w:val="right"/>
      <w:rPr>
        <w:lang w:val="fr-FR"/>
      </w:rPr>
    </w:pPr>
    <w:r>
      <w:rPr>
        <w:lang w:val="fr-FR"/>
      </w:rPr>
      <w:t xml:space="preserve">Annexe, </w:t>
    </w:r>
    <w:r w:rsidRPr="00150FAF">
      <w:rPr>
        <w:lang w:val="fr-FR"/>
      </w:rPr>
      <w:t xml:space="preserve">page </w:t>
    </w:r>
    <w:r>
      <w:rPr>
        <w:rStyle w:val="PageNumber"/>
      </w:rPr>
      <w:fldChar w:fldCharType="begin"/>
    </w:r>
    <w:r w:rsidRPr="00150FAF">
      <w:rPr>
        <w:rStyle w:val="PageNumber"/>
        <w:lang w:val="fr-FR"/>
      </w:rPr>
      <w:instrText xml:space="preserve"> PAGE </w:instrText>
    </w:r>
    <w:r>
      <w:rPr>
        <w:rStyle w:val="PageNumber"/>
      </w:rPr>
      <w:fldChar w:fldCharType="separate"/>
    </w:r>
    <w:r w:rsidR="00CA7920">
      <w:rPr>
        <w:rStyle w:val="PageNumber"/>
        <w:noProof/>
        <w:lang w:val="fr-FR"/>
      </w:rPr>
      <w:t>14</w:t>
    </w:r>
    <w:r>
      <w:rPr>
        <w:rStyle w:val="PageNumber"/>
      </w:rPr>
      <w:fldChar w:fldCharType="end"/>
    </w:r>
  </w:p>
  <w:p w:rsidR="009A486C" w:rsidRDefault="009A486C" w:rsidP="00477D6B">
    <w:pPr>
      <w:jc w:val="right"/>
      <w:rPr>
        <w:lang w:val="fr-FR"/>
      </w:rPr>
    </w:pPr>
  </w:p>
  <w:p w:rsidR="009A486C" w:rsidRPr="00150FAF" w:rsidRDefault="009A486C"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Default="009A486C" w:rsidP="00774F00">
    <w:pPr>
      <w:pStyle w:val="Header"/>
      <w:jc w:val="right"/>
    </w:pPr>
    <w:r>
      <w:t>CDIP/24/11</w:t>
    </w:r>
  </w:p>
  <w:p w:rsidR="009A486C" w:rsidRDefault="009A486C" w:rsidP="00774F00">
    <w:pPr>
      <w:pStyle w:val="Header"/>
      <w:jc w:val="right"/>
    </w:pPr>
    <w:r>
      <w:t>ANNEXE</w:t>
    </w:r>
  </w:p>
  <w:p w:rsidR="009A486C" w:rsidRDefault="009A486C" w:rsidP="00774F00">
    <w:pPr>
      <w:pStyle w:val="Header"/>
      <w:jc w:val="right"/>
    </w:pPr>
  </w:p>
  <w:p w:rsidR="009A486C" w:rsidRPr="00774F00" w:rsidRDefault="009A486C" w:rsidP="00774F0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Pr="00150FAF" w:rsidRDefault="009A486C" w:rsidP="00477D6B">
    <w:pPr>
      <w:jc w:val="right"/>
      <w:rPr>
        <w:lang w:val="fr-FR"/>
      </w:rPr>
    </w:pPr>
    <w:r>
      <w:rPr>
        <w:lang w:val="fr-FR"/>
      </w:rPr>
      <w:t>CDIP/24</w:t>
    </w:r>
    <w:r w:rsidRPr="00150FAF">
      <w:rPr>
        <w:lang w:val="fr-FR"/>
      </w:rPr>
      <w:t>/</w:t>
    </w:r>
    <w:r>
      <w:rPr>
        <w:lang w:val="fr-FR"/>
      </w:rPr>
      <w:t>11</w:t>
    </w:r>
  </w:p>
  <w:p w:rsidR="009A486C" w:rsidRPr="00150FAF" w:rsidRDefault="009A486C" w:rsidP="00477D6B">
    <w:pPr>
      <w:jc w:val="right"/>
      <w:rPr>
        <w:lang w:val="fr-FR"/>
      </w:rPr>
    </w:pPr>
    <w:r>
      <w:rPr>
        <w:lang w:val="fr-FR"/>
      </w:rPr>
      <w:t xml:space="preserve">Appendice I, </w:t>
    </w:r>
    <w:r w:rsidRPr="00150FAF">
      <w:rPr>
        <w:lang w:val="fr-FR"/>
      </w:rPr>
      <w:t xml:space="preserve">page </w:t>
    </w:r>
    <w:r>
      <w:rPr>
        <w:rStyle w:val="PageNumber"/>
      </w:rPr>
      <w:fldChar w:fldCharType="begin"/>
    </w:r>
    <w:r w:rsidRPr="00150FAF">
      <w:rPr>
        <w:rStyle w:val="PageNumber"/>
        <w:lang w:val="fr-FR"/>
      </w:rPr>
      <w:instrText xml:space="preserve"> PAGE </w:instrText>
    </w:r>
    <w:r>
      <w:rPr>
        <w:rStyle w:val="PageNumber"/>
      </w:rPr>
      <w:fldChar w:fldCharType="separate"/>
    </w:r>
    <w:r w:rsidR="00CA7920">
      <w:rPr>
        <w:rStyle w:val="PageNumber"/>
        <w:noProof/>
        <w:lang w:val="fr-FR"/>
      </w:rPr>
      <w:t>2</w:t>
    </w:r>
    <w:r>
      <w:rPr>
        <w:rStyle w:val="PageNumber"/>
      </w:rPr>
      <w:fldChar w:fldCharType="end"/>
    </w:r>
  </w:p>
  <w:p w:rsidR="009A486C" w:rsidRDefault="009A486C" w:rsidP="00477D6B">
    <w:pPr>
      <w:jc w:val="right"/>
      <w:rPr>
        <w:lang w:val="fr-FR"/>
      </w:rPr>
    </w:pPr>
  </w:p>
  <w:p w:rsidR="009A486C" w:rsidRPr="00150FAF" w:rsidRDefault="009A486C"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Default="009A486C" w:rsidP="00774F00">
    <w:pPr>
      <w:pStyle w:val="Header"/>
      <w:jc w:val="right"/>
    </w:pPr>
    <w:r>
      <w:t>CDIP/24/11</w:t>
    </w:r>
  </w:p>
  <w:p w:rsidR="009A486C" w:rsidRDefault="009A486C" w:rsidP="00774F00">
    <w:pPr>
      <w:pStyle w:val="Header"/>
      <w:jc w:val="right"/>
    </w:pPr>
    <w:r>
      <w:t>APPENDICE I</w:t>
    </w:r>
  </w:p>
  <w:p w:rsidR="009A486C" w:rsidRDefault="009A486C" w:rsidP="00774F00">
    <w:pPr>
      <w:pStyle w:val="Header"/>
      <w:jc w:val="right"/>
    </w:pPr>
  </w:p>
  <w:p w:rsidR="009A486C" w:rsidRPr="00774F00" w:rsidRDefault="009A486C" w:rsidP="00774F0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Pr="00150FAF" w:rsidRDefault="009A486C" w:rsidP="00477D6B">
    <w:pPr>
      <w:jc w:val="right"/>
      <w:rPr>
        <w:lang w:val="fr-FR"/>
      </w:rPr>
    </w:pPr>
    <w:r>
      <w:rPr>
        <w:lang w:val="fr-FR"/>
      </w:rPr>
      <w:t>CDIP/24</w:t>
    </w:r>
    <w:r w:rsidRPr="00150FAF">
      <w:rPr>
        <w:lang w:val="fr-FR"/>
      </w:rPr>
      <w:t>/</w:t>
    </w:r>
    <w:r>
      <w:rPr>
        <w:lang w:val="fr-FR"/>
      </w:rPr>
      <w:t>11</w:t>
    </w:r>
  </w:p>
  <w:p w:rsidR="009A486C" w:rsidRPr="00150FAF" w:rsidRDefault="009A486C" w:rsidP="00477D6B">
    <w:pPr>
      <w:jc w:val="right"/>
      <w:rPr>
        <w:lang w:val="fr-FR"/>
      </w:rPr>
    </w:pPr>
    <w:r>
      <w:rPr>
        <w:lang w:val="fr-FR"/>
      </w:rPr>
      <w:t xml:space="preserve">Appendice II, </w:t>
    </w:r>
    <w:r w:rsidRPr="00150FAF">
      <w:rPr>
        <w:lang w:val="fr-FR"/>
      </w:rPr>
      <w:t xml:space="preserve">page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p w:rsidR="009A486C" w:rsidRDefault="009A486C" w:rsidP="00477D6B">
    <w:pPr>
      <w:jc w:val="right"/>
      <w:rPr>
        <w:lang w:val="fr-FR"/>
      </w:rPr>
    </w:pPr>
  </w:p>
  <w:p w:rsidR="009A486C" w:rsidRPr="00150FAF" w:rsidRDefault="009A486C"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6C" w:rsidRDefault="009A486C" w:rsidP="00774F00">
    <w:pPr>
      <w:pStyle w:val="Header"/>
      <w:jc w:val="right"/>
    </w:pPr>
    <w:r>
      <w:t>CDIP/24/11</w:t>
    </w:r>
  </w:p>
  <w:p w:rsidR="009A486C" w:rsidRDefault="009A486C" w:rsidP="00774F00">
    <w:pPr>
      <w:pStyle w:val="Header"/>
      <w:jc w:val="right"/>
    </w:pPr>
    <w:r>
      <w:t>APPENDICE II</w:t>
    </w:r>
  </w:p>
  <w:p w:rsidR="009A486C" w:rsidRDefault="009A486C" w:rsidP="00774F00">
    <w:pPr>
      <w:pStyle w:val="Header"/>
      <w:jc w:val="right"/>
    </w:pPr>
  </w:p>
  <w:p w:rsidR="009A486C" w:rsidRPr="00774F00" w:rsidRDefault="009A486C" w:rsidP="00774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C13A13"/>
    <w:multiLevelType w:val="hybridMultilevel"/>
    <w:tmpl w:val="60E0E13E"/>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0FA0A1C"/>
    <w:multiLevelType w:val="hybridMultilevel"/>
    <w:tmpl w:val="E82C65F6"/>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141DE"/>
    <w:multiLevelType w:val="hybridMultilevel"/>
    <w:tmpl w:val="20AA9020"/>
    <w:lvl w:ilvl="0" w:tplc="080C0017">
      <w:start w:val="1"/>
      <w:numFmt w:val="lowerLetter"/>
      <w:lvlText w:val="%1)"/>
      <w:lvlJc w:val="left"/>
      <w:pPr>
        <w:ind w:left="720" w:hanging="360"/>
      </w:pPr>
      <w:rPr>
        <w:rFonts w:hint="default"/>
        <w:b w:val="0"/>
      </w:rPr>
    </w:lvl>
    <w:lvl w:ilvl="1" w:tplc="87263F84">
      <w:numFmt w:val="bullet"/>
      <w:lvlText w:val="-"/>
      <w:lvlJc w:val="left"/>
      <w:pPr>
        <w:ind w:left="1440" w:hanging="360"/>
      </w:pPr>
      <w:rPr>
        <w:rFonts w:ascii="Arial" w:eastAsia="SimSu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A4AA9"/>
    <w:multiLevelType w:val="multilevel"/>
    <w:tmpl w:val="AB764406"/>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E45C75"/>
    <w:multiLevelType w:val="hybridMultilevel"/>
    <w:tmpl w:val="98B60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51D6D"/>
    <w:multiLevelType w:val="hybridMultilevel"/>
    <w:tmpl w:val="7C789130"/>
    <w:lvl w:ilvl="0" w:tplc="080C0017">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2" w15:restartNumberingAfterBreak="0">
    <w:nsid w:val="1FFB19A2"/>
    <w:multiLevelType w:val="multilevel"/>
    <w:tmpl w:val="129C4AE2"/>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216F6C"/>
    <w:multiLevelType w:val="hybridMultilevel"/>
    <w:tmpl w:val="AFF4CA0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D3AE6"/>
    <w:multiLevelType w:val="hybridMultilevel"/>
    <w:tmpl w:val="9C2CC8B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8" w15:restartNumberingAfterBreak="0">
    <w:nsid w:val="38280875"/>
    <w:multiLevelType w:val="hybridMultilevel"/>
    <w:tmpl w:val="2272D99E"/>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5"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D4913B9"/>
    <w:multiLevelType w:val="hybridMultilevel"/>
    <w:tmpl w:val="8BAE328A"/>
    <w:lvl w:ilvl="0" w:tplc="08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2124F"/>
    <w:multiLevelType w:val="hybridMultilevel"/>
    <w:tmpl w:val="12D861F8"/>
    <w:lvl w:ilvl="0" w:tplc="080C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60BB2AB7"/>
    <w:multiLevelType w:val="multilevel"/>
    <w:tmpl w:val="06927360"/>
    <w:lvl w:ilvl="0">
      <w:start w:val="1"/>
      <w:numFmt w:val="upperRom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832237C"/>
    <w:multiLevelType w:val="hybridMultilevel"/>
    <w:tmpl w:val="61E4044A"/>
    <w:lvl w:ilvl="0" w:tplc="080C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4" w15:restartNumberingAfterBreak="0">
    <w:nsid w:val="7AE033A4"/>
    <w:multiLevelType w:val="hybridMultilevel"/>
    <w:tmpl w:val="9D1CAB6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FE1E10"/>
    <w:multiLevelType w:val="hybridMultilevel"/>
    <w:tmpl w:val="096A86B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3"/>
  </w:num>
  <w:num w:numId="5">
    <w:abstractNumId w:val="2"/>
  </w:num>
  <w:num w:numId="6">
    <w:abstractNumId w:val="1"/>
  </w:num>
  <w:num w:numId="7">
    <w:abstractNumId w:val="0"/>
  </w:num>
  <w:num w:numId="8">
    <w:abstractNumId w:val="4"/>
  </w:num>
  <w:num w:numId="9">
    <w:abstractNumId w:val="24"/>
  </w:num>
  <w:num w:numId="10">
    <w:abstractNumId w:val="25"/>
  </w:num>
  <w:num w:numId="11">
    <w:abstractNumId w:val="13"/>
  </w:num>
  <w:num w:numId="12">
    <w:abstractNumId w:val="19"/>
  </w:num>
  <w:num w:numId="13">
    <w:abstractNumId w:val="33"/>
  </w:num>
  <w:num w:numId="14">
    <w:abstractNumId w:val="32"/>
  </w:num>
  <w:num w:numId="15">
    <w:abstractNumId w:val="14"/>
  </w:num>
  <w:num w:numId="16">
    <w:abstractNumId w:val="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2"/>
  </w:num>
  <w:num w:numId="21">
    <w:abstractNumId w:val="17"/>
  </w:num>
  <w:num w:numId="22">
    <w:abstractNumId w:val="20"/>
  </w:num>
  <w:num w:numId="23">
    <w:abstractNumId w:val="11"/>
  </w:num>
  <w:num w:numId="24">
    <w:abstractNumId w:val="30"/>
  </w:num>
  <w:num w:numId="25">
    <w:abstractNumId w:val="31"/>
  </w:num>
  <w:num w:numId="26">
    <w:abstractNumId w:val="23"/>
  </w:num>
  <w:num w:numId="27">
    <w:abstractNumId w:val="26"/>
  </w:num>
  <w:num w:numId="28">
    <w:abstractNumId w:val="18"/>
  </w:num>
  <w:num w:numId="29">
    <w:abstractNumId w:val="7"/>
  </w:num>
  <w:num w:numId="30">
    <w:abstractNumId w:val="21"/>
  </w:num>
  <w:num w:numId="31">
    <w:abstractNumId w:val="5"/>
  </w:num>
  <w:num w:numId="32">
    <w:abstractNumId w:val="12"/>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15"/>
  </w:num>
  <w:num w:numId="39">
    <w:abstractNumId w:val="34"/>
  </w:num>
  <w:num w:numId="40">
    <w:abstractNumId w:val="6"/>
  </w:num>
  <w:num w:numId="41">
    <w:abstractNumId w:val="10"/>
  </w:num>
  <w:num w:numId="42">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5A5D8A"/>
    <w:rsid w:val="00000C32"/>
    <w:rsid w:val="00011BFB"/>
    <w:rsid w:val="00013293"/>
    <w:rsid w:val="00013627"/>
    <w:rsid w:val="00013B29"/>
    <w:rsid w:val="0001562C"/>
    <w:rsid w:val="000202D0"/>
    <w:rsid w:val="00021F82"/>
    <w:rsid w:val="00023307"/>
    <w:rsid w:val="00025F69"/>
    <w:rsid w:val="00026673"/>
    <w:rsid w:val="00026FA2"/>
    <w:rsid w:val="00027189"/>
    <w:rsid w:val="000308C7"/>
    <w:rsid w:val="00031360"/>
    <w:rsid w:val="00031E05"/>
    <w:rsid w:val="00037D1D"/>
    <w:rsid w:val="00041820"/>
    <w:rsid w:val="00043CAA"/>
    <w:rsid w:val="00044F72"/>
    <w:rsid w:val="00045BFD"/>
    <w:rsid w:val="00046893"/>
    <w:rsid w:val="00046C37"/>
    <w:rsid w:val="00047D96"/>
    <w:rsid w:val="00051999"/>
    <w:rsid w:val="0005217D"/>
    <w:rsid w:val="00055303"/>
    <w:rsid w:val="00056450"/>
    <w:rsid w:val="0006001B"/>
    <w:rsid w:val="00063CEC"/>
    <w:rsid w:val="00063D97"/>
    <w:rsid w:val="00065849"/>
    <w:rsid w:val="00066224"/>
    <w:rsid w:val="00066723"/>
    <w:rsid w:val="00071A3C"/>
    <w:rsid w:val="000722D7"/>
    <w:rsid w:val="00075432"/>
    <w:rsid w:val="000764A7"/>
    <w:rsid w:val="0007652D"/>
    <w:rsid w:val="00077463"/>
    <w:rsid w:val="00080A2F"/>
    <w:rsid w:val="00083BB1"/>
    <w:rsid w:val="00092F69"/>
    <w:rsid w:val="000968ED"/>
    <w:rsid w:val="00097361"/>
    <w:rsid w:val="000A00A9"/>
    <w:rsid w:val="000A06BE"/>
    <w:rsid w:val="000A13FC"/>
    <w:rsid w:val="000A1C40"/>
    <w:rsid w:val="000A3AC1"/>
    <w:rsid w:val="000A3E2F"/>
    <w:rsid w:val="000A59AF"/>
    <w:rsid w:val="000A6F04"/>
    <w:rsid w:val="000A7B32"/>
    <w:rsid w:val="000B00F7"/>
    <w:rsid w:val="000B045C"/>
    <w:rsid w:val="000B3F68"/>
    <w:rsid w:val="000B47C2"/>
    <w:rsid w:val="000B4E2C"/>
    <w:rsid w:val="000B5836"/>
    <w:rsid w:val="000B7A75"/>
    <w:rsid w:val="000C2D13"/>
    <w:rsid w:val="000C31EF"/>
    <w:rsid w:val="000C3BF0"/>
    <w:rsid w:val="000C5649"/>
    <w:rsid w:val="000C5936"/>
    <w:rsid w:val="000C5963"/>
    <w:rsid w:val="000C68C0"/>
    <w:rsid w:val="000D040F"/>
    <w:rsid w:val="000D230D"/>
    <w:rsid w:val="000D2AC1"/>
    <w:rsid w:val="000D5A70"/>
    <w:rsid w:val="000E3450"/>
    <w:rsid w:val="000E58E8"/>
    <w:rsid w:val="000F159B"/>
    <w:rsid w:val="000F1A90"/>
    <w:rsid w:val="000F43BE"/>
    <w:rsid w:val="000F4BD3"/>
    <w:rsid w:val="000F594C"/>
    <w:rsid w:val="000F5E56"/>
    <w:rsid w:val="00105172"/>
    <w:rsid w:val="001059FC"/>
    <w:rsid w:val="001060BE"/>
    <w:rsid w:val="00112653"/>
    <w:rsid w:val="00113824"/>
    <w:rsid w:val="00113BB7"/>
    <w:rsid w:val="001145F7"/>
    <w:rsid w:val="00115024"/>
    <w:rsid w:val="00120547"/>
    <w:rsid w:val="00123399"/>
    <w:rsid w:val="00125612"/>
    <w:rsid w:val="001269EB"/>
    <w:rsid w:val="00130243"/>
    <w:rsid w:val="00130B53"/>
    <w:rsid w:val="00133F41"/>
    <w:rsid w:val="001362EE"/>
    <w:rsid w:val="0013630A"/>
    <w:rsid w:val="001423A5"/>
    <w:rsid w:val="00142EFF"/>
    <w:rsid w:val="0014770B"/>
    <w:rsid w:val="00147E7B"/>
    <w:rsid w:val="00150FAF"/>
    <w:rsid w:val="001515F1"/>
    <w:rsid w:val="00151981"/>
    <w:rsid w:val="00151E8B"/>
    <w:rsid w:val="00157530"/>
    <w:rsid w:val="001621D7"/>
    <w:rsid w:val="00162809"/>
    <w:rsid w:val="0016355D"/>
    <w:rsid w:val="001648BD"/>
    <w:rsid w:val="00164C23"/>
    <w:rsid w:val="00167731"/>
    <w:rsid w:val="0017264A"/>
    <w:rsid w:val="0017331F"/>
    <w:rsid w:val="00177E17"/>
    <w:rsid w:val="00181D9D"/>
    <w:rsid w:val="001821CA"/>
    <w:rsid w:val="001832A6"/>
    <w:rsid w:val="001840F5"/>
    <w:rsid w:val="00185815"/>
    <w:rsid w:val="00186013"/>
    <w:rsid w:val="00190BBD"/>
    <w:rsid w:val="0019113C"/>
    <w:rsid w:val="001937E8"/>
    <w:rsid w:val="00195D57"/>
    <w:rsid w:val="00196C30"/>
    <w:rsid w:val="00197452"/>
    <w:rsid w:val="001975E5"/>
    <w:rsid w:val="001A1F86"/>
    <w:rsid w:val="001A316C"/>
    <w:rsid w:val="001A6F64"/>
    <w:rsid w:val="001B2C14"/>
    <w:rsid w:val="001B3C6B"/>
    <w:rsid w:val="001B602C"/>
    <w:rsid w:val="001B6DC5"/>
    <w:rsid w:val="001C5415"/>
    <w:rsid w:val="001C6672"/>
    <w:rsid w:val="001C7E86"/>
    <w:rsid w:val="001D1656"/>
    <w:rsid w:val="001D1CB9"/>
    <w:rsid w:val="001D1E07"/>
    <w:rsid w:val="001D4E11"/>
    <w:rsid w:val="001D4EB7"/>
    <w:rsid w:val="001D50BA"/>
    <w:rsid w:val="001D6CD2"/>
    <w:rsid w:val="001E01EB"/>
    <w:rsid w:val="001E0CC4"/>
    <w:rsid w:val="001E1672"/>
    <w:rsid w:val="001E45A2"/>
    <w:rsid w:val="001E6A73"/>
    <w:rsid w:val="001F0465"/>
    <w:rsid w:val="001F1DFC"/>
    <w:rsid w:val="001F2040"/>
    <w:rsid w:val="001F4C95"/>
    <w:rsid w:val="001F53E0"/>
    <w:rsid w:val="001F65EB"/>
    <w:rsid w:val="002029EC"/>
    <w:rsid w:val="00211DA8"/>
    <w:rsid w:val="00211EB2"/>
    <w:rsid w:val="00212775"/>
    <w:rsid w:val="00213162"/>
    <w:rsid w:val="00217B23"/>
    <w:rsid w:val="00217EB0"/>
    <w:rsid w:val="0022067D"/>
    <w:rsid w:val="00222610"/>
    <w:rsid w:val="00225E0F"/>
    <w:rsid w:val="00226DBC"/>
    <w:rsid w:val="00230439"/>
    <w:rsid w:val="00230818"/>
    <w:rsid w:val="00231265"/>
    <w:rsid w:val="00237C31"/>
    <w:rsid w:val="00237E65"/>
    <w:rsid w:val="002403B7"/>
    <w:rsid w:val="00240CEE"/>
    <w:rsid w:val="00241006"/>
    <w:rsid w:val="002460AB"/>
    <w:rsid w:val="00254224"/>
    <w:rsid w:val="00256A19"/>
    <w:rsid w:val="00262098"/>
    <w:rsid w:val="0026327E"/>
    <w:rsid w:val="0026330C"/>
    <w:rsid w:val="002634C4"/>
    <w:rsid w:val="002649ED"/>
    <w:rsid w:val="0026522C"/>
    <w:rsid w:val="00265236"/>
    <w:rsid w:val="00265F27"/>
    <w:rsid w:val="002705AC"/>
    <w:rsid w:val="00270EAC"/>
    <w:rsid w:val="00272E3B"/>
    <w:rsid w:val="00273239"/>
    <w:rsid w:val="00275174"/>
    <w:rsid w:val="0027567C"/>
    <w:rsid w:val="00276AF4"/>
    <w:rsid w:val="00281A68"/>
    <w:rsid w:val="00281D8C"/>
    <w:rsid w:val="00282D1E"/>
    <w:rsid w:val="0028339D"/>
    <w:rsid w:val="002861D3"/>
    <w:rsid w:val="00286DDA"/>
    <w:rsid w:val="00287196"/>
    <w:rsid w:val="00287CBE"/>
    <w:rsid w:val="00290A7D"/>
    <w:rsid w:val="002928D3"/>
    <w:rsid w:val="0029443A"/>
    <w:rsid w:val="002971A6"/>
    <w:rsid w:val="002A0B05"/>
    <w:rsid w:val="002A3934"/>
    <w:rsid w:val="002A3A3E"/>
    <w:rsid w:val="002A3DBC"/>
    <w:rsid w:val="002A601E"/>
    <w:rsid w:val="002A67EF"/>
    <w:rsid w:val="002B4B6A"/>
    <w:rsid w:val="002B5D17"/>
    <w:rsid w:val="002B660C"/>
    <w:rsid w:val="002C0080"/>
    <w:rsid w:val="002C119C"/>
    <w:rsid w:val="002C15EC"/>
    <w:rsid w:val="002C3F16"/>
    <w:rsid w:val="002C468E"/>
    <w:rsid w:val="002C4966"/>
    <w:rsid w:val="002D26BB"/>
    <w:rsid w:val="002D5270"/>
    <w:rsid w:val="002D6832"/>
    <w:rsid w:val="002D7C76"/>
    <w:rsid w:val="002E1285"/>
    <w:rsid w:val="002E1717"/>
    <w:rsid w:val="002E7F5D"/>
    <w:rsid w:val="002F1793"/>
    <w:rsid w:val="002F1FE6"/>
    <w:rsid w:val="002F2BEC"/>
    <w:rsid w:val="002F4E68"/>
    <w:rsid w:val="00310D67"/>
    <w:rsid w:val="003115CA"/>
    <w:rsid w:val="00312F7F"/>
    <w:rsid w:val="0031611D"/>
    <w:rsid w:val="00321B50"/>
    <w:rsid w:val="00326304"/>
    <w:rsid w:val="00330761"/>
    <w:rsid w:val="00331141"/>
    <w:rsid w:val="003445A8"/>
    <w:rsid w:val="003513BB"/>
    <w:rsid w:val="003517B5"/>
    <w:rsid w:val="003528BE"/>
    <w:rsid w:val="00353FDF"/>
    <w:rsid w:val="00355307"/>
    <w:rsid w:val="00355655"/>
    <w:rsid w:val="00355C3A"/>
    <w:rsid w:val="00355D01"/>
    <w:rsid w:val="0035722E"/>
    <w:rsid w:val="00357361"/>
    <w:rsid w:val="00361450"/>
    <w:rsid w:val="003673CF"/>
    <w:rsid w:val="00371339"/>
    <w:rsid w:val="003713EC"/>
    <w:rsid w:val="003741DD"/>
    <w:rsid w:val="00375CDD"/>
    <w:rsid w:val="00382F51"/>
    <w:rsid w:val="003845C1"/>
    <w:rsid w:val="00386456"/>
    <w:rsid w:val="003923D5"/>
    <w:rsid w:val="00394845"/>
    <w:rsid w:val="00394E6B"/>
    <w:rsid w:val="00395F52"/>
    <w:rsid w:val="003A12FC"/>
    <w:rsid w:val="003A143C"/>
    <w:rsid w:val="003A1A8D"/>
    <w:rsid w:val="003A1F6D"/>
    <w:rsid w:val="003A2273"/>
    <w:rsid w:val="003A23F5"/>
    <w:rsid w:val="003A2963"/>
    <w:rsid w:val="003A6F89"/>
    <w:rsid w:val="003B26A5"/>
    <w:rsid w:val="003B38C1"/>
    <w:rsid w:val="003B3C9C"/>
    <w:rsid w:val="003B55D8"/>
    <w:rsid w:val="003B606D"/>
    <w:rsid w:val="003C0070"/>
    <w:rsid w:val="003C20D5"/>
    <w:rsid w:val="003C4BC2"/>
    <w:rsid w:val="003D2F6E"/>
    <w:rsid w:val="003D3293"/>
    <w:rsid w:val="003D3EBE"/>
    <w:rsid w:val="003D400F"/>
    <w:rsid w:val="003D4403"/>
    <w:rsid w:val="003D52FE"/>
    <w:rsid w:val="003D565D"/>
    <w:rsid w:val="003D58D4"/>
    <w:rsid w:val="003D6A6E"/>
    <w:rsid w:val="003E1DF3"/>
    <w:rsid w:val="003E7603"/>
    <w:rsid w:val="003F0B02"/>
    <w:rsid w:val="003F5391"/>
    <w:rsid w:val="003F748C"/>
    <w:rsid w:val="003F79D9"/>
    <w:rsid w:val="004017F7"/>
    <w:rsid w:val="004024D6"/>
    <w:rsid w:val="00402EB4"/>
    <w:rsid w:val="00404317"/>
    <w:rsid w:val="004056B8"/>
    <w:rsid w:val="0040699A"/>
    <w:rsid w:val="004079FC"/>
    <w:rsid w:val="00413EB1"/>
    <w:rsid w:val="0041493E"/>
    <w:rsid w:val="00414AEA"/>
    <w:rsid w:val="00414EC7"/>
    <w:rsid w:val="00414F08"/>
    <w:rsid w:val="004155BB"/>
    <w:rsid w:val="004158F4"/>
    <w:rsid w:val="0041720C"/>
    <w:rsid w:val="00422938"/>
    <w:rsid w:val="00423E3E"/>
    <w:rsid w:val="00427AF4"/>
    <w:rsid w:val="00427D71"/>
    <w:rsid w:val="004308E8"/>
    <w:rsid w:val="0044031A"/>
    <w:rsid w:val="00442768"/>
    <w:rsid w:val="00444F07"/>
    <w:rsid w:val="00452583"/>
    <w:rsid w:val="004563C9"/>
    <w:rsid w:val="00460326"/>
    <w:rsid w:val="00461C2F"/>
    <w:rsid w:val="004647DA"/>
    <w:rsid w:val="00465820"/>
    <w:rsid w:val="00474062"/>
    <w:rsid w:val="00475589"/>
    <w:rsid w:val="00476727"/>
    <w:rsid w:val="00477616"/>
    <w:rsid w:val="00477D6B"/>
    <w:rsid w:val="004805CD"/>
    <w:rsid w:val="00481524"/>
    <w:rsid w:val="00481874"/>
    <w:rsid w:val="00481F19"/>
    <w:rsid w:val="00484592"/>
    <w:rsid w:val="0048595C"/>
    <w:rsid w:val="0048617F"/>
    <w:rsid w:val="004877F1"/>
    <w:rsid w:val="004907DF"/>
    <w:rsid w:val="00493421"/>
    <w:rsid w:val="00494EEA"/>
    <w:rsid w:val="00495BDE"/>
    <w:rsid w:val="004A4DCB"/>
    <w:rsid w:val="004A5839"/>
    <w:rsid w:val="004A5B73"/>
    <w:rsid w:val="004B095A"/>
    <w:rsid w:val="004B0C1A"/>
    <w:rsid w:val="004B20A0"/>
    <w:rsid w:val="004B2611"/>
    <w:rsid w:val="004B2B39"/>
    <w:rsid w:val="004B2B62"/>
    <w:rsid w:val="004B6183"/>
    <w:rsid w:val="004B6AB9"/>
    <w:rsid w:val="004B6DEB"/>
    <w:rsid w:val="004B6F2D"/>
    <w:rsid w:val="004B758E"/>
    <w:rsid w:val="004B7766"/>
    <w:rsid w:val="004C1D33"/>
    <w:rsid w:val="004C472C"/>
    <w:rsid w:val="004C525B"/>
    <w:rsid w:val="004D268F"/>
    <w:rsid w:val="004D3244"/>
    <w:rsid w:val="004D42A6"/>
    <w:rsid w:val="004D554E"/>
    <w:rsid w:val="004E07D4"/>
    <w:rsid w:val="004E093E"/>
    <w:rsid w:val="004E1F8A"/>
    <w:rsid w:val="004E2CDA"/>
    <w:rsid w:val="004E7077"/>
    <w:rsid w:val="004F669C"/>
    <w:rsid w:val="005019FF"/>
    <w:rsid w:val="00502CD3"/>
    <w:rsid w:val="0051119D"/>
    <w:rsid w:val="005128A9"/>
    <w:rsid w:val="00514100"/>
    <w:rsid w:val="00521C4F"/>
    <w:rsid w:val="00522827"/>
    <w:rsid w:val="0053057A"/>
    <w:rsid w:val="00533C75"/>
    <w:rsid w:val="00536F04"/>
    <w:rsid w:val="0054016A"/>
    <w:rsid w:val="00540216"/>
    <w:rsid w:val="00540384"/>
    <w:rsid w:val="0054059A"/>
    <w:rsid w:val="00540BD5"/>
    <w:rsid w:val="00544DB2"/>
    <w:rsid w:val="00546788"/>
    <w:rsid w:val="00554AEE"/>
    <w:rsid w:val="00555829"/>
    <w:rsid w:val="00560884"/>
    <w:rsid w:val="00560A29"/>
    <w:rsid w:val="00560C4E"/>
    <w:rsid w:val="00564374"/>
    <w:rsid w:val="00565647"/>
    <w:rsid w:val="00574291"/>
    <w:rsid w:val="00574BD0"/>
    <w:rsid w:val="00576B83"/>
    <w:rsid w:val="005803E1"/>
    <w:rsid w:val="00583047"/>
    <w:rsid w:val="00584F4C"/>
    <w:rsid w:val="005861A0"/>
    <w:rsid w:val="0059194A"/>
    <w:rsid w:val="00594C78"/>
    <w:rsid w:val="0059513A"/>
    <w:rsid w:val="005A1FEF"/>
    <w:rsid w:val="005A431B"/>
    <w:rsid w:val="005A5D8A"/>
    <w:rsid w:val="005B1F62"/>
    <w:rsid w:val="005B48E8"/>
    <w:rsid w:val="005B63B5"/>
    <w:rsid w:val="005C0E87"/>
    <w:rsid w:val="005C1597"/>
    <w:rsid w:val="005C1810"/>
    <w:rsid w:val="005C25E7"/>
    <w:rsid w:val="005C2702"/>
    <w:rsid w:val="005C45C8"/>
    <w:rsid w:val="005C58F1"/>
    <w:rsid w:val="005C6649"/>
    <w:rsid w:val="005C778E"/>
    <w:rsid w:val="005C7973"/>
    <w:rsid w:val="005D46B7"/>
    <w:rsid w:val="005E0747"/>
    <w:rsid w:val="005E6D9D"/>
    <w:rsid w:val="005E6FD8"/>
    <w:rsid w:val="005E7422"/>
    <w:rsid w:val="005F1C2B"/>
    <w:rsid w:val="005F23C8"/>
    <w:rsid w:val="005F59A3"/>
    <w:rsid w:val="005F7A0D"/>
    <w:rsid w:val="0060566A"/>
    <w:rsid w:val="00605827"/>
    <w:rsid w:val="00606083"/>
    <w:rsid w:val="00606C05"/>
    <w:rsid w:val="00612945"/>
    <w:rsid w:val="006144BA"/>
    <w:rsid w:val="00615CAD"/>
    <w:rsid w:val="00615DFC"/>
    <w:rsid w:val="006178ED"/>
    <w:rsid w:val="00622747"/>
    <w:rsid w:val="00626651"/>
    <w:rsid w:val="006276D6"/>
    <w:rsid w:val="00630E33"/>
    <w:rsid w:val="006334E4"/>
    <w:rsid w:val="006338DD"/>
    <w:rsid w:val="00635085"/>
    <w:rsid w:val="00644D78"/>
    <w:rsid w:val="00646050"/>
    <w:rsid w:val="00646CF3"/>
    <w:rsid w:val="00647CD8"/>
    <w:rsid w:val="00651949"/>
    <w:rsid w:val="006548F3"/>
    <w:rsid w:val="006635E6"/>
    <w:rsid w:val="00664367"/>
    <w:rsid w:val="00664488"/>
    <w:rsid w:val="006704CC"/>
    <w:rsid w:val="00670E98"/>
    <w:rsid w:val="006713CA"/>
    <w:rsid w:val="00676518"/>
    <w:rsid w:val="00676C5C"/>
    <w:rsid w:val="006817EF"/>
    <w:rsid w:val="00686AD1"/>
    <w:rsid w:val="00692329"/>
    <w:rsid w:val="00692D02"/>
    <w:rsid w:val="00693D40"/>
    <w:rsid w:val="00694596"/>
    <w:rsid w:val="0069491D"/>
    <w:rsid w:val="0069779E"/>
    <w:rsid w:val="006A6007"/>
    <w:rsid w:val="006B4D6D"/>
    <w:rsid w:val="006B5941"/>
    <w:rsid w:val="006B59CC"/>
    <w:rsid w:val="006B6D28"/>
    <w:rsid w:val="006B7CC2"/>
    <w:rsid w:val="006C29C7"/>
    <w:rsid w:val="006C2A81"/>
    <w:rsid w:val="006C6E86"/>
    <w:rsid w:val="006C756B"/>
    <w:rsid w:val="006D1256"/>
    <w:rsid w:val="006D18C5"/>
    <w:rsid w:val="006D1965"/>
    <w:rsid w:val="006D26E1"/>
    <w:rsid w:val="006D2CB2"/>
    <w:rsid w:val="006D2D21"/>
    <w:rsid w:val="006D2F48"/>
    <w:rsid w:val="006D5E9E"/>
    <w:rsid w:val="006E6A54"/>
    <w:rsid w:val="006F1093"/>
    <w:rsid w:val="006F136D"/>
    <w:rsid w:val="006F5A30"/>
    <w:rsid w:val="006F64A2"/>
    <w:rsid w:val="006F732B"/>
    <w:rsid w:val="0070125D"/>
    <w:rsid w:val="007018A9"/>
    <w:rsid w:val="00703D4E"/>
    <w:rsid w:val="00712C30"/>
    <w:rsid w:val="007147EC"/>
    <w:rsid w:val="007149DD"/>
    <w:rsid w:val="00715AB1"/>
    <w:rsid w:val="00715B23"/>
    <w:rsid w:val="00715E75"/>
    <w:rsid w:val="00716F41"/>
    <w:rsid w:val="00720EAE"/>
    <w:rsid w:val="0072184B"/>
    <w:rsid w:val="00722F18"/>
    <w:rsid w:val="00724C60"/>
    <w:rsid w:val="00724CC0"/>
    <w:rsid w:val="00724DDE"/>
    <w:rsid w:val="00725C01"/>
    <w:rsid w:val="00730B83"/>
    <w:rsid w:val="0073191D"/>
    <w:rsid w:val="007332A8"/>
    <w:rsid w:val="00733963"/>
    <w:rsid w:val="00734836"/>
    <w:rsid w:val="0073627C"/>
    <w:rsid w:val="007369DE"/>
    <w:rsid w:val="00736C6F"/>
    <w:rsid w:val="007415B3"/>
    <w:rsid w:val="0074210D"/>
    <w:rsid w:val="007448C4"/>
    <w:rsid w:val="00744ECA"/>
    <w:rsid w:val="00746945"/>
    <w:rsid w:val="00752A3A"/>
    <w:rsid w:val="00753A08"/>
    <w:rsid w:val="00753FF6"/>
    <w:rsid w:val="00755388"/>
    <w:rsid w:val="0075539F"/>
    <w:rsid w:val="0076107A"/>
    <w:rsid w:val="007636EA"/>
    <w:rsid w:val="0076714F"/>
    <w:rsid w:val="00773211"/>
    <w:rsid w:val="00774A9F"/>
    <w:rsid w:val="00774F00"/>
    <w:rsid w:val="00777946"/>
    <w:rsid w:val="00780522"/>
    <w:rsid w:val="00780960"/>
    <w:rsid w:val="00782E2E"/>
    <w:rsid w:val="00783347"/>
    <w:rsid w:val="0078563E"/>
    <w:rsid w:val="00787611"/>
    <w:rsid w:val="00793B12"/>
    <w:rsid w:val="007956B7"/>
    <w:rsid w:val="00797965"/>
    <w:rsid w:val="007A0863"/>
    <w:rsid w:val="007A35B0"/>
    <w:rsid w:val="007A5C67"/>
    <w:rsid w:val="007A6AAA"/>
    <w:rsid w:val="007B036F"/>
    <w:rsid w:val="007B1A99"/>
    <w:rsid w:val="007B2712"/>
    <w:rsid w:val="007B3C43"/>
    <w:rsid w:val="007B51ED"/>
    <w:rsid w:val="007C4575"/>
    <w:rsid w:val="007C519F"/>
    <w:rsid w:val="007D0640"/>
    <w:rsid w:val="007D1613"/>
    <w:rsid w:val="007D1D57"/>
    <w:rsid w:val="007D381A"/>
    <w:rsid w:val="007D694D"/>
    <w:rsid w:val="007E06EF"/>
    <w:rsid w:val="007E4D2D"/>
    <w:rsid w:val="007E4D70"/>
    <w:rsid w:val="007E7448"/>
    <w:rsid w:val="007E7617"/>
    <w:rsid w:val="007F26CA"/>
    <w:rsid w:val="007F5382"/>
    <w:rsid w:val="007F5A67"/>
    <w:rsid w:val="007F63E2"/>
    <w:rsid w:val="0080154D"/>
    <w:rsid w:val="008016DB"/>
    <w:rsid w:val="00801C8C"/>
    <w:rsid w:val="008031D1"/>
    <w:rsid w:val="008036A1"/>
    <w:rsid w:val="00805C1D"/>
    <w:rsid w:val="00807547"/>
    <w:rsid w:val="008078D5"/>
    <w:rsid w:val="008103AF"/>
    <w:rsid w:val="0081059F"/>
    <w:rsid w:val="008111A4"/>
    <w:rsid w:val="00813196"/>
    <w:rsid w:val="00815139"/>
    <w:rsid w:val="00815393"/>
    <w:rsid w:val="0081587F"/>
    <w:rsid w:val="00817DFE"/>
    <w:rsid w:val="00821724"/>
    <w:rsid w:val="00822608"/>
    <w:rsid w:val="00827374"/>
    <w:rsid w:val="0083286A"/>
    <w:rsid w:val="00835224"/>
    <w:rsid w:val="00835CBF"/>
    <w:rsid w:val="00836A9E"/>
    <w:rsid w:val="008374C5"/>
    <w:rsid w:val="00840A6F"/>
    <w:rsid w:val="008441FF"/>
    <w:rsid w:val="00844907"/>
    <w:rsid w:val="00847029"/>
    <w:rsid w:val="008503FF"/>
    <w:rsid w:val="00850894"/>
    <w:rsid w:val="008510C9"/>
    <w:rsid w:val="00852B22"/>
    <w:rsid w:val="00853D2B"/>
    <w:rsid w:val="00856325"/>
    <w:rsid w:val="00856A07"/>
    <w:rsid w:val="008618C7"/>
    <w:rsid w:val="00862082"/>
    <w:rsid w:val="00865336"/>
    <w:rsid w:val="00871D4F"/>
    <w:rsid w:val="00872DD3"/>
    <w:rsid w:val="008733A6"/>
    <w:rsid w:val="008733A9"/>
    <w:rsid w:val="008737B1"/>
    <w:rsid w:val="00873E88"/>
    <w:rsid w:val="008754BA"/>
    <w:rsid w:val="00876F38"/>
    <w:rsid w:val="0088090C"/>
    <w:rsid w:val="00880D78"/>
    <w:rsid w:val="00881F0C"/>
    <w:rsid w:val="008826DC"/>
    <w:rsid w:val="00885AEB"/>
    <w:rsid w:val="00886318"/>
    <w:rsid w:val="00890BE0"/>
    <w:rsid w:val="00891068"/>
    <w:rsid w:val="008918F0"/>
    <w:rsid w:val="00894842"/>
    <w:rsid w:val="008970B8"/>
    <w:rsid w:val="00897F83"/>
    <w:rsid w:val="008A027C"/>
    <w:rsid w:val="008A08EB"/>
    <w:rsid w:val="008A18A7"/>
    <w:rsid w:val="008A5337"/>
    <w:rsid w:val="008A55D9"/>
    <w:rsid w:val="008A64F3"/>
    <w:rsid w:val="008A6C46"/>
    <w:rsid w:val="008B1D22"/>
    <w:rsid w:val="008B2CC1"/>
    <w:rsid w:val="008B4AAA"/>
    <w:rsid w:val="008B60B2"/>
    <w:rsid w:val="008B747F"/>
    <w:rsid w:val="008C21E1"/>
    <w:rsid w:val="008C642B"/>
    <w:rsid w:val="008D0CE7"/>
    <w:rsid w:val="008D2C69"/>
    <w:rsid w:val="008D63C3"/>
    <w:rsid w:val="008D6793"/>
    <w:rsid w:val="008D6913"/>
    <w:rsid w:val="008E0376"/>
    <w:rsid w:val="008E388F"/>
    <w:rsid w:val="008E3A39"/>
    <w:rsid w:val="008E43E6"/>
    <w:rsid w:val="008E5537"/>
    <w:rsid w:val="008E682F"/>
    <w:rsid w:val="008E76BC"/>
    <w:rsid w:val="008F3BE3"/>
    <w:rsid w:val="008F5BC8"/>
    <w:rsid w:val="00900E52"/>
    <w:rsid w:val="00903F7D"/>
    <w:rsid w:val="0090696F"/>
    <w:rsid w:val="0090731E"/>
    <w:rsid w:val="00912B23"/>
    <w:rsid w:val="00914628"/>
    <w:rsid w:val="00914CAC"/>
    <w:rsid w:val="00915F20"/>
    <w:rsid w:val="00916EE2"/>
    <w:rsid w:val="00921025"/>
    <w:rsid w:val="00924554"/>
    <w:rsid w:val="0093027E"/>
    <w:rsid w:val="00931449"/>
    <w:rsid w:val="00933046"/>
    <w:rsid w:val="00934642"/>
    <w:rsid w:val="00934CB2"/>
    <w:rsid w:val="00935EF4"/>
    <w:rsid w:val="00937DD9"/>
    <w:rsid w:val="00942D8C"/>
    <w:rsid w:val="00944736"/>
    <w:rsid w:val="00945D73"/>
    <w:rsid w:val="00946B23"/>
    <w:rsid w:val="00947A0F"/>
    <w:rsid w:val="00951612"/>
    <w:rsid w:val="00951DAE"/>
    <w:rsid w:val="00952E4B"/>
    <w:rsid w:val="00953C1B"/>
    <w:rsid w:val="0095420E"/>
    <w:rsid w:val="00955573"/>
    <w:rsid w:val="00955684"/>
    <w:rsid w:val="00960C97"/>
    <w:rsid w:val="009638A6"/>
    <w:rsid w:val="009647E8"/>
    <w:rsid w:val="00964CD7"/>
    <w:rsid w:val="00965481"/>
    <w:rsid w:val="00966A22"/>
    <w:rsid w:val="0096722F"/>
    <w:rsid w:val="00973863"/>
    <w:rsid w:val="009755F4"/>
    <w:rsid w:val="00976CB1"/>
    <w:rsid w:val="0098067C"/>
    <w:rsid w:val="00980843"/>
    <w:rsid w:val="00980F4A"/>
    <w:rsid w:val="00986FCA"/>
    <w:rsid w:val="00990F6C"/>
    <w:rsid w:val="00991AA8"/>
    <w:rsid w:val="009941C4"/>
    <w:rsid w:val="0099473B"/>
    <w:rsid w:val="00995171"/>
    <w:rsid w:val="00995402"/>
    <w:rsid w:val="009A104E"/>
    <w:rsid w:val="009A486C"/>
    <w:rsid w:val="009A4AEA"/>
    <w:rsid w:val="009A5715"/>
    <w:rsid w:val="009B0D3A"/>
    <w:rsid w:val="009B0FEA"/>
    <w:rsid w:val="009B18A8"/>
    <w:rsid w:val="009B5A21"/>
    <w:rsid w:val="009B5AE2"/>
    <w:rsid w:val="009B62BB"/>
    <w:rsid w:val="009C2468"/>
    <w:rsid w:val="009C32ED"/>
    <w:rsid w:val="009C4BD1"/>
    <w:rsid w:val="009C5D9A"/>
    <w:rsid w:val="009C61EA"/>
    <w:rsid w:val="009C71AB"/>
    <w:rsid w:val="009D011E"/>
    <w:rsid w:val="009D0518"/>
    <w:rsid w:val="009D1BD3"/>
    <w:rsid w:val="009D2F37"/>
    <w:rsid w:val="009D6C1E"/>
    <w:rsid w:val="009E047B"/>
    <w:rsid w:val="009E0623"/>
    <w:rsid w:val="009E162C"/>
    <w:rsid w:val="009E2791"/>
    <w:rsid w:val="009E3F6F"/>
    <w:rsid w:val="009E4C0E"/>
    <w:rsid w:val="009E6081"/>
    <w:rsid w:val="009E6EE7"/>
    <w:rsid w:val="009F38D3"/>
    <w:rsid w:val="009F499F"/>
    <w:rsid w:val="00A11896"/>
    <w:rsid w:val="00A11952"/>
    <w:rsid w:val="00A1529C"/>
    <w:rsid w:val="00A21024"/>
    <w:rsid w:val="00A22008"/>
    <w:rsid w:val="00A23CBD"/>
    <w:rsid w:val="00A23E3D"/>
    <w:rsid w:val="00A30C30"/>
    <w:rsid w:val="00A312EF"/>
    <w:rsid w:val="00A31317"/>
    <w:rsid w:val="00A31822"/>
    <w:rsid w:val="00A42DAF"/>
    <w:rsid w:val="00A43AF5"/>
    <w:rsid w:val="00A454DF"/>
    <w:rsid w:val="00A45BD8"/>
    <w:rsid w:val="00A479BE"/>
    <w:rsid w:val="00A50770"/>
    <w:rsid w:val="00A523B7"/>
    <w:rsid w:val="00A52959"/>
    <w:rsid w:val="00A55746"/>
    <w:rsid w:val="00A557C2"/>
    <w:rsid w:val="00A61AFE"/>
    <w:rsid w:val="00A63425"/>
    <w:rsid w:val="00A64BCB"/>
    <w:rsid w:val="00A66EBB"/>
    <w:rsid w:val="00A67ED7"/>
    <w:rsid w:val="00A718B2"/>
    <w:rsid w:val="00A72437"/>
    <w:rsid w:val="00A7265F"/>
    <w:rsid w:val="00A72E79"/>
    <w:rsid w:val="00A840D5"/>
    <w:rsid w:val="00A86735"/>
    <w:rsid w:val="00A869B7"/>
    <w:rsid w:val="00A93280"/>
    <w:rsid w:val="00A938D3"/>
    <w:rsid w:val="00A94543"/>
    <w:rsid w:val="00A94DD0"/>
    <w:rsid w:val="00A9735C"/>
    <w:rsid w:val="00AA1752"/>
    <w:rsid w:val="00AA1D78"/>
    <w:rsid w:val="00AA304B"/>
    <w:rsid w:val="00AA69BC"/>
    <w:rsid w:val="00AB0812"/>
    <w:rsid w:val="00AB41B4"/>
    <w:rsid w:val="00AB47B3"/>
    <w:rsid w:val="00AB4F67"/>
    <w:rsid w:val="00AB6397"/>
    <w:rsid w:val="00AB6548"/>
    <w:rsid w:val="00AB7A2D"/>
    <w:rsid w:val="00AC0A33"/>
    <w:rsid w:val="00AC205C"/>
    <w:rsid w:val="00AC3DBB"/>
    <w:rsid w:val="00AD21FA"/>
    <w:rsid w:val="00AD32E0"/>
    <w:rsid w:val="00AD43CA"/>
    <w:rsid w:val="00AD6903"/>
    <w:rsid w:val="00AD718E"/>
    <w:rsid w:val="00AE04EE"/>
    <w:rsid w:val="00AE10A0"/>
    <w:rsid w:val="00AE126F"/>
    <w:rsid w:val="00AE2C0A"/>
    <w:rsid w:val="00AE3BDC"/>
    <w:rsid w:val="00AE4A36"/>
    <w:rsid w:val="00AE4C3D"/>
    <w:rsid w:val="00AE54AA"/>
    <w:rsid w:val="00AE7170"/>
    <w:rsid w:val="00AE7A0A"/>
    <w:rsid w:val="00AF0A6B"/>
    <w:rsid w:val="00AF2296"/>
    <w:rsid w:val="00AF276F"/>
    <w:rsid w:val="00AF713D"/>
    <w:rsid w:val="00B007C0"/>
    <w:rsid w:val="00B02B70"/>
    <w:rsid w:val="00B05A69"/>
    <w:rsid w:val="00B05C6B"/>
    <w:rsid w:val="00B06E7A"/>
    <w:rsid w:val="00B07767"/>
    <w:rsid w:val="00B11A10"/>
    <w:rsid w:val="00B11B96"/>
    <w:rsid w:val="00B13A52"/>
    <w:rsid w:val="00B15EC7"/>
    <w:rsid w:val="00B160F5"/>
    <w:rsid w:val="00B21269"/>
    <w:rsid w:val="00B245CE"/>
    <w:rsid w:val="00B34CCC"/>
    <w:rsid w:val="00B37D4E"/>
    <w:rsid w:val="00B40A8C"/>
    <w:rsid w:val="00B41781"/>
    <w:rsid w:val="00B4228A"/>
    <w:rsid w:val="00B44F96"/>
    <w:rsid w:val="00B44FBC"/>
    <w:rsid w:val="00B479CF"/>
    <w:rsid w:val="00B50C72"/>
    <w:rsid w:val="00B52EFA"/>
    <w:rsid w:val="00B53C4D"/>
    <w:rsid w:val="00B5673F"/>
    <w:rsid w:val="00B63FC9"/>
    <w:rsid w:val="00B652BC"/>
    <w:rsid w:val="00B65B90"/>
    <w:rsid w:val="00B6761F"/>
    <w:rsid w:val="00B677A3"/>
    <w:rsid w:val="00B711DF"/>
    <w:rsid w:val="00B71A63"/>
    <w:rsid w:val="00B72291"/>
    <w:rsid w:val="00B7295E"/>
    <w:rsid w:val="00B75A61"/>
    <w:rsid w:val="00B76E5A"/>
    <w:rsid w:val="00B828D9"/>
    <w:rsid w:val="00B83433"/>
    <w:rsid w:val="00B83EAC"/>
    <w:rsid w:val="00B866E4"/>
    <w:rsid w:val="00B86F0D"/>
    <w:rsid w:val="00B87FC8"/>
    <w:rsid w:val="00B93028"/>
    <w:rsid w:val="00B944C6"/>
    <w:rsid w:val="00B950A5"/>
    <w:rsid w:val="00B9557B"/>
    <w:rsid w:val="00B956DA"/>
    <w:rsid w:val="00B969C3"/>
    <w:rsid w:val="00B9734B"/>
    <w:rsid w:val="00B97FD1"/>
    <w:rsid w:val="00BA1571"/>
    <w:rsid w:val="00BA2BB2"/>
    <w:rsid w:val="00BA7394"/>
    <w:rsid w:val="00BB02D7"/>
    <w:rsid w:val="00BB1059"/>
    <w:rsid w:val="00BB3FFE"/>
    <w:rsid w:val="00BB7651"/>
    <w:rsid w:val="00BC0FDF"/>
    <w:rsid w:val="00BC5309"/>
    <w:rsid w:val="00BC5914"/>
    <w:rsid w:val="00BC6B9F"/>
    <w:rsid w:val="00BC7751"/>
    <w:rsid w:val="00BD390F"/>
    <w:rsid w:val="00BD3920"/>
    <w:rsid w:val="00BD62A7"/>
    <w:rsid w:val="00BE141D"/>
    <w:rsid w:val="00BE1FCE"/>
    <w:rsid w:val="00BE26A5"/>
    <w:rsid w:val="00BE3D72"/>
    <w:rsid w:val="00BE54C8"/>
    <w:rsid w:val="00BE5BD6"/>
    <w:rsid w:val="00BF4E96"/>
    <w:rsid w:val="00BF6146"/>
    <w:rsid w:val="00C00743"/>
    <w:rsid w:val="00C01E7C"/>
    <w:rsid w:val="00C04DC4"/>
    <w:rsid w:val="00C11BFE"/>
    <w:rsid w:val="00C17BD7"/>
    <w:rsid w:val="00C211F6"/>
    <w:rsid w:val="00C221B6"/>
    <w:rsid w:val="00C224B6"/>
    <w:rsid w:val="00C23CD7"/>
    <w:rsid w:val="00C247FC"/>
    <w:rsid w:val="00C25B7A"/>
    <w:rsid w:val="00C30CD0"/>
    <w:rsid w:val="00C3608E"/>
    <w:rsid w:val="00C41931"/>
    <w:rsid w:val="00C41ECC"/>
    <w:rsid w:val="00C42F04"/>
    <w:rsid w:val="00C44649"/>
    <w:rsid w:val="00C4484C"/>
    <w:rsid w:val="00C44C34"/>
    <w:rsid w:val="00C46BFB"/>
    <w:rsid w:val="00C50C17"/>
    <w:rsid w:val="00C528D2"/>
    <w:rsid w:val="00C544A7"/>
    <w:rsid w:val="00C5608F"/>
    <w:rsid w:val="00C60625"/>
    <w:rsid w:val="00C6132E"/>
    <w:rsid w:val="00C61800"/>
    <w:rsid w:val="00C62392"/>
    <w:rsid w:val="00C6604B"/>
    <w:rsid w:val="00C660DD"/>
    <w:rsid w:val="00C6628D"/>
    <w:rsid w:val="00C6745B"/>
    <w:rsid w:val="00C75CB7"/>
    <w:rsid w:val="00C761D2"/>
    <w:rsid w:val="00C777FF"/>
    <w:rsid w:val="00C81CD7"/>
    <w:rsid w:val="00C838B1"/>
    <w:rsid w:val="00C83D71"/>
    <w:rsid w:val="00C85D15"/>
    <w:rsid w:val="00C878D9"/>
    <w:rsid w:val="00C923AB"/>
    <w:rsid w:val="00C94E1F"/>
    <w:rsid w:val="00C959B2"/>
    <w:rsid w:val="00CA15DF"/>
    <w:rsid w:val="00CA7920"/>
    <w:rsid w:val="00CB19A0"/>
    <w:rsid w:val="00CB1F95"/>
    <w:rsid w:val="00CB2CAE"/>
    <w:rsid w:val="00CB6F3B"/>
    <w:rsid w:val="00CC0CE4"/>
    <w:rsid w:val="00CC2CBD"/>
    <w:rsid w:val="00CC395D"/>
    <w:rsid w:val="00CC39FA"/>
    <w:rsid w:val="00CC5245"/>
    <w:rsid w:val="00CC64F1"/>
    <w:rsid w:val="00CC7A18"/>
    <w:rsid w:val="00CC7E01"/>
    <w:rsid w:val="00CD0D3C"/>
    <w:rsid w:val="00CD70C0"/>
    <w:rsid w:val="00CF0766"/>
    <w:rsid w:val="00CF1A22"/>
    <w:rsid w:val="00CF5833"/>
    <w:rsid w:val="00CF6C5D"/>
    <w:rsid w:val="00CF7079"/>
    <w:rsid w:val="00CF75E5"/>
    <w:rsid w:val="00D01D72"/>
    <w:rsid w:val="00D03844"/>
    <w:rsid w:val="00D04254"/>
    <w:rsid w:val="00D0477B"/>
    <w:rsid w:val="00D068F7"/>
    <w:rsid w:val="00D10112"/>
    <w:rsid w:val="00D10499"/>
    <w:rsid w:val="00D15F7C"/>
    <w:rsid w:val="00D204E2"/>
    <w:rsid w:val="00D2107D"/>
    <w:rsid w:val="00D24FC7"/>
    <w:rsid w:val="00D27AFE"/>
    <w:rsid w:val="00D33315"/>
    <w:rsid w:val="00D37A4C"/>
    <w:rsid w:val="00D42300"/>
    <w:rsid w:val="00D44AAA"/>
    <w:rsid w:val="00D44D1E"/>
    <w:rsid w:val="00D45252"/>
    <w:rsid w:val="00D45A58"/>
    <w:rsid w:val="00D4695F"/>
    <w:rsid w:val="00D46EC2"/>
    <w:rsid w:val="00D50941"/>
    <w:rsid w:val="00D51BD0"/>
    <w:rsid w:val="00D52C4D"/>
    <w:rsid w:val="00D574CB"/>
    <w:rsid w:val="00D65423"/>
    <w:rsid w:val="00D700E8"/>
    <w:rsid w:val="00D704F3"/>
    <w:rsid w:val="00D71B4D"/>
    <w:rsid w:val="00D726E2"/>
    <w:rsid w:val="00D73014"/>
    <w:rsid w:val="00D773B6"/>
    <w:rsid w:val="00D77740"/>
    <w:rsid w:val="00D81319"/>
    <w:rsid w:val="00D85334"/>
    <w:rsid w:val="00D853F4"/>
    <w:rsid w:val="00D8548B"/>
    <w:rsid w:val="00D9189B"/>
    <w:rsid w:val="00D91C46"/>
    <w:rsid w:val="00D92118"/>
    <w:rsid w:val="00D93D55"/>
    <w:rsid w:val="00D963DB"/>
    <w:rsid w:val="00DA10B4"/>
    <w:rsid w:val="00DA2074"/>
    <w:rsid w:val="00DA220D"/>
    <w:rsid w:val="00DA2B93"/>
    <w:rsid w:val="00DA5F32"/>
    <w:rsid w:val="00DA613F"/>
    <w:rsid w:val="00DA63E6"/>
    <w:rsid w:val="00DA6AD5"/>
    <w:rsid w:val="00DA718E"/>
    <w:rsid w:val="00DA7C7D"/>
    <w:rsid w:val="00DB2D73"/>
    <w:rsid w:val="00DB3E7B"/>
    <w:rsid w:val="00DB6564"/>
    <w:rsid w:val="00DB6EA5"/>
    <w:rsid w:val="00DB703F"/>
    <w:rsid w:val="00DC0EDC"/>
    <w:rsid w:val="00DC3CA7"/>
    <w:rsid w:val="00DC72EA"/>
    <w:rsid w:val="00DC7BCD"/>
    <w:rsid w:val="00DD3050"/>
    <w:rsid w:val="00DD498C"/>
    <w:rsid w:val="00DD5A5A"/>
    <w:rsid w:val="00DE1E2A"/>
    <w:rsid w:val="00DE43A6"/>
    <w:rsid w:val="00DE4A75"/>
    <w:rsid w:val="00DE63F0"/>
    <w:rsid w:val="00DE7999"/>
    <w:rsid w:val="00DF0B51"/>
    <w:rsid w:val="00DF32BF"/>
    <w:rsid w:val="00DF3C5A"/>
    <w:rsid w:val="00DF5C2C"/>
    <w:rsid w:val="00DF715E"/>
    <w:rsid w:val="00E0187A"/>
    <w:rsid w:val="00E0777B"/>
    <w:rsid w:val="00E161CE"/>
    <w:rsid w:val="00E16EB1"/>
    <w:rsid w:val="00E17A06"/>
    <w:rsid w:val="00E207BD"/>
    <w:rsid w:val="00E22AE4"/>
    <w:rsid w:val="00E23720"/>
    <w:rsid w:val="00E24BA3"/>
    <w:rsid w:val="00E25817"/>
    <w:rsid w:val="00E26E89"/>
    <w:rsid w:val="00E3231A"/>
    <w:rsid w:val="00E335FE"/>
    <w:rsid w:val="00E343AC"/>
    <w:rsid w:val="00E36D73"/>
    <w:rsid w:val="00E3747A"/>
    <w:rsid w:val="00E3766D"/>
    <w:rsid w:val="00E40595"/>
    <w:rsid w:val="00E41299"/>
    <w:rsid w:val="00E41935"/>
    <w:rsid w:val="00E43A96"/>
    <w:rsid w:val="00E44440"/>
    <w:rsid w:val="00E459A2"/>
    <w:rsid w:val="00E46032"/>
    <w:rsid w:val="00E512D5"/>
    <w:rsid w:val="00E60E20"/>
    <w:rsid w:val="00E61041"/>
    <w:rsid w:val="00E61533"/>
    <w:rsid w:val="00E6170C"/>
    <w:rsid w:val="00E620DE"/>
    <w:rsid w:val="00E62DAF"/>
    <w:rsid w:val="00E67320"/>
    <w:rsid w:val="00E6768F"/>
    <w:rsid w:val="00E70811"/>
    <w:rsid w:val="00E76047"/>
    <w:rsid w:val="00E76A02"/>
    <w:rsid w:val="00E76FA0"/>
    <w:rsid w:val="00E85269"/>
    <w:rsid w:val="00E85319"/>
    <w:rsid w:val="00E8658E"/>
    <w:rsid w:val="00E87737"/>
    <w:rsid w:val="00E907EB"/>
    <w:rsid w:val="00E971C2"/>
    <w:rsid w:val="00E976BB"/>
    <w:rsid w:val="00EA2D85"/>
    <w:rsid w:val="00EA52BC"/>
    <w:rsid w:val="00EA6752"/>
    <w:rsid w:val="00EB0676"/>
    <w:rsid w:val="00EB2730"/>
    <w:rsid w:val="00EC0854"/>
    <w:rsid w:val="00EC0F28"/>
    <w:rsid w:val="00EC35F7"/>
    <w:rsid w:val="00EC4E49"/>
    <w:rsid w:val="00EC5FFF"/>
    <w:rsid w:val="00ED193D"/>
    <w:rsid w:val="00ED3B50"/>
    <w:rsid w:val="00ED77FB"/>
    <w:rsid w:val="00ED7917"/>
    <w:rsid w:val="00EE1F78"/>
    <w:rsid w:val="00EE45FA"/>
    <w:rsid w:val="00EE476F"/>
    <w:rsid w:val="00EE4B47"/>
    <w:rsid w:val="00EE50F9"/>
    <w:rsid w:val="00EE6C47"/>
    <w:rsid w:val="00EE7B9A"/>
    <w:rsid w:val="00EF10B1"/>
    <w:rsid w:val="00EF14EB"/>
    <w:rsid w:val="00EF493D"/>
    <w:rsid w:val="00F02C91"/>
    <w:rsid w:val="00F1186F"/>
    <w:rsid w:val="00F1331D"/>
    <w:rsid w:val="00F1368C"/>
    <w:rsid w:val="00F15C94"/>
    <w:rsid w:val="00F1712E"/>
    <w:rsid w:val="00F22670"/>
    <w:rsid w:val="00F239D9"/>
    <w:rsid w:val="00F2657E"/>
    <w:rsid w:val="00F269B2"/>
    <w:rsid w:val="00F301F2"/>
    <w:rsid w:val="00F31266"/>
    <w:rsid w:val="00F31A7C"/>
    <w:rsid w:val="00F365D6"/>
    <w:rsid w:val="00F368C5"/>
    <w:rsid w:val="00F37614"/>
    <w:rsid w:val="00F44440"/>
    <w:rsid w:val="00F44784"/>
    <w:rsid w:val="00F45C30"/>
    <w:rsid w:val="00F4659E"/>
    <w:rsid w:val="00F52F67"/>
    <w:rsid w:val="00F569BE"/>
    <w:rsid w:val="00F61990"/>
    <w:rsid w:val="00F619BC"/>
    <w:rsid w:val="00F63983"/>
    <w:rsid w:val="00F66152"/>
    <w:rsid w:val="00F663E3"/>
    <w:rsid w:val="00F7236E"/>
    <w:rsid w:val="00F830BC"/>
    <w:rsid w:val="00F8318A"/>
    <w:rsid w:val="00F844F3"/>
    <w:rsid w:val="00F8485A"/>
    <w:rsid w:val="00F85143"/>
    <w:rsid w:val="00F9079D"/>
    <w:rsid w:val="00F9204B"/>
    <w:rsid w:val="00F94217"/>
    <w:rsid w:val="00F94EBA"/>
    <w:rsid w:val="00F95442"/>
    <w:rsid w:val="00F9558D"/>
    <w:rsid w:val="00F96656"/>
    <w:rsid w:val="00F96A0F"/>
    <w:rsid w:val="00FA140A"/>
    <w:rsid w:val="00FA4B8F"/>
    <w:rsid w:val="00FA607D"/>
    <w:rsid w:val="00FB2D97"/>
    <w:rsid w:val="00FB5BA8"/>
    <w:rsid w:val="00FB6E4B"/>
    <w:rsid w:val="00FC0755"/>
    <w:rsid w:val="00FC0F09"/>
    <w:rsid w:val="00FC2FE6"/>
    <w:rsid w:val="00FC629B"/>
    <w:rsid w:val="00FD3DB2"/>
    <w:rsid w:val="00FD4A6A"/>
    <w:rsid w:val="00FD4F3B"/>
    <w:rsid w:val="00FD6783"/>
    <w:rsid w:val="00FE0CB4"/>
    <w:rsid w:val="00FE0D6D"/>
    <w:rsid w:val="00FE2C03"/>
    <w:rsid w:val="00FE46CA"/>
    <w:rsid w:val="00FF1182"/>
    <w:rsid w:val="00FF20DF"/>
    <w:rsid w:val="00FF2CA1"/>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7BBE0AF-D4AD-4417-93BC-710B1538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00"/>
    <w:rPr>
      <w:rFonts w:ascii="Arial" w:eastAsia="SimSun" w:hAnsi="Arial" w:cs="Arial"/>
      <w:sz w:val="22"/>
      <w:lang w:val="fr-CH" w:eastAsia="zh-CN"/>
    </w:rPr>
  </w:style>
  <w:style w:type="paragraph" w:styleId="Heading1">
    <w:name w:val="heading 1"/>
    <w:basedOn w:val="Normal"/>
    <w:next w:val="Normal"/>
    <w:qFormat/>
    <w:rsid w:val="00774F00"/>
    <w:pPr>
      <w:keepNext/>
      <w:numPr>
        <w:numId w:val="36"/>
      </w:numPr>
      <w:spacing w:before="240" w:after="60"/>
      <w:outlineLvl w:val="0"/>
    </w:pPr>
    <w:rPr>
      <w:b/>
      <w:bCs/>
      <w:caps/>
      <w:kern w:val="32"/>
      <w:szCs w:val="32"/>
    </w:rPr>
  </w:style>
  <w:style w:type="paragraph" w:styleId="Heading2">
    <w:name w:val="heading 2"/>
    <w:basedOn w:val="Normal"/>
    <w:next w:val="Normal"/>
    <w:link w:val="Heading2Char"/>
    <w:qFormat/>
    <w:rsid w:val="00F02C91"/>
    <w:pPr>
      <w:keepNext/>
      <w:numPr>
        <w:ilvl w:val="1"/>
        <w:numId w:val="36"/>
      </w:numPr>
      <w:spacing w:before="240" w:after="60"/>
      <w:outlineLvl w:val="1"/>
    </w:pPr>
    <w:rPr>
      <w:b/>
      <w:bCs/>
      <w:iCs/>
      <w:szCs w:val="28"/>
      <w:lang w:val="fr-FR"/>
    </w:rPr>
  </w:style>
  <w:style w:type="paragraph" w:styleId="Heading3">
    <w:name w:val="heading 3"/>
    <w:basedOn w:val="Normal"/>
    <w:next w:val="Normal"/>
    <w:qFormat/>
    <w:rsid w:val="00F2657E"/>
    <w:pPr>
      <w:keepNext/>
      <w:spacing w:before="240" w:after="60"/>
      <w:outlineLvl w:val="2"/>
    </w:pPr>
    <w:rPr>
      <w:b/>
      <w:bCs/>
      <w:szCs w:val="26"/>
    </w:rPr>
  </w:style>
  <w:style w:type="paragraph" w:styleId="Heading4">
    <w:name w:val="heading 4"/>
    <w:basedOn w:val="Normal"/>
    <w:next w:val="Normal"/>
    <w:qFormat/>
    <w:rsid w:val="00F2657E"/>
    <w:pPr>
      <w:keepNext/>
      <w:spacing w:before="240" w:after="60"/>
      <w:outlineLvl w:val="3"/>
    </w:pPr>
    <w:rPr>
      <w:b/>
      <w:bCs/>
      <w:i/>
      <w:szCs w:val="28"/>
      <w:lang w:val="fr-FR"/>
    </w:rPr>
  </w:style>
  <w:style w:type="paragraph" w:styleId="Heading5">
    <w:name w:val="heading 5"/>
    <w:basedOn w:val="Normal"/>
    <w:next w:val="Normal"/>
    <w:qFormat/>
    <w:rsid w:val="00F02C91"/>
    <w:pPr>
      <w:keepNext/>
      <w:spacing w:before="240" w:after="60"/>
      <w:outlineLvl w:val="4"/>
    </w:pPr>
    <w:rPr>
      <w:rFonts w:eastAsia="Times New Roman" w:cs="Times New Roman"/>
      <w:i/>
      <w:u w:val="single"/>
      <w:lang w:val="fr-FR"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02C91"/>
    <w:rPr>
      <w:rFonts w:ascii="Arial" w:eastAsia="SimSun" w:hAnsi="Arial" w:cs="Arial"/>
      <w:b/>
      <w:bCs/>
      <w:iCs/>
      <w:sz w:val="22"/>
      <w:szCs w:val="28"/>
      <w:lang w:val="fr-FR" w:eastAsia="zh-CN"/>
    </w:rPr>
  </w:style>
  <w:style w:type="paragraph" w:customStyle="1" w:styleId="Endofdocument-Annex">
    <w:name w:val="[End of document - Annex]"/>
    <w:basedOn w:val="Normal"/>
    <w:link w:val="Endofdocument-AnnexChar"/>
    <w:rsid w:val="00774F00"/>
    <w:pPr>
      <w:ind w:left="5534"/>
    </w:pPr>
    <w:rPr>
      <w:lang w:val="en-US"/>
    </w:rPr>
  </w:style>
  <w:style w:type="paragraph" w:styleId="BodyText">
    <w:name w:val="Body Text"/>
    <w:basedOn w:val="Normal"/>
    <w:rsid w:val="00774F00"/>
    <w:pPr>
      <w:spacing w:after="220"/>
    </w:pPr>
  </w:style>
  <w:style w:type="paragraph" w:styleId="Caption">
    <w:name w:val="caption"/>
    <w:basedOn w:val="Normal"/>
    <w:next w:val="Normal"/>
    <w:qFormat/>
    <w:rsid w:val="00774F00"/>
    <w:rPr>
      <w:b/>
      <w:bCs/>
      <w:sz w:val="18"/>
    </w:rPr>
  </w:style>
  <w:style w:type="paragraph" w:styleId="CommentText">
    <w:name w:val="annotation text"/>
    <w:basedOn w:val="Normal"/>
    <w:link w:val="CommentTextChar"/>
    <w:rsid w:val="00774F00"/>
    <w:rPr>
      <w:sz w:val="18"/>
    </w:rPr>
  </w:style>
  <w:style w:type="character" w:customStyle="1" w:styleId="CommentTextChar">
    <w:name w:val="Comment Text Char"/>
    <w:link w:val="CommentText"/>
    <w:locked/>
    <w:rsid w:val="00FB6E4B"/>
    <w:rPr>
      <w:rFonts w:ascii="Arial" w:eastAsia="SimSun" w:hAnsi="Arial" w:cs="Arial"/>
      <w:sz w:val="18"/>
      <w:lang w:val="fr-CH" w:eastAsia="zh-CN"/>
    </w:rPr>
  </w:style>
  <w:style w:type="paragraph" w:styleId="EndnoteText">
    <w:name w:val="endnote text"/>
    <w:basedOn w:val="Normal"/>
    <w:semiHidden/>
    <w:rsid w:val="00774F00"/>
    <w:rPr>
      <w:sz w:val="18"/>
    </w:rPr>
  </w:style>
  <w:style w:type="paragraph" w:styleId="Footer">
    <w:name w:val="footer"/>
    <w:basedOn w:val="Normal"/>
    <w:semiHidden/>
    <w:rsid w:val="00774F00"/>
    <w:pPr>
      <w:tabs>
        <w:tab w:val="center" w:pos="4320"/>
        <w:tab w:val="right" w:pos="8640"/>
      </w:tabs>
    </w:pPr>
  </w:style>
  <w:style w:type="paragraph" w:styleId="FootnoteText">
    <w:name w:val="footnote text"/>
    <w:basedOn w:val="Normal"/>
    <w:semiHidden/>
    <w:rsid w:val="00774F00"/>
    <w:rPr>
      <w:sz w:val="18"/>
    </w:rPr>
  </w:style>
  <w:style w:type="paragraph" w:styleId="Header">
    <w:name w:val="header"/>
    <w:basedOn w:val="Normal"/>
    <w:link w:val="HeaderChar"/>
    <w:semiHidden/>
    <w:rsid w:val="00774F00"/>
    <w:pPr>
      <w:tabs>
        <w:tab w:val="center" w:pos="4536"/>
        <w:tab w:val="right" w:pos="9072"/>
      </w:tabs>
    </w:pPr>
  </w:style>
  <w:style w:type="paragraph" w:styleId="ListNumber">
    <w:name w:val="List Number"/>
    <w:basedOn w:val="Normal"/>
    <w:semiHidden/>
    <w:rsid w:val="00774F00"/>
    <w:pPr>
      <w:numPr>
        <w:numId w:val="30"/>
      </w:numPr>
    </w:pPr>
  </w:style>
  <w:style w:type="paragraph" w:customStyle="1" w:styleId="ONUME">
    <w:name w:val="ONUM E"/>
    <w:basedOn w:val="BodyText"/>
    <w:rsid w:val="00774F00"/>
    <w:pPr>
      <w:numPr>
        <w:numId w:val="31"/>
      </w:numPr>
    </w:pPr>
  </w:style>
  <w:style w:type="paragraph" w:customStyle="1" w:styleId="ONUMFS">
    <w:name w:val="ONUM FS"/>
    <w:basedOn w:val="BodyText"/>
    <w:rsid w:val="00774F00"/>
    <w:pPr>
      <w:numPr>
        <w:numId w:val="32"/>
      </w:numPr>
    </w:pPr>
  </w:style>
  <w:style w:type="paragraph" w:styleId="Salutation">
    <w:name w:val="Salutation"/>
    <w:basedOn w:val="Normal"/>
    <w:next w:val="Normal"/>
    <w:semiHidden/>
    <w:rsid w:val="00774F00"/>
  </w:style>
  <w:style w:type="paragraph" w:styleId="Signature">
    <w:name w:val="Signature"/>
    <w:basedOn w:val="Normal"/>
    <w:semiHidden/>
    <w:rsid w:val="00774F00"/>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Normal"/>
    <w:rsid w:val="00774F00"/>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Normal"/>
    <w:next w:val="Normal"/>
    <w:rsid w:val="00774F00"/>
    <w:pPr>
      <w:spacing w:line="336" w:lineRule="exact"/>
      <w:ind w:left="1021"/>
    </w:pPr>
    <w:rPr>
      <w:rFonts w:eastAsia="Times New Roman" w:cs="Times New Roman"/>
      <w:b/>
      <w:sz w:val="24"/>
      <w:lang w:val="fr-FR" w:eastAsia="en-US"/>
    </w:r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6D2F48"/>
    <w:pPr>
      <w:tabs>
        <w:tab w:val="right" w:leader="dot" w:pos="9356"/>
      </w:tabs>
      <w:ind w:left="1134" w:right="284" w:hanging="567"/>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774F00"/>
    <w:pPr>
      <w:ind w:left="720"/>
      <w:contextualSpacing/>
    </w:p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eastAsia="zh-CN"/>
    </w:rPr>
  </w:style>
  <w:style w:type="paragraph" w:styleId="TOC1">
    <w:name w:val="toc 1"/>
    <w:basedOn w:val="Normal"/>
    <w:next w:val="Normal"/>
    <w:autoRedefine/>
    <w:uiPriority w:val="39"/>
    <w:rsid w:val="000B4E2C"/>
    <w:pPr>
      <w:tabs>
        <w:tab w:val="right" w:leader="dot" w:pos="9346"/>
      </w:tabs>
      <w:ind w:left="567" w:hanging="567"/>
    </w:p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semiHidden/>
    <w:rsid w:val="00B93028"/>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wipo.int/tisc/fr/index.html"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patentscope/fr/programs/legal_status/index.html"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wipo.int/patentscope/fr/index.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patents/fr/"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atent_register_portal/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851A-93D5-4877-A512-F51DB123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8823</Words>
  <Characters>48440</Characters>
  <Application>Microsoft Office Word</Application>
  <DocSecurity>4</DocSecurity>
  <Lines>1045</Lines>
  <Paragraphs>334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57070</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subject/>
  <dc:creator>oneil</dc:creator>
  <cp:keywords>FOR OFFICIAL USE ONLY</cp:keywords>
  <dc:description/>
  <cp:lastModifiedBy>ESTEVES DOS SANTOS Anabela</cp:lastModifiedBy>
  <cp:revision>2</cp:revision>
  <cp:lastPrinted>2019-09-18T09:03:00Z</cp:lastPrinted>
  <dcterms:created xsi:type="dcterms:W3CDTF">2019-09-30T13:20:00Z</dcterms:created>
  <dcterms:modified xsi:type="dcterms:W3CDTF">2019-09-30T13:20:00Z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