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832B1" w:rsidRPr="008B2CC1" w:rsidTr="00FE4A93">
        <w:tc>
          <w:tcPr>
            <w:tcW w:w="4513" w:type="dxa"/>
            <w:tcBorders>
              <w:bottom w:val="single" w:sz="4" w:space="0" w:color="auto"/>
            </w:tcBorders>
            <w:tcMar>
              <w:bottom w:w="170" w:type="dxa"/>
            </w:tcMar>
          </w:tcPr>
          <w:p w:rsidR="006832B1" w:rsidRPr="008B2CC1" w:rsidRDefault="006832B1" w:rsidP="00FE4A93">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832B1" w:rsidRPr="008B2CC1" w:rsidRDefault="006832B1" w:rsidP="00FE4A93">
            <w:r>
              <w:rPr>
                <w:noProof/>
                <w:lang w:eastAsia="en-US"/>
              </w:rPr>
              <w:drawing>
                <wp:inline distT="0" distB="0" distL="0" distR="0" wp14:anchorId="4CAC9057" wp14:editId="132A467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832B1" w:rsidRPr="008B2CC1" w:rsidRDefault="006832B1" w:rsidP="00FE4A93">
            <w:pPr>
              <w:jc w:val="right"/>
            </w:pPr>
            <w:r>
              <w:rPr>
                <w:b/>
                <w:sz w:val="40"/>
                <w:szCs w:val="40"/>
              </w:rPr>
              <w:t>F</w:t>
            </w:r>
          </w:p>
        </w:tc>
      </w:tr>
      <w:tr w:rsidR="006832B1" w:rsidRPr="001832A6" w:rsidTr="00FE4A93">
        <w:trPr>
          <w:trHeight w:hRule="exact" w:val="357"/>
        </w:trPr>
        <w:tc>
          <w:tcPr>
            <w:tcW w:w="9356" w:type="dxa"/>
            <w:gridSpan w:val="3"/>
            <w:tcBorders>
              <w:top w:val="single" w:sz="4" w:space="0" w:color="auto"/>
            </w:tcBorders>
            <w:tcMar>
              <w:top w:w="170" w:type="dxa"/>
              <w:left w:w="0" w:type="dxa"/>
              <w:right w:w="0" w:type="dxa"/>
            </w:tcMar>
            <w:vAlign w:val="bottom"/>
          </w:tcPr>
          <w:p w:rsidR="006832B1" w:rsidRPr="0090731E" w:rsidRDefault="006832B1" w:rsidP="00FE4A93">
            <w:pPr>
              <w:jc w:val="right"/>
              <w:rPr>
                <w:rFonts w:ascii="Arial Black" w:hAnsi="Arial Black"/>
                <w:caps/>
                <w:sz w:val="15"/>
              </w:rPr>
            </w:pPr>
            <w:r>
              <w:rPr>
                <w:rFonts w:ascii="Arial Black" w:hAnsi="Arial Black"/>
                <w:caps/>
                <w:sz w:val="15"/>
              </w:rPr>
              <w:t>CDIP/24/</w:t>
            </w:r>
            <w:bookmarkStart w:id="2" w:name="Code"/>
            <w:bookmarkEnd w:id="2"/>
            <w:r>
              <w:rPr>
                <w:rFonts w:ascii="Arial Black" w:hAnsi="Arial Black"/>
                <w:caps/>
                <w:sz w:val="15"/>
              </w:rPr>
              <w:t>15</w:t>
            </w:r>
          </w:p>
        </w:tc>
      </w:tr>
      <w:tr w:rsidR="006832B1" w:rsidRPr="001832A6" w:rsidTr="00FE4A93">
        <w:trPr>
          <w:trHeight w:hRule="exact" w:val="170"/>
        </w:trPr>
        <w:tc>
          <w:tcPr>
            <w:tcW w:w="9356" w:type="dxa"/>
            <w:gridSpan w:val="3"/>
            <w:noWrap/>
            <w:tcMar>
              <w:left w:w="0" w:type="dxa"/>
              <w:right w:w="0" w:type="dxa"/>
            </w:tcMar>
            <w:vAlign w:val="bottom"/>
          </w:tcPr>
          <w:p w:rsidR="006832B1" w:rsidRPr="0090731E" w:rsidRDefault="006832B1" w:rsidP="00DE2B50">
            <w:pPr>
              <w:jc w:val="right"/>
              <w:rPr>
                <w:rFonts w:ascii="Arial Black" w:hAnsi="Arial Black"/>
                <w:caps/>
                <w:sz w:val="15"/>
              </w:rPr>
            </w:pPr>
            <w:r w:rsidRPr="0090731E">
              <w:rPr>
                <w:rFonts w:ascii="Arial Black" w:hAnsi="Arial Black"/>
                <w:caps/>
                <w:sz w:val="15"/>
              </w:rPr>
              <w:t>ORIGINA</w:t>
            </w:r>
            <w:r w:rsidR="00DE2B50">
              <w:rPr>
                <w:rFonts w:ascii="Arial Black" w:hAnsi="Arial Black"/>
                <w:caps/>
                <w:sz w:val="15"/>
              </w:rPr>
              <w:t>L </w:t>
            </w:r>
            <w:r w:rsidRPr="0090731E">
              <w:rPr>
                <w:rFonts w:ascii="Arial Black" w:hAnsi="Arial Black"/>
                <w:caps/>
                <w:sz w:val="15"/>
              </w:rPr>
              <w:t>:</w:t>
            </w:r>
            <w:r>
              <w:rPr>
                <w:rFonts w:ascii="Arial Black" w:hAnsi="Arial Black"/>
                <w:caps/>
                <w:sz w:val="15"/>
              </w:rPr>
              <w:t xml:space="preserve"> </w:t>
            </w:r>
            <w:bookmarkStart w:id="3" w:name="Original"/>
            <w:bookmarkEnd w:id="3"/>
            <w:r>
              <w:rPr>
                <w:rFonts w:ascii="Arial Black" w:hAnsi="Arial Black"/>
                <w:caps/>
                <w:sz w:val="15"/>
              </w:rPr>
              <w:t>anglais</w:t>
            </w:r>
            <w:r w:rsidRPr="0090731E">
              <w:rPr>
                <w:rFonts w:ascii="Arial Black" w:hAnsi="Arial Black"/>
                <w:caps/>
                <w:sz w:val="15"/>
              </w:rPr>
              <w:t xml:space="preserve"> </w:t>
            </w:r>
          </w:p>
        </w:tc>
      </w:tr>
      <w:tr w:rsidR="006832B1" w:rsidRPr="001832A6" w:rsidTr="00FE4A93">
        <w:trPr>
          <w:trHeight w:hRule="exact" w:val="198"/>
        </w:trPr>
        <w:tc>
          <w:tcPr>
            <w:tcW w:w="9356" w:type="dxa"/>
            <w:gridSpan w:val="3"/>
            <w:tcMar>
              <w:left w:w="0" w:type="dxa"/>
              <w:right w:w="0" w:type="dxa"/>
            </w:tcMar>
            <w:vAlign w:val="bottom"/>
          </w:tcPr>
          <w:p w:rsidR="006832B1" w:rsidRPr="0090731E" w:rsidRDefault="006832B1" w:rsidP="00DE2B50">
            <w:pPr>
              <w:jc w:val="right"/>
              <w:rPr>
                <w:rFonts w:ascii="Arial Black" w:hAnsi="Arial Black"/>
                <w:caps/>
                <w:sz w:val="15"/>
              </w:rPr>
            </w:pPr>
            <w:r w:rsidRPr="0090731E">
              <w:rPr>
                <w:rFonts w:ascii="Arial Black" w:hAnsi="Arial Black"/>
                <w:caps/>
                <w:sz w:val="15"/>
              </w:rPr>
              <w:t>DATE</w:t>
            </w:r>
            <w:r w:rsidR="00DE2B50">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4" w:name="Date"/>
            <w:bookmarkEnd w:id="4"/>
            <w:r>
              <w:rPr>
                <w:rFonts w:ascii="Arial Black" w:hAnsi="Arial Black"/>
                <w:caps/>
                <w:sz w:val="15"/>
              </w:rPr>
              <w:t>16 octobre</w:t>
            </w:r>
            <w:r w:rsidR="00DE2B50">
              <w:rPr>
                <w:rFonts w:ascii="Arial Black" w:hAnsi="Arial Black"/>
                <w:caps/>
                <w:sz w:val="15"/>
              </w:rPr>
              <w:t> </w:t>
            </w:r>
            <w:r>
              <w:rPr>
                <w:rFonts w:ascii="Arial Black" w:hAnsi="Arial Black"/>
                <w:caps/>
                <w:sz w:val="15"/>
              </w:rPr>
              <w:t>2019</w:t>
            </w:r>
            <w:r w:rsidRPr="0090731E">
              <w:rPr>
                <w:rFonts w:ascii="Arial Black" w:hAnsi="Arial Black"/>
                <w:caps/>
                <w:sz w:val="15"/>
              </w:rPr>
              <w:t xml:space="preserve"> </w:t>
            </w:r>
          </w:p>
        </w:tc>
      </w:tr>
    </w:tbl>
    <w:p w:rsidR="006832B1" w:rsidRPr="008B2CC1" w:rsidRDefault="006832B1" w:rsidP="006832B1"/>
    <w:p w:rsidR="006832B1" w:rsidRPr="008B2CC1" w:rsidRDefault="006832B1" w:rsidP="006832B1"/>
    <w:p w:rsidR="006832B1" w:rsidRPr="008B2CC1" w:rsidRDefault="006832B1" w:rsidP="006832B1"/>
    <w:p w:rsidR="006832B1" w:rsidRPr="008B2CC1" w:rsidRDefault="006832B1" w:rsidP="006832B1"/>
    <w:p w:rsidR="006832B1" w:rsidRPr="008B2CC1" w:rsidRDefault="006832B1" w:rsidP="006832B1"/>
    <w:p w:rsidR="006832B1" w:rsidRPr="006832B1" w:rsidRDefault="006832B1" w:rsidP="006832B1">
      <w:pPr>
        <w:rPr>
          <w:b/>
          <w:sz w:val="28"/>
          <w:szCs w:val="28"/>
          <w:lang w:val="fr-CH"/>
        </w:rPr>
      </w:pPr>
      <w:r w:rsidRPr="00B31DEE">
        <w:rPr>
          <w:b/>
          <w:sz w:val="28"/>
          <w:szCs w:val="28"/>
          <w:lang w:val="fr-FR"/>
        </w:rPr>
        <w:t>Comité du développement et de la propriété intellectuelle (CDIP)</w:t>
      </w:r>
    </w:p>
    <w:p w:rsidR="006832B1" w:rsidRPr="006832B1" w:rsidRDefault="006832B1" w:rsidP="006832B1">
      <w:pPr>
        <w:rPr>
          <w:lang w:val="fr-CH"/>
        </w:rPr>
      </w:pPr>
    </w:p>
    <w:p w:rsidR="006832B1" w:rsidRPr="006832B1" w:rsidRDefault="006832B1" w:rsidP="006832B1">
      <w:pPr>
        <w:rPr>
          <w:lang w:val="fr-CH"/>
        </w:rPr>
      </w:pPr>
    </w:p>
    <w:p w:rsidR="006832B1" w:rsidRPr="00B31DEE" w:rsidRDefault="006832B1" w:rsidP="006832B1">
      <w:pPr>
        <w:rPr>
          <w:b/>
          <w:sz w:val="24"/>
          <w:szCs w:val="24"/>
          <w:lang w:val="fr-FR"/>
        </w:rPr>
      </w:pPr>
      <w:r>
        <w:rPr>
          <w:b/>
          <w:sz w:val="24"/>
          <w:szCs w:val="24"/>
          <w:lang w:val="fr-FR"/>
        </w:rPr>
        <w:t>Vingt-quatri</w:t>
      </w:r>
      <w:r w:rsidRPr="00B31DEE">
        <w:rPr>
          <w:b/>
          <w:sz w:val="24"/>
          <w:szCs w:val="24"/>
          <w:lang w:val="fr-FR"/>
        </w:rPr>
        <w:t>ème session</w:t>
      </w:r>
    </w:p>
    <w:p w:rsidR="006832B1" w:rsidRPr="00B31DEE" w:rsidRDefault="006832B1" w:rsidP="006832B1">
      <w:pPr>
        <w:rPr>
          <w:b/>
          <w:sz w:val="24"/>
          <w:szCs w:val="24"/>
          <w:lang w:val="fr-FR"/>
        </w:rPr>
      </w:pPr>
      <w:r>
        <w:rPr>
          <w:b/>
          <w:sz w:val="24"/>
          <w:szCs w:val="24"/>
          <w:lang w:val="fr-FR"/>
        </w:rPr>
        <w:t>Genève, 18</w:t>
      </w:r>
      <w:r w:rsidRPr="00B31DEE">
        <w:rPr>
          <w:b/>
          <w:sz w:val="24"/>
          <w:szCs w:val="24"/>
          <w:lang w:val="fr-FR"/>
        </w:rPr>
        <w:t xml:space="preserve"> – </w:t>
      </w:r>
      <w:r>
        <w:rPr>
          <w:b/>
          <w:sz w:val="24"/>
          <w:szCs w:val="24"/>
          <w:lang w:val="fr-FR"/>
        </w:rPr>
        <w:t>22</w:t>
      </w:r>
      <w:r w:rsidRPr="00B31DEE">
        <w:rPr>
          <w:b/>
          <w:sz w:val="24"/>
          <w:szCs w:val="24"/>
          <w:lang w:val="fr-FR"/>
        </w:rPr>
        <w:t> </w:t>
      </w:r>
      <w:r>
        <w:rPr>
          <w:b/>
          <w:sz w:val="24"/>
          <w:szCs w:val="24"/>
          <w:lang w:val="fr-FR"/>
        </w:rPr>
        <w:t>novembre 2019</w:t>
      </w:r>
    </w:p>
    <w:p w:rsidR="006832B1" w:rsidRPr="004134A1" w:rsidRDefault="006832B1" w:rsidP="006832B1">
      <w:pPr>
        <w:rPr>
          <w:lang w:val="fr-FR"/>
        </w:rPr>
      </w:pPr>
    </w:p>
    <w:p w:rsidR="006832B1" w:rsidRPr="006832B1" w:rsidRDefault="006832B1" w:rsidP="006832B1">
      <w:pPr>
        <w:rPr>
          <w:lang w:val="fr-CH"/>
        </w:rPr>
      </w:pPr>
    </w:p>
    <w:p w:rsidR="006832B1" w:rsidRPr="006832B1" w:rsidRDefault="006832B1" w:rsidP="006832B1">
      <w:pPr>
        <w:rPr>
          <w:lang w:val="fr-CH"/>
        </w:rPr>
      </w:pPr>
    </w:p>
    <w:p w:rsidR="00480E94" w:rsidRPr="00274A7D" w:rsidRDefault="00480E94" w:rsidP="00480E94">
      <w:pPr>
        <w:rPr>
          <w:caps/>
          <w:sz w:val="24"/>
          <w:lang w:val="fr-CH"/>
        </w:rPr>
      </w:pPr>
      <w:r w:rsidRPr="00274A7D">
        <w:rPr>
          <w:caps/>
          <w:sz w:val="24"/>
          <w:lang w:val="fr-CH"/>
        </w:rPr>
        <w:t>Nouvelle proposition des États membres concern</w:t>
      </w:r>
      <w:r w:rsidR="004458AE" w:rsidRPr="00274A7D">
        <w:rPr>
          <w:caps/>
          <w:sz w:val="24"/>
          <w:lang w:val="fr-CH"/>
        </w:rPr>
        <w:t>ant</w:t>
      </w:r>
      <w:r w:rsidRPr="00274A7D">
        <w:rPr>
          <w:caps/>
          <w:sz w:val="24"/>
          <w:lang w:val="fr-CH"/>
        </w:rPr>
        <w:t xml:space="preserve"> les modalités et les stratégies de mise en </w:t>
      </w:r>
      <w:r w:rsidR="009A4858">
        <w:rPr>
          <w:caps/>
          <w:sz w:val="24"/>
          <w:lang w:val="fr-CH"/>
        </w:rPr>
        <w:t>œuvre</w:t>
      </w:r>
      <w:r w:rsidRPr="00274A7D">
        <w:rPr>
          <w:caps/>
          <w:sz w:val="24"/>
          <w:lang w:val="fr-CH"/>
        </w:rPr>
        <w:t xml:space="preserve"> des recommandations de l</w:t>
      </w:r>
      <w:r w:rsidR="009A4858">
        <w:rPr>
          <w:caps/>
          <w:sz w:val="24"/>
          <w:lang w:val="fr-CH"/>
        </w:rPr>
        <w:t>’</w:t>
      </w:r>
      <w:r w:rsidRPr="00274A7D">
        <w:rPr>
          <w:caps/>
          <w:sz w:val="24"/>
          <w:lang w:val="fr-CH"/>
        </w:rPr>
        <w:t>étude indépendante qui ont été adoptées</w:t>
      </w:r>
    </w:p>
    <w:p w:rsidR="00480E94" w:rsidRPr="00274A7D" w:rsidRDefault="00480E94" w:rsidP="008B2CC1">
      <w:pPr>
        <w:rPr>
          <w:caps/>
          <w:sz w:val="24"/>
          <w:lang w:val="fr-CH"/>
        </w:rPr>
      </w:pPr>
    </w:p>
    <w:p w:rsidR="00480E94" w:rsidRPr="00274A7D" w:rsidRDefault="00480E94" w:rsidP="00480E94">
      <w:pPr>
        <w:tabs>
          <w:tab w:val="left" w:pos="7188"/>
        </w:tabs>
        <w:rPr>
          <w:i/>
          <w:lang w:val="fr-CH"/>
        </w:rPr>
      </w:pPr>
      <w:r w:rsidRPr="00274A7D">
        <w:rPr>
          <w:i/>
          <w:lang w:val="fr-CH"/>
        </w:rPr>
        <w:t>Document établi par le Secrétariat</w:t>
      </w:r>
    </w:p>
    <w:p w:rsidR="00480E94" w:rsidRPr="00274A7D" w:rsidRDefault="00480E94" w:rsidP="008B2CC1">
      <w:pPr>
        <w:rPr>
          <w:lang w:val="fr-CH"/>
        </w:rPr>
      </w:pPr>
    </w:p>
    <w:p w:rsidR="00480E94" w:rsidRPr="00274A7D" w:rsidRDefault="00480E94" w:rsidP="008B2CC1">
      <w:pPr>
        <w:rPr>
          <w:lang w:val="fr-CH"/>
        </w:rPr>
      </w:pPr>
    </w:p>
    <w:p w:rsidR="00480E94" w:rsidRPr="00274A7D" w:rsidRDefault="00480E94" w:rsidP="008B2CC1">
      <w:pPr>
        <w:rPr>
          <w:lang w:val="fr-CH"/>
        </w:rPr>
      </w:pPr>
    </w:p>
    <w:p w:rsidR="00480E94" w:rsidRPr="00274A7D" w:rsidRDefault="00480E94" w:rsidP="008B2CC1">
      <w:pPr>
        <w:rPr>
          <w:lang w:val="fr-CH"/>
        </w:rPr>
      </w:pPr>
    </w:p>
    <w:p w:rsidR="00480E94" w:rsidRPr="00274A7D" w:rsidRDefault="00480E94" w:rsidP="00D373CA">
      <w:pPr>
        <w:pStyle w:val="ONUMFS"/>
        <w:rPr>
          <w:lang w:val="fr-CH"/>
        </w:rPr>
      </w:pPr>
      <w:bookmarkStart w:id="5" w:name="Prepared"/>
      <w:bookmarkEnd w:id="5"/>
      <w:r w:rsidRPr="00274A7D">
        <w:rPr>
          <w:lang w:val="fr-CH"/>
        </w:rPr>
        <w:t>Au cours de sa vingt</w:t>
      </w:r>
      <w:r w:rsidR="009A4858">
        <w:rPr>
          <w:lang w:val="fr-CH"/>
        </w:rPr>
        <w:t>-</w:t>
      </w:r>
      <w:r w:rsidRPr="00274A7D">
        <w:rPr>
          <w:lang w:val="fr-CH"/>
        </w:rPr>
        <w:t>trois</w:t>
      </w:r>
      <w:r w:rsidR="009A4858">
        <w:rPr>
          <w:lang w:val="fr-CH"/>
        </w:rPr>
        <w:t>ième session</w:t>
      </w:r>
      <w:r w:rsidRPr="00274A7D">
        <w:rPr>
          <w:lang w:val="fr-CH"/>
        </w:rPr>
        <w:t xml:space="preserve">, le Comité du développement et de la propriété intellectuelle (CDIP) a examiné le document CDIP/23/8 </w:t>
      </w:r>
      <w:r w:rsidR="00645F3C" w:rsidRPr="00274A7D">
        <w:rPr>
          <w:lang w:val="fr-CH"/>
        </w:rPr>
        <w:t>intitulé</w:t>
      </w:r>
      <w:r w:rsidRPr="00274A7D">
        <w:rPr>
          <w:lang w:val="fr-CH"/>
        </w:rPr>
        <w:t xml:space="preserve"> </w:t>
      </w:r>
      <w:r w:rsidR="009A4858">
        <w:rPr>
          <w:lang w:val="fr-CH"/>
        </w:rPr>
        <w:t>“</w:t>
      </w:r>
      <w:r w:rsidR="009A4858" w:rsidRPr="00274A7D">
        <w:rPr>
          <w:lang w:val="fr-CH"/>
        </w:rPr>
        <w:t>P</w:t>
      </w:r>
      <w:r w:rsidRPr="00274A7D">
        <w:rPr>
          <w:lang w:val="fr-CH"/>
        </w:rPr>
        <w:t xml:space="preserve">roposition du Secrétariat concernant les modalités et les stratégies de mise en </w:t>
      </w:r>
      <w:r w:rsidR="00645F3C" w:rsidRPr="00274A7D">
        <w:rPr>
          <w:lang w:val="fr-CH"/>
        </w:rPr>
        <w:t>œuvre</w:t>
      </w:r>
      <w:r w:rsidRPr="00274A7D">
        <w:rPr>
          <w:lang w:val="fr-CH"/>
        </w:rPr>
        <w:t xml:space="preserve"> des recommandations de l</w:t>
      </w:r>
      <w:r w:rsidR="009A4858">
        <w:rPr>
          <w:lang w:val="fr-CH"/>
        </w:rPr>
        <w:t>’</w:t>
      </w:r>
      <w:r w:rsidRPr="00274A7D">
        <w:rPr>
          <w:lang w:val="fr-CH"/>
        </w:rPr>
        <w:t>étude indépendante qui ont été adoptées et les options pour la procédure d</w:t>
      </w:r>
      <w:r w:rsidR="009A4858">
        <w:rPr>
          <w:lang w:val="fr-CH"/>
        </w:rPr>
        <w:t>’</w:t>
      </w:r>
      <w:r w:rsidRPr="00274A7D">
        <w:rPr>
          <w:lang w:val="fr-CH"/>
        </w:rPr>
        <w:t>établissement de rapports et d</w:t>
      </w:r>
      <w:r w:rsidR="009A4858">
        <w:rPr>
          <w:lang w:val="fr-CH"/>
        </w:rPr>
        <w:t>’</w:t>
      </w:r>
      <w:r w:rsidRPr="00274A7D">
        <w:rPr>
          <w:lang w:val="fr-CH"/>
        </w:rPr>
        <w:t>examen</w:t>
      </w:r>
      <w:r w:rsidR="004458AE" w:rsidRPr="00274A7D">
        <w:rPr>
          <w:lang w:val="fr-CH"/>
        </w:rPr>
        <w:t>ʺ</w:t>
      </w:r>
      <w:r w:rsidRPr="00274A7D">
        <w:rPr>
          <w:lang w:val="fr-CH"/>
        </w:rPr>
        <w:t>, et a pris la décision suivante</w:t>
      </w:r>
      <w:r w:rsidR="009A4858">
        <w:rPr>
          <w:lang w:val="fr-CH"/>
        </w:rPr>
        <w:t> :</w:t>
      </w:r>
    </w:p>
    <w:p w:rsidR="009A4858" w:rsidRDefault="003221F2" w:rsidP="00480E94">
      <w:pPr>
        <w:pStyle w:val="ListParagraph"/>
        <w:ind w:left="567"/>
        <w:rPr>
          <w:lang w:val="fr-CH"/>
        </w:rPr>
      </w:pPr>
      <w:r>
        <w:rPr>
          <w:lang w:val="fr-CH"/>
        </w:rPr>
        <w:t>“</w:t>
      </w:r>
      <w:r w:rsidR="00480E94" w:rsidRPr="00274A7D">
        <w:rPr>
          <w:lang w:val="fr-CH"/>
        </w:rPr>
        <w:t>… poursuivr</w:t>
      </w:r>
      <w:r w:rsidR="00645F3C" w:rsidRPr="00274A7D">
        <w:rPr>
          <w:lang w:val="fr-CH"/>
        </w:rPr>
        <w:t>[</w:t>
      </w:r>
      <w:r w:rsidR="00480E94" w:rsidRPr="00274A7D">
        <w:rPr>
          <w:lang w:val="fr-CH"/>
        </w:rPr>
        <w:t>e</w:t>
      </w:r>
      <w:r w:rsidR="00645F3C" w:rsidRPr="00274A7D">
        <w:rPr>
          <w:lang w:val="fr-CH"/>
        </w:rPr>
        <w:t>]</w:t>
      </w:r>
      <w:r w:rsidR="00480E94" w:rsidRPr="00274A7D">
        <w:rPr>
          <w:lang w:val="fr-CH"/>
        </w:rPr>
        <w:t xml:space="preserve"> l</w:t>
      </w:r>
      <w:r w:rsidR="009A4858">
        <w:rPr>
          <w:lang w:val="fr-CH"/>
        </w:rPr>
        <w:t>’</w:t>
      </w:r>
      <w:r w:rsidR="00480E94" w:rsidRPr="00274A7D">
        <w:rPr>
          <w:lang w:val="fr-CH"/>
        </w:rPr>
        <w:t xml:space="preserve">examen des stratégies de mise en </w:t>
      </w:r>
      <w:r w:rsidR="00645F3C" w:rsidRPr="00274A7D">
        <w:rPr>
          <w:lang w:val="fr-CH"/>
        </w:rPr>
        <w:t>œuvre</w:t>
      </w:r>
      <w:r w:rsidR="00480E94" w:rsidRPr="00274A7D">
        <w:rPr>
          <w:lang w:val="fr-CH"/>
        </w:rPr>
        <w:t xml:space="preserve"> n</w:t>
      </w:r>
      <w:r w:rsidR="00480E94" w:rsidRPr="00274A7D">
        <w:rPr>
          <w:vertAlign w:val="superscript"/>
          <w:lang w:val="fr-CH"/>
        </w:rPr>
        <w:t>os</w:t>
      </w:r>
      <w:r w:rsidR="00480E94" w:rsidRPr="00274A7D">
        <w:rPr>
          <w:lang w:val="fr-CH"/>
        </w:rPr>
        <w:t xml:space="preserve"> 1, 2, 3, 4, 7, 13 et 15 et des nouvelles propositions présentées par les États membres conformément à l</w:t>
      </w:r>
      <w:r w:rsidR="009A4858">
        <w:rPr>
          <w:lang w:val="fr-CH"/>
        </w:rPr>
        <w:t>’</w:t>
      </w:r>
      <w:r w:rsidR="009A4858" w:rsidRPr="00274A7D">
        <w:rPr>
          <w:lang w:val="fr-CH"/>
        </w:rPr>
        <w:t>annexe</w:t>
      </w:r>
      <w:r w:rsidR="009A4858">
        <w:rPr>
          <w:lang w:val="fr-CH"/>
        </w:rPr>
        <w:t> </w:t>
      </w:r>
      <w:r w:rsidR="009A4858" w:rsidRPr="00274A7D">
        <w:rPr>
          <w:lang w:val="fr-CH"/>
        </w:rPr>
        <w:t>I</w:t>
      </w:r>
      <w:r w:rsidR="00480E94" w:rsidRPr="00274A7D">
        <w:rPr>
          <w:lang w:val="fr-CH"/>
        </w:rPr>
        <w:t xml:space="preserve"> du document avant le 1</w:t>
      </w:r>
      <w:r w:rsidR="009A4858" w:rsidRPr="00274A7D">
        <w:rPr>
          <w:lang w:val="fr-CH"/>
        </w:rPr>
        <w:t>8</w:t>
      </w:r>
      <w:r w:rsidR="009A4858">
        <w:rPr>
          <w:lang w:val="fr-CH"/>
        </w:rPr>
        <w:t> </w:t>
      </w:r>
      <w:r w:rsidR="009A4858" w:rsidRPr="00274A7D">
        <w:rPr>
          <w:lang w:val="fr-CH"/>
        </w:rPr>
        <w:t>septembre</w:t>
      </w:r>
      <w:r w:rsidR="00480E94" w:rsidRPr="00274A7D">
        <w:rPr>
          <w:lang w:val="fr-CH"/>
        </w:rPr>
        <w:t>, 2019, ainsi que les méthodes possibles d</w:t>
      </w:r>
      <w:r w:rsidR="009A4858">
        <w:rPr>
          <w:lang w:val="fr-CH"/>
        </w:rPr>
        <w:t>’</w:t>
      </w:r>
      <w:r w:rsidR="00480E94" w:rsidRPr="00274A7D">
        <w:rPr>
          <w:lang w:val="fr-CH"/>
        </w:rPr>
        <w:t>établissement de rapports et d</w:t>
      </w:r>
      <w:r w:rsidR="009A4858">
        <w:rPr>
          <w:lang w:val="fr-CH"/>
        </w:rPr>
        <w:t>’</w:t>
      </w:r>
      <w:r w:rsidR="00480E94" w:rsidRPr="00274A7D">
        <w:rPr>
          <w:lang w:val="fr-CH"/>
        </w:rPr>
        <w:t>évaluation, qui font l</w:t>
      </w:r>
      <w:r w:rsidR="009A4858">
        <w:rPr>
          <w:lang w:val="fr-CH"/>
        </w:rPr>
        <w:t>’</w:t>
      </w:r>
      <w:r w:rsidR="00480E94" w:rsidRPr="00274A7D">
        <w:rPr>
          <w:lang w:val="fr-CH"/>
        </w:rPr>
        <w:t>objet du document CDIP/23/8 à la prochaine sessio</w:t>
      </w:r>
      <w:r w:rsidR="009A4858" w:rsidRPr="00274A7D">
        <w:rPr>
          <w:lang w:val="fr-CH"/>
        </w:rPr>
        <w:t>n</w:t>
      </w:r>
      <w:r w:rsidR="009A4858">
        <w:rPr>
          <w:lang w:val="fr-CH"/>
        </w:rPr>
        <w:t>”</w:t>
      </w:r>
      <w:r w:rsidR="00480E94" w:rsidRPr="00274A7D">
        <w:rPr>
          <w:lang w:val="fr-CH"/>
        </w:rPr>
        <w:t xml:space="preserve"> (</w:t>
      </w:r>
      <w:r w:rsidR="009A4858" w:rsidRPr="00274A7D">
        <w:rPr>
          <w:lang w:val="fr-CH"/>
        </w:rPr>
        <w:t>paragraphe</w:t>
      </w:r>
      <w:r w:rsidR="009A4858">
        <w:rPr>
          <w:lang w:val="fr-CH"/>
        </w:rPr>
        <w:t> </w:t>
      </w:r>
      <w:r w:rsidR="009A4858" w:rsidRPr="00274A7D">
        <w:rPr>
          <w:lang w:val="fr-CH"/>
        </w:rPr>
        <w:t>9</w:t>
      </w:r>
      <w:r w:rsidR="00480E94" w:rsidRPr="00274A7D">
        <w:rPr>
          <w:lang w:val="fr-CH"/>
        </w:rPr>
        <w:t>.8 du résumé présenté par le président, document CDIP/23).</w:t>
      </w:r>
    </w:p>
    <w:p w:rsidR="00480E94" w:rsidRPr="00274A7D" w:rsidRDefault="00480E94" w:rsidP="00E73450">
      <w:pPr>
        <w:rPr>
          <w:lang w:val="fr-CH"/>
        </w:rPr>
      </w:pPr>
    </w:p>
    <w:p w:rsidR="009A4858" w:rsidRDefault="00480E94" w:rsidP="00D373CA">
      <w:pPr>
        <w:pStyle w:val="ONUMFS"/>
        <w:rPr>
          <w:lang w:val="fr-CH"/>
        </w:rPr>
      </w:pPr>
      <w:r w:rsidRPr="00274A7D">
        <w:rPr>
          <w:lang w:val="fr-CH"/>
        </w:rPr>
        <w:t>Dans une communication datée du 1</w:t>
      </w:r>
      <w:r w:rsidR="009A4858" w:rsidRPr="00274A7D">
        <w:rPr>
          <w:lang w:val="fr-CH"/>
        </w:rPr>
        <w:t>6</w:t>
      </w:r>
      <w:r w:rsidR="009A4858">
        <w:rPr>
          <w:lang w:val="fr-CH"/>
        </w:rPr>
        <w:t> </w:t>
      </w:r>
      <w:r w:rsidR="009A4858" w:rsidRPr="00274A7D">
        <w:rPr>
          <w:lang w:val="fr-CH"/>
        </w:rPr>
        <w:t>octobre</w:t>
      </w:r>
      <w:r w:rsidR="009A4858">
        <w:rPr>
          <w:lang w:val="fr-CH"/>
        </w:rPr>
        <w:t> </w:t>
      </w:r>
      <w:r w:rsidR="009A4858" w:rsidRPr="00274A7D">
        <w:rPr>
          <w:lang w:val="fr-CH"/>
        </w:rPr>
        <w:t>20</w:t>
      </w:r>
      <w:r w:rsidRPr="00274A7D">
        <w:rPr>
          <w:lang w:val="fr-CH"/>
        </w:rPr>
        <w:t>19, le Secrétariat a reçu la contribution de la délégation de l</w:t>
      </w:r>
      <w:r w:rsidR="009A4858">
        <w:rPr>
          <w:lang w:val="fr-CH"/>
        </w:rPr>
        <w:t>’</w:t>
      </w:r>
      <w:r w:rsidRPr="00274A7D">
        <w:rPr>
          <w:lang w:val="fr-CH"/>
        </w:rPr>
        <w:t xml:space="preserve">Afrique du Sud </w:t>
      </w:r>
      <w:r w:rsidR="004458AE" w:rsidRPr="00274A7D">
        <w:rPr>
          <w:lang w:val="fr-CH"/>
        </w:rPr>
        <w:t>qui est repr</w:t>
      </w:r>
      <w:r w:rsidRPr="00274A7D">
        <w:rPr>
          <w:lang w:val="fr-CH"/>
        </w:rPr>
        <w:t>oduite dans l</w:t>
      </w:r>
      <w:r w:rsidR="009A4858">
        <w:rPr>
          <w:lang w:val="fr-CH"/>
        </w:rPr>
        <w:t>’</w:t>
      </w:r>
      <w:r w:rsidRPr="00274A7D">
        <w:rPr>
          <w:lang w:val="fr-CH"/>
        </w:rPr>
        <w:t>annexe du présent document.</w:t>
      </w:r>
    </w:p>
    <w:p w:rsidR="009A4858" w:rsidRPr="000554C0" w:rsidRDefault="004458AE" w:rsidP="00DD40C1">
      <w:pPr>
        <w:pStyle w:val="ONUMFS"/>
        <w:numPr>
          <w:ilvl w:val="0"/>
          <w:numId w:val="0"/>
        </w:numPr>
        <w:ind w:left="5533"/>
        <w:rPr>
          <w:i/>
          <w:lang w:val="fr-CH"/>
        </w:rPr>
      </w:pPr>
      <w:r w:rsidRPr="000554C0">
        <w:rPr>
          <w:i/>
          <w:lang w:val="fr-CH"/>
        </w:rPr>
        <w:t>3.</w:t>
      </w:r>
      <w:r w:rsidRPr="000554C0">
        <w:rPr>
          <w:i/>
          <w:lang w:val="fr-CH"/>
        </w:rPr>
        <w:tab/>
      </w:r>
      <w:r w:rsidR="00480E94" w:rsidRPr="000554C0">
        <w:rPr>
          <w:i/>
          <w:lang w:val="fr-CH"/>
        </w:rPr>
        <w:t>Le CDIP est invité à examiner les informations contenues dans l</w:t>
      </w:r>
      <w:r w:rsidR="009A4858" w:rsidRPr="000554C0">
        <w:rPr>
          <w:i/>
          <w:lang w:val="fr-CH"/>
        </w:rPr>
        <w:t>’</w:t>
      </w:r>
      <w:r w:rsidR="00480E94" w:rsidRPr="000554C0">
        <w:rPr>
          <w:i/>
          <w:lang w:val="fr-CH"/>
        </w:rPr>
        <w:t>annexe du présent document.</w:t>
      </w:r>
    </w:p>
    <w:p w:rsidR="00480E94" w:rsidRDefault="00480E94" w:rsidP="00E73450">
      <w:pPr>
        <w:rPr>
          <w:i/>
          <w:szCs w:val="22"/>
          <w:lang w:val="fr-CH"/>
        </w:rPr>
      </w:pPr>
    </w:p>
    <w:p w:rsidR="00D373CA" w:rsidRPr="00274A7D" w:rsidRDefault="00D373CA" w:rsidP="00E73450">
      <w:pPr>
        <w:rPr>
          <w:i/>
          <w:szCs w:val="22"/>
          <w:lang w:val="fr-CH"/>
        </w:rPr>
      </w:pPr>
    </w:p>
    <w:p w:rsidR="00ED446F" w:rsidRPr="00274A7D" w:rsidRDefault="00480E94" w:rsidP="004134DA">
      <w:pPr>
        <w:pStyle w:val="Endofdocument-Annex"/>
        <w:rPr>
          <w:lang w:val="fr-CH"/>
        </w:rPr>
        <w:sectPr w:rsidR="00ED446F" w:rsidRPr="00274A7D" w:rsidSect="00ED446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76" w:footer="576" w:gutter="0"/>
          <w:cols w:space="720"/>
          <w:docGrid w:linePitch="299"/>
        </w:sectPr>
      </w:pPr>
      <w:r w:rsidRPr="00274A7D">
        <w:rPr>
          <w:lang w:val="fr-CH"/>
        </w:rPr>
        <w:t>[L</w:t>
      </w:r>
      <w:r w:rsidR="009A4858">
        <w:rPr>
          <w:lang w:val="fr-CH"/>
        </w:rPr>
        <w:t>’</w:t>
      </w:r>
      <w:r w:rsidRPr="00274A7D">
        <w:rPr>
          <w:lang w:val="fr-CH"/>
        </w:rPr>
        <w:t>annexe suit]</w:t>
      </w:r>
      <w:r w:rsidR="00ED446F" w:rsidRPr="00274A7D">
        <w:rPr>
          <w:lang w:val="fr-CH"/>
        </w:rPr>
        <w:br w:type="page"/>
      </w:r>
    </w:p>
    <w:p w:rsidR="00480E94" w:rsidRPr="00274A7D" w:rsidRDefault="00480E94" w:rsidP="00480E94">
      <w:pPr>
        <w:rPr>
          <w:b/>
          <w:bCs/>
          <w:sz w:val="24"/>
          <w:szCs w:val="24"/>
          <w:lang w:val="fr-CH"/>
        </w:rPr>
      </w:pPr>
      <w:r w:rsidRPr="00274A7D">
        <w:rPr>
          <w:b/>
          <w:bCs/>
          <w:sz w:val="24"/>
          <w:szCs w:val="24"/>
          <w:lang w:val="fr-CH"/>
        </w:rPr>
        <w:lastRenderedPageBreak/>
        <w:t>Contribution de</w:t>
      </w:r>
      <w:r w:rsidR="004458AE" w:rsidRPr="00274A7D">
        <w:rPr>
          <w:b/>
          <w:bCs/>
          <w:sz w:val="24"/>
          <w:szCs w:val="24"/>
          <w:lang w:val="fr-CH"/>
        </w:rPr>
        <w:t xml:space="preserve"> la délégation</w:t>
      </w:r>
      <w:r w:rsidRPr="00274A7D">
        <w:rPr>
          <w:b/>
          <w:bCs/>
          <w:sz w:val="24"/>
          <w:szCs w:val="24"/>
          <w:lang w:val="fr-CH"/>
        </w:rPr>
        <w:t xml:space="preserve"> l</w:t>
      </w:r>
      <w:r w:rsidR="009A4858">
        <w:rPr>
          <w:b/>
          <w:bCs/>
          <w:sz w:val="24"/>
          <w:szCs w:val="24"/>
          <w:lang w:val="fr-CH"/>
        </w:rPr>
        <w:t>’</w:t>
      </w:r>
      <w:r w:rsidRPr="00274A7D">
        <w:rPr>
          <w:b/>
          <w:bCs/>
          <w:sz w:val="24"/>
          <w:szCs w:val="24"/>
          <w:lang w:val="fr-CH"/>
        </w:rPr>
        <w:t>Afrique du Sud</w:t>
      </w:r>
    </w:p>
    <w:p w:rsidR="00ED446F" w:rsidRPr="00274A7D" w:rsidRDefault="00ED446F" w:rsidP="0035669B">
      <w:pPr>
        <w:rPr>
          <w:sz w:val="24"/>
          <w:szCs w:val="24"/>
          <w:lang w:val="fr-CH"/>
        </w:rPr>
      </w:pPr>
    </w:p>
    <w:tbl>
      <w:tblPr>
        <w:tblStyle w:val="TableGrid"/>
        <w:tblpPr w:leftFromText="180" w:rightFromText="180" w:vertAnchor="text" w:tblpX="-304" w:tblpY="1"/>
        <w:tblOverlap w:val="never"/>
        <w:tblW w:w="15319" w:type="dxa"/>
        <w:tblInd w:w="0" w:type="dxa"/>
        <w:tblLayout w:type="fixed"/>
        <w:tblLook w:val="04A0" w:firstRow="1" w:lastRow="0" w:firstColumn="1" w:lastColumn="0" w:noHBand="0" w:noVBand="1"/>
      </w:tblPr>
      <w:tblGrid>
        <w:gridCol w:w="4694"/>
        <w:gridCol w:w="7229"/>
        <w:gridCol w:w="3396"/>
      </w:tblGrid>
      <w:tr w:rsidR="00274A7D" w:rsidRPr="00680EED" w:rsidTr="001F3BB1">
        <w:trPr>
          <w:tblHeader/>
        </w:trPr>
        <w:tc>
          <w:tcPr>
            <w:tcW w:w="15319" w:type="dxa"/>
            <w:gridSpan w:val="3"/>
            <w:shd w:val="pct12" w:color="auto" w:fill="auto"/>
            <w:vAlign w:val="center"/>
          </w:tcPr>
          <w:p w:rsidR="00480E94" w:rsidRPr="0054768F" w:rsidRDefault="00480E94" w:rsidP="001F3BB1">
            <w:pPr>
              <w:rPr>
                <w:spacing w:val="-2"/>
                <w:sz w:val="16"/>
                <w:szCs w:val="16"/>
                <w:lang w:val="fr-CH"/>
              </w:rPr>
            </w:pPr>
            <w:r w:rsidRPr="0054768F">
              <w:rPr>
                <w:spacing w:val="-2"/>
                <w:sz w:val="16"/>
                <w:szCs w:val="16"/>
                <w:highlight w:val="yellow"/>
                <w:lang w:val="fr-CH"/>
              </w:rPr>
              <w:t>1</w:t>
            </w:r>
            <w:r w:rsidRPr="0054768F">
              <w:rPr>
                <w:spacing w:val="-2"/>
                <w:sz w:val="16"/>
                <w:szCs w:val="16"/>
                <w:lang w:val="fr-CH"/>
              </w:rPr>
              <w:t xml:space="preserve"> </w:t>
            </w:r>
            <w:r w:rsidR="00645F3C" w:rsidRPr="0054768F">
              <w:rPr>
                <w:spacing w:val="-2"/>
                <w:sz w:val="16"/>
                <w:szCs w:val="16"/>
                <w:lang w:val="fr-CH"/>
              </w:rPr>
              <w:t xml:space="preserve">– </w:t>
            </w:r>
            <w:r w:rsidRPr="0054768F">
              <w:rPr>
                <w:spacing w:val="-2"/>
                <w:sz w:val="16"/>
                <w:szCs w:val="16"/>
                <w:lang w:val="fr-CH"/>
              </w:rPr>
              <w:t>Il importe de consolider les progrès accomplis au sein</w:t>
            </w:r>
            <w:r w:rsidR="009A4858" w:rsidRPr="0054768F">
              <w:rPr>
                <w:spacing w:val="-2"/>
                <w:sz w:val="16"/>
                <w:szCs w:val="16"/>
                <w:lang w:val="fr-CH"/>
              </w:rPr>
              <w:t xml:space="preserve"> du CDI</w:t>
            </w:r>
            <w:r w:rsidRPr="0054768F">
              <w:rPr>
                <w:spacing w:val="-2"/>
                <w:sz w:val="16"/>
                <w:szCs w:val="16"/>
                <w:lang w:val="fr-CH"/>
              </w:rPr>
              <w:t xml:space="preserve">P en engageant un </w:t>
            </w:r>
            <w:r w:rsidRPr="0054768F">
              <w:rPr>
                <w:spacing w:val="-2"/>
                <w:sz w:val="16"/>
                <w:szCs w:val="16"/>
                <w:highlight w:val="yellow"/>
                <w:lang w:val="fr-CH"/>
              </w:rPr>
              <w:t>débat de haut niveau</w:t>
            </w:r>
            <w:r w:rsidRPr="0054768F">
              <w:rPr>
                <w:spacing w:val="-2"/>
                <w:sz w:val="16"/>
                <w:szCs w:val="16"/>
                <w:lang w:val="fr-CH"/>
              </w:rPr>
              <w:t xml:space="preserve"> sur les besoins nouveaux et en examinant les travaux accomplis par l</w:t>
            </w:r>
            <w:r w:rsidR="009A4858" w:rsidRPr="0054768F">
              <w:rPr>
                <w:spacing w:val="-2"/>
                <w:sz w:val="16"/>
                <w:szCs w:val="16"/>
                <w:lang w:val="fr-CH"/>
              </w:rPr>
              <w:t>’</w:t>
            </w:r>
            <w:r w:rsidRPr="0054768F">
              <w:rPr>
                <w:spacing w:val="-2"/>
                <w:sz w:val="16"/>
                <w:szCs w:val="16"/>
                <w:lang w:val="fr-CH"/>
              </w:rPr>
              <w:t>Organisation sur les questions nouvelles et émergentes relatives aux droits de propriété intellectuelle.</w:t>
            </w:r>
            <w:r w:rsidR="00ED446F" w:rsidRPr="0054768F">
              <w:rPr>
                <w:spacing w:val="-2"/>
                <w:sz w:val="16"/>
                <w:szCs w:val="16"/>
                <w:lang w:val="fr-CH"/>
              </w:rPr>
              <w:t xml:space="preserve">  </w:t>
            </w:r>
            <w:r w:rsidRPr="0054768F">
              <w:rPr>
                <w:spacing w:val="-2"/>
                <w:sz w:val="16"/>
                <w:szCs w:val="16"/>
                <w:lang w:val="fr-CH"/>
              </w:rPr>
              <w:t>Le comité devrait également faciliter un échange de stratégies et de pratiques recommandées entre les États membres, en ce qui concerne leurs expériences face aux préoccupations en matière de propriété intellectuelle et de développement.</w:t>
            </w:r>
          </w:p>
          <w:p w:rsidR="00480E94" w:rsidRPr="0054768F" w:rsidRDefault="00ED446F" w:rsidP="001F3BB1">
            <w:pPr>
              <w:rPr>
                <w:spacing w:val="-2"/>
                <w:sz w:val="16"/>
                <w:szCs w:val="16"/>
                <w:lang w:val="fr-CH"/>
              </w:rPr>
            </w:pPr>
            <w:r w:rsidRPr="0054768F">
              <w:rPr>
                <w:spacing w:val="-2"/>
                <w:sz w:val="16"/>
                <w:szCs w:val="16"/>
                <w:highlight w:val="cyan"/>
                <w:lang w:val="fr-CH"/>
              </w:rPr>
              <w:t>2</w:t>
            </w:r>
            <w:r w:rsidRPr="0054768F">
              <w:rPr>
                <w:spacing w:val="-2"/>
                <w:sz w:val="16"/>
                <w:szCs w:val="16"/>
                <w:lang w:val="fr-CH"/>
              </w:rPr>
              <w:t xml:space="preserve"> – </w:t>
            </w:r>
            <w:r w:rsidR="00480E94" w:rsidRPr="0054768F">
              <w:rPr>
                <w:spacing w:val="-2"/>
                <w:sz w:val="16"/>
                <w:szCs w:val="16"/>
                <w:lang w:val="fr-CH"/>
              </w:rPr>
              <w:t xml:space="preserve">Les États membres devraient prendre des mesures pour </w:t>
            </w:r>
            <w:r w:rsidR="00480E94" w:rsidRPr="0054768F">
              <w:rPr>
                <w:spacing w:val="-2"/>
                <w:sz w:val="16"/>
                <w:szCs w:val="16"/>
                <w:highlight w:val="cyan"/>
                <w:lang w:val="fr-CH"/>
              </w:rPr>
              <w:t>résoudre les questions en suspens relatives au mandat du comité et à l</w:t>
            </w:r>
            <w:r w:rsidR="009A4858" w:rsidRPr="0054768F">
              <w:rPr>
                <w:spacing w:val="-2"/>
                <w:sz w:val="16"/>
                <w:szCs w:val="16"/>
                <w:highlight w:val="cyan"/>
                <w:lang w:val="fr-CH"/>
              </w:rPr>
              <w:t>’</w:t>
            </w:r>
            <w:r w:rsidR="00480E94" w:rsidRPr="0054768F">
              <w:rPr>
                <w:spacing w:val="-2"/>
                <w:sz w:val="16"/>
                <w:szCs w:val="16"/>
                <w:highlight w:val="cyan"/>
                <w:lang w:val="fr-CH"/>
              </w:rPr>
              <w:t>application du mécanisme</w:t>
            </w:r>
            <w:r w:rsidR="00480E94" w:rsidRPr="0054768F">
              <w:rPr>
                <w:spacing w:val="-2"/>
                <w:sz w:val="16"/>
                <w:szCs w:val="16"/>
                <w:lang w:val="fr-CH"/>
              </w:rPr>
              <w:t xml:space="preserve"> de coordination.</w:t>
            </w:r>
          </w:p>
          <w:p w:rsidR="00480E94" w:rsidRPr="0054768F" w:rsidRDefault="00480E94" w:rsidP="001F3BB1">
            <w:pPr>
              <w:ind w:right="455"/>
              <w:rPr>
                <w:spacing w:val="-2"/>
                <w:sz w:val="16"/>
                <w:szCs w:val="16"/>
                <w:lang w:val="fr-CH"/>
              </w:rPr>
            </w:pPr>
            <w:r w:rsidRPr="0054768F">
              <w:rPr>
                <w:spacing w:val="-2"/>
                <w:sz w:val="16"/>
                <w:szCs w:val="16"/>
                <w:highlight w:val="magenta"/>
                <w:lang w:val="fr-CH"/>
              </w:rPr>
              <w:t>3</w:t>
            </w:r>
            <w:r w:rsidRPr="0054768F">
              <w:rPr>
                <w:spacing w:val="-2"/>
                <w:sz w:val="16"/>
                <w:szCs w:val="16"/>
                <w:lang w:val="fr-CH"/>
              </w:rPr>
              <w:t xml:space="preserve"> – L</w:t>
            </w:r>
            <w:r w:rsidR="009A4858" w:rsidRPr="0054768F">
              <w:rPr>
                <w:spacing w:val="-2"/>
                <w:sz w:val="16"/>
                <w:szCs w:val="16"/>
                <w:lang w:val="fr-CH"/>
              </w:rPr>
              <w:t>’</w:t>
            </w:r>
            <w:r w:rsidRPr="0054768F">
              <w:rPr>
                <w:spacing w:val="-2"/>
                <w:sz w:val="16"/>
                <w:szCs w:val="16"/>
                <w:lang w:val="fr-CH"/>
              </w:rPr>
              <w:t>OMPI devrait continuer à assurer d</w:t>
            </w:r>
            <w:r w:rsidR="009A4858" w:rsidRPr="0054768F">
              <w:rPr>
                <w:spacing w:val="-2"/>
                <w:sz w:val="16"/>
                <w:szCs w:val="16"/>
                <w:lang w:val="fr-CH"/>
              </w:rPr>
              <w:t>’</w:t>
            </w:r>
            <w:r w:rsidRPr="0054768F">
              <w:rPr>
                <w:spacing w:val="-2"/>
                <w:sz w:val="16"/>
                <w:szCs w:val="16"/>
                <w:lang w:val="fr-CH"/>
              </w:rPr>
              <w:t xml:space="preserve">une manière concrète son travail de </w:t>
            </w:r>
            <w:r w:rsidRPr="0054768F">
              <w:rPr>
                <w:spacing w:val="-2"/>
                <w:sz w:val="16"/>
                <w:szCs w:val="16"/>
                <w:highlight w:val="magenta"/>
                <w:lang w:val="fr-CH"/>
              </w:rPr>
              <w:t>coordination, de surveillance, d</w:t>
            </w:r>
            <w:r w:rsidR="009A4858" w:rsidRPr="0054768F">
              <w:rPr>
                <w:spacing w:val="-2"/>
                <w:sz w:val="16"/>
                <w:szCs w:val="16"/>
                <w:highlight w:val="magenta"/>
                <w:lang w:val="fr-CH"/>
              </w:rPr>
              <w:t>’</w:t>
            </w:r>
            <w:r w:rsidRPr="0054768F">
              <w:rPr>
                <w:spacing w:val="-2"/>
                <w:sz w:val="16"/>
                <w:szCs w:val="16"/>
                <w:highlight w:val="magenta"/>
                <w:lang w:val="fr-CH"/>
              </w:rPr>
              <w:t>établissement de rapports, d</w:t>
            </w:r>
            <w:r w:rsidR="009A4858" w:rsidRPr="0054768F">
              <w:rPr>
                <w:spacing w:val="-2"/>
                <w:sz w:val="16"/>
                <w:szCs w:val="16"/>
                <w:highlight w:val="magenta"/>
                <w:lang w:val="fr-CH"/>
              </w:rPr>
              <w:t>’</w:t>
            </w:r>
            <w:r w:rsidRPr="0054768F">
              <w:rPr>
                <w:spacing w:val="-2"/>
                <w:sz w:val="16"/>
                <w:szCs w:val="16"/>
                <w:highlight w:val="magenta"/>
                <w:lang w:val="fr-CH"/>
              </w:rPr>
              <w:t>évaluation et d</w:t>
            </w:r>
            <w:r w:rsidR="009A4858" w:rsidRPr="0054768F">
              <w:rPr>
                <w:spacing w:val="-2"/>
                <w:sz w:val="16"/>
                <w:szCs w:val="16"/>
                <w:highlight w:val="magenta"/>
                <w:lang w:val="fr-CH"/>
              </w:rPr>
              <w:t>’</w:t>
            </w:r>
            <w:r w:rsidRPr="0054768F">
              <w:rPr>
                <w:spacing w:val="-2"/>
                <w:sz w:val="16"/>
                <w:szCs w:val="16"/>
                <w:highlight w:val="magenta"/>
                <w:lang w:val="fr-CH"/>
              </w:rPr>
              <w:t>intégration</w:t>
            </w:r>
            <w:r w:rsidRPr="0054768F">
              <w:rPr>
                <w:spacing w:val="-2"/>
                <w:sz w:val="16"/>
                <w:szCs w:val="16"/>
                <w:lang w:val="fr-CH"/>
              </w:rPr>
              <w:t xml:space="preserve"> relatif à la mise en œuvre des recommandations du Plan d</w:t>
            </w:r>
            <w:r w:rsidR="009A4858" w:rsidRPr="0054768F">
              <w:rPr>
                <w:spacing w:val="-2"/>
                <w:sz w:val="16"/>
                <w:szCs w:val="16"/>
                <w:lang w:val="fr-CH"/>
              </w:rPr>
              <w:t>’</w:t>
            </w:r>
            <w:r w:rsidRPr="0054768F">
              <w:rPr>
                <w:spacing w:val="-2"/>
                <w:sz w:val="16"/>
                <w:szCs w:val="16"/>
                <w:lang w:val="fr-CH"/>
              </w:rPr>
              <w:t>action pour le développement.</w:t>
            </w:r>
            <w:r w:rsidR="00ED446F" w:rsidRPr="0054768F">
              <w:rPr>
                <w:spacing w:val="-2"/>
                <w:sz w:val="16"/>
                <w:szCs w:val="16"/>
                <w:lang w:val="fr-CH"/>
              </w:rPr>
              <w:t xml:space="preserve">  </w:t>
            </w:r>
            <w:r w:rsidRPr="0054768F">
              <w:rPr>
                <w:spacing w:val="-2"/>
                <w:sz w:val="16"/>
                <w:szCs w:val="16"/>
                <w:lang w:val="fr-CH"/>
              </w:rPr>
              <w:t>Le rôle de coordination de la Division de la coordination du Plan d</w:t>
            </w:r>
            <w:r w:rsidR="009A4858" w:rsidRPr="0054768F">
              <w:rPr>
                <w:spacing w:val="-2"/>
                <w:sz w:val="16"/>
                <w:szCs w:val="16"/>
                <w:lang w:val="fr-CH"/>
              </w:rPr>
              <w:t>’</w:t>
            </w:r>
            <w:r w:rsidRPr="0054768F">
              <w:rPr>
                <w:spacing w:val="-2"/>
                <w:sz w:val="16"/>
                <w:szCs w:val="16"/>
                <w:lang w:val="fr-CH"/>
              </w:rPr>
              <w:t>action pour le développement, en ce qui concerne la mise en œuvre de ces recommandations, devrait être renforcé.</w:t>
            </w:r>
          </w:p>
          <w:p w:rsidR="00480E94" w:rsidRPr="0054768F" w:rsidRDefault="00480E94" w:rsidP="001F3BB1">
            <w:pPr>
              <w:ind w:right="545"/>
              <w:rPr>
                <w:spacing w:val="-2"/>
                <w:sz w:val="16"/>
                <w:szCs w:val="16"/>
                <w:lang w:val="fr-CH"/>
              </w:rPr>
            </w:pPr>
            <w:r w:rsidRPr="0054768F">
              <w:rPr>
                <w:spacing w:val="-2"/>
                <w:sz w:val="16"/>
                <w:szCs w:val="16"/>
                <w:highlight w:val="green"/>
                <w:lang w:val="fr-CH"/>
              </w:rPr>
              <w:t>4</w:t>
            </w:r>
            <w:r w:rsidRPr="0054768F">
              <w:rPr>
                <w:spacing w:val="-2"/>
                <w:sz w:val="16"/>
                <w:szCs w:val="16"/>
                <w:lang w:val="fr-CH"/>
              </w:rPr>
              <w:t xml:space="preserve"> –</w:t>
            </w:r>
            <w:r w:rsidR="009A4858" w:rsidRPr="0054768F">
              <w:rPr>
                <w:spacing w:val="-2"/>
                <w:sz w:val="16"/>
                <w:szCs w:val="16"/>
                <w:lang w:val="fr-CH"/>
              </w:rPr>
              <w:t xml:space="preserve"> Le CDI</w:t>
            </w:r>
            <w:r w:rsidRPr="0054768F">
              <w:rPr>
                <w:spacing w:val="-2"/>
                <w:sz w:val="16"/>
                <w:szCs w:val="16"/>
                <w:lang w:val="fr-CH"/>
              </w:rPr>
              <w:t>P devrait s</w:t>
            </w:r>
            <w:r w:rsidR="009A4858" w:rsidRPr="0054768F">
              <w:rPr>
                <w:spacing w:val="-2"/>
                <w:sz w:val="16"/>
                <w:szCs w:val="16"/>
                <w:lang w:val="fr-CH"/>
              </w:rPr>
              <w:t>’</w:t>
            </w:r>
            <w:r w:rsidRPr="0054768F">
              <w:rPr>
                <w:spacing w:val="-2"/>
                <w:sz w:val="16"/>
                <w:szCs w:val="16"/>
                <w:lang w:val="fr-CH"/>
              </w:rPr>
              <w:t>interroger quant à la meilleure manière de répondre, dans le cadre de la mise en œuvre des recommandations du Plan d</w:t>
            </w:r>
            <w:r w:rsidR="009A4858" w:rsidRPr="0054768F">
              <w:rPr>
                <w:spacing w:val="-2"/>
                <w:sz w:val="16"/>
                <w:szCs w:val="16"/>
                <w:lang w:val="fr-CH"/>
              </w:rPr>
              <w:t>’</w:t>
            </w:r>
            <w:r w:rsidRPr="0054768F">
              <w:rPr>
                <w:spacing w:val="-2"/>
                <w:sz w:val="16"/>
                <w:szCs w:val="16"/>
                <w:lang w:val="fr-CH"/>
              </w:rPr>
              <w:t xml:space="preserve">action pour le développement, </w:t>
            </w:r>
            <w:r w:rsidRPr="0054768F">
              <w:rPr>
                <w:spacing w:val="-2"/>
                <w:sz w:val="16"/>
                <w:szCs w:val="16"/>
                <w:highlight w:val="green"/>
                <w:lang w:val="fr-CH"/>
              </w:rPr>
              <w:t>à l</w:t>
            </w:r>
            <w:r w:rsidR="009A4858" w:rsidRPr="0054768F">
              <w:rPr>
                <w:spacing w:val="-2"/>
                <w:sz w:val="16"/>
                <w:szCs w:val="16"/>
                <w:highlight w:val="green"/>
                <w:lang w:val="fr-CH"/>
              </w:rPr>
              <w:t>’</w:t>
            </w:r>
            <w:r w:rsidRPr="0054768F">
              <w:rPr>
                <w:spacing w:val="-2"/>
                <w:sz w:val="16"/>
                <w:szCs w:val="16"/>
                <w:highlight w:val="green"/>
                <w:lang w:val="fr-CH"/>
              </w:rPr>
              <w:t>évolution des circonstances ainsi qu</w:t>
            </w:r>
            <w:r w:rsidR="009A4858" w:rsidRPr="0054768F">
              <w:rPr>
                <w:spacing w:val="-2"/>
                <w:sz w:val="16"/>
                <w:szCs w:val="16"/>
                <w:highlight w:val="green"/>
                <w:lang w:val="fr-CH"/>
              </w:rPr>
              <w:t>’</w:t>
            </w:r>
            <w:r w:rsidRPr="0054768F">
              <w:rPr>
                <w:spacing w:val="-2"/>
                <w:sz w:val="16"/>
                <w:szCs w:val="16"/>
                <w:highlight w:val="green"/>
                <w:lang w:val="fr-CH"/>
              </w:rPr>
              <w:t>aux nouveaux enjeux du développement auxquels est confronté le système de la propriété intellectuelle</w:t>
            </w:r>
            <w:r w:rsidRPr="0054768F">
              <w:rPr>
                <w:spacing w:val="-2"/>
                <w:sz w:val="16"/>
                <w:szCs w:val="16"/>
                <w:lang w:val="fr-CH"/>
              </w:rPr>
              <w:t>.</w:t>
            </w:r>
            <w:r w:rsidR="00ED446F" w:rsidRPr="0054768F">
              <w:rPr>
                <w:spacing w:val="-2"/>
                <w:sz w:val="16"/>
                <w:szCs w:val="16"/>
                <w:lang w:val="fr-CH"/>
              </w:rPr>
              <w:t xml:space="preserve">  </w:t>
            </w:r>
            <w:r w:rsidRPr="0054768F">
              <w:rPr>
                <w:spacing w:val="-2"/>
                <w:sz w:val="16"/>
                <w:szCs w:val="16"/>
                <w:lang w:val="fr-CH"/>
              </w:rPr>
              <w:t>Cela devrait s</w:t>
            </w:r>
            <w:r w:rsidR="009A4858" w:rsidRPr="0054768F">
              <w:rPr>
                <w:spacing w:val="-2"/>
                <w:sz w:val="16"/>
                <w:szCs w:val="16"/>
                <w:lang w:val="fr-CH"/>
              </w:rPr>
              <w:t>’</w:t>
            </w:r>
            <w:r w:rsidRPr="0054768F">
              <w:rPr>
                <w:spacing w:val="-2"/>
                <w:sz w:val="16"/>
                <w:szCs w:val="16"/>
                <w:lang w:val="fr-CH"/>
              </w:rPr>
              <w:t>accompagner d</w:t>
            </w:r>
            <w:r w:rsidR="009A4858" w:rsidRPr="0054768F">
              <w:rPr>
                <w:spacing w:val="-2"/>
                <w:sz w:val="16"/>
                <w:szCs w:val="16"/>
                <w:lang w:val="fr-CH"/>
              </w:rPr>
              <w:t>’</w:t>
            </w:r>
            <w:r w:rsidRPr="0054768F">
              <w:rPr>
                <w:spacing w:val="-2"/>
                <w:sz w:val="16"/>
                <w:szCs w:val="16"/>
                <w:lang w:val="fr-CH"/>
              </w:rPr>
              <w:t xml:space="preserve">une association plus étroite avec les </w:t>
            </w:r>
            <w:r w:rsidRPr="0054768F">
              <w:rPr>
                <w:spacing w:val="-2"/>
                <w:sz w:val="16"/>
                <w:szCs w:val="16"/>
                <w:highlight w:val="green"/>
                <w:lang w:val="fr-CH"/>
              </w:rPr>
              <w:t xml:space="preserve">autres organismes de développement du système des </w:t>
            </w:r>
            <w:r w:rsidR="009A4858" w:rsidRPr="0054768F">
              <w:rPr>
                <w:spacing w:val="-2"/>
                <w:sz w:val="16"/>
                <w:szCs w:val="16"/>
                <w:highlight w:val="green"/>
                <w:lang w:val="fr-CH"/>
              </w:rPr>
              <w:t>Nations Unies</w:t>
            </w:r>
            <w:r w:rsidRPr="0054768F">
              <w:rPr>
                <w:spacing w:val="-2"/>
                <w:sz w:val="16"/>
                <w:szCs w:val="16"/>
                <w:lang w:val="fr-CH"/>
              </w:rPr>
              <w:t>, afin de pouvoir bénéficier de leurs connaissances en matière de mise en œuvre des recommandations du Plan d</w:t>
            </w:r>
            <w:r w:rsidR="009A4858" w:rsidRPr="0054768F">
              <w:rPr>
                <w:spacing w:val="-2"/>
                <w:sz w:val="16"/>
                <w:szCs w:val="16"/>
                <w:lang w:val="fr-CH"/>
              </w:rPr>
              <w:t>’</w:t>
            </w:r>
            <w:r w:rsidRPr="0054768F">
              <w:rPr>
                <w:spacing w:val="-2"/>
                <w:sz w:val="16"/>
                <w:szCs w:val="16"/>
                <w:lang w:val="fr-CH"/>
              </w:rPr>
              <w:t>action pour le développement et faire progresser celle des objectifs de développement durable.</w:t>
            </w:r>
          </w:p>
          <w:p w:rsidR="00480E94" w:rsidRPr="0054768F" w:rsidRDefault="00480E94" w:rsidP="001F3BB1">
            <w:pPr>
              <w:ind w:right="455"/>
              <w:rPr>
                <w:spacing w:val="-2"/>
                <w:sz w:val="16"/>
                <w:szCs w:val="16"/>
                <w:lang w:val="fr-CH"/>
              </w:rPr>
            </w:pPr>
            <w:r w:rsidRPr="0054768F">
              <w:rPr>
                <w:spacing w:val="-2"/>
                <w:sz w:val="16"/>
                <w:szCs w:val="16"/>
                <w:highlight w:val="blue"/>
                <w:lang w:val="fr-CH"/>
              </w:rPr>
              <w:t>6</w:t>
            </w:r>
            <w:r w:rsidRPr="0054768F">
              <w:rPr>
                <w:spacing w:val="-2"/>
                <w:sz w:val="16"/>
                <w:szCs w:val="16"/>
                <w:lang w:val="fr-CH"/>
              </w:rPr>
              <w:t xml:space="preserve"> – Les États membres sont </w:t>
            </w:r>
            <w:r w:rsidRPr="0054768F">
              <w:rPr>
                <w:spacing w:val="-2"/>
                <w:sz w:val="16"/>
                <w:szCs w:val="16"/>
                <w:highlight w:val="blue"/>
                <w:lang w:val="fr-CH"/>
              </w:rPr>
              <w:t>encouragés à renforcer la coordination entre les missions basées à Genève et leurs offices de propriété intellectuelle</w:t>
            </w:r>
            <w:r w:rsidRPr="0054768F">
              <w:rPr>
                <w:spacing w:val="-2"/>
                <w:sz w:val="16"/>
                <w:szCs w:val="16"/>
                <w:lang w:val="fr-CH"/>
              </w:rPr>
              <w:t xml:space="preserve"> et les autorités en de leurs capitales, de manière à permettre une plus grande concertation dans la manière d</w:t>
            </w:r>
            <w:r w:rsidR="009A4858" w:rsidRPr="0054768F">
              <w:rPr>
                <w:spacing w:val="-2"/>
                <w:sz w:val="16"/>
                <w:szCs w:val="16"/>
                <w:lang w:val="fr-CH"/>
              </w:rPr>
              <w:t>’</w:t>
            </w:r>
            <w:r w:rsidRPr="0054768F">
              <w:rPr>
                <w:spacing w:val="-2"/>
                <w:sz w:val="16"/>
                <w:szCs w:val="16"/>
                <w:lang w:val="fr-CH"/>
              </w:rPr>
              <w:t>aborder les débats</w:t>
            </w:r>
            <w:r w:rsidR="009A4858" w:rsidRPr="0054768F">
              <w:rPr>
                <w:spacing w:val="-2"/>
                <w:sz w:val="16"/>
                <w:szCs w:val="16"/>
                <w:lang w:val="fr-CH"/>
              </w:rPr>
              <w:t xml:space="preserve"> du CDI</w:t>
            </w:r>
            <w:r w:rsidRPr="0054768F">
              <w:rPr>
                <w:spacing w:val="-2"/>
                <w:sz w:val="16"/>
                <w:szCs w:val="16"/>
                <w:lang w:val="fr-CH"/>
              </w:rPr>
              <w:t>P, ainsi qu</w:t>
            </w:r>
            <w:r w:rsidR="009A4858" w:rsidRPr="0054768F">
              <w:rPr>
                <w:spacing w:val="-2"/>
                <w:sz w:val="16"/>
                <w:szCs w:val="16"/>
                <w:lang w:val="fr-CH"/>
              </w:rPr>
              <w:t>’</w:t>
            </w:r>
            <w:r w:rsidRPr="0054768F">
              <w:rPr>
                <w:spacing w:val="-2"/>
                <w:sz w:val="16"/>
                <w:szCs w:val="16"/>
                <w:lang w:val="fr-CH"/>
              </w:rPr>
              <w:t>une meilleure sensibilisation aux avantages du Plan d</w:t>
            </w:r>
            <w:r w:rsidR="009A4858" w:rsidRPr="0054768F">
              <w:rPr>
                <w:spacing w:val="-2"/>
                <w:sz w:val="16"/>
                <w:szCs w:val="16"/>
                <w:lang w:val="fr-CH"/>
              </w:rPr>
              <w:t>’</w:t>
            </w:r>
            <w:r w:rsidRPr="0054768F">
              <w:rPr>
                <w:spacing w:val="-2"/>
                <w:sz w:val="16"/>
                <w:szCs w:val="16"/>
                <w:lang w:val="fr-CH"/>
              </w:rPr>
              <w:t xml:space="preserve">action pour le développement.  La participation </w:t>
            </w:r>
            <w:r w:rsidRPr="0054768F">
              <w:rPr>
                <w:spacing w:val="-2"/>
                <w:sz w:val="16"/>
                <w:szCs w:val="16"/>
                <w:highlight w:val="blue"/>
                <w:lang w:val="fr-CH"/>
              </w:rPr>
              <w:t>d</w:t>
            </w:r>
            <w:r w:rsidR="009A4858" w:rsidRPr="0054768F">
              <w:rPr>
                <w:spacing w:val="-2"/>
                <w:sz w:val="16"/>
                <w:szCs w:val="16"/>
                <w:highlight w:val="blue"/>
                <w:lang w:val="fr-CH"/>
              </w:rPr>
              <w:t>’</w:t>
            </w:r>
            <w:r w:rsidRPr="0054768F">
              <w:rPr>
                <w:spacing w:val="-2"/>
                <w:sz w:val="16"/>
                <w:szCs w:val="16"/>
                <w:highlight w:val="blue"/>
                <w:lang w:val="fr-CH"/>
              </w:rPr>
              <w:t>experts nationaux</w:t>
            </w:r>
            <w:r w:rsidRPr="0054768F">
              <w:rPr>
                <w:spacing w:val="-2"/>
                <w:sz w:val="16"/>
                <w:szCs w:val="16"/>
                <w:lang w:val="fr-CH"/>
              </w:rPr>
              <w:t xml:space="preserve"> aux travaux du comité devrait être accrue.</w:t>
            </w:r>
            <w:r w:rsidR="00ED446F" w:rsidRPr="0054768F">
              <w:rPr>
                <w:spacing w:val="-2"/>
                <w:sz w:val="16"/>
                <w:szCs w:val="16"/>
                <w:lang w:val="fr-CH"/>
              </w:rPr>
              <w:t xml:space="preserve"> </w:t>
            </w:r>
            <w:r w:rsidR="009A4858" w:rsidRPr="0054768F">
              <w:rPr>
                <w:spacing w:val="-2"/>
                <w:sz w:val="16"/>
                <w:szCs w:val="16"/>
                <w:lang w:val="fr-CH"/>
              </w:rPr>
              <w:t xml:space="preserve"> Le CDI</w:t>
            </w:r>
            <w:r w:rsidRPr="0054768F">
              <w:rPr>
                <w:spacing w:val="-2"/>
                <w:sz w:val="16"/>
                <w:szCs w:val="16"/>
                <w:lang w:val="fr-CH"/>
              </w:rPr>
              <w:t>P devrait examiner les modalités de l</w:t>
            </w:r>
            <w:r w:rsidR="009A4858" w:rsidRPr="0054768F">
              <w:rPr>
                <w:spacing w:val="-2"/>
                <w:sz w:val="16"/>
                <w:szCs w:val="16"/>
                <w:lang w:val="fr-CH"/>
              </w:rPr>
              <w:t>’</w:t>
            </w:r>
            <w:r w:rsidRPr="0054768F">
              <w:rPr>
                <w:spacing w:val="-2"/>
                <w:sz w:val="16"/>
                <w:szCs w:val="16"/>
                <w:lang w:val="fr-CH"/>
              </w:rPr>
              <w:t>établissement de rapports sur les travaux effectués au niveau national en ce qui concerne la mise en œuvre des recommandations du Plan d</w:t>
            </w:r>
            <w:r w:rsidR="009A4858" w:rsidRPr="0054768F">
              <w:rPr>
                <w:spacing w:val="-2"/>
                <w:sz w:val="16"/>
                <w:szCs w:val="16"/>
                <w:lang w:val="fr-CH"/>
              </w:rPr>
              <w:t>’</w:t>
            </w:r>
            <w:r w:rsidRPr="0054768F">
              <w:rPr>
                <w:spacing w:val="-2"/>
                <w:sz w:val="16"/>
                <w:szCs w:val="16"/>
                <w:lang w:val="fr-CH"/>
              </w:rPr>
              <w:t>action pour le développement.</w:t>
            </w:r>
          </w:p>
          <w:p w:rsidR="00480E94" w:rsidRPr="0054768F" w:rsidRDefault="00480E94" w:rsidP="001F3BB1">
            <w:pPr>
              <w:ind w:right="455"/>
              <w:rPr>
                <w:spacing w:val="-2"/>
                <w:sz w:val="16"/>
                <w:szCs w:val="16"/>
                <w:lang w:val="fr-CH"/>
              </w:rPr>
            </w:pPr>
            <w:r w:rsidRPr="0054768F">
              <w:rPr>
                <w:spacing w:val="-2"/>
                <w:sz w:val="16"/>
                <w:szCs w:val="16"/>
                <w:highlight w:val="darkGreen"/>
                <w:lang w:val="fr-CH"/>
              </w:rPr>
              <w:t>7</w:t>
            </w:r>
            <w:r w:rsidRPr="0054768F">
              <w:rPr>
                <w:spacing w:val="-2"/>
                <w:sz w:val="16"/>
                <w:szCs w:val="16"/>
                <w:lang w:val="fr-CH"/>
              </w:rPr>
              <w:t xml:space="preserve"> – Les États membres sont encouragés</w:t>
            </w:r>
            <w:r w:rsidR="00645F3C" w:rsidRPr="0054768F">
              <w:rPr>
                <w:spacing w:val="-2"/>
                <w:sz w:val="16"/>
                <w:szCs w:val="16"/>
                <w:lang w:val="fr-CH"/>
              </w:rPr>
              <w:t xml:space="preserve"> </w:t>
            </w:r>
            <w:r w:rsidRPr="0054768F">
              <w:rPr>
                <w:spacing w:val="-2"/>
                <w:sz w:val="16"/>
                <w:szCs w:val="16"/>
                <w:lang w:val="fr-CH"/>
              </w:rPr>
              <w:t xml:space="preserve">à soumettre de </w:t>
            </w:r>
            <w:r w:rsidRPr="0054768F">
              <w:rPr>
                <w:spacing w:val="-2"/>
                <w:sz w:val="16"/>
                <w:szCs w:val="16"/>
                <w:highlight w:val="darkGreen"/>
                <w:lang w:val="fr-CH"/>
              </w:rPr>
              <w:t>nouvelles propositions de projets</w:t>
            </w:r>
            <w:r w:rsidRPr="0054768F">
              <w:rPr>
                <w:spacing w:val="-2"/>
                <w:sz w:val="16"/>
                <w:szCs w:val="16"/>
                <w:lang w:val="fr-CH"/>
              </w:rPr>
              <w:t xml:space="preserve"> à l</w:t>
            </w:r>
            <w:r w:rsidR="009A4858" w:rsidRPr="0054768F">
              <w:rPr>
                <w:spacing w:val="-2"/>
                <w:sz w:val="16"/>
                <w:szCs w:val="16"/>
                <w:lang w:val="fr-CH"/>
              </w:rPr>
              <w:t>’</w:t>
            </w:r>
            <w:r w:rsidRPr="0054768F">
              <w:rPr>
                <w:spacing w:val="-2"/>
                <w:sz w:val="16"/>
                <w:szCs w:val="16"/>
                <w:lang w:val="fr-CH"/>
              </w:rPr>
              <w:t>examen</w:t>
            </w:r>
            <w:r w:rsidR="009A4858" w:rsidRPr="0054768F">
              <w:rPr>
                <w:spacing w:val="-2"/>
                <w:sz w:val="16"/>
                <w:szCs w:val="16"/>
                <w:lang w:val="fr-CH"/>
              </w:rPr>
              <w:t xml:space="preserve"> du CDI</w:t>
            </w:r>
            <w:r w:rsidRPr="0054768F">
              <w:rPr>
                <w:spacing w:val="-2"/>
                <w:sz w:val="16"/>
                <w:szCs w:val="16"/>
                <w:lang w:val="fr-CH"/>
              </w:rPr>
              <w:t>P.  Ils devraient envisager la mise en place d</w:t>
            </w:r>
            <w:r w:rsidR="009A4858" w:rsidRPr="0054768F">
              <w:rPr>
                <w:spacing w:val="-2"/>
                <w:sz w:val="16"/>
                <w:szCs w:val="16"/>
                <w:lang w:val="fr-CH"/>
              </w:rPr>
              <w:t>’</w:t>
            </w:r>
            <w:r w:rsidRPr="0054768F">
              <w:rPr>
                <w:spacing w:val="-2"/>
                <w:sz w:val="16"/>
                <w:szCs w:val="16"/>
                <w:lang w:val="fr-CH"/>
              </w:rPr>
              <w:t xml:space="preserve">un </w:t>
            </w:r>
            <w:r w:rsidRPr="0054768F">
              <w:rPr>
                <w:spacing w:val="-2"/>
                <w:sz w:val="16"/>
                <w:szCs w:val="16"/>
                <w:highlight w:val="darkGreen"/>
                <w:lang w:val="fr-CH"/>
              </w:rPr>
              <w:t>mécanisme d</w:t>
            </w:r>
            <w:r w:rsidR="009A4858" w:rsidRPr="0054768F">
              <w:rPr>
                <w:spacing w:val="-2"/>
                <w:sz w:val="16"/>
                <w:szCs w:val="16"/>
                <w:highlight w:val="darkGreen"/>
                <w:lang w:val="fr-CH"/>
              </w:rPr>
              <w:t>’</w:t>
            </w:r>
            <w:r w:rsidRPr="0054768F">
              <w:rPr>
                <w:spacing w:val="-2"/>
                <w:sz w:val="16"/>
                <w:szCs w:val="16"/>
                <w:highlight w:val="darkGreen"/>
                <w:lang w:val="fr-CH"/>
              </w:rPr>
              <w:t>établissement de rapports</w:t>
            </w:r>
            <w:r w:rsidRPr="0054768F">
              <w:rPr>
                <w:spacing w:val="-2"/>
                <w:sz w:val="16"/>
                <w:szCs w:val="16"/>
                <w:lang w:val="fr-CH"/>
              </w:rPr>
              <w:t xml:space="preserve"> sur les pratiques recommandées et les enseignements tirés de projets et activités mis en </w:t>
            </w:r>
            <w:r w:rsidR="00645F3C" w:rsidRPr="0054768F">
              <w:rPr>
                <w:spacing w:val="-2"/>
                <w:sz w:val="16"/>
                <w:szCs w:val="16"/>
                <w:lang w:val="fr-CH"/>
              </w:rPr>
              <w:t>œuvre</w:t>
            </w:r>
            <w:r w:rsidRPr="0054768F">
              <w:rPr>
                <w:spacing w:val="-2"/>
                <w:sz w:val="16"/>
                <w:szCs w:val="16"/>
                <w:lang w:val="fr-CH"/>
              </w:rPr>
              <w:t xml:space="preserve"> avec succès dans le cadre du Plan d</w:t>
            </w:r>
            <w:r w:rsidR="009A4858" w:rsidRPr="0054768F">
              <w:rPr>
                <w:spacing w:val="-2"/>
                <w:sz w:val="16"/>
                <w:szCs w:val="16"/>
                <w:lang w:val="fr-CH"/>
              </w:rPr>
              <w:t>’</w:t>
            </w:r>
            <w:r w:rsidRPr="0054768F">
              <w:rPr>
                <w:spacing w:val="-2"/>
                <w:sz w:val="16"/>
                <w:szCs w:val="16"/>
                <w:lang w:val="fr-CH"/>
              </w:rPr>
              <w:t>action pour le développement.</w:t>
            </w:r>
            <w:r w:rsidR="00ED446F" w:rsidRPr="0054768F">
              <w:rPr>
                <w:spacing w:val="-2"/>
                <w:sz w:val="16"/>
                <w:szCs w:val="16"/>
                <w:lang w:val="fr-CH"/>
              </w:rPr>
              <w:t xml:space="preserve">  </w:t>
            </w:r>
            <w:r w:rsidRPr="0054768F">
              <w:rPr>
                <w:spacing w:val="-2"/>
                <w:sz w:val="16"/>
                <w:szCs w:val="16"/>
                <w:lang w:val="fr-CH"/>
              </w:rPr>
              <w:t xml:space="preserve">Ce mécanisme devrait prévoir une vérification périodique de la durabilité des projets achevés ou intégrés, ainsi que de leurs </w:t>
            </w:r>
            <w:r w:rsidRPr="0054768F">
              <w:rPr>
                <w:spacing w:val="-2"/>
                <w:sz w:val="16"/>
                <w:szCs w:val="16"/>
                <w:highlight w:val="darkGreen"/>
                <w:lang w:val="fr-CH"/>
              </w:rPr>
              <w:t>incidences</w:t>
            </w:r>
            <w:r w:rsidRPr="0054768F">
              <w:rPr>
                <w:spacing w:val="-2"/>
                <w:sz w:val="16"/>
                <w:szCs w:val="16"/>
                <w:lang w:val="fr-CH"/>
              </w:rPr>
              <w:t xml:space="preserve"> sur les bénéficiaires.</w:t>
            </w:r>
            <w:r w:rsidR="00ED446F" w:rsidRPr="0054768F">
              <w:rPr>
                <w:spacing w:val="-2"/>
                <w:sz w:val="16"/>
                <w:szCs w:val="16"/>
                <w:lang w:val="fr-CH"/>
              </w:rPr>
              <w:t xml:space="preserve">  </w:t>
            </w:r>
            <w:r w:rsidRPr="0054768F">
              <w:rPr>
                <w:spacing w:val="-2"/>
                <w:sz w:val="16"/>
                <w:szCs w:val="16"/>
                <w:lang w:val="fr-CH"/>
              </w:rPr>
              <w:t>L</w:t>
            </w:r>
            <w:r w:rsidR="009A4858" w:rsidRPr="0054768F">
              <w:rPr>
                <w:spacing w:val="-2"/>
                <w:sz w:val="16"/>
                <w:szCs w:val="16"/>
                <w:lang w:val="fr-CH"/>
              </w:rPr>
              <w:t>’</w:t>
            </w:r>
            <w:r w:rsidRPr="0054768F">
              <w:rPr>
                <w:spacing w:val="-2"/>
                <w:sz w:val="16"/>
                <w:szCs w:val="16"/>
                <w:lang w:val="fr-CH"/>
              </w:rPr>
              <w:t xml:space="preserve">OMPI devrait créer une </w:t>
            </w:r>
            <w:r w:rsidRPr="0054768F">
              <w:rPr>
                <w:spacing w:val="-2"/>
                <w:sz w:val="16"/>
                <w:szCs w:val="16"/>
                <w:highlight w:val="darkGreen"/>
                <w:lang w:val="fr-CH"/>
              </w:rPr>
              <w:t>base de données réunissant les bonnes pratiques</w:t>
            </w:r>
            <w:r w:rsidRPr="0054768F">
              <w:rPr>
                <w:spacing w:val="-2"/>
                <w:sz w:val="16"/>
                <w:szCs w:val="16"/>
                <w:lang w:val="fr-CH"/>
              </w:rPr>
              <w:t xml:space="preserve"> et les leçons apprises au cours de la mise en œuvre de projets du Plan d</w:t>
            </w:r>
            <w:r w:rsidR="009A4858" w:rsidRPr="0054768F">
              <w:rPr>
                <w:spacing w:val="-2"/>
                <w:sz w:val="16"/>
                <w:szCs w:val="16"/>
                <w:lang w:val="fr-CH"/>
              </w:rPr>
              <w:t>’</w:t>
            </w:r>
            <w:r w:rsidRPr="0054768F">
              <w:rPr>
                <w:spacing w:val="-2"/>
                <w:sz w:val="16"/>
                <w:szCs w:val="16"/>
                <w:lang w:val="fr-CH"/>
              </w:rPr>
              <w:t>action pour le développement.</w:t>
            </w:r>
          </w:p>
          <w:p w:rsidR="00480E94" w:rsidRPr="0054768F" w:rsidRDefault="00480E94" w:rsidP="001F3BB1">
            <w:pPr>
              <w:ind w:right="455"/>
              <w:rPr>
                <w:spacing w:val="-2"/>
                <w:sz w:val="16"/>
                <w:szCs w:val="16"/>
                <w:lang w:val="fr-CH"/>
              </w:rPr>
            </w:pPr>
            <w:r w:rsidRPr="0054768F">
              <w:rPr>
                <w:spacing w:val="-2"/>
                <w:sz w:val="16"/>
                <w:szCs w:val="16"/>
                <w:highlight w:val="darkGray"/>
                <w:lang w:val="fr-CH"/>
              </w:rPr>
              <w:t>8</w:t>
            </w:r>
            <w:r w:rsidRPr="0054768F">
              <w:rPr>
                <w:spacing w:val="-2"/>
                <w:sz w:val="16"/>
                <w:szCs w:val="16"/>
                <w:lang w:val="fr-CH"/>
              </w:rPr>
              <w:t xml:space="preserve"> – Les travaux futurs relatifs à l</w:t>
            </w:r>
            <w:r w:rsidR="009A4858" w:rsidRPr="0054768F">
              <w:rPr>
                <w:spacing w:val="-2"/>
                <w:sz w:val="16"/>
                <w:szCs w:val="16"/>
                <w:lang w:val="fr-CH"/>
              </w:rPr>
              <w:t>’</w:t>
            </w:r>
            <w:r w:rsidRPr="0054768F">
              <w:rPr>
                <w:spacing w:val="-2"/>
                <w:sz w:val="16"/>
                <w:szCs w:val="16"/>
                <w:lang w:val="fr-CH"/>
              </w:rPr>
              <w:t xml:space="preserve">élaboration de nouveaux projets devraient être </w:t>
            </w:r>
            <w:r w:rsidRPr="0054768F">
              <w:rPr>
                <w:spacing w:val="-2"/>
                <w:sz w:val="16"/>
                <w:szCs w:val="16"/>
                <w:highlight w:val="darkGray"/>
                <w:lang w:val="fr-CH"/>
              </w:rPr>
              <w:t>modulaires et adaptables</w:t>
            </w:r>
            <w:r w:rsidRPr="0054768F">
              <w:rPr>
                <w:spacing w:val="-2"/>
                <w:sz w:val="16"/>
                <w:szCs w:val="16"/>
                <w:lang w:val="fr-CH"/>
              </w:rPr>
              <w:t>, et devraient prendre en compte la capacité d</w:t>
            </w:r>
            <w:r w:rsidR="009A4858" w:rsidRPr="0054768F">
              <w:rPr>
                <w:spacing w:val="-2"/>
                <w:sz w:val="16"/>
                <w:szCs w:val="16"/>
                <w:lang w:val="fr-CH"/>
              </w:rPr>
              <w:t>’</w:t>
            </w:r>
            <w:r w:rsidRPr="0054768F">
              <w:rPr>
                <w:spacing w:val="-2"/>
                <w:sz w:val="16"/>
                <w:szCs w:val="16"/>
                <w:lang w:val="fr-CH"/>
              </w:rPr>
              <w:t>absorption et le niveau de compétence des bénéficiaires.</w:t>
            </w:r>
            <w:r w:rsidR="00ED446F" w:rsidRPr="0054768F">
              <w:rPr>
                <w:spacing w:val="-2"/>
                <w:sz w:val="16"/>
                <w:szCs w:val="16"/>
                <w:lang w:val="fr-CH"/>
              </w:rPr>
              <w:t xml:space="preserve">  </w:t>
            </w:r>
            <w:r w:rsidRPr="0054768F">
              <w:rPr>
                <w:spacing w:val="-2"/>
                <w:sz w:val="16"/>
                <w:szCs w:val="16"/>
                <w:lang w:val="fr-CH"/>
              </w:rPr>
              <w:t>En ce qui concerne la mise en œuvre de projets au niveau national, l</w:t>
            </w:r>
            <w:r w:rsidR="009A4858" w:rsidRPr="0054768F">
              <w:rPr>
                <w:spacing w:val="-2"/>
                <w:sz w:val="16"/>
                <w:szCs w:val="16"/>
                <w:lang w:val="fr-CH"/>
              </w:rPr>
              <w:t>’</w:t>
            </w:r>
            <w:r w:rsidRPr="0054768F">
              <w:rPr>
                <w:spacing w:val="-2"/>
                <w:sz w:val="16"/>
                <w:szCs w:val="16"/>
                <w:lang w:val="fr-CH"/>
              </w:rPr>
              <w:t xml:space="preserve">OMPI devrait étudier la possibilité de nouer des partenariats étroits avec des institutions des </w:t>
            </w:r>
            <w:r w:rsidR="009A4858" w:rsidRPr="0054768F">
              <w:rPr>
                <w:spacing w:val="-2"/>
                <w:sz w:val="16"/>
                <w:szCs w:val="16"/>
                <w:lang w:val="fr-CH"/>
              </w:rPr>
              <w:t>Nations Unies</w:t>
            </w:r>
            <w:r w:rsidRPr="0054768F">
              <w:rPr>
                <w:spacing w:val="-2"/>
                <w:sz w:val="16"/>
                <w:szCs w:val="16"/>
                <w:lang w:val="fr-CH"/>
              </w:rPr>
              <w:t xml:space="preserve"> ainsi que d</w:t>
            </w:r>
            <w:r w:rsidR="009A4858" w:rsidRPr="0054768F">
              <w:rPr>
                <w:spacing w:val="-2"/>
                <w:sz w:val="16"/>
                <w:szCs w:val="16"/>
                <w:lang w:val="fr-CH"/>
              </w:rPr>
              <w:t>’</w:t>
            </w:r>
            <w:r w:rsidRPr="0054768F">
              <w:rPr>
                <w:spacing w:val="-2"/>
                <w:sz w:val="16"/>
                <w:szCs w:val="16"/>
                <w:lang w:val="fr-CH"/>
              </w:rPr>
              <w:t>autres organisations, afin d</w:t>
            </w:r>
            <w:r w:rsidR="009A4858" w:rsidRPr="0054768F">
              <w:rPr>
                <w:spacing w:val="-2"/>
                <w:sz w:val="16"/>
                <w:szCs w:val="16"/>
                <w:lang w:val="fr-CH"/>
              </w:rPr>
              <w:t>’</w:t>
            </w:r>
            <w:r w:rsidRPr="0054768F">
              <w:rPr>
                <w:spacing w:val="-2"/>
                <w:sz w:val="16"/>
                <w:szCs w:val="16"/>
                <w:lang w:val="fr-CH"/>
              </w:rPr>
              <w:t>en améliorer l</w:t>
            </w:r>
            <w:r w:rsidR="009A4858" w:rsidRPr="0054768F">
              <w:rPr>
                <w:spacing w:val="-2"/>
                <w:sz w:val="16"/>
                <w:szCs w:val="16"/>
                <w:lang w:val="fr-CH"/>
              </w:rPr>
              <w:t>’</w:t>
            </w:r>
            <w:r w:rsidRPr="0054768F">
              <w:rPr>
                <w:spacing w:val="-2"/>
                <w:sz w:val="16"/>
                <w:szCs w:val="16"/>
                <w:lang w:val="fr-CH"/>
              </w:rPr>
              <w:t>efficacité, l</w:t>
            </w:r>
            <w:r w:rsidR="009A4858" w:rsidRPr="0054768F">
              <w:rPr>
                <w:spacing w:val="-2"/>
                <w:sz w:val="16"/>
                <w:szCs w:val="16"/>
                <w:lang w:val="fr-CH"/>
              </w:rPr>
              <w:t>’</w:t>
            </w:r>
            <w:r w:rsidRPr="0054768F">
              <w:rPr>
                <w:spacing w:val="-2"/>
                <w:sz w:val="16"/>
                <w:szCs w:val="16"/>
                <w:lang w:val="fr-CH"/>
              </w:rPr>
              <w:t>exhaustivité et la durabilité.</w:t>
            </w:r>
          </w:p>
          <w:p w:rsidR="00480E94" w:rsidRPr="0054768F" w:rsidRDefault="00480E94" w:rsidP="001F3BB1">
            <w:pPr>
              <w:ind w:left="-90" w:right="455"/>
              <w:rPr>
                <w:spacing w:val="-2"/>
                <w:sz w:val="16"/>
                <w:szCs w:val="16"/>
                <w:lang w:val="fr-CH"/>
              </w:rPr>
            </w:pPr>
            <w:r w:rsidRPr="0054768F">
              <w:rPr>
                <w:spacing w:val="-2"/>
                <w:sz w:val="16"/>
                <w:szCs w:val="16"/>
                <w:highlight w:val="red"/>
                <w:lang w:val="fr-CH"/>
              </w:rPr>
              <w:t>9</w:t>
            </w:r>
            <w:r w:rsidRPr="0054768F">
              <w:rPr>
                <w:spacing w:val="-2"/>
                <w:sz w:val="16"/>
                <w:szCs w:val="16"/>
                <w:lang w:val="fr-CH"/>
              </w:rPr>
              <w:t xml:space="preserve"> – L</w:t>
            </w:r>
            <w:r w:rsidR="009A4858" w:rsidRPr="0054768F">
              <w:rPr>
                <w:spacing w:val="-2"/>
                <w:sz w:val="16"/>
                <w:szCs w:val="16"/>
                <w:lang w:val="fr-CH"/>
              </w:rPr>
              <w:t>’</w:t>
            </w:r>
            <w:r w:rsidRPr="0054768F">
              <w:rPr>
                <w:spacing w:val="-2"/>
                <w:sz w:val="16"/>
                <w:szCs w:val="16"/>
                <w:lang w:val="fr-CH"/>
              </w:rPr>
              <w:t xml:space="preserve">OMPI devrait accorder une plus grande importance au recrutement </w:t>
            </w:r>
            <w:r w:rsidRPr="0054768F">
              <w:rPr>
                <w:spacing w:val="-2"/>
                <w:sz w:val="16"/>
                <w:szCs w:val="16"/>
                <w:highlight w:val="red"/>
                <w:lang w:val="fr-CH"/>
              </w:rPr>
              <w:t>d</w:t>
            </w:r>
            <w:r w:rsidR="009A4858" w:rsidRPr="0054768F">
              <w:rPr>
                <w:spacing w:val="-2"/>
                <w:sz w:val="16"/>
                <w:szCs w:val="16"/>
                <w:highlight w:val="red"/>
                <w:lang w:val="fr-CH"/>
              </w:rPr>
              <w:t>’</w:t>
            </w:r>
            <w:r w:rsidRPr="0054768F">
              <w:rPr>
                <w:spacing w:val="-2"/>
                <w:sz w:val="16"/>
                <w:szCs w:val="16"/>
                <w:highlight w:val="red"/>
                <w:lang w:val="fr-CH"/>
              </w:rPr>
              <w:t>experts ayant une connaissance approfondie des conditions socioéconomiques des pays récepteurs.</w:t>
            </w:r>
            <w:r w:rsidR="00ED446F" w:rsidRPr="0054768F">
              <w:rPr>
                <w:spacing w:val="-2"/>
                <w:sz w:val="16"/>
                <w:szCs w:val="16"/>
                <w:highlight w:val="red"/>
                <w:lang w:val="fr-CH"/>
              </w:rPr>
              <w:t xml:space="preserve">  </w:t>
            </w:r>
            <w:r w:rsidRPr="0054768F">
              <w:rPr>
                <w:spacing w:val="-2"/>
                <w:sz w:val="16"/>
                <w:szCs w:val="16"/>
                <w:highlight w:val="red"/>
                <w:lang w:val="fr-CH"/>
              </w:rPr>
              <w:t>Les pays bénéficiaires</w:t>
            </w:r>
            <w:r w:rsidRPr="0054768F">
              <w:rPr>
                <w:spacing w:val="-2"/>
                <w:sz w:val="16"/>
                <w:szCs w:val="16"/>
                <w:lang w:val="fr-CH"/>
              </w:rPr>
              <w:t xml:space="preserve"> devraient veiller à ce qu</w:t>
            </w:r>
            <w:r w:rsidR="009A4858" w:rsidRPr="0054768F">
              <w:rPr>
                <w:spacing w:val="-2"/>
                <w:sz w:val="16"/>
                <w:szCs w:val="16"/>
                <w:lang w:val="fr-CH"/>
              </w:rPr>
              <w:t>’</w:t>
            </w:r>
            <w:r w:rsidRPr="0054768F">
              <w:rPr>
                <w:spacing w:val="-2"/>
                <w:sz w:val="16"/>
                <w:szCs w:val="16"/>
                <w:lang w:val="fr-CH"/>
              </w:rPr>
              <w:t>il existe une forte coordination interne entre leurs divers organes, afin de faciliter la mise en œuvre et la viabilité à long terme des projets.</w:t>
            </w:r>
          </w:p>
          <w:p w:rsidR="00480E94" w:rsidRPr="0054768F" w:rsidRDefault="00480E94" w:rsidP="001F3BB1">
            <w:pPr>
              <w:ind w:right="455"/>
              <w:rPr>
                <w:spacing w:val="-2"/>
                <w:sz w:val="16"/>
                <w:szCs w:val="16"/>
                <w:lang w:val="fr-CH"/>
              </w:rPr>
            </w:pPr>
            <w:r w:rsidRPr="0054768F">
              <w:rPr>
                <w:color w:val="FFFFFF" w:themeColor="background1"/>
                <w:spacing w:val="-2"/>
                <w:sz w:val="16"/>
                <w:szCs w:val="16"/>
                <w:highlight w:val="darkRed"/>
                <w:lang w:val="fr-CH"/>
              </w:rPr>
              <w:t>10</w:t>
            </w:r>
            <w:r w:rsidRPr="0054768F">
              <w:rPr>
                <w:spacing w:val="-2"/>
                <w:sz w:val="16"/>
                <w:szCs w:val="16"/>
                <w:lang w:val="fr-CH"/>
              </w:rPr>
              <w:t xml:space="preserve"> – Les rapports sur l</w:t>
            </w:r>
            <w:r w:rsidR="009A4858" w:rsidRPr="0054768F">
              <w:rPr>
                <w:spacing w:val="-2"/>
                <w:sz w:val="16"/>
                <w:szCs w:val="16"/>
                <w:lang w:val="fr-CH"/>
              </w:rPr>
              <w:t>’</w:t>
            </w:r>
            <w:r w:rsidRPr="0054768F">
              <w:rPr>
                <w:spacing w:val="-2"/>
                <w:sz w:val="16"/>
                <w:szCs w:val="16"/>
                <w:lang w:val="fr-CH"/>
              </w:rPr>
              <w:t>état d</w:t>
            </w:r>
            <w:r w:rsidR="009A4858" w:rsidRPr="0054768F">
              <w:rPr>
                <w:spacing w:val="-2"/>
                <w:sz w:val="16"/>
                <w:szCs w:val="16"/>
                <w:lang w:val="fr-CH"/>
              </w:rPr>
              <w:t>’</w:t>
            </w:r>
            <w:r w:rsidRPr="0054768F">
              <w:rPr>
                <w:spacing w:val="-2"/>
                <w:sz w:val="16"/>
                <w:szCs w:val="16"/>
                <w:lang w:val="fr-CH"/>
              </w:rPr>
              <w:t>avancement des projets du Plan d</w:t>
            </w:r>
            <w:r w:rsidR="009A4858" w:rsidRPr="0054768F">
              <w:rPr>
                <w:spacing w:val="-2"/>
                <w:sz w:val="16"/>
                <w:szCs w:val="16"/>
                <w:lang w:val="fr-CH"/>
              </w:rPr>
              <w:t>’</w:t>
            </w:r>
            <w:r w:rsidRPr="0054768F">
              <w:rPr>
                <w:spacing w:val="-2"/>
                <w:sz w:val="16"/>
                <w:szCs w:val="16"/>
                <w:lang w:val="fr-CH"/>
              </w:rPr>
              <w:t>action pour le développement établis à l</w:t>
            </w:r>
            <w:r w:rsidR="009A4858" w:rsidRPr="0054768F">
              <w:rPr>
                <w:spacing w:val="-2"/>
                <w:sz w:val="16"/>
                <w:szCs w:val="16"/>
                <w:lang w:val="fr-CH"/>
              </w:rPr>
              <w:t>’</w:t>
            </w:r>
            <w:r w:rsidRPr="0054768F">
              <w:rPr>
                <w:spacing w:val="-2"/>
                <w:sz w:val="16"/>
                <w:szCs w:val="16"/>
                <w:lang w:val="fr-CH"/>
              </w:rPr>
              <w:t>intention</w:t>
            </w:r>
            <w:r w:rsidR="009A4858" w:rsidRPr="0054768F">
              <w:rPr>
                <w:spacing w:val="-2"/>
                <w:sz w:val="16"/>
                <w:szCs w:val="16"/>
                <w:lang w:val="fr-CH"/>
              </w:rPr>
              <w:t xml:space="preserve"> du CDI</w:t>
            </w:r>
            <w:r w:rsidRPr="0054768F">
              <w:rPr>
                <w:spacing w:val="-2"/>
                <w:sz w:val="16"/>
                <w:szCs w:val="16"/>
                <w:lang w:val="fr-CH"/>
              </w:rPr>
              <w:t xml:space="preserve">P par le Secrétariat devraient contenir des informations détaillées concernant les </w:t>
            </w:r>
            <w:r w:rsidRPr="0054768F">
              <w:rPr>
                <w:spacing w:val="-2"/>
                <w:sz w:val="16"/>
                <w:szCs w:val="16"/>
                <w:highlight w:val="darkRed"/>
                <w:lang w:val="fr-CH"/>
              </w:rPr>
              <w:t>ressources financières et humaines utilisées</w:t>
            </w:r>
            <w:r w:rsidRPr="0054768F">
              <w:rPr>
                <w:spacing w:val="-2"/>
                <w:sz w:val="16"/>
                <w:szCs w:val="16"/>
                <w:lang w:val="fr-CH"/>
              </w:rPr>
              <w:t xml:space="preserve"> dans le cadre de ces projets.</w:t>
            </w:r>
            <w:r w:rsidR="00ED446F" w:rsidRPr="0054768F">
              <w:rPr>
                <w:spacing w:val="-2"/>
                <w:sz w:val="16"/>
                <w:szCs w:val="16"/>
                <w:lang w:val="fr-CH"/>
              </w:rPr>
              <w:t xml:space="preserve">  </w:t>
            </w:r>
            <w:r w:rsidRPr="0054768F">
              <w:rPr>
                <w:spacing w:val="-2"/>
                <w:sz w:val="16"/>
                <w:szCs w:val="16"/>
                <w:lang w:val="fr-CH"/>
              </w:rPr>
              <w:t>Un même chef de projet ne devrait pas être responsable de plusieurs projets à la fois.</w:t>
            </w:r>
          </w:p>
          <w:p w:rsidR="00ED446F" w:rsidRPr="0054768F" w:rsidRDefault="00480E94" w:rsidP="001F3BB1">
            <w:pPr>
              <w:ind w:right="455"/>
              <w:rPr>
                <w:spacing w:val="-2"/>
                <w:sz w:val="16"/>
                <w:szCs w:val="16"/>
                <w:lang w:val="fr-CH"/>
              </w:rPr>
            </w:pPr>
            <w:r w:rsidRPr="0054768F">
              <w:rPr>
                <w:color w:val="FFFFFF" w:themeColor="background1"/>
                <w:spacing w:val="-2"/>
                <w:sz w:val="16"/>
                <w:szCs w:val="16"/>
                <w:highlight w:val="black"/>
                <w:lang w:val="fr-CH"/>
              </w:rPr>
              <w:t>12</w:t>
            </w:r>
            <w:r w:rsidRPr="0054768F">
              <w:rPr>
                <w:spacing w:val="-2"/>
                <w:sz w:val="16"/>
                <w:szCs w:val="16"/>
                <w:lang w:val="fr-CH"/>
              </w:rPr>
              <w:t xml:space="preserve"> .</w:t>
            </w:r>
            <w:r w:rsidR="009A4858" w:rsidRPr="0054768F">
              <w:rPr>
                <w:spacing w:val="-2"/>
                <w:sz w:val="16"/>
                <w:szCs w:val="16"/>
                <w:lang w:val="fr-CH"/>
              </w:rPr>
              <w:t>-</w:t>
            </w:r>
            <w:r w:rsidRPr="0054768F">
              <w:rPr>
                <w:spacing w:val="-2"/>
                <w:sz w:val="16"/>
                <w:szCs w:val="16"/>
                <w:lang w:val="fr-CH"/>
              </w:rPr>
              <w:t xml:space="preserve"> Les États membres et le Secrétariat devraient examiner des moyens d</w:t>
            </w:r>
            <w:r w:rsidR="009A4858" w:rsidRPr="0054768F">
              <w:rPr>
                <w:spacing w:val="-2"/>
                <w:sz w:val="16"/>
                <w:szCs w:val="16"/>
                <w:lang w:val="fr-CH"/>
              </w:rPr>
              <w:t>’</w:t>
            </w:r>
            <w:r w:rsidRPr="0054768F">
              <w:rPr>
                <w:spacing w:val="-2"/>
                <w:sz w:val="16"/>
                <w:szCs w:val="16"/>
                <w:lang w:val="fr-CH"/>
              </w:rPr>
              <w:t xml:space="preserve">améliorer la </w:t>
            </w:r>
            <w:r w:rsidRPr="0054768F">
              <w:rPr>
                <w:color w:val="FFFFFF" w:themeColor="background1"/>
                <w:spacing w:val="-2"/>
                <w:sz w:val="16"/>
                <w:szCs w:val="16"/>
                <w:highlight w:val="black"/>
                <w:lang w:val="fr-CH"/>
              </w:rPr>
              <w:t>diffusion des informations</w:t>
            </w:r>
            <w:r w:rsidRPr="0054768F">
              <w:rPr>
                <w:color w:val="FFFFFF" w:themeColor="background1"/>
                <w:spacing w:val="-2"/>
                <w:sz w:val="16"/>
                <w:szCs w:val="16"/>
                <w:lang w:val="fr-CH"/>
              </w:rPr>
              <w:t xml:space="preserve"> </w:t>
            </w:r>
            <w:r w:rsidRPr="0054768F">
              <w:rPr>
                <w:spacing w:val="-2"/>
                <w:sz w:val="16"/>
                <w:szCs w:val="16"/>
                <w:lang w:val="fr-CH"/>
              </w:rPr>
              <w:t>relatives au Plan d</w:t>
            </w:r>
            <w:r w:rsidR="009A4858" w:rsidRPr="0054768F">
              <w:rPr>
                <w:spacing w:val="-2"/>
                <w:sz w:val="16"/>
                <w:szCs w:val="16"/>
                <w:lang w:val="fr-CH"/>
              </w:rPr>
              <w:t>’</w:t>
            </w:r>
            <w:r w:rsidRPr="0054768F">
              <w:rPr>
                <w:spacing w:val="-2"/>
                <w:sz w:val="16"/>
                <w:szCs w:val="16"/>
                <w:lang w:val="fr-CH"/>
              </w:rPr>
              <w:t>action pour le développement et à sa mise en œuvre.</w:t>
            </w:r>
          </w:p>
        </w:tc>
      </w:tr>
      <w:tr w:rsidR="00274A7D" w:rsidRPr="00680EED" w:rsidTr="001F3BB1">
        <w:trPr>
          <w:trHeight w:val="2090"/>
        </w:trPr>
        <w:tc>
          <w:tcPr>
            <w:tcW w:w="4694" w:type="dxa"/>
          </w:tcPr>
          <w:p w:rsidR="00480E94" w:rsidRPr="0054768F" w:rsidRDefault="00480E94" w:rsidP="001F3BB1">
            <w:pPr>
              <w:rPr>
                <w:spacing w:val="-2"/>
                <w:lang w:val="fr-CH"/>
              </w:rPr>
            </w:pPr>
            <w:r w:rsidRPr="0054768F">
              <w:rPr>
                <w:spacing w:val="-2"/>
                <w:lang w:val="fr-CH"/>
              </w:rPr>
              <w:t xml:space="preserve">16. </w:t>
            </w:r>
            <w:r w:rsidR="00274A7D" w:rsidRPr="0054768F">
              <w:rPr>
                <w:spacing w:val="-2"/>
                <w:lang w:val="fr-CH"/>
              </w:rPr>
              <w:t>Élaboration par l</w:t>
            </w:r>
            <w:r w:rsidR="009A4858" w:rsidRPr="0054768F">
              <w:rPr>
                <w:spacing w:val="-2"/>
                <w:lang w:val="fr-CH"/>
              </w:rPr>
              <w:t>’</w:t>
            </w:r>
            <w:r w:rsidR="00274A7D" w:rsidRPr="0054768F">
              <w:rPr>
                <w:spacing w:val="-2"/>
                <w:lang w:val="fr-CH"/>
              </w:rPr>
              <w:t>OMPI d</w:t>
            </w:r>
            <w:r w:rsidR="009A4858" w:rsidRPr="0054768F">
              <w:rPr>
                <w:spacing w:val="-2"/>
                <w:lang w:val="fr-CH"/>
              </w:rPr>
              <w:t>’</w:t>
            </w:r>
            <w:r w:rsidRPr="0054768F">
              <w:rPr>
                <w:spacing w:val="-2"/>
                <w:lang w:val="fr-CH"/>
              </w:rPr>
              <w:t>indicateurs pour évaluer l</w:t>
            </w:r>
            <w:r w:rsidR="009A4858" w:rsidRPr="0054768F">
              <w:rPr>
                <w:spacing w:val="-2"/>
                <w:lang w:val="fr-CH"/>
              </w:rPr>
              <w:t>’</w:t>
            </w:r>
            <w:r w:rsidRPr="0054768F">
              <w:rPr>
                <w:spacing w:val="-2"/>
                <w:lang w:val="fr-CH"/>
              </w:rPr>
              <w:t>incidence et l</w:t>
            </w:r>
            <w:r w:rsidR="009A4858" w:rsidRPr="0054768F">
              <w:rPr>
                <w:spacing w:val="-2"/>
                <w:lang w:val="fr-CH"/>
              </w:rPr>
              <w:t>’</w:t>
            </w:r>
            <w:r w:rsidRPr="0054768F">
              <w:rPr>
                <w:spacing w:val="-2"/>
                <w:lang w:val="fr-CH"/>
              </w:rPr>
              <w:t xml:space="preserve">efficacité de la mise en </w:t>
            </w:r>
            <w:r w:rsidR="00645F3C" w:rsidRPr="0054768F">
              <w:rPr>
                <w:spacing w:val="-2"/>
                <w:lang w:val="fr-CH"/>
              </w:rPr>
              <w:t>œuvre</w:t>
            </w:r>
            <w:r w:rsidRPr="0054768F">
              <w:rPr>
                <w:spacing w:val="-2"/>
                <w:lang w:val="fr-CH"/>
              </w:rPr>
              <w:t xml:space="preserve"> du Plan d</w:t>
            </w:r>
            <w:r w:rsidR="009A4858" w:rsidRPr="0054768F">
              <w:rPr>
                <w:spacing w:val="-2"/>
                <w:lang w:val="fr-CH"/>
              </w:rPr>
              <w:t>’</w:t>
            </w:r>
            <w:r w:rsidRPr="0054768F">
              <w:rPr>
                <w:spacing w:val="-2"/>
                <w:lang w:val="fr-CH"/>
              </w:rPr>
              <w:t>action pour le développement</w:t>
            </w:r>
            <w:r w:rsidRPr="0054768F">
              <w:rPr>
                <w:rStyle w:val="FootnoteReference"/>
                <w:spacing w:val="-2"/>
                <w:lang w:val="en-AU"/>
              </w:rPr>
              <w:footnoteReference w:id="2"/>
            </w:r>
            <w:r w:rsidRPr="0054768F">
              <w:rPr>
                <w:spacing w:val="-2"/>
                <w:lang w:val="fr-CH"/>
              </w:rPr>
              <w:t>.</w:t>
            </w:r>
          </w:p>
          <w:p w:rsidR="00ED446F" w:rsidRPr="0054768F" w:rsidRDefault="00ED446F" w:rsidP="001F3BB1">
            <w:pPr>
              <w:pStyle w:val="ListParagraph"/>
              <w:ind w:left="0"/>
              <w:rPr>
                <w:spacing w:val="-2"/>
                <w:lang w:val="fr-CH"/>
              </w:rPr>
            </w:pPr>
          </w:p>
        </w:tc>
        <w:tc>
          <w:tcPr>
            <w:tcW w:w="7229" w:type="dxa"/>
          </w:tcPr>
          <w:p w:rsidR="00480E94" w:rsidRPr="0054768F" w:rsidRDefault="009A4858" w:rsidP="001F3BB1">
            <w:pPr>
              <w:pStyle w:val="ListParagraph"/>
              <w:ind w:left="0"/>
              <w:rPr>
                <w:spacing w:val="-2"/>
                <w:lang w:val="fr-CH"/>
              </w:rPr>
            </w:pPr>
            <w:r w:rsidRPr="0054768F">
              <w:rPr>
                <w:spacing w:val="-2"/>
                <w:lang w:val="fr-CH"/>
              </w:rPr>
              <w:t>-</w:t>
            </w:r>
            <w:r w:rsidR="00645F3C" w:rsidRPr="0054768F">
              <w:rPr>
                <w:spacing w:val="-2"/>
                <w:lang w:val="fr-CH"/>
              </w:rPr>
              <w:t xml:space="preserve"> Le Secrétariat (en collaboration avec la Division de l</w:t>
            </w:r>
            <w:r w:rsidRPr="0054768F">
              <w:rPr>
                <w:spacing w:val="-2"/>
                <w:lang w:val="fr-CH"/>
              </w:rPr>
              <w:t>’</w:t>
            </w:r>
            <w:r w:rsidR="00645F3C" w:rsidRPr="0054768F">
              <w:rPr>
                <w:spacing w:val="-2"/>
                <w:lang w:val="fr-CH"/>
              </w:rPr>
              <w:t>économie et des statistiques) élaborera des indicateurs qui permettront</w:t>
            </w:r>
            <w:r w:rsidRPr="0054768F">
              <w:rPr>
                <w:spacing w:val="-2"/>
                <w:lang w:val="fr-CH"/>
              </w:rPr>
              <w:t xml:space="preserve"> au CDI</w:t>
            </w:r>
            <w:r w:rsidR="00645F3C" w:rsidRPr="0054768F">
              <w:rPr>
                <w:spacing w:val="-2"/>
                <w:lang w:val="fr-CH"/>
              </w:rPr>
              <w:t>P d</w:t>
            </w:r>
            <w:r w:rsidRPr="0054768F">
              <w:rPr>
                <w:spacing w:val="-2"/>
                <w:lang w:val="fr-CH"/>
              </w:rPr>
              <w:t>’</w:t>
            </w:r>
            <w:r w:rsidR="00645F3C" w:rsidRPr="0054768F">
              <w:rPr>
                <w:spacing w:val="-2"/>
                <w:lang w:val="fr-CH"/>
              </w:rPr>
              <w:t xml:space="preserve">assurer </w:t>
            </w:r>
            <w:r w:rsidR="00274A7D" w:rsidRPr="0054768F">
              <w:rPr>
                <w:spacing w:val="-2"/>
                <w:lang w:val="fr-CH"/>
              </w:rPr>
              <w:t>un travail de</w:t>
            </w:r>
            <w:r w:rsidR="00645F3C" w:rsidRPr="0054768F">
              <w:rPr>
                <w:spacing w:val="-2"/>
                <w:lang w:val="fr-CH"/>
              </w:rPr>
              <w:t xml:space="preserve"> coordination, </w:t>
            </w:r>
            <w:r w:rsidR="00274A7D" w:rsidRPr="0054768F">
              <w:rPr>
                <w:spacing w:val="-2"/>
                <w:lang w:val="fr-CH"/>
              </w:rPr>
              <w:t>de</w:t>
            </w:r>
            <w:r w:rsidR="00645F3C" w:rsidRPr="0054768F">
              <w:rPr>
                <w:spacing w:val="-2"/>
                <w:lang w:val="fr-CH"/>
              </w:rPr>
              <w:t xml:space="preserve"> surveillance</w:t>
            </w:r>
            <w:r w:rsidR="00274A7D" w:rsidRPr="0054768F">
              <w:rPr>
                <w:spacing w:val="-2"/>
                <w:lang w:val="fr-CH"/>
              </w:rPr>
              <w:t xml:space="preserve"> et</w:t>
            </w:r>
            <w:r w:rsidR="00645F3C" w:rsidRPr="0054768F">
              <w:rPr>
                <w:spacing w:val="-2"/>
                <w:lang w:val="fr-CH"/>
              </w:rPr>
              <w:t xml:space="preserve"> </w:t>
            </w:r>
            <w:r w:rsidR="00274A7D" w:rsidRPr="0054768F">
              <w:rPr>
                <w:spacing w:val="-2"/>
                <w:lang w:val="fr-CH"/>
              </w:rPr>
              <w:t>d</w:t>
            </w:r>
            <w:r w:rsidRPr="0054768F">
              <w:rPr>
                <w:spacing w:val="-2"/>
                <w:lang w:val="fr-CH"/>
              </w:rPr>
              <w:t>’</w:t>
            </w:r>
            <w:r w:rsidR="00645F3C" w:rsidRPr="0054768F">
              <w:rPr>
                <w:spacing w:val="-2"/>
                <w:lang w:val="fr-CH"/>
              </w:rPr>
              <w:t>établissement de rapports</w:t>
            </w:r>
            <w:r w:rsidR="00274A7D" w:rsidRPr="0054768F">
              <w:rPr>
                <w:spacing w:val="-2"/>
                <w:lang w:val="fr-CH"/>
              </w:rPr>
              <w:t>,</w:t>
            </w:r>
            <w:r w:rsidR="00645F3C" w:rsidRPr="0054768F">
              <w:rPr>
                <w:spacing w:val="-2"/>
                <w:lang w:val="fr-CH"/>
              </w:rPr>
              <w:t xml:space="preserve"> et </w:t>
            </w:r>
            <w:r w:rsidR="00274A7D" w:rsidRPr="0054768F">
              <w:rPr>
                <w:spacing w:val="-2"/>
                <w:lang w:val="fr-CH"/>
              </w:rPr>
              <w:t>d</w:t>
            </w:r>
            <w:r w:rsidRPr="0054768F">
              <w:rPr>
                <w:spacing w:val="-2"/>
                <w:lang w:val="fr-CH"/>
              </w:rPr>
              <w:t>’</w:t>
            </w:r>
            <w:r w:rsidR="00645F3C" w:rsidRPr="0054768F">
              <w:rPr>
                <w:spacing w:val="-2"/>
                <w:lang w:val="fr-CH"/>
              </w:rPr>
              <w:t>évalu</w:t>
            </w:r>
            <w:r w:rsidR="00274A7D" w:rsidRPr="0054768F">
              <w:rPr>
                <w:spacing w:val="-2"/>
                <w:lang w:val="fr-CH"/>
              </w:rPr>
              <w:t>er</w:t>
            </w:r>
            <w:r w:rsidR="00645F3C" w:rsidRPr="0054768F">
              <w:rPr>
                <w:spacing w:val="-2"/>
                <w:lang w:val="fr-CH"/>
              </w:rPr>
              <w:t xml:space="preserve"> l</w:t>
            </w:r>
            <w:r w:rsidRPr="0054768F">
              <w:rPr>
                <w:spacing w:val="-2"/>
                <w:lang w:val="fr-CH"/>
              </w:rPr>
              <w:t>’</w:t>
            </w:r>
            <w:r w:rsidR="00645F3C" w:rsidRPr="0054768F">
              <w:rPr>
                <w:spacing w:val="-2"/>
                <w:lang w:val="fr-CH"/>
              </w:rPr>
              <w:t>incidence et l</w:t>
            </w:r>
            <w:r w:rsidRPr="0054768F">
              <w:rPr>
                <w:spacing w:val="-2"/>
                <w:lang w:val="fr-CH"/>
              </w:rPr>
              <w:t>’</w:t>
            </w:r>
            <w:r w:rsidR="00645F3C" w:rsidRPr="0054768F">
              <w:rPr>
                <w:spacing w:val="-2"/>
                <w:lang w:val="fr-CH"/>
              </w:rPr>
              <w:t>efficacité de la mise en œuvre du Plan d</w:t>
            </w:r>
            <w:r w:rsidRPr="0054768F">
              <w:rPr>
                <w:spacing w:val="-2"/>
                <w:lang w:val="fr-CH"/>
              </w:rPr>
              <w:t>’</w:t>
            </w:r>
            <w:r w:rsidR="00645F3C" w:rsidRPr="0054768F">
              <w:rPr>
                <w:spacing w:val="-2"/>
                <w:lang w:val="fr-CH"/>
              </w:rPr>
              <w:t xml:space="preserve">action pour le développement, </w:t>
            </w:r>
            <w:r w:rsidRPr="0054768F">
              <w:rPr>
                <w:spacing w:val="-2"/>
                <w:lang w:val="fr-CH"/>
              </w:rPr>
              <w:t>y compris</w:t>
            </w:r>
            <w:r w:rsidR="00645F3C" w:rsidRPr="0054768F">
              <w:rPr>
                <w:spacing w:val="-2"/>
                <w:lang w:val="fr-CH"/>
              </w:rPr>
              <w:t xml:space="preserve"> la viabilité des projets exécutés dans le cadre du Plan d</w:t>
            </w:r>
            <w:r w:rsidRPr="0054768F">
              <w:rPr>
                <w:spacing w:val="-2"/>
                <w:lang w:val="fr-CH"/>
              </w:rPr>
              <w:t>’</w:t>
            </w:r>
            <w:r w:rsidR="00645F3C" w:rsidRPr="0054768F">
              <w:rPr>
                <w:spacing w:val="-2"/>
                <w:lang w:val="fr-CH"/>
              </w:rPr>
              <w:t>action pour le développement.</w:t>
            </w:r>
          </w:p>
          <w:p w:rsidR="00480E94" w:rsidRPr="0054768F" w:rsidRDefault="00480E94" w:rsidP="001F3BB1">
            <w:pPr>
              <w:pStyle w:val="ListParagraph"/>
              <w:ind w:left="0"/>
              <w:rPr>
                <w:spacing w:val="-2"/>
                <w:lang w:val="fr-CH"/>
              </w:rPr>
            </w:pPr>
          </w:p>
          <w:p w:rsidR="00ED446F" w:rsidRPr="0054768F" w:rsidRDefault="00ED446F" w:rsidP="001F3BB1">
            <w:pPr>
              <w:pStyle w:val="ListParagraph"/>
              <w:ind w:left="0"/>
              <w:rPr>
                <w:spacing w:val="-2"/>
                <w:lang w:val="fr-CH"/>
              </w:rPr>
            </w:pPr>
          </w:p>
        </w:tc>
        <w:tc>
          <w:tcPr>
            <w:tcW w:w="3396" w:type="dxa"/>
          </w:tcPr>
          <w:p w:rsidR="00480E94" w:rsidRPr="0054768F" w:rsidRDefault="00ED446F" w:rsidP="001F3BB1">
            <w:pPr>
              <w:pStyle w:val="ListParagraph"/>
              <w:ind w:left="0"/>
              <w:rPr>
                <w:spacing w:val="-4"/>
                <w:highlight w:val="magenta"/>
                <w:lang w:val="fr-CH"/>
              </w:rPr>
            </w:pPr>
            <w:r w:rsidRPr="0054768F">
              <w:rPr>
                <w:spacing w:val="-2"/>
                <w:highlight w:val="magenta"/>
                <w:lang w:val="fr-CH"/>
              </w:rPr>
              <w:t>3</w:t>
            </w:r>
            <w:r w:rsidRPr="0054768F">
              <w:rPr>
                <w:spacing w:val="-2"/>
                <w:lang w:val="fr-CH"/>
              </w:rPr>
              <w:t xml:space="preserve"> </w:t>
            </w:r>
            <w:r w:rsidRPr="0054768F">
              <w:rPr>
                <w:spacing w:val="-4"/>
                <w:lang w:val="fr-CH"/>
              </w:rPr>
              <w:t>(Secr</w:t>
            </w:r>
            <w:r w:rsidR="00645F3C" w:rsidRPr="0054768F">
              <w:rPr>
                <w:spacing w:val="-4"/>
                <w:lang w:val="fr-CH"/>
              </w:rPr>
              <w:t>é</w:t>
            </w:r>
            <w:r w:rsidRPr="0054768F">
              <w:rPr>
                <w:spacing w:val="-4"/>
                <w:lang w:val="fr-CH"/>
              </w:rPr>
              <w:t>tariat</w:t>
            </w:r>
          </w:p>
          <w:p w:rsidR="009A4858" w:rsidRPr="0054768F" w:rsidRDefault="00645F3C" w:rsidP="001F3BB1">
            <w:pPr>
              <w:pStyle w:val="ListParagraph"/>
              <w:ind w:left="0"/>
              <w:rPr>
                <w:spacing w:val="-4"/>
                <w:lang w:val="fr-CH"/>
              </w:rPr>
            </w:pPr>
            <w:r w:rsidRPr="0054768F">
              <w:rPr>
                <w:spacing w:val="-4"/>
                <w:highlight w:val="darkGreen"/>
                <w:lang w:val="fr-CH"/>
              </w:rPr>
              <w:t>7</w:t>
            </w:r>
            <w:r w:rsidRPr="0054768F">
              <w:rPr>
                <w:spacing w:val="-4"/>
                <w:lang w:val="fr-CH"/>
              </w:rPr>
              <w:t xml:space="preserve"> (États membres, CDIP et Secrétariat)</w:t>
            </w:r>
          </w:p>
          <w:p w:rsidR="00480E94" w:rsidRPr="0054768F" w:rsidRDefault="00ED446F" w:rsidP="001F3BB1">
            <w:pPr>
              <w:pStyle w:val="ListParagraph"/>
              <w:ind w:left="0"/>
              <w:rPr>
                <w:spacing w:val="-4"/>
                <w:highlight w:val="lightGray"/>
                <w:lang w:val="fr-CH"/>
              </w:rPr>
            </w:pPr>
            <w:r w:rsidRPr="0054768F">
              <w:rPr>
                <w:spacing w:val="-4"/>
                <w:highlight w:val="lightGray"/>
                <w:lang w:val="fr-CH"/>
              </w:rPr>
              <w:t>8</w:t>
            </w:r>
            <w:r w:rsidRPr="0054768F">
              <w:rPr>
                <w:spacing w:val="-4"/>
                <w:lang w:val="fr-CH"/>
              </w:rPr>
              <w:t xml:space="preserve"> (</w:t>
            </w:r>
            <w:r w:rsidR="00645F3C" w:rsidRPr="0054768F">
              <w:rPr>
                <w:spacing w:val="-4"/>
                <w:lang w:val="fr-CH"/>
              </w:rPr>
              <w:t>CDIP et Secrétariat</w:t>
            </w:r>
            <w:r w:rsidRPr="0054768F">
              <w:rPr>
                <w:spacing w:val="-4"/>
                <w:lang w:val="fr-CH"/>
              </w:rPr>
              <w:t>)</w:t>
            </w:r>
          </w:p>
          <w:p w:rsidR="00480E94" w:rsidRPr="0054768F" w:rsidRDefault="00ED446F" w:rsidP="001F3BB1">
            <w:pPr>
              <w:pStyle w:val="ListParagraph"/>
              <w:ind w:left="0"/>
              <w:rPr>
                <w:spacing w:val="-4"/>
                <w:lang w:val="fr-CH"/>
              </w:rPr>
            </w:pPr>
            <w:r w:rsidRPr="0054768F">
              <w:rPr>
                <w:spacing w:val="-4"/>
                <w:highlight w:val="red"/>
                <w:lang w:val="fr-CH"/>
              </w:rPr>
              <w:t>9</w:t>
            </w:r>
            <w:r w:rsidRPr="0054768F">
              <w:rPr>
                <w:spacing w:val="-4"/>
                <w:lang w:val="fr-CH"/>
              </w:rPr>
              <w:t xml:space="preserve"> (</w:t>
            </w:r>
            <w:r w:rsidR="00645F3C" w:rsidRPr="0054768F">
              <w:rPr>
                <w:spacing w:val="-4"/>
                <w:lang w:val="fr-CH"/>
              </w:rPr>
              <w:t xml:space="preserve">États membres et </w:t>
            </w:r>
            <w:r w:rsidRPr="0054768F">
              <w:rPr>
                <w:spacing w:val="-4"/>
                <w:lang w:val="fr-CH"/>
              </w:rPr>
              <w:t>Secr</w:t>
            </w:r>
            <w:r w:rsidR="00645F3C" w:rsidRPr="0054768F">
              <w:rPr>
                <w:spacing w:val="-4"/>
                <w:lang w:val="fr-CH"/>
              </w:rPr>
              <w:t>é</w:t>
            </w:r>
            <w:r w:rsidRPr="0054768F">
              <w:rPr>
                <w:spacing w:val="-4"/>
                <w:lang w:val="fr-CH"/>
              </w:rPr>
              <w:t>tariat)</w:t>
            </w:r>
          </w:p>
          <w:p w:rsidR="00480E94" w:rsidRPr="0054768F" w:rsidRDefault="00ED446F" w:rsidP="001F3BB1">
            <w:pPr>
              <w:pStyle w:val="ListParagraph"/>
              <w:ind w:left="0"/>
              <w:rPr>
                <w:spacing w:val="-4"/>
                <w:highlight w:val="darkRed"/>
                <w:lang w:val="fr-CH"/>
              </w:rPr>
            </w:pPr>
            <w:r w:rsidRPr="0054768F">
              <w:rPr>
                <w:spacing w:val="-4"/>
                <w:highlight w:val="darkMagenta"/>
                <w:lang w:val="fr-CH"/>
              </w:rPr>
              <w:t>10</w:t>
            </w:r>
            <w:r w:rsidRPr="0054768F">
              <w:rPr>
                <w:spacing w:val="-4"/>
                <w:lang w:val="fr-CH"/>
              </w:rPr>
              <w:t xml:space="preserve"> (Secr</w:t>
            </w:r>
            <w:r w:rsidR="00645F3C" w:rsidRPr="0054768F">
              <w:rPr>
                <w:spacing w:val="-4"/>
                <w:lang w:val="fr-CH"/>
              </w:rPr>
              <w:t>é</w:t>
            </w:r>
            <w:r w:rsidRPr="0054768F">
              <w:rPr>
                <w:spacing w:val="-4"/>
                <w:lang w:val="fr-CH"/>
              </w:rPr>
              <w:t>tariat)</w:t>
            </w:r>
          </w:p>
          <w:p w:rsidR="00ED446F" w:rsidRPr="0054768F" w:rsidRDefault="00ED446F" w:rsidP="001F3BB1">
            <w:pPr>
              <w:pStyle w:val="ListParagraph"/>
              <w:ind w:left="0"/>
              <w:rPr>
                <w:spacing w:val="-2"/>
                <w:lang w:val="fr-CH"/>
              </w:rPr>
            </w:pPr>
            <w:r w:rsidRPr="0054768F">
              <w:rPr>
                <w:color w:val="FFFFFF" w:themeColor="background1"/>
                <w:spacing w:val="-4"/>
                <w:highlight w:val="black"/>
                <w:lang w:val="fr-CH"/>
              </w:rPr>
              <w:t>12</w:t>
            </w:r>
            <w:r w:rsidRPr="0054768F">
              <w:rPr>
                <w:spacing w:val="-4"/>
                <w:lang w:val="fr-CH"/>
              </w:rPr>
              <w:t xml:space="preserve"> (</w:t>
            </w:r>
            <w:r w:rsidR="00645F3C" w:rsidRPr="0054768F">
              <w:rPr>
                <w:spacing w:val="-4"/>
                <w:lang w:val="fr-CH"/>
              </w:rPr>
              <w:t>États membres et Secrétariat</w:t>
            </w:r>
            <w:r w:rsidRPr="0054768F">
              <w:rPr>
                <w:spacing w:val="-4"/>
                <w:lang w:val="fr-CH"/>
              </w:rPr>
              <w:t>)</w:t>
            </w:r>
          </w:p>
        </w:tc>
      </w:tr>
    </w:tbl>
    <w:p w:rsidR="001F3BB1" w:rsidRDefault="001F3BB1" w:rsidP="0054768F">
      <w:pPr>
        <w:jc w:val="right"/>
        <w:rPr>
          <w:lang w:val="fr-CH"/>
        </w:rPr>
      </w:pPr>
    </w:p>
    <w:p w:rsidR="00480E94" w:rsidRPr="00274A7D" w:rsidRDefault="009564B5" w:rsidP="0054768F">
      <w:pPr>
        <w:jc w:val="right"/>
        <w:rPr>
          <w:lang w:val="fr-CH"/>
        </w:rPr>
      </w:pPr>
      <w:r w:rsidRPr="00274A7D">
        <w:rPr>
          <w:lang w:val="fr-CH"/>
        </w:rPr>
        <w:t>[</w:t>
      </w:r>
      <w:r w:rsidR="00645F3C" w:rsidRPr="00274A7D">
        <w:rPr>
          <w:lang w:val="fr-CH"/>
        </w:rPr>
        <w:t>Fin de l</w:t>
      </w:r>
      <w:r w:rsidR="009A4858">
        <w:rPr>
          <w:lang w:val="fr-CH"/>
        </w:rPr>
        <w:t>’</w:t>
      </w:r>
      <w:r w:rsidR="00645F3C" w:rsidRPr="00274A7D">
        <w:rPr>
          <w:lang w:val="fr-CH"/>
        </w:rPr>
        <w:t>a</w:t>
      </w:r>
      <w:r w:rsidRPr="00274A7D">
        <w:rPr>
          <w:lang w:val="fr-CH"/>
        </w:rPr>
        <w:t>nnex</w:t>
      </w:r>
      <w:r w:rsidR="00645F3C" w:rsidRPr="00274A7D">
        <w:rPr>
          <w:lang w:val="fr-CH"/>
        </w:rPr>
        <w:t xml:space="preserve">e et </w:t>
      </w:r>
      <w:r w:rsidRPr="00274A7D">
        <w:rPr>
          <w:lang w:val="fr-CH"/>
        </w:rPr>
        <w:t>d</w:t>
      </w:r>
      <w:r w:rsidR="00645F3C" w:rsidRPr="00274A7D">
        <w:rPr>
          <w:lang w:val="fr-CH"/>
        </w:rPr>
        <w:t>u</w:t>
      </w:r>
      <w:r w:rsidRPr="00274A7D">
        <w:rPr>
          <w:lang w:val="fr-CH"/>
        </w:rPr>
        <w:t xml:space="preserve"> document]</w:t>
      </w:r>
    </w:p>
    <w:sectPr w:rsidR="00480E94" w:rsidRPr="00274A7D" w:rsidSect="00ED446F">
      <w:headerReference w:type="default" r:id="rId15"/>
      <w:endnotePr>
        <w:numFmt w:val="decimal"/>
      </w:endnotePr>
      <w:pgSz w:w="16840" w:h="11907" w:orient="landscape" w:code="9"/>
      <w:pgMar w:top="1411" w:right="562" w:bottom="1138" w:left="1411"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BD4" w:rsidRDefault="00BE2BD4">
      <w:r>
        <w:separator/>
      </w:r>
    </w:p>
  </w:endnote>
  <w:endnote w:type="continuationSeparator" w:id="0">
    <w:p w:rsidR="00BE2BD4" w:rsidRDefault="00BE2BD4" w:rsidP="003B38C1">
      <w:r>
        <w:separator/>
      </w:r>
    </w:p>
    <w:p w:rsidR="00BE2BD4" w:rsidRPr="003B38C1" w:rsidRDefault="00BE2BD4" w:rsidP="003B38C1">
      <w:pPr>
        <w:spacing w:after="60"/>
        <w:rPr>
          <w:sz w:val="17"/>
        </w:rPr>
      </w:pPr>
      <w:r>
        <w:rPr>
          <w:sz w:val="17"/>
        </w:rPr>
        <w:t>[Endnote continued from previous page]</w:t>
      </w:r>
    </w:p>
  </w:endnote>
  <w:endnote w:type="continuationNotice" w:id="1">
    <w:p w:rsidR="00BE2BD4" w:rsidRPr="003B38C1" w:rsidRDefault="00BE2B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1F2" w:rsidRDefault="00322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1F2" w:rsidRDefault="00322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1F2" w:rsidRDefault="0032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BD4" w:rsidRDefault="00BE2BD4">
      <w:r>
        <w:separator/>
      </w:r>
    </w:p>
  </w:footnote>
  <w:footnote w:type="continuationSeparator" w:id="0">
    <w:p w:rsidR="00BE2BD4" w:rsidRDefault="00BE2BD4" w:rsidP="008B60B2">
      <w:r>
        <w:separator/>
      </w:r>
    </w:p>
    <w:p w:rsidR="00BE2BD4" w:rsidRPr="00ED77FB" w:rsidRDefault="00BE2BD4" w:rsidP="008B60B2">
      <w:pPr>
        <w:spacing w:after="60"/>
        <w:rPr>
          <w:sz w:val="17"/>
          <w:szCs w:val="17"/>
        </w:rPr>
      </w:pPr>
      <w:r w:rsidRPr="00ED77FB">
        <w:rPr>
          <w:sz w:val="17"/>
          <w:szCs w:val="17"/>
        </w:rPr>
        <w:t>[Footnote continued from previous page]</w:t>
      </w:r>
    </w:p>
  </w:footnote>
  <w:footnote w:type="continuationNotice" w:id="1">
    <w:p w:rsidR="00BE2BD4" w:rsidRPr="00ED77FB" w:rsidRDefault="00BE2BD4" w:rsidP="008B60B2">
      <w:pPr>
        <w:spacing w:before="60"/>
        <w:jc w:val="right"/>
        <w:rPr>
          <w:sz w:val="17"/>
          <w:szCs w:val="17"/>
        </w:rPr>
      </w:pPr>
      <w:r w:rsidRPr="00ED77FB">
        <w:rPr>
          <w:sz w:val="17"/>
          <w:szCs w:val="17"/>
        </w:rPr>
        <w:t>[Footnote continued on next page]</w:t>
      </w:r>
    </w:p>
  </w:footnote>
  <w:footnote w:id="2">
    <w:p w:rsidR="00480E94" w:rsidRPr="00480E94" w:rsidRDefault="00480E94" w:rsidP="00480E94">
      <w:pPr>
        <w:pStyle w:val="FootnoteText"/>
        <w:rPr>
          <w:lang w:val="fr-CH"/>
        </w:rPr>
      </w:pPr>
      <w:r w:rsidRPr="00274A7D">
        <w:rPr>
          <w:rStyle w:val="FootnoteReference"/>
        </w:rPr>
        <w:footnoteRef/>
      </w:r>
      <w:r w:rsidRPr="00274A7D">
        <w:rPr>
          <w:lang w:val="fr-CH"/>
        </w:rPr>
        <w:t xml:space="preserve"> </w:t>
      </w:r>
      <w:r w:rsidR="003221F2">
        <w:rPr>
          <w:lang w:val="fr-CH"/>
        </w:rPr>
        <w:tab/>
      </w:r>
      <w:r w:rsidRPr="00274A7D">
        <w:rPr>
          <w:lang w:val="fr-CH"/>
        </w:rPr>
        <w:t xml:space="preserve">La </w:t>
      </w:r>
      <w:r w:rsidR="00C002D5" w:rsidRPr="00274A7D">
        <w:rPr>
          <w:lang w:val="fr-CH"/>
        </w:rPr>
        <w:t>page</w:t>
      </w:r>
      <w:r w:rsidR="00C002D5">
        <w:rPr>
          <w:lang w:val="fr-CH"/>
        </w:rPr>
        <w:t> </w:t>
      </w:r>
      <w:r w:rsidR="00C002D5" w:rsidRPr="00274A7D">
        <w:rPr>
          <w:lang w:val="fr-CH"/>
        </w:rPr>
        <w:t>3</w:t>
      </w:r>
      <w:r w:rsidRPr="00274A7D">
        <w:rPr>
          <w:lang w:val="fr-CH"/>
        </w:rPr>
        <w:t>4 de l</w:t>
      </w:r>
      <w:r w:rsidR="00C002D5">
        <w:rPr>
          <w:lang w:val="fr-CH"/>
        </w:rPr>
        <w:t>’</w:t>
      </w:r>
      <w:r w:rsidRPr="00274A7D">
        <w:rPr>
          <w:lang w:val="fr-CH"/>
        </w:rPr>
        <w:t xml:space="preserve">étude indépendante </w:t>
      </w:r>
      <w:r w:rsidR="00274A7D" w:rsidRPr="00274A7D">
        <w:rPr>
          <w:lang w:val="fr-CH"/>
        </w:rPr>
        <w:t>stipule</w:t>
      </w:r>
      <w:r w:rsidRPr="00274A7D">
        <w:rPr>
          <w:lang w:val="fr-CH"/>
        </w:rPr>
        <w:t xml:space="preserve"> que </w:t>
      </w:r>
      <w:r w:rsidR="0060557A" w:rsidRPr="00274A7D">
        <w:rPr>
          <w:lang w:val="fr-CH"/>
        </w:rPr>
        <w:t>ʺ</w:t>
      </w:r>
      <w:r w:rsidRPr="00274A7D">
        <w:rPr>
          <w:lang w:val="fr-CH"/>
        </w:rPr>
        <w:t>le Plan d</w:t>
      </w:r>
      <w:r w:rsidR="00C002D5">
        <w:rPr>
          <w:lang w:val="fr-CH"/>
        </w:rPr>
        <w:t>’</w:t>
      </w:r>
      <w:r w:rsidRPr="00274A7D">
        <w:rPr>
          <w:lang w:val="fr-CH"/>
        </w:rPr>
        <w:t>action pour le développement ne répond pas encore concrètement aux aspirations élevées qu</w:t>
      </w:r>
      <w:r w:rsidR="00C002D5">
        <w:rPr>
          <w:lang w:val="fr-CH"/>
        </w:rPr>
        <w:t>’</w:t>
      </w:r>
      <w:r w:rsidRPr="00274A7D">
        <w:rPr>
          <w:lang w:val="fr-CH"/>
        </w:rPr>
        <w:t>il soulève</w:t>
      </w:r>
      <w:r w:rsidR="0060557A" w:rsidRPr="00274A7D">
        <w:rPr>
          <w:lang w:val="fr-CH"/>
        </w:rPr>
        <w:t>ʺ</w:t>
      </w:r>
      <w:r w:rsidRPr="00274A7D">
        <w:rPr>
          <w:lang w:val="fr-CH"/>
        </w:rPr>
        <w:t xml:space="preserve">.  En outre, il est indiqué à la </w:t>
      </w:r>
      <w:r w:rsidR="00C002D5" w:rsidRPr="00274A7D">
        <w:rPr>
          <w:lang w:val="fr-CH"/>
        </w:rPr>
        <w:t>page</w:t>
      </w:r>
      <w:r w:rsidR="00C002D5">
        <w:rPr>
          <w:lang w:val="fr-CH"/>
        </w:rPr>
        <w:t> </w:t>
      </w:r>
      <w:r w:rsidR="00C002D5" w:rsidRPr="00274A7D">
        <w:rPr>
          <w:lang w:val="fr-CH"/>
        </w:rPr>
        <w:t>3</w:t>
      </w:r>
      <w:r w:rsidRPr="00274A7D">
        <w:rPr>
          <w:lang w:val="fr-CH"/>
        </w:rPr>
        <w:t xml:space="preserve">6 que </w:t>
      </w:r>
      <w:r w:rsidR="00C002D5">
        <w:rPr>
          <w:lang w:val="fr-CH"/>
        </w:rPr>
        <w:t>“</w:t>
      </w:r>
      <w:r w:rsidR="00C002D5" w:rsidRPr="00274A7D">
        <w:rPr>
          <w:lang w:val="fr-CH"/>
        </w:rPr>
        <w:t>L</w:t>
      </w:r>
      <w:r w:rsidR="00C002D5">
        <w:rPr>
          <w:lang w:val="fr-CH"/>
        </w:rPr>
        <w:t>’</w:t>
      </w:r>
      <w:r w:rsidRPr="00274A7D">
        <w:rPr>
          <w:lang w:val="fr-CH"/>
        </w:rPr>
        <w:t>impact des projets et activités est influencé par les soupçons et le scepticisme qui prévalent concernant à la fois des activités qui ne seraient pas suffisamment propices au développement et la manière de concilier considérations relatives au développement, d</w:t>
      </w:r>
      <w:r w:rsidR="00C002D5">
        <w:rPr>
          <w:lang w:val="fr-CH"/>
        </w:rPr>
        <w:t>’</w:t>
      </w:r>
      <w:r w:rsidRPr="00274A7D">
        <w:rPr>
          <w:lang w:val="fr-CH"/>
        </w:rPr>
        <w:t>une part, et protection et application des droits de propriété intellectuelle, d</w:t>
      </w:r>
      <w:r w:rsidR="00C002D5">
        <w:rPr>
          <w:lang w:val="fr-CH"/>
        </w:rPr>
        <w:t>’</w:t>
      </w:r>
      <w:r w:rsidRPr="00274A7D">
        <w:rPr>
          <w:lang w:val="fr-CH"/>
        </w:rPr>
        <w:t>autre part</w:t>
      </w:r>
      <w:r w:rsidR="0060557A" w:rsidRPr="00274A7D">
        <w:rPr>
          <w:lang w:val="fr-CH"/>
        </w:rPr>
        <w:t>ʺ</w:t>
      </w:r>
      <w:r w:rsidRPr="00274A7D">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B5" w:rsidRDefault="006F7759" w:rsidP="009564B5">
    <w:pPr>
      <w:pStyle w:val="Header"/>
      <w:jc w:val="right"/>
    </w:pPr>
    <w:r>
      <w:t>CDIP/24/1</w:t>
    </w:r>
    <w:r w:rsidR="00ED446F">
      <w:t>5</w:t>
    </w:r>
  </w:p>
  <w:p w:rsidR="009564B5" w:rsidRDefault="009564B5" w:rsidP="009564B5">
    <w:pPr>
      <w:pStyle w:val="Header"/>
      <w:jc w:val="right"/>
    </w:pPr>
    <w:r>
      <w:t>ANNEX</w:t>
    </w:r>
    <w:r w:rsidR="00645F3C">
      <w:t>E</w:t>
    </w:r>
  </w:p>
  <w:p w:rsidR="009564B5" w:rsidRDefault="009564B5">
    <w:pPr>
      <w:pStyle w:val="Header"/>
    </w:pPr>
  </w:p>
  <w:p w:rsidR="00134491" w:rsidRDefault="0013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34B" w:rsidRDefault="008A134B" w:rsidP="00516E3D"/>
  <w:p w:rsidR="00134491" w:rsidRDefault="00134491" w:rsidP="00516E3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Default="00ED446F">
    <w:pPr>
      <w:pStyle w:val="Header"/>
    </w:pPr>
    <w:r>
      <w:t>CDIP/24/15</w:t>
    </w:r>
  </w:p>
  <w:p w:rsidR="00ED446F" w:rsidRDefault="00ED446F">
    <w:pPr>
      <w:pStyle w:val="Header"/>
    </w:pPr>
    <w:r>
      <w:t>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Default="00ED446F" w:rsidP="006F7759">
    <w:pPr>
      <w:pStyle w:val="Header"/>
      <w:jc w:val="right"/>
    </w:pPr>
    <w:r>
      <w:t>CDIP/24/13</w:t>
    </w:r>
  </w:p>
  <w:p w:rsidR="00ED446F" w:rsidRDefault="00ED446F" w:rsidP="006F7759">
    <w:pPr>
      <w:pStyle w:val="Header"/>
      <w:jc w:val="right"/>
    </w:pPr>
    <w:r>
      <w:t>Annex</w:t>
    </w:r>
    <w:r w:rsidR="003221F2">
      <w:t>e</w:t>
    </w:r>
    <w:r>
      <w:t>, page 2</w:t>
    </w:r>
  </w:p>
  <w:p w:rsidR="00ED446F" w:rsidRDefault="00ED446F" w:rsidP="00516E3D"/>
  <w:p w:rsidR="00ED446F" w:rsidRDefault="00ED446F" w:rsidP="00516E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D00754"/>
    <w:multiLevelType w:val="hybridMultilevel"/>
    <w:tmpl w:val="817858C2"/>
    <w:lvl w:ilvl="0" w:tplc="876834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7B12F9"/>
    <w:multiLevelType w:val="hybridMultilevel"/>
    <w:tmpl w:val="1810A4BA"/>
    <w:lvl w:ilvl="0" w:tplc="44F4A870">
      <w:numFmt w:val="bullet"/>
      <w:lvlText w:val="-"/>
      <w:lvlJc w:val="left"/>
      <w:pPr>
        <w:ind w:left="720" w:hanging="360"/>
      </w:pPr>
      <w:rPr>
        <w:rFonts w:ascii="Times New Roman" w:eastAsia="Times New Roman" w:hAnsi="Times New Roman" w:cs="Times New Roman" w:hint="default"/>
        <w:color w:val="333333"/>
        <w:spacing w:val="-5"/>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61F2"/>
    <w:multiLevelType w:val="hybridMultilevel"/>
    <w:tmpl w:val="81DEA1DE"/>
    <w:lvl w:ilvl="0" w:tplc="7478C236">
      <w:start w:val="1"/>
      <w:numFmt w:val="lowerRoman"/>
      <w:lvlText w:val="(%1)"/>
      <w:lvlJc w:val="left"/>
      <w:pPr>
        <w:ind w:left="1298" w:hanging="720"/>
      </w:pPr>
      <w:rPr>
        <w:rFonts w:hint="default"/>
        <w:spacing w:val="-5"/>
        <w:w w:val="99"/>
        <w:lang w:val="en-US" w:eastAsia="en-US" w:bidi="en-US"/>
      </w:rPr>
    </w:lvl>
    <w:lvl w:ilvl="1" w:tplc="44F4A870">
      <w:numFmt w:val="bullet"/>
      <w:lvlText w:val="-"/>
      <w:lvlJc w:val="left"/>
      <w:pPr>
        <w:ind w:left="1711" w:hanging="360"/>
      </w:pPr>
      <w:rPr>
        <w:rFonts w:ascii="Times New Roman" w:eastAsia="Times New Roman" w:hAnsi="Times New Roman" w:cs="Times New Roman" w:hint="default"/>
        <w:color w:val="333333"/>
        <w:spacing w:val="-5"/>
        <w:w w:val="99"/>
        <w:sz w:val="24"/>
        <w:szCs w:val="24"/>
        <w:lang w:val="en-US" w:eastAsia="en-US" w:bidi="en-US"/>
      </w:rPr>
    </w:lvl>
    <w:lvl w:ilvl="2" w:tplc="4A4C984A">
      <w:numFmt w:val="bullet"/>
      <w:lvlText w:val="•"/>
      <w:lvlJc w:val="left"/>
      <w:pPr>
        <w:ind w:left="2585" w:hanging="360"/>
      </w:pPr>
      <w:rPr>
        <w:rFonts w:hint="default"/>
        <w:lang w:val="en-US" w:eastAsia="en-US" w:bidi="en-US"/>
      </w:rPr>
    </w:lvl>
    <w:lvl w:ilvl="3" w:tplc="EFF2DE10">
      <w:numFmt w:val="bullet"/>
      <w:lvlText w:val="•"/>
      <w:lvlJc w:val="left"/>
      <w:pPr>
        <w:ind w:left="3450" w:hanging="360"/>
      </w:pPr>
      <w:rPr>
        <w:rFonts w:hint="default"/>
        <w:lang w:val="en-US" w:eastAsia="en-US" w:bidi="en-US"/>
      </w:rPr>
    </w:lvl>
    <w:lvl w:ilvl="4" w:tplc="A1A81A1A">
      <w:numFmt w:val="bullet"/>
      <w:lvlText w:val="•"/>
      <w:lvlJc w:val="left"/>
      <w:pPr>
        <w:ind w:left="4315" w:hanging="360"/>
      </w:pPr>
      <w:rPr>
        <w:rFonts w:hint="default"/>
        <w:lang w:val="en-US" w:eastAsia="en-US" w:bidi="en-US"/>
      </w:rPr>
    </w:lvl>
    <w:lvl w:ilvl="5" w:tplc="9FB097E6">
      <w:numFmt w:val="bullet"/>
      <w:lvlText w:val="•"/>
      <w:lvlJc w:val="left"/>
      <w:pPr>
        <w:ind w:left="5180" w:hanging="360"/>
      </w:pPr>
      <w:rPr>
        <w:rFonts w:hint="default"/>
        <w:lang w:val="en-US" w:eastAsia="en-US" w:bidi="en-US"/>
      </w:rPr>
    </w:lvl>
    <w:lvl w:ilvl="6" w:tplc="0088D57A">
      <w:numFmt w:val="bullet"/>
      <w:lvlText w:val="•"/>
      <w:lvlJc w:val="left"/>
      <w:pPr>
        <w:ind w:left="6045" w:hanging="360"/>
      </w:pPr>
      <w:rPr>
        <w:rFonts w:hint="default"/>
        <w:lang w:val="en-US" w:eastAsia="en-US" w:bidi="en-US"/>
      </w:rPr>
    </w:lvl>
    <w:lvl w:ilvl="7" w:tplc="4C7C9274">
      <w:numFmt w:val="bullet"/>
      <w:lvlText w:val="•"/>
      <w:lvlJc w:val="left"/>
      <w:pPr>
        <w:ind w:left="6910" w:hanging="360"/>
      </w:pPr>
      <w:rPr>
        <w:rFonts w:hint="default"/>
        <w:lang w:val="en-US" w:eastAsia="en-US" w:bidi="en-US"/>
      </w:rPr>
    </w:lvl>
    <w:lvl w:ilvl="8" w:tplc="0F940D6E">
      <w:numFmt w:val="bullet"/>
      <w:lvlText w:val="•"/>
      <w:lvlJc w:val="left"/>
      <w:pPr>
        <w:ind w:left="7776" w:hanging="360"/>
      </w:pPr>
      <w:rPr>
        <w:rFonts w:hint="default"/>
        <w:lang w:val="en-US" w:eastAsia="en-US" w:bidi="en-US"/>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E73450"/>
    <w:rsid w:val="00043CAA"/>
    <w:rsid w:val="000554C0"/>
    <w:rsid w:val="00057EBC"/>
    <w:rsid w:val="00075432"/>
    <w:rsid w:val="00087B00"/>
    <w:rsid w:val="000968ED"/>
    <w:rsid w:val="000D0321"/>
    <w:rsid w:val="000D5779"/>
    <w:rsid w:val="000F5E56"/>
    <w:rsid w:val="001108E5"/>
    <w:rsid w:val="00134491"/>
    <w:rsid w:val="001362EE"/>
    <w:rsid w:val="0015479C"/>
    <w:rsid w:val="001647D5"/>
    <w:rsid w:val="001832A6"/>
    <w:rsid w:val="0019145E"/>
    <w:rsid w:val="00195930"/>
    <w:rsid w:val="001F3BB1"/>
    <w:rsid w:val="0021217E"/>
    <w:rsid w:val="002174D6"/>
    <w:rsid w:val="00253910"/>
    <w:rsid w:val="00253911"/>
    <w:rsid w:val="002634C4"/>
    <w:rsid w:val="00274A7D"/>
    <w:rsid w:val="002928D3"/>
    <w:rsid w:val="002A76AD"/>
    <w:rsid w:val="002B671C"/>
    <w:rsid w:val="002C07E1"/>
    <w:rsid w:val="002F1FE6"/>
    <w:rsid w:val="002F4E68"/>
    <w:rsid w:val="00310EDC"/>
    <w:rsid w:val="00312F7F"/>
    <w:rsid w:val="003221F2"/>
    <w:rsid w:val="0035669B"/>
    <w:rsid w:val="00361450"/>
    <w:rsid w:val="003673CF"/>
    <w:rsid w:val="0037038B"/>
    <w:rsid w:val="00370C2A"/>
    <w:rsid w:val="003845C1"/>
    <w:rsid w:val="003A6F89"/>
    <w:rsid w:val="003B38C1"/>
    <w:rsid w:val="003E4407"/>
    <w:rsid w:val="003E5146"/>
    <w:rsid w:val="004134DA"/>
    <w:rsid w:val="00423E3E"/>
    <w:rsid w:val="00427AF4"/>
    <w:rsid w:val="004458AE"/>
    <w:rsid w:val="00450923"/>
    <w:rsid w:val="004647DA"/>
    <w:rsid w:val="00474062"/>
    <w:rsid w:val="00477D6B"/>
    <w:rsid w:val="00480E94"/>
    <w:rsid w:val="004B7C17"/>
    <w:rsid w:val="004E4310"/>
    <w:rsid w:val="005019FF"/>
    <w:rsid w:val="00507011"/>
    <w:rsid w:val="00516E3D"/>
    <w:rsid w:val="0053057A"/>
    <w:rsid w:val="0054768F"/>
    <w:rsid w:val="00560A29"/>
    <w:rsid w:val="00591B16"/>
    <w:rsid w:val="005C6649"/>
    <w:rsid w:val="005F4D44"/>
    <w:rsid w:val="0060557A"/>
    <w:rsid w:val="00605827"/>
    <w:rsid w:val="00645F3C"/>
    <w:rsid w:val="00646050"/>
    <w:rsid w:val="006666D3"/>
    <w:rsid w:val="006713CA"/>
    <w:rsid w:val="00676C5C"/>
    <w:rsid w:val="00680EED"/>
    <w:rsid w:val="006832B1"/>
    <w:rsid w:val="006D2F9C"/>
    <w:rsid w:val="006E0DD6"/>
    <w:rsid w:val="006E53F6"/>
    <w:rsid w:val="006F7759"/>
    <w:rsid w:val="0077387B"/>
    <w:rsid w:val="007C1647"/>
    <w:rsid w:val="007D1613"/>
    <w:rsid w:val="007E4C0E"/>
    <w:rsid w:val="00820FA6"/>
    <w:rsid w:val="00846851"/>
    <w:rsid w:val="008631B2"/>
    <w:rsid w:val="008A134B"/>
    <w:rsid w:val="008A771A"/>
    <w:rsid w:val="008B2CC1"/>
    <w:rsid w:val="008B60B2"/>
    <w:rsid w:val="008C1B7B"/>
    <w:rsid w:val="0090731E"/>
    <w:rsid w:val="00916EE2"/>
    <w:rsid w:val="00953FF3"/>
    <w:rsid w:val="009564B5"/>
    <w:rsid w:val="00966A22"/>
    <w:rsid w:val="0096722F"/>
    <w:rsid w:val="00972E14"/>
    <w:rsid w:val="009775B5"/>
    <w:rsid w:val="00980843"/>
    <w:rsid w:val="009A4858"/>
    <w:rsid w:val="009E2791"/>
    <w:rsid w:val="009E3F6F"/>
    <w:rsid w:val="009F499F"/>
    <w:rsid w:val="00A37342"/>
    <w:rsid w:val="00A42DAF"/>
    <w:rsid w:val="00A45BD8"/>
    <w:rsid w:val="00A60F59"/>
    <w:rsid w:val="00A869B7"/>
    <w:rsid w:val="00AC205C"/>
    <w:rsid w:val="00AD7800"/>
    <w:rsid w:val="00AF0A6B"/>
    <w:rsid w:val="00B05A69"/>
    <w:rsid w:val="00B27789"/>
    <w:rsid w:val="00B436AE"/>
    <w:rsid w:val="00B7677D"/>
    <w:rsid w:val="00B85D0F"/>
    <w:rsid w:val="00B95C0F"/>
    <w:rsid w:val="00B9734B"/>
    <w:rsid w:val="00BA30E2"/>
    <w:rsid w:val="00BB1F02"/>
    <w:rsid w:val="00BC2A71"/>
    <w:rsid w:val="00BE1F3C"/>
    <w:rsid w:val="00BE2BD4"/>
    <w:rsid w:val="00C002D5"/>
    <w:rsid w:val="00C071CE"/>
    <w:rsid w:val="00C11BFE"/>
    <w:rsid w:val="00C15AB6"/>
    <w:rsid w:val="00C5068F"/>
    <w:rsid w:val="00C86D74"/>
    <w:rsid w:val="00C9737C"/>
    <w:rsid w:val="00CC46F0"/>
    <w:rsid w:val="00CD04F1"/>
    <w:rsid w:val="00D0745A"/>
    <w:rsid w:val="00D35452"/>
    <w:rsid w:val="00D373CA"/>
    <w:rsid w:val="00D45252"/>
    <w:rsid w:val="00D71B4D"/>
    <w:rsid w:val="00D81714"/>
    <w:rsid w:val="00D87FCD"/>
    <w:rsid w:val="00D93D55"/>
    <w:rsid w:val="00DC7D73"/>
    <w:rsid w:val="00DD40C1"/>
    <w:rsid w:val="00DE2B50"/>
    <w:rsid w:val="00DF6E0F"/>
    <w:rsid w:val="00E15015"/>
    <w:rsid w:val="00E335FE"/>
    <w:rsid w:val="00E424B3"/>
    <w:rsid w:val="00E701C7"/>
    <w:rsid w:val="00E73450"/>
    <w:rsid w:val="00E926A8"/>
    <w:rsid w:val="00EA7D6E"/>
    <w:rsid w:val="00EC4E49"/>
    <w:rsid w:val="00ED446F"/>
    <w:rsid w:val="00ED77FB"/>
    <w:rsid w:val="00EE45FA"/>
    <w:rsid w:val="00F1612B"/>
    <w:rsid w:val="00F23F27"/>
    <w:rsid w:val="00F61E3F"/>
    <w:rsid w:val="00F66152"/>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6099432F-6471-4938-9D56-9F1907F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link w:val="DecisionInvitingParaChar"/>
    <w:semiHidden/>
    <w:rsid w:val="00E73450"/>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E73450"/>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E73450"/>
    <w:rPr>
      <w:rFonts w:ascii="Arial" w:hAnsi="Arial"/>
      <w:i/>
      <w:lang w:val="en-US" w:eastAsia="en-US"/>
    </w:rPr>
  </w:style>
  <w:style w:type="paragraph" w:styleId="ListParagraph">
    <w:name w:val="List Paragraph"/>
    <w:basedOn w:val="Normal"/>
    <w:uiPriority w:val="34"/>
    <w:qFormat/>
    <w:rsid w:val="00E73450"/>
    <w:pPr>
      <w:ind w:left="720"/>
      <w:contextualSpacing/>
    </w:pPr>
  </w:style>
  <w:style w:type="paragraph" w:customStyle="1" w:styleId="Default">
    <w:name w:val="Default"/>
    <w:rsid w:val="00253911"/>
    <w:pPr>
      <w:autoSpaceDE w:val="0"/>
      <w:autoSpaceDN w:val="0"/>
      <w:adjustRightInd w:val="0"/>
    </w:pPr>
    <w:rPr>
      <w:color w:val="000000"/>
      <w:sz w:val="24"/>
      <w:szCs w:val="24"/>
      <w:lang w:val="en-US"/>
    </w:rPr>
  </w:style>
  <w:style w:type="paragraph" w:styleId="BalloonText">
    <w:name w:val="Balloon Text"/>
    <w:basedOn w:val="Normal"/>
    <w:link w:val="BalloonTextChar"/>
    <w:semiHidden/>
    <w:unhideWhenUsed/>
    <w:rsid w:val="003E4407"/>
    <w:rPr>
      <w:rFonts w:ascii="Segoe UI" w:hAnsi="Segoe UI" w:cs="Segoe UI"/>
      <w:sz w:val="18"/>
      <w:szCs w:val="18"/>
    </w:rPr>
  </w:style>
  <w:style w:type="character" w:customStyle="1" w:styleId="BalloonTextChar">
    <w:name w:val="Balloon Text Char"/>
    <w:basedOn w:val="DefaultParagraphFont"/>
    <w:link w:val="BalloonText"/>
    <w:semiHidden/>
    <w:rsid w:val="003E4407"/>
    <w:rPr>
      <w:rFonts w:ascii="Segoe UI" w:eastAsia="SimSun" w:hAnsi="Segoe UI" w:cs="Segoe UI"/>
      <w:sz w:val="18"/>
      <w:szCs w:val="18"/>
      <w:lang w:val="en-US" w:eastAsia="zh-CN"/>
    </w:rPr>
  </w:style>
  <w:style w:type="character" w:styleId="Hyperlink">
    <w:name w:val="Hyperlink"/>
    <w:basedOn w:val="DefaultParagraphFont"/>
    <w:unhideWhenUsed/>
    <w:rsid w:val="003E4407"/>
    <w:rPr>
      <w:color w:val="0000FF" w:themeColor="hyperlink"/>
      <w:u w:val="single"/>
    </w:rPr>
  </w:style>
  <w:style w:type="character" w:customStyle="1" w:styleId="BodyTextChar">
    <w:name w:val="Body Text Char"/>
    <w:basedOn w:val="DefaultParagraphFont"/>
    <w:link w:val="BodyText"/>
    <w:uiPriority w:val="1"/>
    <w:rsid w:val="00BC2A71"/>
    <w:rPr>
      <w:rFonts w:ascii="Arial" w:eastAsia="SimSun" w:hAnsi="Arial" w:cs="Arial"/>
      <w:sz w:val="22"/>
      <w:lang w:val="en-US" w:eastAsia="zh-CN"/>
    </w:rPr>
  </w:style>
  <w:style w:type="paragraph" w:customStyle="1" w:styleId="TableParagraph">
    <w:name w:val="Table Paragraph"/>
    <w:basedOn w:val="Normal"/>
    <w:uiPriority w:val="1"/>
    <w:qFormat/>
    <w:rsid w:val="00BC2A71"/>
    <w:pPr>
      <w:widowControl w:val="0"/>
      <w:autoSpaceDE w:val="0"/>
      <w:autoSpaceDN w:val="0"/>
      <w:spacing w:line="256" w:lineRule="exact"/>
      <w:ind w:left="108"/>
    </w:pPr>
    <w:rPr>
      <w:rFonts w:ascii="Times New Roman" w:eastAsia="Times New Roman" w:hAnsi="Times New Roman" w:cs="Times New Roman"/>
      <w:szCs w:val="22"/>
      <w:lang w:eastAsia="en-US" w:bidi="en-US"/>
    </w:rPr>
  </w:style>
  <w:style w:type="character" w:customStyle="1" w:styleId="HeaderChar">
    <w:name w:val="Header Char"/>
    <w:basedOn w:val="DefaultParagraphFont"/>
    <w:link w:val="Header"/>
    <w:uiPriority w:val="99"/>
    <w:rsid w:val="00BC2A71"/>
    <w:rPr>
      <w:rFonts w:ascii="Arial" w:eastAsia="SimSun" w:hAnsi="Arial" w:cs="Arial"/>
      <w:sz w:val="22"/>
      <w:lang w:val="en-US" w:eastAsia="zh-CN"/>
    </w:rPr>
  </w:style>
  <w:style w:type="character" w:customStyle="1" w:styleId="FooterChar">
    <w:name w:val="Footer Char"/>
    <w:basedOn w:val="DefaultParagraphFont"/>
    <w:link w:val="Footer"/>
    <w:uiPriority w:val="99"/>
    <w:rsid w:val="00BC2A71"/>
    <w:rPr>
      <w:rFonts w:ascii="Arial" w:eastAsia="SimSun" w:hAnsi="Arial" w:cs="Arial"/>
      <w:sz w:val="22"/>
      <w:lang w:val="en-US" w:eastAsia="zh-CN"/>
    </w:rPr>
  </w:style>
  <w:style w:type="table" w:styleId="TableGrid">
    <w:name w:val="Table Grid"/>
    <w:basedOn w:val="TableNormal"/>
    <w:uiPriority w:val="39"/>
    <w:rsid w:val="00ED446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ED446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ED4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213905">
      <w:bodyDiv w:val="1"/>
      <w:marLeft w:val="0"/>
      <w:marRight w:val="0"/>
      <w:marTop w:val="0"/>
      <w:marBottom w:val="0"/>
      <w:divBdr>
        <w:top w:val="none" w:sz="0" w:space="0" w:color="auto"/>
        <w:left w:val="none" w:sz="0" w:space="0" w:color="auto"/>
        <w:bottom w:val="none" w:sz="0" w:space="0" w:color="auto"/>
        <w:right w:val="none" w:sz="0" w:space="0" w:color="auto"/>
      </w:divBdr>
    </w:div>
    <w:div w:id="568998215">
      <w:bodyDiv w:val="1"/>
      <w:marLeft w:val="0"/>
      <w:marRight w:val="0"/>
      <w:marTop w:val="0"/>
      <w:marBottom w:val="0"/>
      <w:divBdr>
        <w:top w:val="none" w:sz="0" w:space="0" w:color="auto"/>
        <w:left w:val="none" w:sz="0" w:space="0" w:color="auto"/>
        <w:bottom w:val="none" w:sz="0" w:space="0" w:color="auto"/>
        <w:right w:val="none" w:sz="0" w:space="0" w:color="auto"/>
      </w:divBdr>
    </w:div>
    <w:div w:id="203433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1973-323B-43E7-8A8F-1C73BD45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24 (E)</Template>
  <TotalTime>1</TotalTime>
  <Pages>2</Pages>
  <Words>1037</Words>
  <Characters>5798</Characters>
  <Application>Microsoft Office Word</Application>
  <DocSecurity>0</DocSecurity>
  <Lines>99</Lines>
  <Paragraphs>34</Paragraphs>
  <ScaleCrop>false</ScaleCrop>
  <HeadingPairs>
    <vt:vector size="2" baseType="variant">
      <vt:variant>
        <vt:lpstr>Title</vt:lpstr>
      </vt:variant>
      <vt:variant>
        <vt:i4>1</vt:i4>
      </vt:variant>
    </vt:vector>
  </HeadingPairs>
  <TitlesOfParts>
    <vt:vector size="1" baseType="lpstr">
      <vt:lpstr>CDIP/24/14</vt:lpstr>
    </vt:vector>
  </TitlesOfParts>
  <Manager>Irfan Baloch</Manager>
  <Company>WIPO</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CDIP/24/14</dc:title>
  <dc:subject>Accreditation of Observers</dc:subject>
  <dc:creator>ESTEVES DOS SANTOS Anabela</dc:creator>
  <cp:keywords>FOR OFFICIAL USE ONLY</cp:keywords>
  <dc:description/>
  <cp:lastModifiedBy>ESTEVES DOS SANTOS Anabela</cp:lastModifiedBy>
  <cp:revision>2</cp:revision>
  <cp:lastPrinted>2019-10-25T08:50:00Z</cp:lastPrinted>
  <dcterms:created xsi:type="dcterms:W3CDTF">2019-10-25T13:28:00Z</dcterms:created>
  <dcterms:modified xsi:type="dcterms:W3CDTF">2019-10-25T13:28:00Z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0969ef14-348a-4151-a8f3-4b08fdfe5442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