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D05DF" w:rsidRPr="00DD05DF" w:rsidTr="00F17ED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D05DF" w:rsidRPr="00DD05DF" w:rsidRDefault="00DD05DF" w:rsidP="00F17EDB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05DF" w:rsidRPr="00DD05DF" w:rsidRDefault="00DD05DF" w:rsidP="00F17EDB">
            <w:pPr>
              <w:rPr>
                <w:lang w:val="fr-FR"/>
              </w:rPr>
            </w:pPr>
            <w:r w:rsidRPr="00DD05DF">
              <w:rPr>
                <w:noProof/>
                <w:lang w:eastAsia="en-US"/>
              </w:rPr>
              <w:drawing>
                <wp:inline distT="0" distB="0" distL="0" distR="0" wp14:anchorId="3A822168" wp14:editId="2D48710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05DF" w:rsidRPr="00DD05DF" w:rsidRDefault="00DD05DF" w:rsidP="00F17EDB">
            <w:pPr>
              <w:jc w:val="right"/>
              <w:rPr>
                <w:lang w:val="fr-FR"/>
              </w:rPr>
            </w:pPr>
            <w:r w:rsidRPr="00DD05D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D05DF" w:rsidRPr="00DD05DF" w:rsidTr="00F17ED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D05DF" w:rsidRPr="00DD05DF" w:rsidRDefault="00DD05DF" w:rsidP="00F17ED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D05DF">
              <w:rPr>
                <w:rFonts w:ascii="Arial Black" w:hAnsi="Arial Black"/>
                <w:caps/>
                <w:sz w:val="15"/>
                <w:lang w:val="fr-FR"/>
              </w:rPr>
              <w:t>CDIP/24/</w:t>
            </w:r>
            <w:bookmarkStart w:id="2" w:name="Code"/>
            <w:bookmarkEnd w:id="2"/>
            <w:r w:rsidRPr="00DD05DF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  <w:tr w:rsidR="00DD05DF" w:rsidRPr="00DD05DF" w:rsidTr="00F17ED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D05DF" w:rsidRPr="00DD05DF" w:rsidRDefault="00DD05DF" w:rsidP="00F17ED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D05D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5561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D05D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DD05DF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DD05DF" w:rsidRPr="00DD05DF" w:rsidTr="00F17ED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D05DF" w:rsidRPr="00DD05DF" w:rsidRDefault="00DD05DF" w:rsidP="00DD05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D05D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5561D">
              <w:rPr>
                <w:rFonts w:ascii="Arial Black" w:hAnsi="Arial Black"/>
                <w:caps/>
                <w:sz w:val="15"/>
                <w:lang w:val="fr-FR"/>
              </w:rPr>
              <w:t> : 1</w:t>
            </w:r>
            <w:r w:rsidR="00A5561D" w:rsidRPr="00A5561D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A5561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E374BC" w:rsidRPr="00DD05DF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="00E374B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E374BC" w:rsidRPr="00DD05DF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DD05DF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4F0465" w:rsidRDefault="004F0465" w:rsidP="00DD05DF">
      <w:pPr>
        <w:rPr>
          <w:lang w:val="fr-FR"/>
        </w:rPr>
      </w:pPr>
    </w:p>
    <w:p w:rsidR="004F0465" w:rsidRDefault="004F0465" w:rsidP="00DD05DF">
      <w:pPr>
        <w:rPr>
          <w:lang w:val="fr-FR"/>
        </w:rPr>
      </w:pPr>
    </w:p>
    <w:p w:rsidR="004F0465" w:rsidRDefault="004F0465" w:rsidP="00DD05DF">
      <w:pPr>
        <w:rPr>
          <w:lang w:val="fr-FR"/>
        </w:rPr>
      </w:pPr>
    </w:p>
    <w:p w:rsidR="004F0465" w:rsidRDefault="004F0465" w:rsidP="00DD05DF">
      <w:pPr>
        <w:rPr>
          <w:lang w:val="fr-FR"/>
        </w:rPr>
      </w:pPr>
    </w:p>
    <w:p w:rsidR="004F0465" w:rsidRDefault="004F0465" w:rsidP="00DD05DF">
      <w:pPr>
        <w:rPr>
          <w:lang w:val="fr-FR"/>
        </w:rPr>
      </w:pPr>
    </w:p>
    <w:p w:rsidR="004F0465" w:rsidRDefault="00DD05DF" w:rsidP="00DD05DF">
      <w:pPr>
        <w:rPr>
          <w:b/>
          <w:sz w:val="28"/>
          <w:szCs w:val="28"/>
          <w:lang w:val="fr-FR"/>
        </w:rPr>
      </w:pPr>
      <w:r w:rsidRPr="00DD05DF">
        <w:rPr>
          <w:b/>
          <w:sz w:val="28"/>
          <w:szCs w:val="28"/>
          <w:lang w:val="fr-FR"/>
        </w:rPr>
        <w:t>Comité du développement et de la propriété intellectuelle (CDIP)</w:t>
      </w:r>
    </w:p>
    <w:p w:rsidR="004F0465" w:rsidRDefault="004F0465" w:rsidP="00DD05DF">
      <w:pPr>
        <w:rPr>
          <w:lang w:val="fr-FR"/>
        </w:rPr>
      </w:pPr>
    </w:p>
    <w:p w:rsidR="004F0465" w:rsidRDefault="004F0465" w:rsidP="00DD05DF">
      <w:pPr>
        <w:rPr>
          <w:lang w:val="fr-FR"/>
        </w:rPr>
      </w:pPr>
    </w:p>
    <w:p w:rsidR="004F0465" w:rsidRDefault="00DD05DF" w:rsidP="00DD05DF">
      <w:pPr>
        <w:rPr>
          <w:b/>
          <w:sz w:val="24"/>
          <w:szCs w:val="24"/>
          <w:lang w:val="fr-FR"/>
        </w:rPr>
      </w:pPr>
      <w:r w:rsidRPr="00DD05DF">
        <w:rPr>
          <w:b/>
          <w:sz w:val="24"/>
          <w:szCs w:val="24"/>
          <w:lang w:val="fr-FR"/>
        </w:rPr>
        <w:t>Vingt</w:t>
      </w:r>
      <w:r w:rsidR="00A5561D">
        <w:rPr>
          <w:b/>
          <w:sz w:val="24"/>
          <w:szCs w:val="24"/>
          <w:lang w:val="fr-FR"/>
        </w:rPr>
        <w:t>-</w:t>
      </w:r>
      <w:r w:rsidRPr="00DD05DF">
        <w:rPr>
          <w:b/>
          <w:sz w:val="24"/>
          <w:szCs w:val="24"/>
          <w:lang w:val="fr-FR"/>
        </w:rPr>
        <w:t>quatr</w:t>
      </w:r>
      <w:r w:rsidR="00A5561D">
        <w:rPr>
          <w:b/>
          <w:sz w:val="24"/>
          <w:szCs w:val="24"/>
          <w:lang w:val="fr-FR"/>
        </w:rPr>
        <w:t>ième session</w:t>
      </w:r>
    </w:p>
    <w:p w:rsidR="004F0465" w:rsidRDefault="00DD05DF" w:rsidP="00DD05DF">
      <w:pPr>
        <w:rPr>
          <w:b/>
          <w:sz w:val="24"/>
          <w:szCs w:val="24"/>
          <w:lang w:val="fr-FR"/>
        </w:rPr>
      </w:pPr>
      <w:r w:rsidRPr="00DD05DF">
        <w:rPr>
          <w:b/>
          <w:sz w:val="24"/>
          <w:szCs w:val="24"/>
          <w:lang w:val="fr-FR"/>
        </w:rPr>
        <w:t>Genève, 18 – 22 novembre 2019</w:t>
      </w:r>
    </w:p>
    <w:p w:rsidR="004F0465" w:rsidRDefault="004F0465" w:rsidP="00DD05DF">
      <w:pPr>
        <w:rPr>
          <w:lang w:val="fr-FR"/>
        </w:rPr>
      </w:pPr>
    </w:p>
    <w:p w:rsidR="004F0465" w:rsidRDefault="004F0465" w:rsidP="00DD05DF">
      <w:pPr>
        <w:rPr>
          <w:lang w:val="fr-FR"/>
        </w:rPr>
      </w:pPr>
    </w:p>
    <w:p w:rsidR="004F0465" w:rsidRDefault="004F0465" w:rsidP="00DD05DF">
      <w:pPr>
        <w:rPr>
          <w:lang w:val="fr-FR"/>
        </w:rPr>
      </w:pPr>
    </w:p>
    <w:p w:rsidR="004F0465" w:rsidRDefault="004F0465" w:rsidP="004F0465">
      <w:pPr>
        <w:rPr>
          <w:caps/>
          <w:sz w:val="24"/>
          <w:lang w:val="fr-FR"/>
        </w:rPr>
      </w:pPr>
      <w:r w:rsidRPr="004F0465">
        <w:rPr>
          <w:caps/>
          <w:color w:val="000000"/>
          <w:sz w:val="24"/>
          <w:lang w:val="fr-FR"/>
        </w:rPr>
        <w:t xml:space="preserve">Compte rendu de la Conférence internationale </w:t>
      </w:r>
      <w:r w:rsidR="008F42BF" w:rsidRPr="004F0465">
        <w:rPr>
          <w:caps/>
          <w:color w:val="000000"/>
          <w:sz w:val="24"/>
          <w:lang w:val="fr-FR"/>
        </w:rPr>
        <w:t>à l</w:t>
      </w:r>
      <w:r w:rsidR="00A5561D">
        <w:rPr>
          <w:caps/>
          <w:color w:val="000000"/>
          <w:sz w:val="24"/>
          <w:lang w:val="fr-FR"/>
        </w:rPr>
        <w:t>’</w:t>
      </w:r>
      <w:r w:rsidR="008F42BF" w:rsidRPr="004F0465">
        <w:rPr>
          <w:caps/>
          <w:color w:val="000000"/>
          <w:sz w:val="24"/>
          <w:lang w:val="fr-FR"/>
        </w:rPr>
        <w:t>intention des pays les moins avancés et des pays en développemen</w:t>
      </w:r>
      <w:r w:rsidR="008F42BF">
        <w:rPr>
          <w:caps/>
          <w:color w:val="000000"/>
          <w:sz w:val="24"/>
          <w:lang w:val="fr-FR"/>
        </w:rPr>
        <w:t>t</w:t>
      </w:r>
      <w:r w:rsidR="008F42BF" w:rsidRPr="004F0465">
        <w:rPr>
          <w:caps/>
          <w:color w:val="000000"/>
          <w:sz w:val="24"/>
          <w:lang w:val="fr-FR"/>
        </w:rPr>
        <w:t xml:space="preserve"> </w:t>
      </w:r>
      <w:r w:rsidRPr="004F0465">
        <w:rPr>
          <w:caps/>
          <w:color w:val="000000"/>
          <w:sz w:val="24"/>
          <w:lang w:val="fr-FR"/>
        </w:rPr>
        <w:t>sur le droit d</w:t>
      </w:r>
      <w:r w:rsidR="00A5561D">
        <w:rPr>
          <w:caps/>
          <w:color w:val="000000"/>
          <w:sz w:val="24"/>
          <w:lang w:val="fr-FR"/>
        </w:rPr>
        <w:t>’</w:t>
      </w:r>
      <w:r w:rsidRPr="004F0465">
        <w:rPr>
          <w:caps/>
          <w:color w:val="000000"/>
          <w:sz w:val="24"/>
          <w:lang w:val="fr-FR"/>
        </w:rPr>
        <w:t>auteur et la gestion de l</w:t>
      </w:r>
      <w:r w:rsidR="00A5561D">
        <w:rPr>
          <w:caps/>
          <w:color w:val="000000"/>
          <w:sz w:val="24"/>
          <w:lang w:val="fr-FR"/>
        </w:rPr>
        <w:t>’</w:t>
      </w:r>
      <w:r w:rsidRPr="004F0465">
        <w:rPr>
          <w:caps/>
          <w:color w:val="000000"/>
          <w:sz w:val="24"/>
          <w:lang w:val="fr-FR"/>
        </w:rPr>
        <w:t>information émanant du secteur public</w:t>
      </w:r>
    </w:p>
    <w:p w:rsidR="004F0465" w:rsidRDefault="004F0465" w:rsidP="00D11415">
      <w:pPr>
        <w:rPr>
          <w:lang w:val="fr-FR"/>
        </w:rPr>
      </w:pPr>
    </w:p>
    <w:p w:rsidR="004F0465" w:rsidRDefault="004F0465" w:rsidP="004F0465">
      <w:pPr>
        <w:rPr>
          <w:i/>
          <w:lang w:val="fr-FR"/>
        </w:rPr>
      </w:pPr>
      <w:bookmarkStart w:id="4" w:name="Prepared"/>
      <w:bookmarkEnd w:id="4"/>
      <w:proofErr w:type="gramStart"/>
      <w:r w:rsidRPr="00D9796B">
        <w:rPr>
          <w:i/>
          <w:lang w:val="fr-FR"/>
        </w:rPr>
        <w:t>établi</w:t>
      </w:r>
      <w:proofErr w:type="gramEnd"/>
      <w:r w:rsidRPr="00D9796B">
        <w:rPr>
          <w:i/>
          <w:lang w:val="fr-FR"/>
        </w:rPr>
        <w:t xml:space="preserve"> par le Secrétariat</w:t>
      </w:r>
    </w:p>
    <w:p w:rsidR="004F0465" w:rsidRDefault="004F0465" w:rsidP="00D11415">
      <w:pPr>
        <w:rPr>
          <w:i/>
          <w:lang w:val="fr-FR"/>
        </w:rPr>
      </w:pPr>
    </w:p>
    <w:p w:rsidR="004F0465" w:rsidRDefault="004F0465" w:rsidP="00D11415">
      <w:pPr>
        <w:rPr>
          <w:lang w:val="fr-FR"/>
        </w:rPr>
      </w:pPr>
    </w:p>
    <w:p w:rsidR="004F0465" w:rsidRDefault="004F0465" w:rsidP="00D11415">
      <w:pPr>
        <w:rPr>
          <w:lang w:val="fr-FR"/>
        </w:rPr>
      </w:pPr>
    </w:p>
    <w:p w:rsidR="004F0465" w:rsidRDefault="004F0465" w:rsidP="00D11415">
      <w:pPr>
        <w:rPr>
          <w:lang w:val="fr-FR"/>
        </w:rPr>
      </w:pPr>
    </w:p>
    <w:p w:rsidR="004F0465" w:rsidRDefault="004F0465" w:rsidP="00D11415">
      <w:pPr>
        <w:rPr>
          <w:lang w:val="fr-FR"/>
        </w:rPr>
      </w:pPr>
    </w:p>
    <w:p w:rsidR="00E374BC" w:rsidRDefault="00D11415" w:rsidP="00D11415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t>1.</w:t>
      </w:r>
      <w:r w:rsidRPr="00DD05DF">
        <w:rPr>
          <w:rFonts w:eastAsia="Times New Roman"/>
          <w:szCs w:val="22"/>
          <w:lang w:val="fr-FR" w:eastAsia="en-US"/>
        </w:rPr>
        <w:tab/>
      </w:r>
      <w:r w:rsidR="004F0465">
        <w:rPr>
          <w:rFonts w:eastAsia="Times New Roman"/>
          <w:szCs w:val="22"/>
          <w:lang w:val="fr-FR" w:eastAsia="en-US"/>
        </w:rPr>
        <w:t>Une</w:t>
      </w:r>
      <w:r w:rsidRPr="00DD05DF">
        <w:rPr>
          <w:rFonts w:eastAsia="Times New Roman"/>
          <w:szCs w:val="22"/>
          <w:lang w:val="fr-FR" w:eastAsia="en-US"/>
        </w:rPr>
        <w:t xml:space="preserve"> “</w:t>
      </w:r>
      <w:r w:rsidR="004F0465">
        <w:rPr>
          <w:rFonts w:eastAsia="Times New Roman"/>
          <w:szCs w:val="22"/>
          <w:lang w:val="fr-FR" w:eastAsia="en-US"/>
        </w:rPr>
        <w:t xml:space="preserve">Conférence internationale </w:t>
      </w:r>
      <w:r w:rsidR="008F42BF">
        <w:rPr>
          <w:rFonts w:eastAsia="Times New Roman"/>
          <w:szCs w:val="22"/>
          <w:lang w:val="fr-FR" w:eastAsia="en-US"/>
        </w:rPr>
        <w:t>à l</w:t>
      </w:r>
      <w:r w:rsidR="00A5561D">
        <w:rPr>
          <w:rFonts w:eastAsia="Times New Roman"/>
          <w:szCs w:val="22"/>
          <w:lang w:val="fr-FR" w:eastAsia="en-US"/>
        </w:rPr>
        <w:t>’</w:t>
      </w:r>
      <w:r w:rsidR="008F42BF">
        <w:rPr>
          <w:rFonts w:eastAsia="Times New Roman"/>
          <w:szCs w:val="22"/>
          <w:lang w:val="fr-FR" w:eastAsia="en-US"/>
        </w:rPr>
        <w:t xml:space="preserve">intention des pays les moins avancés et des pays en développement </w:t>
      </w:r>
      <w:r w:rsidR="004F0465">
        <w:rPr>
          <w:rFonts w:eastAsia="Times New Roman"/>
          <w:szCs w:val="22"/>
          <w:lang w:val="fr-FR" w:eastAsia="en-US"/>
        </w:rPr>
        <w:t>sur le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4F0465">
        <w:rPr>
          <w:rFonts w:eastAsia="Times New Roman"/>
          <w:szCs w:val="22"/>
          <w:lang w:val="fr-FR" w:eastAsia="en-US"/>
        </w:rPr>
        <w:t>auteur et la gestion de l</w:t>
      </w:r>
      <w:r w:rsidR="00A5561D">
        <w:rPr>
          <w:rFonts w:eastAsia="Times New Roman"/>
          <w:szCs w:val="22"/>
          <w:lang w:val="fr-FR" w:eastAsia="en-US"/>
        </w:rPr>
        <w:t>’</w:t>
      </w:r>
      <w:r w:rsidR="004F0465">
        <w:rPr>
          <w:rFonts w:eastAsia="Times New Roman"/>
          <w:szCs w:val="22"/>
          <w:lang w:val="fr-FR" w:eastAsia="en-US"/>
        </w:rPr>
        <w:t>information émanant du secteur public</w:t>
      </w:r>
      <w:r w:rsidR="00911A91" w:rsidRPr="00DD05DF">
        <w:rPr>
          <w:rFonts w:eastAsia="Times New Roman"/>
          <w:szCs w:val="22"/>
          <w:lang w:val="fr-FR" w:eastAsia="en-US"/>
        </w:rPr>
        <w:t>”</w:t>
      </w:r>
      <w:r w:rsidR="004F0465">
        <w:rPr>
          <w:rFonts w:eastAsia="Times New Roman"/>
          <w:szCs w:val="22"/>
          <w:lang w:val="fr-FR" w:eastAsia="en-US"/>
        </w:rPr>
        <w:t xml:space="preserve"> s</w:t>
      </w:r>
      <w:r w:rsidR="00A5561D">
        <w:rPr>
          <w:rFonts w:eastAsia="Times New Roman"/>
          <w:szCs w:val="22"/>
          <w:lang w:val="fr-FR" w:eastAsia="en-US"/>
        </w:rPr>
        <w:t>’</w:t>
      </w:r>
      <w:r w:rsidR="004F0465">
        <w:rPr>
          <w:rFonts w:eastAsia="Times New Roman"/>
          <w:szCs w:val="22"/>
          <w:lang w:val="fr-FR" w:eastAsia="en-US"/>
        </w:rPr>
        <w:t>est tenue le 1</w:t>
      </w:r>
      <w:r w:rsidR="00E374BC">
        <w:rPr>
          <w:rFonts w:eastAsia="Times New Roman"/>
          <w:szCs w:val="22"/>
          <w:lang w:val="fr-FR" w:eastAsia="en-US"/>
        </w:rPr>
        <w:t>4 juin 20</w:t>
      </w:r>
      <w:r w:rsidR="004F0465">
        <w:rPr>
          <w:rFonts w:eastAsia="Times New Roman"/>
          <w:szCs w:val="22"/>
          <w:lang w:val="fr-FR" w:eastAsia="en-US"/>
        </w:rPr>
        <w:t>19 à Nairobi (Kenya)</w:t>
      </w:r>
      <w:r w:rsidRPr="00DD05DF">
        <w:rPr>
          <w:rFonts w:eastAsia="Times New Roman"/>
          <w:szCs w:val="22"/>
          <w:lang w:val="fr-FR" w:eastAsia="en-US"/>
        </w:rPr>
        <w:t>.</w:t>
      </w:r>
    </w:p>
    <w:p w:rsidR="004F0465" w:rsidRDefault="00D11415" w:rsidP="00D11415">
      <w:pPr>
        <w:tabs>
          <w:tab w:val="left" w:pos="860"/>
        </w:tabs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tab/>
      </w:r>
    </w:p>
    <w:p w:rsidR="004F0465" w:rsidRDefault="00D11415" w:rsidP="00D11415">
      <w:pPr>
        <w:rPr>
          <w:szCs w:val="22"/>
          <w:lang w:val="fr-FR"/>
        </w:rPr>
      </w:pPr>
      <w:r w:rsidRPr="00DD05DF">
        <w:rPr>
          <w:rFonts w:eastAsia="Times New Roman"/>
          <w:szCs w:val="22"/>
          <w:lang w:val="fr-FR" w:eastAsia="en-US"/>
        </w:rPr>
        <w:t>2.</w:t>
      </w:r>
      <w:r w:rsidRPr="00DD05DF">
        <w:rPr>
          <w:rFonts w:eastAsia="Times New Roman"/>
          <w:szCs w:val="22"/>
          <w:lang w:val="fr-FR" w:eastAsia="en-US"/>
        </w:rPr>
        <w:tab/>
      </w:r>
      <w:r w:rsidR="000D789C">
        <w:rPr>
          <w:rFonts w:eastAsia="Times New Roman"/>
          <w:szCs w:val="22"/>
          <w:lang w:val="fr-FR" w:eastAsia="en-US"/>
        </w:rPr>
        <w:t>Il est rappelé que l</w:t>
      </w:r>
      <w:r w:rsidR="00A5561D">
        <w:rPr>
          <w:rFonts w:eastAsia="Times New Roman"/>
          <w:szCs w:val="22"/>
          <w:lang w:val="fr-FR" w:eastAsia="en-US"/>
        </w:rPr>
        <w:t>’</w:t>
      </w:r>
      <w:r w:rsidR="000D789C">
        <w:rPr>
          <w:rFonts w:eastAsia="Times New Roman"/>
          <w:szCs w:val="22"/>
          <w:lang w:val="fr-FR" w:eastAsia="en-US"/>
        </w:rPr>
        <w:t xml:space="preserve">organisation de cette conférence internationale était prévue dans la </w:t>
      </w:r>
      <w:r w:rsidRPr="00DD05DF">
        <w:rPr>
          <w:rFonts w:eastAsia="Times New Roman"/>
          <w:szCs w:val="22"/>
          <w:lang w:val="fr-FR" w:eastAsia="en-US"/>
        </w:rPr>
        <w:t>“</w:t>
      </w:r>
      <w:r w:rsidR="000D789C">
        <w:rPr>
          <w:rFonts w:eastAsia="Times New Roman"/>
          <w:szCs w:val="22"/>
          <w:lang w:val="fr-FR" w:eastAsia="en-US"/>
        </w:rPr>
        <w:t>Proposition révisée de mise en œuvre par l</w:t>
      </w:r>
      <w:r w:rsidR="00A5561D">
        <w:rPr>
          <w:rFonts w:eastAsia="Times New Roman"/>
          <w:szCs w:val="22"/>
          <w:lang w:val="fr-FR" w:eastAsia="en-US"/>
        </w:rPr>
        <w:t>’</w:t>
      </w:r>
      <w:r w:rsidR="000D789C">
        <w:rPr>
          <w:rFonts w:eastAsia="Times New Roman"/>
          <w:szCs w:val="22"/>
          <w:lang w:val="fr-FR" w:eastAsia="en-US"/>
        </w:rPr>
        <w:t>OMPI de nouvelles activités dans le domaine de l</w:t>
      </w:r>
      <w:r w:rsidR="00A5561D">
        <w:rPr>
          <w:rFonts w:eastAsia="Times New Roman"/>
          <w:szCs w:val="22"/>
          <w:lang w:val="fr-FR" w:eastAsia="en-US"/>
        </w:rPr>
        <w:t>’</w:t>
      </w:r>
      <w:r w:rsidR="000D789C">
        <w:rPr>
          <w:rFonts w:eastAsia="Times New Roman"/>
          <w:szCs w:val="22"/>
          <w:lang w:val="fr-FR" w:eastAsia="en-US"/>
        </w:rPr>
        <w:t>utilisation du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0D789C">
        <w:rPr>
          <w:rFonts w:eastAsia="Times New Roman"/>
          <w:szCs w:val="22"/>
          <w:lang w:val="fr-FR" w:eastAsia="en-US"/>
        </w:rPr>
        <w:t>auteur pour promouvoir l</w:t>
      </w:r>
      <w:r w:rsidR="00A5561D">
        <w:rPr>
          <w:rFonts w:eastAsia="Times New Roman"/>
          <w:szCs w:val="22"/>
          <w:lang w:val="fr-FR" w:eastAsia="en-US"/>
        </w:rPr>
        <w:t>’</w:t>
      </w:r>
      <w:r w:rsidR="000D789C">
        <w:rPr>
          <w:rFonts w:eastAsia="Times New Roman"/>
          <w:szCs w:val="22"/>
          <w:lang w:val="fr-FR" w:eastAsia="en-US"/>
        </w:rPr>
        <w:t>accès à l</w:t>
      </w:r>
      <w:r w:rsidR="00A5561D">
        <w:rPr>
          <w:rFonts w:eastAsia="Times New Roman"/>
          <w:szCs w:val="22"/>
          <w:lang w:val="fr-FR" w:eastAsia="en-US"/>
        </w:rPr>
        <w:t>’</w:t>
      </w:r>
      <w:r w:rsidR="000D789C">
        <w:rPr>
          <w:rFonts w:eastAsia="Times New Roman"/>
          <w:szCs w:val="22"/>
          <w:lang w:val="fr-FR" w:eastAsia="en-US"/>
        </w:rPr>
        <w:t>information et aux contenus créatifs</w:t>
      </w:r>
      <w:r w:rsidRPr="00DD05DF">
        <w:rPr>
          <w:rFonts w:eastAsia="Times New Roman"/>
          <w:szCs w:val="22"/>
          <w:lang w:val="fr-FR" w:eastAsia="en-US"/>
        </w:rPr>
        <w:t>” (</w:t>
      </w:r>
      <w:r w:rsidR="00A5561D">
        <w:rPr>
          <w:rFonts w:eastAsia="Times New Roman"/>
          <w:szCs w:val="22"/>
          <w:lang w:val="fr-FR" w:eastAsia="en-US"/>
        </w:rPr>
        <w:t>document</w:t>
      </w:r>
      <w:r w:rsidR="00713EC2">
        <w:rPr>
          <w:rFonts w:eastAsia="Times New Roman"/>
          <w:szCs w:val="22"/>
          <w:lang w:val="fr-FR" w:eastAsia="en-US"/>
        </w:rPr>
        <w:t> </w:t>
      </w:r>
      <w:r w:rsidR="00A5561D" w:rsidRPr="00DD05DF">
        <w:rPr>
          <w:rFonts w:eastAsia="Times New Roman"/>
          <w:szCs w:val="22"/>
          <w:lang w:val="fr-FR" w:eastAsia="en-US"/>
        </w:rPr>
        <w:t>CD</w:t>
      </w:r>
      <w:r w:rsidRPr="00DD05DF">
        <w:rPr>
          <w:rFonts w:eastAsia="Times New Roman"/>
          <w:szCs w:val="22"/>
          <w:lang w:val="fr-FR" w:eastAsia="en-US"/>
        </w:rPr>
        <w:t xml:space="preserve">IP/13/11) </w:t>
      </w:r>
      <w:r w:rsidR="000D789C">
        <w:rPr>
          <w:rFonts w:eastAsia="Times New Roman"/>
          <w:szCs w:val="22"/>
          <w:lang w:val="fr-FR" w:eastAsia="en-US"/>
        </w:rPr>
        <w:t>et a été approuvée par les États membres durant la dix</w:t>
      </w:r>
      <w:r w:rsidR="00A5561D">
        <w:rPr>
          <w:rFonts w:eastAsia="Times New Roman"/>
          <w:szCs w:val="22"/>
          <w:lang w:val="fr-FR" w:eastAsia="en-US"/>
        </w:rPr>
        <w:t>-</w:t>
      </w:r>
      <w:r w:rsidR="000D789C">
        <w:rPr>
          <w:rFonts w:eastAsia="Times New Roman"/>
          <w:szCs w:val="22"/>
          <w:lang w:val="fr-FR" w:eastAsia="en-US"/>
        </w:rPr>
        <w:t>neuvième du Comité du développement et de la propriété intellectuelle (CDIP)</w:t>
      </w:r>
      <w:r w:rsidRPr="00DD05DF">
        <w:rPr>
          <w:szCs w:val="22"/>
          <w:lang w:val="fr-FR"/>
        </w:rPr>
        <w:t>.</w:t>
      </w:r>
      <w:r w:rsidRPr="00DD05DF">
        <w:rPr>
          <w:rFonts w:eastAsia="Times New Roman"/>
          <w:szCs w:val="22"/>
          <w:lang w:val="fr-FR" w:eastAsia="en-US"/>
        </w:rPr>
        <w:t xml:space="preserve">  </w:t>
      </w:r>
      <w:r w:rsidR="000D789C">
        <w:rPr>
          <w:rFonts w:eastAsia="Times New Roman"/>
          <w:szCs w:val="22"/>
          <w:lang w:val="fr-FR" w:eastAsia="en-US"/>
        </w:rPr>
        <w:t>L</w:t>
      </w:r>
      <w:r w:rsidR="00A5561D">
        <w:rPr>
          <w:rFonts w:eastAsia="Times New Roman"/>
          <w:szCs w:val="22"/>
          <w:lang w:val="fr-FR" w:eastAsia="en-US"/>
        </w:rPr>
        <w:t>’</w:t>
      </w:r>
      <w:r w:rsidR="000D789C">
        <w:rPr>
          <w:rFonts w:eastAsia="Times New Roman"/>
          <w:szCs w:val="22"/>
          <w:lang w:val="fr-FR" w:eastAsia="en-US"/>
        </w:rPr>
        <w:t>objectif fondamental de cette conférence internationale était de sensibiliser certains PMA et pays en développement</w:t>
      </w:r>
      <w:r w:rsidR="00841685">
        <w:rPr>
          <w:rFonts w:eastAsia="Times New Roman"/>
          <w:szCs w:val="22"/>
          <w:lang w:val="fr-FR" w:eastAsia="en-US"/>
        </w:rPr>
        <w:t xml:space="preserve"> aux</w:t>
      </w:r>
      <w:r w:rsidR="000D789C">
        <w:rPr>
          <w:rFonts w:eastAsia="Times New Roman"/>
          <w:szCs w:val="22"/>
          <w:lang w:val="fr-FR" w:eastAsia="en-US"/>
        </w:rPr>
        <w:t xml:space="preserve"> questions relatives à l</w:t>
      </w:r>
      <w:r w:rsidR="00A5561D">
        <w:rPr>
          <w:rFonts w:eastAsia="Times New Roman"/>
          <w:szCs w:val="22"/>
          <w:lang w:val="fr-FR" w:eastAsia="en-US"/>
        </w:rPr>
        <w:t>’</w:t>
      </w:r>
      <w:r w:rsidR="000D789C">
        <w:rPr>
          <w:rFonts w:eastAsia="Times New Roman"/>
          <w:szCs w:val="22"/>
          <w:lang w:val="fr-FR" w:eastAsia="en-US"/>
        </w:rPr>
        <w:t>information émanant du secteur public et au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0D789C">
        <w:rPr>
          <w:rFonts w:eastAsia="Times New Roman"/>
          <w:szCs w:val="22"/>
          <w:lang w:val="fr-FR" w:eastAsia="en-US"/>
        </w:rPr>
        <w:t>auteur</w:t>
      </w:r>
      <w:r w:rsidRPr="00DD05DF">
        <w:rPr>
          <w:rFonts w:eastAsia="Times New Roman"/>
          <w:szCs w:val="22"/>
          <w:lang w:val="fr-FR" w:eastAsia="en-US"/>
        </w:rPr>
        <w:t>.</w:t>
      </w:r>
    </w:p>
    <w:p w:rsidR="004F0465" w:rsidRDefault="004F0465" w:rsidP="00D11415">
      <w:pPr>
        <w:rPr>
          <w:rFonts w:eastAsia="Times New Roman"/>
          <w:szCs w:val="22"/>
          <w:lang w:val="fr-FR" w:eastAsia="en-US"/>
        </w:rPr>
      </w:pPr>
    </w:p>
    <w:p w:rsidR="00E374BC" w:rsidRDefault="00D11415" w:rsidP="00D11415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t>3.</w:t>
      </w:r>
      <w:r w:rsidRPr="00DD05DF">
        <w:rPr>
          <w:rFonts w:eastAsia="Times New Roman"/>
          <w:szCs w:val="22"/>
          <w:lang w:val="fr-FR" w:eastAsia="en-US"/>
        </w:rPr>
        <w:tab/>
      </w:r>
      <w:r w:rsidR="00A95A16">
        <w:rPr>
          <w:rFonts w:eastAsia="Times New Roman"/>
          <w:szCs w:val="22"/>
          <w:lang w:val="fr-FR" w:eastAsia="en-US"/>
        </w:rPr>
        <w:t>L</w:t>
      </w:r>
      <w:r w:rsidR="00A5561D">
        <w:rPr>
          <w:rFonts w:eastAsia="Times New Roman"/>
          <w:szCs w:val="22"/>
          <w:lang w:val="fr-FR" w:eastAsia="en-US"/>
        </w:rPr>
        <w:t>’</w:t>
      </w:r>
      <w:r w:rsidR="00A95A16">
        <w:rPr>
          <w:rFonts w:eastAsia="Times New Roman"/>
          <w:szCs w:val="22"/>
          <w:lang w:val="fr-FR" w:eastAsia="en-US"/>
        </w:rPr>
        <w:t>annexe du présent document contient le compte rendu de la conférence international</w:t>
      </w:r>
      <w:r w:rsidR="007D2747">
        <w:rPr>
          <w:rFonts w:eastAsia="Times New Roman"/>
          <w:szCs w:val="22"/>
          <w:lang w:val="fr-FR" w:eastAsia="en-US"/>
        </w:rPr>
        <w:t>e</w:t>
      </w:r>
      <w:r w:rsidR="00C629C0">
        <w:rPr>
          <w:rFonts w:eastAsia="Times New Roman"/>
          <w:szCs w:val="22"/>
          <w:lang w:val="fr-FR" w:eastAsia="en-US"/>
        </w:rPr>
        <w:t>,</w:t>
      </w:r>
      <w:r w:rsidR="007D2747">
        <w:rPr>
          <w:rFonts w:eastAsia="Times New Roman"/>
          <w:szCs w:val="22"/>
          <w:lang w:val="fr-FR" w:eastAsia="en-US"/>
        </w:rPr>
        <w:t xml:space="preserve"> </w:t>
      </w:r>
      <w:r w:rsidR="00A95A16">
        <w:rPr>
          <w:rFonts w:eastAsia="Times New Roman"/>
          <w:szCs w:val="22"/>
          <w:lang w:val="fr-FR" w:eastAsia="en-US"/>
        </w:rPr>
        <w:t>ainsi qu</w:t>
      </w:r>
      <w:r w:rsidR="00A5561D">
        <w:rPr>
          <w:rFonts w:eastAsia="Times New Roman"/>
          <w:szCs w:val="22"/>
          <w:lang w:val="fr-FR" w:eastAsia="en-US"/>
        </w:rPr>
        <w:t>’</w:t>
      </w:r>
      <w:r w:rsidR="00A95A16">
        <w:rPr>
          <w:rFonts w:eastAsia="Times New Roman"/>
          <w:szCs w:val="22"/>
          <w:lang w:val="fr-FR" w:eastAsia="en-US"/>
        </w:rPr>
        <w:t xml:space="preserve">une synthèse des délibérations </w:t>
      </w:r>
      <w:r w:rsidR="00836305">
        <w:rPr>
          <w:rFonts w:eastAsia="Times New Roman"/>
          <w:szCs w:val="22"/>
          <w:lang w:val="fr-FR" w:eastAsia="en-US"/>
        </w:rPr>
        <w:t>sur chacun des thèmes traités</w:t>
      </w:r>
      <w:r w:rsidRPr="00DD05DF">
        <w:rPr>
          <w:rFonts w:eastAsia="Times New Roman"/>
          <w:szCs w:val="22"/>
          <w:lang w:val="fr-FR" w:eastAsia="en-US"/>
        </w:rPr>
        <w:t>.</w:t>
      </w:r>
    </w:p>
    <w:p w:rsidR="004F0465" w:rsidRDefault="004F0465" w:rsidP="00A95A16">
      <w:pPr>
        <w:tabs>
          <w:tab w:val="left" w:pos="2907"/>
        </w:tabs>
        <w:rPr>
          <w:rFonts w:eastAsia="Times New Roman"/>
          <w:szCs w:val="22"/>
          <w:lang w:val="fr-FR" w:eastAsia="en-US"/>
        </w:rPr>
      </w:pPr>
    </w:p>
    <w:p w:rsidR="004F0465" w:rsidRDefault="00D11415" w:rsidP="00D11415">
      <w:pPr>
        <w:tabs>
          <w:tab w:val="left" w:pos="567"/>
        </w:tabs>
        <w:ind w:left="5534"/>
        <w:rPr>
          <w:i/>
          <w:lang w:val="fr-FR"/>
        </w:rPr>
      </w:pPr>
      <w:r w:rsidRPr="00DD05DF">
        <w:rPr>
          <w:i/>
          <w:iCs/>
          <w:szCs w:val="22"/>
          <w:lang w:val="fr-FR"/>
        </w:rPr>
        <w:t xml:space="preserve">4. </w:t>
      </w:r>
      <w:r w:rsidR="003524A9">
        <w:rPr>
          <w:i/>
          <w:iCs/>
          <w:szCs w:val="22"/>
          <w:lang w:val="fr-FR"/>
        </w:rPr>
        <w:t xml:space="preserve"> </w:t>
      </w:r>
      <w:r w:rsidRPr="00DD05DF">
        <w:rPr>
          <w:i/>
          <w:iCs/>
          <w:szCs w:val="22"/>
          <w:lang w:val="fr-FR"/>
        </w:rPr>
        <w:tab/>
      </w:r>
      <w:r w:rsidR="00A95A16">
        <w:rPr>
          <w:i/>
          <w:iCs/>
          <w:szCs w:val="22"/>
          <w:lang w:val="fr-FR"/>
        </w:rPr>
        <w:t>Le CDIP est invité à prendre note des informations figurant dans l</w:t>
      </w:r>
      <w:r w:rsidR="00A5561D">
        <w:rPr>
          <w:i/>
          <w:iCs/>
          <w:szCs w:val="22"/>
          <w:lang w:val="fr-FR"/>
        </w:rPr>
        <w:t>’</w:t>
      </w:r>
      <w:r w:rsidR="00A95A16">
        <w:rPr>
          <w:i/>
          <w:iCs/>
          <w:szCs w:val="22"/>
          <w:lang w:val="fr-FR"/>
        </w:rPr>
        <w:t>annexe du présent document</w:t>
      </w:r>
      <w:r w:rsidRPr="00DD05DF">
        <w:rPr>
          <w:i/>
          <w:lang w:val="fr-FR"/>
        </w:rPr>
        <w:t>.</w:t>
      </w:r>
    </w:p>
    <w:p w:rsidR="004F0465" w:rsidRDefault="004F0465" w:rsidP="00D11415">
      <w:pPr>
        <w:ind w:left="5534"/>
        <w:rPr>
          <w:lang w:val="fr-FR"/>
        </w:rPr>
      </w:pPr>
    </w:p>
    <w:p w:rsidR="004F0465" w:rsidRDefault="00D11415" w:rsidP="00633369">
      <w:pPr>
        <w:ind w:left="5534"/>
        <w:rPr>
          <w:rFonts w:eastAsia="Times New Roman"/>
          <w:b/>
          <w:szCs w:val="22"/>
          <w:lang w:val="fr-FR" w:eastAsia="en-US"/>
        </w:rPr>
      </w:pPr>
      <w:r w:rsidRPr="00DD05DF">
        <w:rPr>
          <w:lang w:val="fr-FR"/>
        </w:rPr>
        <w:t>[</w:t>
      </w:r>
      <w:r w:rsidR="00A95A16">
        <w:rPr>
          <w:lang w:val="fr-FR"/>
        </w:rPr>
        <w:t>L</w:t>
      </w:r>
      <w:r w:rsidR="00A5561D">
        <w:rPr>
          <w:lang w:val="fr-FR"/>
        </w:rPr>
        <w:t>’</w:t>
      </w:r>
      <w:r w:rsidR="00A95A16">
        <w:rPr>
          <w:lang w:val="fr-FR"/>
        </w:rPr>
        <w:t>annexe suit</w:t>
      </w:r>
      <w:r w:rsidRPr="00DD05DF">
        <w:rPr>
          <w:lang w:val="fr-FR"/>
        </w:rPr>
        <w:t>]</w:t>
      </w:r>
    </w:p>
    <w:p w:rsidR="0035776B" w:rsidRPr="00DD05DF" w:rsidRDefault="0035776B" w:rsidP="004640A7">
      <w:pPr>
        <w:jc w:val="both"/>
        <w:rPr>
          <w:rFonts w:eastAsia="Times New Roman"/>
          <w:b/>
          <w:szCs w:val="22"/>
          <w:lang w:val="fr-FR" w:eastAsia="en-US"/>
        </w:rPr>
        <w:sectPr w:rsidR="0035776B" w:rsidRPr="00DD05DF" w:rsidSect="00800B8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4F0465" w:rsidRDefault="00EE759B" w:rsidP="00F34508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lastRenderedPageBreak/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Pr="00DD05DF">
        <w:rPr>
          <w:rFonts w:eastAsia="Times New Roman"/>
          <w:szCs w:val="22"/>
          <w:lang w:val="fr-FR" w:eastAsia="en-US"/>
        </w:rPr>
        <w:tab/>
      </w:r>
      <w:r w:rsidR="00911A91">
        <w:rPr>
          <w:rFonts w:eastAsia="Times New Roman"/>
          <w:szCs w:val="22"/>
          <w:lang w:val="fr-FR" w:eastAsia="en-US"/>
        </w:rPr>
        <w:t>L</w:t>
      </w:r>
      <w:r w:rsidR="00A5561D">
        <w:rPr>
          <w:rFonts w:eastAsia="Times New Roman"/>
          <w:szCs w:val="22"/>
          <w:lang w:val="fr-FR" w:eastAsia="en-US"/>
        </w:rPr>
        <w:t>’</w:t>
      </w:r>
      <w:r w:rsidR="00911A91">
        <w:rPr>
          <w:rFonts w:eastAsia="Times New Roman"/>
          <w:szCs w:val="22"/>
          <w:lang w:val="fr-FR" w:eastAsia="en-US"/>
        </w:rPr>
        <w:t>organisation de la</w:t>
      </w:r>
      <w:r w:rsidR="00F34508" w:rsidRPr="00DD05DF">
        <w:rPr>
          <w:rFonts w:eastAsia="Times New Roman"/>
          <w:szCs w:val="22"/>
          <w:lang w:val="fr-FR" w:eastAsia="en-US"/>
        </w:rPr>
        <w:t xml:space="preserve"> </w:t>
      </w:r>
      <w:r w:rsidR="004266AF" w:rsidRPr="00DD05DF">
        <w:rPr>
          <w:rFonts w:eastAsia="Times New Roman"/>
          <w:szCs w:val="22"/>
          <w:lang w:val="fr-FR" w:eastAsia="en-US"/>
        </w:rPr>
        <w:t>“</w:t>
      </w:r>
      <w:r w:rsidR="00911A91">
        <w:rPr>
          <w:rFonts w:eastAsia="Times New Roman"/>
          <w:szCs w:val="22"/>
          <w:lang w:val="fr-FR" w:eastAsia="en-US"/>
        </w:rPr>
        <w:t xml:space="preserve">Conférence internationale </w:t>
      </w:r>
      <w:r w:rsidR="008F42BF">
        <w:rPr>
          <w:rFonts w:eastAsia="Times New Roman"/>
          <w:szCs w:val="22"/>
          <w:lang w:val="fr-FR" w:eastAsia="en-US"/>
        </w:rPr>
        <w:t>à l</w:t>
      </w:r>
      <w:r w:rsidR="00A5561D">
        <w:rPr>
          <w:rFonts w:eastAsia="Times New Roman"/>
          <w:szCs w:val="22"/>
          <w:lang w:val="fr-FR" w:eastAsia="en-US"/>
        </w:rPr>
        <w:t>’</w:t>
      </w:r>
      <w:r w:rsidR="008F42BF">
        <w:rPr>
          <w:rFonts w:eastAsia="Times New Roman"/>
          <w:szCs w:val="22"/>
          <w:lang w:val="fr-FR" w:eastAsia="en-US"/>
        </w:rPr>
        <w:t xml:space="preserve">intention des pays les moins avancés et des pays en développement </w:t>
      </w:r>
      <w:r w:rsidR="00911A91">
        <w:rPr>
          <w:rFonts w:eastAsia="Times New Roman"/>
          <w:szCs w:val="22"/>
          <w:lang w:val="fr-FR" w:eastAsia="en-US"/>
        </w:rPr>
        <w:t>sur le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911A91">
        <w:rPr>
          <w:rFonts w:eastAsia="Times New Roman"/>
          <w:szCs w:val="22"/>
          <w:lang w:val="fr-FR" w:eastAsia="en-US"/>
        </w:rPr>
        <w:t>auteur et la gestion de l</w:t>
      </w:r>
      <w:r w:rsidR="00A5561D">
        <w:rPr>
          <w:rFonts w:eastAsia="Times New Roman"/>
          <w:szCs w:val="22"/>
          <w:lang w:val="fr-FR" w:eastAsia="en-US"/>
        </w:rPr>
        <w:t>’</w:t>
      </w:r>
      <w:r w:rsidR="00911A91">
        <w:rPr>
          <w:rFonts w:eastAsia="Times New Roman"/>
          <w:szCs w:val="22"/>
          <w:lang w:val="fr-FR" w:eastAsia="en-US"/>
        </w:rPr>
        <w:t>inform</w:t>
      </w:r>
      <w:r w:rsidR="008F42BF">
        <w:rPr>
          <w:rFonts w:eastAsia="Times New Roman"/>
          <w:szCs w:val="22"/>
          <w:lang w:val="fr-FR" w:eastAsia="en-US"/>
        </w:rPr>
        <w:t>ation émanant du secteur public</w:t>
      </w:r>
      <w:r w:rsidR="004266AF" w:rsidRPr="00DD05DF">
        <w:rPr>
          <w:rFonts w:eastAsia="Times New Roman"/>
          <w:szCs w:val="22"/>
          <w:lang w:val="fr-FR" w:eastAsia="en-US"/>
        </w:rPr>
        <w:t>”</w:t>
      </w:r>
      <w:r w:rsidR="00F34508" w:rsidRPr="00DD05DF">
        <w:rPr>
          <w:rFonts w:eastAsia="Times New Roman"/>
          <w:szCs w:val="22"/>
          <w:lang w:val="fr-FR" w:eastAsia="en-US"/>
        </w:rPr>
        <w:t xml:space="preserve"> (</w:t>
      </w:r>
      <w:r w:rsidR="00911A91">
        <w:rPr>
          <w:rFonts w:eastAsia="Times New Roman"/>
          <w:szCs w:val="22"/>
          <w:lang w:val="fr-FR" w:eastAsia="en-US"/>
        </w:rPr>
        <w:t>ci</w:t>
      </w:r>
      <w:r w:rsidR="00A5561D">
        <w:rPr>
          <w:rFonts w:eastAsia="Times New Roman"/>
          <w:szCs w:val="22"/>
          <w:lang w:val="fr-FR" w:eastAsia="en-US"/>
        </w:rPr>
        <w:t>-</w:t>
      </w:r>
      <w:r w:rsidR="00911A91">
        <w:rPr>
          <w:rFonts w:eastAsia="Times New Roman"/>
          <w:szCs w:val="22"/>
          <w:lang w:val="fr-FR" w:eastAsia="en-US"/>
        </w:rPr>
        <w:t xml:space="preserve">après dénommée </w:t>
      </w:r>
      <w:r w:rsidR="00F34508" w:rsidRPr="00DD05DF">
        <w:rPr>
          <w:rFonts w:eastAsia="Times New Roman"/>
          <w:szCs w:val="22"/>
          <w:lang w:val="fr-FR" w:eastAsia="en-US"/>
        </w:rPr>
        <w:t>“</w:t>
      </w:r>
      <w:r w:rsidR="00911A91">
        <w:rPr>
          <w:rFonts w:eastAsia="Times New Roman"/>
          <w:szCs w:val="22"/>
          <w:lang w:val="fr-FR" w:eastAsia="en-US"/>
        </w:rPr>
        <w:t>conférence internationale</w:t>
      </w:r>
      <w:r w:rsidR="00F34508" w:rsidRPr="00DD05DF">
        <w:rPr>
          <w:rFonts w:eastAsia="Times New Roman"/>
          <w:szCs w:val="22"/>
          <w:lang w:val="fr-FR" w:eastAsia="en-US"/>
        </w:rPr>
        <w:t xml:space="preserve">”) </w:t>
      </w:r>
      <w:r w:rsidR="00911A91">
        <w:rPr>
          <w:rFonts w:eastAsia="Times New Roman"/>
          <w:szCs w:val="22"/>
          <w:lang w:val="fr-FR" w:eastAsia="en-US"/>
        </w:rPr>
        <w:t xml:space="preserve">était prévue dans la </w:t>
      </w:r>
      <w:r w:rsidR="00911A91" w:rsidRPr="00DD05DF">
        <w:rPr>
          <w:rFonts w:eastAsia="Times New Roman"/>
          <w:szCs w:val="22"/>
          <w:lang w:val="fr-FR" w:eastAsia="en-US"/>
        </w:rPr>
        <w:t>“</w:t>
      </w:r>
      <w:r w:rsidR="00911A91">
        <w:rPr>
          <w:rFonts w:eastAsia="Times New Roman"/>
          <w:szCs w:val="22"/>
          <w:lang w:val="fr-FR" w:eastAsia="en-US"/>
        </w:rPr>
        <w:t>Proposition révisée de mise en œuvre par l</w:t>
      </w:r>
      <w:r w:rsidR="00A5561D">
        <w:rPr>
          <w:rFonts w:eastAsia="Times New Roman"/>
          <w:szCs w:val="22"/>
          <w:lang w:val="fr-FR" w:eastAsia="en-US"/>
        </w:rPr>
        <w:t>’</w:t>
      </w:r>
      <w:r w:rsidR="00911A91">
        <w:rPr>
          <w:rFonts w:eastAsia="Times New Roman"/>
          <w:szCs w:val="22"/>
          <w:lang w:val="fr-FR" w:eastAsia="en-US"/>
        </w:rPr>
        <w:t>OMPI de nouvelles activités dans le domaine de l</w:t>
      </w:r>
      <w:r w:rsidR="00A5561D">
        <w:rPr>
          <w:rFonts w:eastAsia="Times New Roman"/>
          <w:szCs w:val="22"/>
          <w:lang w:val="fr-FR" w:eastAsia="en-US"/>
        </w:rPr>
        <w:t>’</w:t>
      </w:r>
      <w:r w:rsidR="00911A91">
        <w:rPr>
          <w:rFonts w:eastAsia="Times New Roman"/>
          <w:szCs w:val="22"/>
          <w:lang w:val="fr-FR" w:eastAsia="en-US"/>
        </w:rPr>
        <w:t>utilisation du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911A91">
        <w:rPr>
          <w:rFonts w:eastAsia="Times New Roman"/>
          <w:szCs w:val="22"/>
          <w:lang w:val="fr-FR" w:eastAsia="en-US"/>
        </w:rPr>
        <w:t>auteur pour promouvoir l</w:t>
      </w:r>
      <w:r w:rsidR="00A5561D">
        <w:rPr>
          <w:rFonts w:eastAsia="Times New Roman"/>
          <w:szCs w:val="22"/>
          <w:lang w:val="fr-FR" w:eastAsia="en-US"/>
        </w:rPr>
        <w:t>’</w:t>
      </w:r>
      <w:r w:rsidR="00911A91">
        <w:rPr>
          <w:rFonts w:eastAsia="Times New Roman"/>
          <w:szCs w:val="22"/>
          <w:lang w:val="fr-FR" w:eastAsia="en-US"/>
        </w:rPr>
        <w:t>accès à l</w:t>
      </w:r>
      <w:r w:rsidR="00A5561D">
        <w:rPr>
          <w:rFonts w:eastAsia="Times New Roman"/>
          <w:szCs w:val="22"/>
          <w:lang w:val="fr-FR" w:eastAsia="en-US"/>
        </w:rPr>
        <w:t>’</w:t>
      </w:r>
      <w:r w:rsidR="00911A91">
        <w:rPr>
          <w:rFonts w:eastAsia="Times New Roman"/>
          <w:szCs w:val="22"/>
          <w:lang w:val="fr-FR" w:eastAsia="en-US"/>
        </w:rPr>
        <w:t>information et aux contenus créatifs</w:t>
      </w:r>
      <w:r w:rsidR="00911A91" w:rsidRPr="00DD05DF">
        <w:rPr>
          <w:rFonts w:eastAsia="Times New Roman"/>
          <w:szCs w:val="22"/>
          <w:lang w:val="fr-FR" w:eastAsia="en-US"/>
        </w:rPr>
        <w:t>” (</w:t>
      </w:r>
      <w:r w:rsidR="00A5561D">
        <w:rPr>
          <w:rFonts w:eastAsia="Times New Roman"/>
          <w:szCs w:val="22"/>
          <w:lang w:val="fr-FR" w:eastAsia="en-US"/>
        </w:rPr>
        <w:t>document</w:t>
      </w:r>
      <w:r w:rsidR="00713EC2">
        <w:rPr>
          <w:rFonts w:eastAsia="Times New Roman"/>
          <w:szCs w:val="22"/>
          <w:lang w:val="fr-FR" w:eastAsia="en-US"/>
        </w:rPr>
        <w:t> </w:t>
      </w:r>
      <w:r w:rsidR="00A5561D" w:rsidRPr="00DD05DF">
        <w:rPr>
          <w:rFonts w:eastAsia="Times New Roman"/>
          <w:szCs w:val="22"/>
          <w:lang w:val="fr-FR" w:eastAsia="en-US"/>
        </w:rPr>
        <w:t>CD</w:t>
      </w:r>
      <w:r w:rsidR="00911A91" w:rsidRPr="00DD05DF">
        <w:rPr>
          <w:rFonts w:eastAsia="Times New Roman"/>
          <w:szCs w:val="22"/>
          <w:lang w:val="fr-FR" w:eastAsia="en-US"/>
        </w:rPr>
        <w:t>IP/13/11)</w:t>
      </w:r>
      <w:r w:rsidR="00F34508" w:rsidRPr="00DD05DF">
        <w:rPr>
          <w:rFonts w:eastAsia="Times New Roman"/>
          <w:szCs w:val="22"/>
          <w:vertAlign w:val="superscript"/>
          <w:lang w:val="fr-FR" w:eastAsia="en-US"/>
        </w:rPr>
        <w:footnoteReference w:id="2"/>
      </w:r>
      <w:r w:rsidR="00F34508" w:rsidRPr="00DD05DF">
        <w:rPr>
          <w:rFonts w:eastAsia="Times New Roman"/>
          <w:szCs w:val="22"/>
          <w:lang w:val="fr-FR" w:eastAsia="en-US"/>
        </w:rPr>
        <w:t xml:space="preserve"> </w:t>
      </w:r>
      <w:r w:rsidR="00911A91">
        <w:rPr>
          <w:rFonts w:eastAsia="Times New Roman"/>
          <w:szCs w:val="22"/>
          <w:lang w:val="fr-FR" w:eastAsia="en-US"/>
        </w:rPr>
        <w:t>et a été examinée, puis approuvée, par les États membres durant la dix</w:t>
      </w:r>
      <w:r w:rsidR="00A5561D">
        <w:rPr>
          <w:rFonts w:eastAsia="Times New Roman"/>
          <w:szCs w:val="22"/>
          <w:lang w:val="fr-FR" w:eastAsia="en-US"/>
        </w:rPr>
        <w:t>-</w:t>
      </w:r>
      <w:r w:rsidR="00911A91">
        <w:rPr>
          <w:rFonts w:eastAsia="Times New Roman"/>
          <w:szCs w:val="22"/>
          <w:lang w:val="fr-FR" w:eastAsia="en-US"/>
        </w:rPr>
        <w:t>neuv</w:t>
      </w:r>
      <w:r w:rsidR="00A5561D">
        <w:rPr>
          <w:rFonts w:eastAsia="Times New Roman"/>
          <w:szCs w:val="22"/>
          <w:lang w:val="fr-FR" w:eastAsia="en-US"/>
        </w:rPr>
        <w:t>ième session</w:t>
      </w:r>
      <w:r w:rsidR="00911A91">
        <w:rPr>
          <w:rFonts w:eastAsia="Times New Roman"/>
          <w:szCs w:val="22"/>
          <w:lang w:val="fr-FR" w:eastAsia="en-US"/>
        </w:rPr>
        <w:t xml:space="preserve"> du Comité du développement et de la propriété intellectuelle</w:t>
      </w:r>
      <w:r w:rsidR="00F34508" w:rsidRPr="00DD05DF">
        <w:rPr>
          <w:rFonts w:eastAsia="Times New Roman"/>
          <w:szCs w:val="22"/>
          <w:lang w:val="fr-FR" w:eastAsia="en-US"/>
        </w:rPr>
        <w:t xml:space="preserve"> (CDIP).</w:t>
      </w:r>
    </w:p>
    <w:p w:rsidR="004F0465" w:rsidRDefault="004F0465" w:rsidP="00F34508">
      <w:pPr>
        <w:rPr>
          <w:rFonts w:eastAsia="Times New Roman"/>
          <w:szCs w:val="22"/>
          <w:lang w:val="fr-FR" w:eastAsia="en-US"/>
        </w:rPr>
      </w:pPr>
    </w:p>
    <w:p w:rsidR="004F0465" w:rsidRDefault="004266AF" w:rsidP="00F34508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Pr="00DD05DF">
        <w:rPr>
          <w:rFonts w:eastAsia="Times New Roman"/>
          <w:szCs w:val="22"/>
          <w:lang w:val="fr-FR" w:eastAsia="en-US"/>
        </w:rPr>
        <w:tab/>
      </w:r>
      <w:r w:rsidR="00D623A4">
        <w:rPr>
          <w:rFonts w:eastAsia="Times New Roman"/>
          <w:szCs w:val="22"/>
          <w:lang w:val="fr-FR" w:eastAsia="en-US"/>
        </w:rPr>
        <w:t>Cette conférence internationale s</w:t>
      </w:r>
      <w:r w:rsidR="00A5561D">
        <w:rPr>
          <w:rFonts w:eastAsia="Times New Roman"/>
          <w:szCs w:val="22"/>
          <w:lang w:val="fr-FR" w:eastAsia="en-US"/>
        </w:rPr>
        <w:t>’</w:t>
      </w:r>
      <w:r w:rsidR="00D623A4">
        <w:rPr>
          <w:rFonts w:eastAsia="Times New Roman"/>
          <w:szCs w:val="22"/>
          <w:lang w:val="fr-FR" w:eastAsia="en-US"/>
        </w:rPr>
        <w:t>est tenue le 1</w:t>
      </w:r>
      <w:r w:rsidR="00E374BC">
        <w:rPr>
          <w:rFonts w:eastAsia="Times New Roman"/>
          <w:szCs w:val="22"/>
          <w:lang w:val="fr-FR" w:eastAsia="en-US"/>
        </w:rPr>
        <w:t>4 juin 20</w:t>
      </w:r>
      <w:r w:rsidR="00D623A4">
        <w:rPr>
          <w:rFonts w:eastAsia="Times New Roman"/>
          <w:szCs w:val="22"/>
          <w:lang w:val="fr-FR" w:eastAsia="en-US"/>
        </w:rPr>
        <w:t>19 à Nairobi (</w:t>
      </w:r>
      <w:r w:rsidRPr="00DD05DF">
        <w:rPr>
          <w:rFonts w:eastAsia="Times New Roman"/>
          <w:szCs w:val="22"/>
          <w:lang w:val="fr-FR" w:eastAsia="en-US"/>
        </w:rPr>
        <w:t>Kenya</w:t>
      </w:r>
      <w:r w:rsidR="00D623A4">
        <w:rPr>
          <w:rFonts w:eastAsia="Times New Roman"/>
          <w:szCs w:val="22"/>
          <w:lang w:val="fr-FR" w:eastAsia="en-US"/>
        </w:rPr>
        <w:t>) et a été organisée en collaboration avec le Bureau kényan du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D623A4">
        <w:rPr>
          <w:rFonts w:eastAsia="Times New Roman"/>
          <w:szCs w:val="22"/>
          <w:lang w:val="fr-FR" w:eastAsia="en-US"/>
        </w:rPr>
        <w:t>auteur</w:t>
      </w:r>
      <w:r w:rsidR="00C57D2D" w:rsidRPr="00DD05DF">
        <w:rPr>
          <w:rFonts w:eastAsia="Times New Roman"/>
          <w:szCs w:val="22"/>
          <w:lang w:val="fr-FR" w:eastAsia="en-US"/>
        </w:rPr>
        <w:t xml:space="preserve"> (KECOBO). </w:t>
      </w:r>
      <w:r w:rsidRPr="00DD05DF">
        <w:rPr>
          <w:rFonts w:eastAsia="Times New Roman"/>
          <w:szCs w:val="22"/>
          <w:lang w:val="fr-FR" w:eastAsia="en-US"/>
        </w:rPr>
        <w:t xml:space="preserve"> </w:t>
      </w:r>
      <w:r w:rsidR="008F42BF">
        <w:rPr>
          <w:rFonts w:eastAsia="Times New Roman"/>
          <w:szCs w:val="22"/>
          <w:lang w:val="fr-FR" w:eastAsia="en-US"/>
        </w:rPr>
        <w:t xml:space="preserve">Pour des raisons de rentabilité et de gestion du temps, la conférence internationale a été organisée à la suite du </w:t>
      </w:r>
      <w:r w:rsidR="00F34508" w:rsidRPr="00DD05DF">
        <w:rPr>
          <w:rFonts w:eastAsia="Times New Roman"/>
          <w:szCs w:val="22"/>
          <w:lang w:val="fr-FR" w:eastAsia="en-US"/>
        </w:rPr>
        <w:t>“</w:t>
      </w:r>
      <w:r w:rsidR="008F42BF">
        <w:rPr>
          <w:rFonts w:eastAsia="Times New Roman"/>
          <w:szCs w:val="22"/>
          <w:lang w:val="fr-FR" w:eastAsia="en-US"/>
        </w:rPr>
        <w:t xml:space="preserve">Séminaire régional </w:t>
      </w:r>
      <w:r w:rsidR="003C5540">
        <w:rPr>
          <w:rFonts w:eastAsia="Times New Roman"/>
          <w:szCs w:val="22"/>
          <w:lang w:val="fr-FR" w:eastAsia="en-US"/>
        </w:rPr>
        <w:t>à l</w:t>
      </w:r>
      <w:r w:rsidR="00A5561D">
        <w:rPr>
          <w:rFonts w:eastAsia="Times New Roman"/>
          <w:szCs w:val="22"/>
          <w:lang w:val="fr-FR" w:eastAsia="en-US"/>
        </w:rPr>
        <w:t>’</w:t>
      </w:r>
      <w:r w:rsidR="003C5540">
        <w:rPr>
          <w:rFonts w:eastAsia="Times New Roman"/>
          <w:szCs w:val="22"/>
          <w:lang w:val="fr-FR" w:eastAsia="en-US"/>
        </w:rPr>
        <w:t>intention des pays d</w:t>
      </w:r>
      <w:r w:rsidR="00A5561D">
        <w:rPr>
          <w:rFonts w:eastAsia="Times New Roman"/>
          <w:szCs w:val="22"/>
          <w:lang w:val="fr-FR" w:eastAsia="en-US"/>
        </w:rPr>
        <w:t>’</w:t>
      </w:r>
      <w:r w:rsidR="003C5540">
        <w:rPr>
          <w:rFonts w:eastAsia="Times New Roman"/>
          <w:szCs w:val="22"/>
          <w:lang w:val="fr-FR" w:eastAsia="en-US"/>
        </w:rPr>
        <w:t xml:space="preserve">Afrique </w:t>
      </w:r>
      <w:r w:rsidR="008F42BF">
        <w:rPr>
          <w:rFonts w:eastAsia="Times New Roman"/>
          <w:szCs w:val="22"/>
          <w:lang w:val="fr-FR" w:eastAsia="en-US"/>
        </w:rPr>
        <w:t xml:space="preserve">sur les bibliothèques, </w:t>
      </w:r>
      <w:r w:rsidR="003C5540">
        <w:rPr>
          <w:rFonts w:eastAsia="Times New Roman"/>
          <w:szCs w:val="22"/>
          <w:lang w:val="fr-FR" w:eastAsia="en-US"/>
        </w:rPr>
        <w:t xml:space="preserve">les </w:t>
      </w:r>
      <w:r w:rsidR="008F42BF">
        <w:rPr>
          <w:rFonts w:eastAsia="Times New Roman"/>
          <w:szCs w:val="22"/>
          <w:lang w:val="fr-FR" w:eastAsia="en-US"/>
        </w:rPr>
        <w:t>services d</w:t>
      </w:r>
      <w:r w:rsidR="00A5561D">
        <w:rPr>
          <w:rFonts w:eastAsia="Times New Roman"/>
          <w:szCs w:val="22"/>
          <w:lang w:val="fr-FR" w:eastAsia="en-US"/>
        </w:rPr>
        <w:t>’</w:t>
      </w:r>
      <w:r w:rsidR="008F42BF">
        <w:rPr>
          <w:rFonts w:eastAsia="Times New Roman"/>
          <w:szCs w:val="22"/>
          <w:lang w:val="fr-FR" w:eastAsia="en-US"/>
        </w:rPr>
        <w:t xml:space="preserve">archives, </w:t>
      </w:r>
      <w:r w:rsidR="003C5540">
        <w:rPr>
          <w:rFonts w:eastAsia="Times New Roman"/>
          <w:szCs w:val="22"/>
          <w:lang w:val="fr-FR" w:eastAsia="en-US"/>
        </w:rPr>
        <w:t xml:space="preserve">les </w:t>
      </w:r>
      <w:r w:rsidR="008F42BF">
        <w:rPr>
          <w:rFonts w:eastAsia="Times New Roman"/>
          <w:szCs w:val="22"/>
          <w:lang w:val="fr-FR" w:eastAsia="en-US"/>
        </w:rPr>
        <w:t xml:space="preserve">musées et </w:t>
      </w:r>
      <w:r w:rsidR="003C5540">
        <w:rPr>
          <w:rFonts w:eastAsia="Times New Roman"/>
          <w:szCs w:val="22"/>
          <w:lang w:val="fr-FR" w:eastAsia="en-US"/>
        </w:rPr>
        <w:t xml:space="preserve">les </w:t>
      </w:r>
      <w:r w:rsidR="008F42BF">
        <w:rPr>
          <w:rFonts w:eastAsia="Times New Roman"/>
          <w:szCs w:val="22"/>
          <w:lang w:val="fr-FR" w:eastAsia="en-US"/>
        </w:rPr>
        <w:t>établissements d</w:t>
      </w:r>
      <w:r w:rsidR="00A5561D">
        <w:rPr>
          <w:rFonts w:eastAsia="Times New Roman"/>
          <w:szCs w:val="22"/>
          <w:lang w:val="fr-FR" w:eastAsia="en-US"/>
        </w:rPr>
        <w:t>’</w:t>
      </w:r>
      <w:r w:rsidR="008F42BF">
        <w:rPr>
          <w:rFonts w:eastAsia="Times New Roman"/>
          <w:szCs w:val="22"/>
          <w:lang w:val="fr-FR" w:eastAsia="en-US"/>
        </w:rPr>
        <w:t>enseignement et de re</w:t>
      </w:r>
      <w:r w:rsidR="003C5540">
        <w:rPr>
          <w:rFonts w:eastAsia="Times New Roman"/>
          <w:szCs w:val="22"/>
          <w:lang w:val="fr-FR" w:eastAsia="en-US"/>
        </w:rPr>
        <w:t>c</w:t>
      </w:r>
      <w:r w:rsidR="008F42BF">
        <w:rPr>
          <w:rFonts w:eastAsia="Times New Roman"/>
          <w:szCs w:val="22"/>
          <w:lang w:val="fr-FR" w:eastAsia="en-US"/>
        </w:rPr>
        <w:t>herche dans le domaine du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8F42BF">
        <w:rPr>
          <w:rFonts w:eastAsia="Times New Roman"/>
          <w:szCs w:val="22"/>
          <w:lang w:val="fr-FR" w:eastAsia="en-US"/>
        </w:rPr>
        <w:t>auteur</w:t>
      </w:r>
      <w:r w:rsidR="00F34508" w:rsidRPr="00DD05DF">
        <w:rPr>
          <w:rFonts w:eastAsia="Times New Roman"/>
          <w:szCs w:val="22"/>
          <w:lang w:val="fr-FR" w:eastAsia="en-US"/>
        </w:rPr>
        <w:t xml:space="preserve">” </w:t>
      </w:r>
      <w:r w:rsidR="003C5540">
        <w:rPr>
          <w:rFonts w:eastAsia="Times New Roman"/>
          <w:szCs w:val="22"/>
          <w:lang w:val="fr-FR" w:eastAsia="en-US"/>
        </w:rPr>
        <w:t>qui s</w:t>
      </w:r>
      <w:r w:rsidR="00A5561D">
        <w:rPr>
          <w:rFonts w:eastAsia="Times New Roman"/>
          <w:szCs w:val="22"/>
          <w:lang w:val="fr-FR" w:eastAsia="en-US"/>
        </w:rPr>
        <w:t>’</w:t>
      </w:r>
      <w:r w:rsidR="003C5540">
        <w:rPr>
          <w:rFonts w:eastAsia="Times New Roman"/>
          <w:szCs w:val="22"/>
          <w:lang w:val="fr-FR" w:eastAsia="en-US"/>
        </w:rPr>
        <w:t>est tenu à</w:t>
      </w:r>
      <w:r w:rsidR="00F34508" w:rsidRPr="00DD05DF">
        <w:rPr>
          <w:rFonts w:eastAsia="Times New Roman"/>
          <w:szCs w:val="22"/>
          <w:lang w:val="fr-FR" w:eastAsia="en-US"/>
        </w:rPr>
        <w:t xml:space="preserve"> Nairobi</w:t>
      </w:r>
      <w:r w:rsidR="003C5540">
        <w:rPr>
          <w:rFonts w:eastAsia="Times New Roman"/>
          <w:szCs w:val="22"/>
          <w:lang w:val="fr-FR" w:eastAsia="en-US"/>
        </w:rPr>
        <w:t xml:space="preserve"> les 12 et 1</w:t>
      </w:r>
      <w:r w:rsidR="00E374BC">
        <w:rPr>
          <w:rFonts w:eastAsia="Times New Roman"/>
          <w:szCs w:val="22"/>
          <w:lang w:val="fr-FR" w:eastAsia="en-US"/>
        </w:rPr>
        <w:t>3 juin 20</w:t>
      </w:r>
      <w:r w:rsidR="003C5540">
        <w:rPr>
          <w:rFonts w:eastAsia="Times New Roman"/>
          <w:szCs w:val="22"/>
          <w:lang w:val="fr-FR" w:eastAsia="en-US"/>
        </w:rPr>
        <w:t>19</w:t>
      </w:r>
      <w:r w:rsidR="005D16A5">
        <w:rPr>
          <w:rFonts w:eastAsia="Times New Roman"/>
          <w:szCs w:val="22"/>
          <w:lang w:val="fr-FR" w:eastAsia="en-US"/>
        </w:rPr>
        <w:t xml:space="preserve"> et</w:t>
      </w:r>
      <w:r w:rsidR="002D7971" w:rsidRPr="00DD05DF">
        <w:rPr>
          <w:rFonts w:eastAsia="Times New Roman"/>
          <w:szCs w:val="22"/>
          <w:lang w:val="fr-FR" w:eastAsia="en-US"/>
        </w:rPr>
        <w:t xml:space="preserve"> </w:t>
      </w:r>
      <w:r w:rsidR="003C5540">
        <w:rPr>
          <w:rFonts w:eastAsia="Times New Roman"/>
          <w:szCs w:val="22"/>
          <w:lang w:val="fr-FR" w:eastAsia="en-US"/>
        </w:rPr>
        <w:t>auquel tous les pays d</w:t>
      </w:r>
      <w:r w:rsidR="00A5561D">
        <w:rPr>
          <w:rFonts w:eastAsia="Times New Roman"/>
          <w:szCs w:val="22"/>
          <w:lang w:val="fr-FR" w:eastAsia="en-US"/>
        </w:rPr>
        <w:t>’</w:t>
      </w:r>
      <w:r w:rsidR="003C5540">
        <w:rPr>
          <w:rFonts w:eastAsia="Times New Roman"/>
          <w:szCs w:val="22"/>
          <w:lang w:val="fr-FR" w:eastAsia="en-US"/>
        </w:rPr>
        <w:t xml:space="preserve">Afrique </w:t>
      </w:r>
      <w:r w:rsidR="009578D7">
        <w:rPr>
          <w:rFonts w:eastAsia="Times New Roman"/>
          <w:szCs w:val="22"/>
          <w:lang w:val="fr-FR" w:eastAsia="en-US"/>
        </w:rPr>
        <w:t>ont été</w:t>
      </w:r>
      <w:r w:rsidR="003C5540">
        <w:rPr>
          <w:rFonts w:eastAsia="Times New Roman"/>
          <w:szCs w:val="22"/>
          <w:lang w:val="fr-FR" w:eastAsia="en-US"/>
        </w:rPr>
        <w:t xml:space="preserve"> invités à assister</w:t>
      </w:r>
      <w:r w:rsidR="009F0A5A" w:rsidRPr="00DD05DF">
        <w:rPr>
          <w:rFonts w:eastAsia="Times New Roman"/>
          <w:szCs w:val="22"/>
          <w:lang w:val="fr-FR" w:eastAsia="en-US"/>
        </w:rPr>
        <w:t>.</w:t>
      </w:r>
    </w:p>
    <w:p w:rsidR="004F0465" w:rsidRDefault="004F0465" w:rsidP="00F34508">
      <w:pPr>
        <w:rPr>
          <w:rFonts w:eastAsia="Times New Roman"/>
          <w:szCs w:val="22"/>
          <w:lang w:val="fr-FR" w:eastAsia="en-US"/>
        </w:rPr>
      </w:pPr>
    </w:p>
    <w:p w:rsidR="00E374BC" w:rsidRDefault="004266AF" w:rsidP="00F34508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Pr="00DD05DF">
        <w:rPr>
          <w:rFonts w:eastAsia="Times New Roman"/>
          <w:szCs w:val="22"/>
          <w:lang w:val="fr-FR" w:eastAsia="en-US"/>
        </w:rPr>
        <w:tab/>
      </w:r>
      <w:r w:rsidR="00B80092">
        <w:rPr>
          <w:rFonts w:eastAsia="Times New Roman"/>
          <w:szCs w:val="22"/>
          <w:lang w:val="fr-FR" w:eastAsia="en-US"/>
        </w:rPr>
        <w:t>Outre les 52</w:t>
      </w:r>
      <w:r w:rsidR="007D2747">
        <w:rPr>
          <w:rFonts w:eastAsia="Times New Roman"/>
          <w:szCs w:val="22"/>
          <w:lang w:val="fr-FR" w:eastAsia="en-US"/>
        </w:rPr>
        <w:t> </w:t>
      </w:r>
      <w:r w:rsidR="00B80092">
        <w:rPr>
          <w:rFonts w:eastAsia="Times New Roman"/>
          <w:szCs w:val="22"/>
          <w:lang w:val="fr-FR" w:eastAsia="en-US"/>
        </w:rPr>
        <w:t>États membres africains de l</w:t>
      </w:r>
      <w:r w:rsidR="00A5561D">
        <w:rPr>
          <w:rFonts w:eastAsia="Times New Roman"/>
          <w:szCs w:val="22"/>
          <w:lang w:val="fr-FR" w:eastAsia="en-US"/>
        </w:rPr>
        <w:t>’</w:t>
      </w:r>
      <w:r w:rsidR="00B80092">
        <w:rPr>
          <w:rFonts w:eastAsia="Times New Roman"/>
          <w:szCs w:val="22"/>
          <w:lang w:val="fr-FR" w:eastAsia="en-US"/>
        </w:rPr>
        <w:t>OMPI</w:t>
      </w:r>
      <w:r w:rsidR="00574995" w:rsidRPr="00DD05DF">
        <w:rPr>
          <w:rFonts w:eastAsia="Times New Roman"/>
          <w:szCs w:val="22"/>
          <w:lang w:val="fr-FR" w:eastAsia="en-US"/>
        </w:rPr>
        <w:t xml:space="preserve">, </w:t>
      </w:r>
      <w:r w:rsidR="00B80092">
        <w:rPr>
          <w:rFonts w:eastAsia="Times New Roman"/>
          <w:szCs w:val="22"/>
          <w:lang w:val="fr-FR" w:eastAsia="en-US"/>
        </w:rPr>
        <w:t>l</w:t>
      </w:r>
      <w:r w:rsidR="00A5561D">
        <w:rPr>
          <w:rFonts w:eastAsia="Times New Roman"/>
          <w:szCs w:val="22"/>
          <w:lang w:val="fr-FR" w:eastAsia="en-US"/>
        </w:rPr>
        <w:t>’</w:t>
      </w:r>
      <w:r w:rsidR="00B80092">
        <w:rPr>
          <w:rFonts w:eastAsia="Times New Roman"/>
          <w:szCs w:val="22"/>
          <w:lang w:val="fr-FR" w:eastAsia="en-US"/>
        </w:rPr>
        <w:t>Organisation a aussi pris en charge les frais de participation de représentants de PMA et de pays en développement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B80092">
        <w:rPr>
          <w:rFonts w:eastAsia="Times New Roman"/>
          <w:szCs w:val="22"/>
          <w:lang w:val="fr-FR" w:eastAsia="en-US"/>
        </w:rPr>
        <w:t>autres régions, dont cinq</w:t>
      </w:r>
      <w:r w:rsidR="003524A9">
        <w:rPr>
          <w:rFonts w:eastAsia="Times New Roman"/>
          <w:szCs w:val="22"/>
          <w:lang w:val="fr-FR" w:eastAsia="en-US"/>
        </w:rPr>
        <w:t> </w:t>
      </w:r>
      <w:r w:rsidR="00B80092">
        <w:rPr>
          <w:rFonts w:eastAsia="Times New Roman"/>
          <w:szCs w:val="22"/>
          <w:lang w:val="fr-FR" w:eastAsia="en-US"/>
        </w:rPr>
        <w:t>représentants de la région Asie et Pacifique, quatre</w:t>
      </w:r>
      <w:r w:rsidR="003524A9">
        <w:rPr>
          <w:rFonts w:eastAsia="Times New Roman"/>
          <w:szCs w:val="22"/>
          <w:lang w:val="fr-FR" w:eastAsia="en-US"/>
        </w:rPr>
        <w:t> </w:t>
      </w:r>
      <w:r w:rsidR="00B80092">
        <w:rPr>
          <w:rFonts w:eastAsia="Times New Roman"/>
          <w:szCs w:val="22"/>
          <w:lang w:val="fr-FR" w:eastAsia="en-US"/>
        </w:rPr>
        <w:t>de la région Amérique latine et Caraïbes et un de la région des pays arabes</w:t>
      </w:r>
      <w:r w:rsidR="00F34508" w:rsidRPr="00DD05DF">
        <w:rPr>
          <w:rFonts w:eastAsia="Times New Roman"/>
          <w:szCs w:val="22"/>
          <w:lang w:val="fr-FR" w:eastAsia="en-US"/>
        </w:rPr>
        <w:t>.</w:t>
      </w:r>
    </w:p>
    <w:p w:rsidR="004F0465" w:rsidRDefault="004F0465" w:rsidP="00F34508">
      <w:pPr>
        <w:rPr>
          <w:rFonts w:eastAsia="Times New Roman"/>
          <w:szCs w:val="22"/>
          <w:lang w:val="fr-FR" w:eastAsia="en-US"/>
        </w:rPr>
      </w:pPr>
    </w:p>
    <w:p w:rsidR="004F0465" w:rsidRDefault="00403518" w:rsidP="00F34508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Pr="00DD05DF">
        <w:rPr>
          <w:rFonts w:eastAsia="Times New Roman"/>
          <w:szCs w:val="22"/>
          <w:lang w:val="fr-FR" w:eastAsia="en-US"/>
        </w:rPr>
        <w:tab/>
      </w:r>
      <w:r>
        <w:rPr>
          <w:rFonts w:eastAsia="Times New Roman"/>
          <w:szCs w:val="22"/>
          <w:lang w:val="fr-FR" w:eastAsia="en-US"/>
        </w:rPr>
        <w:t xml:space="preserve">La conférence internationale était ouverte aux États membres et aux organisations </w:t>
      </w:r>
      <w:r w:rsidR="00596BF5">
        <w:rPr>
          <w:rFonts w:eastAsia="Times New Roman"/>
          <w:szCs w:val="22"/>
          <w:lang w:val="fr-FR" w:eastAsia="en-US"/>
        </w:rPr>
        <w:t>intergouvernementales</w:t>
      </w:r>
      <w:r w:rsidR="007D2747">
        <w:rPr>
          <w:rFonts w:eastAsia="Times New Roman"/>
          <w:szCs w:val="22"/>
          <w:lang w:val="fr-FR" w:eastAsia="en-US"/>
        </w:rPr>
        <w:t xml:space="preserve"> </w:t>
      </w:r>
      <w:r>
        <w:rPr>
          <w:rFonts w:eastAsia="Times New Roman"/>
          <w:szCs w:val="22"/>
          <w:lang w:val="fr-FR" w:eastAsia="en-US"/>
        </w:rPr>
        <w:t>accréditées uniquement</w:t>
      </w:r>
      <w:r w:rsidRPr="00DD05DF">
        <w:rPr>
          <w:rFonts w:eastAsia="Times New Roman"/>
          <w:szCs w:val="22"/>
          <w:lang w:val="fr-FR" w:eastAsia="en-US"/>
        </w:rPr>
        <w:t xml:space="preserve">.  </w:t>
      </w:r>
      <w:r w:rsidR="007108EF">
        <w:rPr>
          <w:rFonts w:eastAsia="Times New Roman"/>
          <w:szCs w:val="22"/>
          <w:lang w:val="fr-FR" w:eastAsia="en-US"/>
        </w:rPr>
        <w:t>Des représentants des pays ci</w:t>
      </w:r>
      <w:r w:rsidR="00A5561D">
        <w:rPr>
          <w:rFonts w:eastAsia="Times New Roman"/>
          <w:szCs w:val="22"/>
          <w:lang w:val="fr-FR" w:eastAsia="en-US"/>
        </w:rPr>
        <w:t>-</w:t>
      </w:r>
      <w:r w:rsidR="007108EF">
        <w:rPr>
          <w:rFonts w:eastAsia="Times New Roman"/>
          <w:szCs w:val="22"/>
          <w:lang w:val="fr-FR" w:eastAsia="en-US"/>
        </w:rPr>
        <w:t>après ont assisté à</w:t>
      </w:r>
      <w:r>
        <w:rPr>
          <w:rFonts w:eastAsia="Times New Roman"/>
          <w:szCs w:val="22"/>
          <w:lang w:val="fr-FR" w:eastAsia="en-US"/>
        </w:rPr>
        <w:t xml:space="preserve"> la conférence internationale</w:t>
      </w:r>
      <w:r w:rsidR="00A5561D">
        <w:rPr>
          <w:rFonts w:eastAsia="Times New Roman"/>
          <w:szCs w:val="22"/>
          <w:lang w:val="fr-FR" w:eastAsia="en-US"/>
        </w:rPr>
        <w:t> :</w:t>
      </w:r>
      <w:r w:rsidRPr="00DD05DF">
        <w:rPr>
          <w:rFonts w:eastAsia="Times New Roman"/>
          <w:szCs w:val="22"/>
          <w:lang w:val="fr-FR" w:eastAsia="en-US"/>
        </w:rPr>
        <w:t xml:space="preserve"> </w:t>
      </w:r>
      <w:r>
        <w:rPr>
          <w:rFonts w:eastAsia="Times New Roman"/>
          <w:szCs w:val="22"/>
          <w:lang w:val="fr-FR" w:eastAsia="en-US"/>
        </w:rPr>
        <w:t xml:space="preserve">Afrique du Sud, </w:t>
      </w:r>
      <w:r w:rsidR="00D629BA" w:rsidRPr="00DD05DF">
        <w:rPr>
          <w:rFonts w:eastAsia="Times New Roman"/>
          <w:szCs w:val="22"/>
          <w:lang w:val="fr-FR" w:eastAsia="en-US"/>
        </w:rPr>
        <w:t>Angola</w:t>
      </w:r>
      <w:r w:rsidR="00D629BA"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B</w:t>
      </w:r>
      <w:r>
        <w:rPr>
          <w:rFonts w:eastAsia="Times New Roman"/>
          <w:szCs w:val="22"/>
          <w:lang w:val="fr-FR" w:eastAsia="en-US"/>
        </w:rPr>
        <w:t>é</w:t>
      </w:r>
      <w:r w:rsidRPr="00DD05DF">
        <w:rPr>
          <w:rFonts w:eastAsia="Times New Roman"/>
          <w:szCs w:val="22"/>
          <w:lang w:val="fr-FR" w:eastAsia="en-US"/>
        </w:rPr>
        <w:t>nin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Botswana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Br</w:t>
      </w:r>
      <w:r>
        <w:rPr>
          <w:rFonts w:eastAsia="Times New Roman"/>
          <w:szCs w:val="22"/>
          <w:lang w:val="fr-FR" w:eastAsia="en-US"/>
        </w:rPr>
        <w:t xml:space="preserve">ésil, </w:t>
      </w:r>
      <w:r w:rsidRPr="00DD05DF">
        <w:rPr>
          <w:rFonts w:eastAsia="Times New Roman"/>
          <w:szCs w:val="22"/>
          <w:lang w:val="fr-FR" w:eastAsia="en-US"/>
        </w:rPr>
        <w:t>Burkina Faso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Burundi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Cabo Verde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Cambod</w:t>
      </w:r>
      <w:r>
        <w:rPr>
          <w:rFonts w:eastAsia="Times New Roman"/>
          <w:szCs w:val="22"/>
          <w:lang w:val="fr-FR" w:eastAsia="en-US"/>
        </w:rPr>
        <w:t xml:space="preserve">ge, </w:t>
      </w:r>
      <w:r w:rsidRPr="00DD05DF">
        <w:rPr>
          <w:rFonts w:eastAsia="Times New Roman"/>
          <w:szCs w:val="22"/>
          <w:lang w:val="fr-FR" w:eastAsia="en-US"/>
        </w:rPr>
        <w:t>Camero</w:t>
      </w:r>
      <w:r>
        <w:rPr>
          <w:rFonts w:eastAsia="Times New Roman"/>
          <w:szCs w:val="22"/>
          <w:lang w:val="fr-FR" w:eastAsia="en-US"/>
        </w:rPr>
        <w:t>u</w:t>
      </w:r>
      <w:r w:rsidRPr="00DD05DF">
        <w:rPr>
          <w:rFonts w:eastAsia="Times New Roman"/>
          <w:szCs w:val="22"/>
          <w:lang w:val="fr-FR" w:eastAsia="en-US"/>
        </w:rPr>
        <w:t>n</w:t>
      </w:r>
      <w:r>
        <w:rPr>
          <w:rFonts w:eastAsia="Times New Roman"/>
          <w:szCs w:val="22"/>
          <w:lang w:val="fr-FR" w:eastAsia="en-US"/>
        </w:rPr>
        <w:t xml:space="preserve">, Chili, </w:t>
      </w:r>
      <w:r w:rsidRPr="00DD05DF">
        <w:rPr>
          <w:rFonts w:eastAsia="Times New Roman"/>
          <w:szCs w:val="22"/>
          <w:lang w:val="fr-FR" w:eastAsia="en-US"/>
        </w:rPr>
        <w:t>Comor</w:t>
      </w:r>
      <w:r>
        <w:rPr>
          <w:rFonts w:eastAsia="Times New Roman"/>
          <w:szCs w:val="22"/>
          <w:lang w:val="fr-FR" w:eastAsia="en-US"/>
        </w:rPr>
        <w:t>e</w:t>
      </w:r>
      <w:r w:rsidRPr="00DD05DF">
        <w:rPr>
          <w:rFonts w:eastAsia="Times New Roman"/>
          <w:szCs w:val="22"/>
          <w:lang w:val="fr-FR" w:eastAsia="en-US"/>
        </w:rPr>
        <w:t>s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Congo</w:t>
      </w:r>
      <w:r>
        <w:rPr>
          <w:rFonts w:eastAsia="Times New Roman"/>
          <w:szCs w:val="22"/>
          <w:lang w:val="fr-FR" w:eastAsia="en-US"/>
        </w:rPr>
        <w:t xml:space="preserve">, </w:t>
      </w:r>
      <w:r w:rsidR="00996AE7">
        <w:rPr>
          <w:rFonts w:eastAsia="Times New Roman"/>
          <w:szCs w:val="22"/>
          <w:lang w:val="fr-FR" w:eastAsia="en-US"/>
        </w:rPr>
        <w:t>Cô</w:t>
      </w:r>
      <w:r w:rsidRPr="00DD05DF">
        <w:rPr>
          <w:rFonts w:eastAsia="Times New Roman"/>
          <w:szCs w:val="22"/>
          <w:lang w:val="fr-FR" w:eastAsia="en-US"/>
        </w:rPr>
        <w:t>te d</w:t>
      </w:r>
      <w:r w:rsidR="00A5561D">
        <w:rPr>
          <w:rFonts w:eastAsia="Times New Roman"/>
          <w:szCs w:val="22"/>
          <w:lang w:val="fr-FR" w:eastAsia="en-US"/>
        </w:rPr>
        <w:t>’</w:t>
      </w:r>
      <w:r w:rsidRPr="00DD05DF">
        <w:rPr>
          <w:rFonts w:eastAsia="Times New Roman"/>
          <w:szCs w:val="22"/>
          <w:lang w:val="fr-FR" w:eastAsia="en-US"/>
        </w:rPr>
        <w:t>Ivoire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Djibouti</w:t>
      </w:r>
      <w:r>
        <w:rPr>
          <w:rFonts w:eastAsia="Times New Roman"/>
          <w:szCs w:val="22"/>
          <w:lang w:val="fr-FR" w:eastAsia="en-US"/>
        </w:rPr>
        <w:t>, Égypte, É</w:t>
      </w:r>
      <w:r w:rsidRPr="00DD05DF">
        <w:rPr>
          <w:rFonts w:eastAsia="Times New Roman"/>
          <w:szCs w:val="22"/>
          <w:lang w:val="fr-FR" w:eastAsia="en-US"/>
        </w:rPr>
        <w:t>thiopi</w:t>
      </w:r>
      <w:r>
        <w:rPr>
          <w:rFonts w:eastAsia="Times New Roman"/>
          <w:szCs w:val="22"/>
          <w:lang w:val="fr-FR" w:eastAsia="en-US"/>
        </w:rPr>
        <w:t xml:space="preserve">e, </w:t>
      </w:r>
      <w:r w:rsidRPr="00DD05DF">
        <w:rPr>
          <w:rFonts w:eastAsia="Times New Roman"/>
          <w:szCs w:val="22"/>
          <w:lang w:val="fr-FR" w:eastAsia="en-US"/>
        </w:rPr>
        <w:t>Gabon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Gambi</w:t>
      </w:r>
      <w:r>
        <w:rPr>
          <w:rFonts w:eastAsia="Times New Roman"/>
          <w:szCs w:val="22"/>
          <w:lang w:val="fr-FR" w:eastAsia="en-US"/>
        </w:rPr>
        <w:t xml:space="preserve">e, </w:t>
      </w:r>
      <w:r w:rsidRPr="00DD05DF">
        <w:rPr>
          <w:rFonts w:eastAsia="Times New Roman"/>
          <w:szCs w:val="22"/>
          <w:lang w:val="fr-FR" w:eastAsia="en-US"/>
        </w:rPr>
        <w:t>Ghana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Guin</w:t>
      </w:r>
      <w:r>
        <w:rPr>
          <w:rFonts w:eastAsia="Times New Roman"/>
          <w:szCs w:val="22"/>
          <w:lang w:val="fr-FR" w:eastAsia="en-US"/>
        </w:rPr>
        <w:t>ée</w:t>
      </w:r>
      <w:r w:rsidR="00A5561D">
        <w:rPr>
          <w:rFonts w:eastAsia="Times New Roman"/>
          <w:szCs w:val="22"/>
          <w:lang w:val="fr-FR" w:eastAsia="en-US"/>
        </w:rPr>
        <w:t>-</w:t>
      </w:r>
      <w:r w:rsidRPr="00DD05DF">
        <w:rPr>
          <w:rFonts w:eastAsia="Times New Roman"/>
          <w:szCs w:val="22"/>
          <w:lang w:val="fr-FR" w:eastAsia="en-US"/>
        </w:rPr>
        <w:t>Bissau</w:t>
      </w:r>
      <w:r>
        <w:rPr>
          <w:rFonts w:eastAsia="Times New Roman"/>
          <w:szCs w:val="22"/>
          <w:lang w:val="fr-FR" w:eastAsia="en-US"/>
        </w:rPr>
        <w:t xml:space="preserve">, </w:t>
      </w:r>
      <w:r w:rsidR="00D629BA">
        <w:rPr>
          <w:rFonts w:eastAsia="Times New Roman"/>
          <w:szCs w:val="22"/>
          <w:lang w:val="fr-FR" w:eastAsia="en-US"/>
        </w:rPr>
        <w:t xml:space="preserve">Guinée équatoriale, </w:t>
      </w:r>
      <w:r w:rsidRPr="00DD05DF">
        <w:rPr>
          <w:rFonts w:eastAsia="Times New Roman"/>
          <w:szCs w:val="22"/>
          <w:lang w:val="fr-FR" w:eastAsia="en-US"/>
        </w:rPr>
        <w:t>Ind</w:t>
      </w:r>
      <w:r>
        <w:rPr>
          <w:rFonts w:eastAsia="Times New Roman"/>
          <w:szCs w:val="22"/>
          <w:lang w:val="fr-FR" w:eastAsia="en-US"/>
        </w:rPr>
        <w:t xml:space="preserve">e, </w:t>
      </w:r>
      <w:r w:rsidRPr="00DD05DF">
        <w:rPr>
          <w:rFonts w:eastAsia="Times New Roman"/>
          <w:szCs w:val="22"/>
          <w:lang w:val="fr-FR" w:eastAsia="en-US"/>
        </w:rPr>
        <w:t>Jordan</w:t>
      </w:r>
      <w:r>
        <w:rPr>
          <w:rFonts w:eastAsia="Times New Roman"/>
          <w:szCs w:val="22"/>
          <w:lang w:val="fr-FR" w:eastAsia="en-US"/>
        </w:rPr>
        <w:t xml:space="preserve">ie, </w:t>
      </w:r>
      <w:r w:rsidRPr="00DD05DF">
        <w:rPr>
          <w:rFonts w:eastAsia="Times New Roman"/>
          <w:szCs w:val="22"/>
          <w:lang w:val="fr-FR" w:eastAsia="en-US"/>
        </w:rPr>
        <w:t>Lesotho</w:t>
      </w:r>
      <w:r>
        <w:rPr>
          <w:rFonts w:eastAsia="Times New Roman"/>
          <w:szCs w:val="22"/>
          <w:lang w:val="fr-FR" w:eastAsia="en-US"/>
        </w:rPr>
        <w:t>, Libé</w:t>
      </w:r>
      <w:r w:rsidRPr="00DD05DF">
        <w:rPr>
          <w:rFonts w:eastAsia="Times New Roman"/>
          <w:szCs w:val="22"/>
          <w:lang w:val="fr-FR" w:eastAsia="en-US"/>
        </w:rPr>
        <w:t>ria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Malawi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Mali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M</w:t>
      </w:r>
      <w:r>
        <w:rPr>
          <w:rFonts w:eastAsia="Times New Roman"/>
          <w:szCs w:val="22"/>
          <w:lang w:val="fr-FR" w:eastAsia="en-US"/>
        </w:rPr>
        <w:t xml:space="preserve">aroc, </w:t>
      </w:r>
      <w:r w:rsidRPr="00DD05DF">
        <w:rPr>
          <w:rFonts w:eastAsia="Times New Roman"/>
          <w:szCs w:val="22"/>
          <w:lang w:val="fr-FR" w:eastAsia="en-US"/>
        </w:rPr>
        <w:t>Mozambique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Namibi</w:t>
      </w:r>
      <w:r>
        <w:rPr>
          <w:rFonts w:eastAsia="Times New Roman"/>
          <w:szCs w:val="22"/>
          <w:lang w:val="fr-FR" w:eastAsia="en-US"/>
        </w:rPr>
        <w:t>e, Niger, Nigé</w:t>
      </w:r>
      <w:r w:rsidRPr="00DD05DF">
        <w:rPr>
          <w:rFonts w:eastAsia="Times New Roman"/>
          <w:szCs w:val="22"/>
          <w:lang w:val="fr-FR" w:eastAsia="en-US"/>
        </w:rPr>
        <w:t>ria</w:t>
      </w:r>
      <w:r>
        <w:rPr>
          <w:rFonts w:eastAsia="Times New Roman"/>
          <w:szCs w:val="22"/>
          <w:lang w:val="fr-FR" w:eastAsia="en-US"/>
        </w:rPr>
        <w:t xml:space="preserve">, Ouganda, </w:t>
      </w:r>
      <w:r w:rsidRPr="00DD05DF">
        <w:rPr>
          <w:rFonts w:eastAsia="Times New Roman"/>
          <w:szCs w:val="22"/>
          <w:lang w:val="fr-FR" w:eastAsia="en-US"/>
        </w:rPr>
        <w:t>P</w:t>
      </w:r>
      <w:r>
        <w:rPr>
          <w:rFonts w:eastAsia="Times New Roman"/>
          <w:szCs w:val="22"/>
          <w:lang w:val="fr-FR" w:eastAsia="en-US"/>
        </w:rPr>
        <w:t>érou, République centrafricaine, République démocratique du Congo, République dominicaine, République</w:t>
      </w:r>
      <w:r w:rsidR="00A5561D">
        <w:rPr>
          <w:rFonts w:eastAsia="Times New Roman"/>
          <w:szCs w:val="22"/>
          <w:lang w:val="fr-FR" w:eastAsia="en-US"/>
        </w:rPr>
        <w:t>-</w:t>
      </w:r>
      <w:r>
        <w:rPr>
          <w:rFonts w:eastAsia="Times New Roman"/>
          <w:szCs w:val="22"/>
          <w:lang w:val="fr-FR" w:eastAsia="en-US"/>
        </w:rPr>
        <w:t>Unie de Tanzanie</w:t>
      </w:r>
      <w:r w:rsidRPr="00DD05DF">
        <w:rPr>
          <w:rFonts w:eastAsia="Times New Roman"/>
          <w:szCs w:val="22"/>
          <w:lang w:val="fr-FR" w:eastAsia="en-US"/>
        </w:rPr>
        <w:t xml:space="preserve"> (2)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Sao Tom</w:t>
      </w:r>
      <w:r>
        <w:rPr>
          <w:rFonts w:eastAsia="Times New Roman"/>
          <w:szCs w:val="22"/>
          <w:lang w:val="fr-FR" w:eastAsia="en-US"/>
        </w:rPr>
        <w:t>é</w:t>
      </w:r>
      <w:r w:rsidR="00A5561D">
        <w:rPr>
          <w:rFonts w:eastAsia="Times New Roman"/>
          <w:szCs w:val="22"/>
          <w:lang w:val="fr-FR" w:eastAsia="en-US"/>
        </w:rPr>
        <w:t>-</w:t>
      </w:r>
      <w:r>
        <w:rPr>
          <w:rFonts w:eastAsia="Times New Roman"/>
          <w:szCs w:val="22"/>
          <w:lang w:val="fr-FR" w:eastAsia="en-US"/>
        </w:rPr>
        <w:t>et</w:t>
      </w:r>
      <w:r w:rsidR="00A5561D">
        <w:rPr>
          <w:rFonts w:eastAsia="Times New Roman"/>
          <w:szCs w:val="22"/>
          <w:lang w:val="fr-FR" w:eastAsia="en-US"/>
        </w:rPr>
        <w:t>-</w:t>
      </w:r>
      <w:r w:rsidRPr="00DD05DF">
        <w:rPr>
          <w:rFonts w:eastAsia="Times New Roman"/>
          <w:szCs w:val="22"/>
          <w:lang w:val="fr-FR" w:eastAsia="en-US"/>
        </w:rPr>
        <w:t>Principe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S</w:t>
      </w:r>
      <w:r>
        <w:rPr>
          <w:rFonts w:eastAsia="Times New Roman"/>
          <w:szCs w:val="22"/>
          <w:lang w:val="fr-FR" w:eastAsia="en-US"/>
        </w:rPr>
        <w:t>éné</w:t>
      </w:r>
      <w:r w:rsidRPr="00DD05DF">
        <w:rPr>
          <w:rFonts w:eastAsia="Times New Roman"/>
          <w:szCs w:val="22"/>
          <w:lang w:val="fr-FR" w:eastAsia="en-US"/>
        </w:rPr>
        <w:t>gal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Seychelles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Sierra Leone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S</w:t>
      </w:r>
      <w:r>
        <w:rPr>
          <w:rFonts w:eastAsia="Times New Roman"/>
          <w:szCs w:val="22"/>
          <w:lang w:val="fr-FR" w:eastAsia="en-US"/>
        </w:rPr>
        <w:t>oudan, Tc</w:t>
      </w:r>
      <w:r w:rsidRPr="00DD05DF">
        <w:rPr>
          <w:rFonts w:eastAsia="Times New Roman"/>
          <w:szCs w:val="22"/>
          <w:lang w:val="fr-FR" w:eastAsia="en-US"/>
        </w:rPr>
        <w:t>had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Togo</w:t>
      </w:r>
      <w:r>
        <w:rPr>
          <w:rFonts w:eastAsia="Times New Roman"/>
          <w:szCs w:val="22"/>
          <w:lang w:val="fr-FR" w:eastAsia="en-US"/>
        </w:rPr>
        <w:t xml:space="preserve">, </w:t>
      </w:r>
      <w:r w:rsidRPr="00DD05DF">
        <w:rPr>
          <w:rFonts w:eastAsia="Times New Roman"/>
          <w:szCs w:val="22"/>
          <w:lang w:val="fr-FR" w:eastAsia="en-US"/>
        </w:rPr>
        <w:t>Tunisi</w:t>
      </w:r>
      <w:r>
        <w:rPr>
          <w:rFonts w:eastAsia="Times New Roman"/>
          <w:szCs w:val="22"/>
          <w:lang w:val="fr-FR" w:eastAsia="en-US"/>
        </w:rPr>
        <w:t xml:space="preserve">e, </w:t>
      </w:r>
      <w:r w:rsidRPr="00DD05DF">
        <w:rPr>
          <w:rFonts w:eastAsia="Times New Roman"/>
          <w:szCs w:val="22"/>
          <w:lang w:val="fr-FR" w:eastAsia="en-US"/>
        </w:rPr>
        <w:t>Zambi</w:t>
      </w:r>
      <w:r>
        <w:rPr>
          <w:rFonts w:eastAsia="Times New Roman"/>
          <w:szCs w:val="22"/>
          <w:lang w:val="fr-FR" w:eastAsia="en-US"/>
        </w:rPr>
        <w:t>e et</w:t>
      </w:r>
      <w:r w:rsidRPr="00DD05DF">
        <w:rPr>
          <w:rFonts w:eastAsia="Times New Roman"/>
          <w:szCs w:val="22"/>
          <w:lang w:val="fr-FR" w:eastAsia="en-US"/>
        </w:rPr>
        <w:t xml:space="preserve"> Zimbabwe.  </w:t>
      </w:r>
      <w:r w:rsidR="00CD4510">
        <w:rPr>
          <w:rFonts w:eastAsia="Times New Roman"/>
          <w:szCs w:val="22"/>
          <w:lang w:val="fr-FR" w:eastAsia="en-US"/>
        </w:rPr>
        <w:t>Des représentants des organisations intergouvernementales ci</w:t>
      </w:r>
      <w:r w:rsidR="00A5561D">
        <w:rPr>
          <w:rFonts w:eastAsia="Times New Roman"/>
          <w:szCs w:val="22"/>
          <w:lang w:val="fr-FR" w:eastAsia="en-US"/>
        </w:rPr>
        <w:t>-</w:t>
      </w:r>
      <w:r w:rsidR="00CD4510">
        <w:rPr>
          <w:rFonts w:eastAsia="Times New Roman"/>
          <w:szCs w:val="22"/>
          <w:lang w:val="fr-FR" w:eastAsia="en-US"/>
        </w:rPr>
        <w:t>après é</w:t>
      </w:r>
      <w:r>
        <w:rPr>
          <w:rFonts w:eastAsia="Times New Roman"/>
          <w:szCs w:val="22"/>
          <w:lang w:val="fr-FR" w:eastAsia="en-US"/>
        </w:rPr>
        <w:t>taient également présents à la conférence internationale</w:t>
      </w:r>
      <w:r w:rsidR="00A5561D">
        <w:rPr>
          <w:rFonts w:eastAsia="Times New Roman"/>
          <w:szCs w:val="22"/>
          <w:lang w:val="fr-FR" w:eastAsia="en-US"/>
        </w:rPr>
        <w:t> :</w:t>
      </w:r>
      <w:r>
        <w:rPr>
          <w:rFonts w:eastAsia="Times New Roman"/>
          <w:szCs w:val="22"/>
          <w:lang w:val="fr-FR" w:eastAsia="en-US"/>
        </w:rPr>
        <w:t xml:space="preserve"> Union européenne, Organisation africaine de la propriété intellectuelle (OAPI) et Organisation régionale africaine de la propriété intellectuelle</w:t>
      </w:r>
      <w:r w:rsidRPr="00DD05DF">
        <w:rPr>
          <w:rFonts w:eastAsia="Times New Roman"/>
          <w:szCs w:val="22"/>
          <w:lang w:val="fr-FR" w:eastAsia="en-US"/>
        </w:rPr>
        <w:t xml:space="preserve"> (ARIPO)</w:t>
      </w:r>
      <w:r>
        <w:rPr>
          <w:rFonts w:eastAsia="Times New Roman"/>
          <w:szCs w:val="22"/>
          <w:lang w:val="fr-FR" w:eastAsia="en-US"/>
        </w:rPr>
        <w:t>.</w:t>
      </w:r>
    </w:p>
    <w:p w:rsidR="00403518" w:rsidRDefault="00403518" w:rsidP="00F34508">
      <w:pPr>
        <w:rPr>
          <w:rFonts w:eastAsia="Times New Roman"/>
          <w:szCs w:val="22"/>
          <w:lang w:val="fr-FR" w:eastAsia="en-US"/>
        </w:rPr>
      </w:pPr>
    </w:p>
    <w:p w:rsidR="004F0465" w:rsidRDefault="003547FC" w:rsidP="00F34508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Pr="00DD05DF">
        <w:rPr>
          <w:rFonts w:eastAsia="Times New Roman"/>
          <w:szCs w:val="22"/>
          <w:lang w:val="fr-FR" w:eastAsia="en-US"/>
        </w:rPr>
        <w:tab/>
      </w:r>
      <w:r w:rsidR="004E494C">
        <w:rPr>
          <w:rFonts w:eastAsia="Times New Roman"/>
          <w:szCs w:val="22"/>
          <w:lang w:val="fr-FR" w:eastAsia="en-US"/>
        </w:rPr>
        <w:t>Comme indiqué dans le descriptif du projet (</w:t>
      </w:r>
      <w:r w:rsidR="00A5561D">
        <w:rPr>
          <w:rFonts w:eastAsia="Times New Roman"/>
          <w:szCs w:val="22"/>
          <w:lang w:val="fr-FR" w:eastAsia="en-US"/>
        </w:rPr>
        <w:t>document</w:t>
      </w:r>
      <w:r w:rsidR="00713EC2">
        <w:rPr>
          <w:rFonts w:eastAsia="Times New Roman"/>
          <w:szCs w:val="22"/>
          <w:lang w:val="fr-FR" w:eastAsia="en-US"/>
        </w:rPr>
        <w:t> </w:t>
      </w:r>
      <w:r w:rsidR="00A5561D" w:rsidRPr="00DD05DF">
        <w:rPr>
          <w:rFonts w:eastAsia="Times New Roman"/>
          <w:szCs w:val="22"/>
          <w:lang w:val="fr-FR" w:eastAsia="en-US"/>
        </w:rPr>
        <w:t>CD</w:t>
      </w:r>
      <w:r w:rsidR="00C57D2D" w:rsidRPr="00DD05DF">
        <w:rPr>
          <w:rFonts w:eastAsia="Times New Roman"/>
          <w:szCs w:val="22"/>
          <w:lang w:val="fr-FR" w:eastAsia="en-US"/>
        </w:rPr>
        <w:t>IP/13/11</w:t>
      </w:r>
      <w:r w:rsidR="004E494C">
        <w:rPr>
          <w:rFonts w:eastAsia="Times New Roman"/>
          <w:szCs w:val="22"/>
          <w:lang w:val="fr-FR" w:eastAsia="en-US"/>
        </w:rPr>
        <w:t>)</w:t>
      </w:r>
      <w:r w:rsidR="00BA49AF" w:rsidRPr="00DD05DF">
        <w:rPr>
          <w:rFonts w:eastAsia="Times New Roman"/>
          <w:szCs w:val="22"/>
          <w:lang w:val="fr-FR" w:eastAsia="en-US"/>
        </w:rPr>
        <w:t xml:space="preserve">, </w:t>
      </w:r>
      <w:r w:rsidR="004E494C">
        <w:rPr>
          <w:rFonts w:eastAsia="Times New Roman"/>
          <w:szCs w:val="22"/>
          <w:lang w:val="fr-FR" w:eastAsia="en-US"/>
        </w:rPr>
        <w:t xml:space="preserve">les principaux objectifs de la conférence internationale étaient de sensibiliser certains PMA et pays en développement </w:t>
      </w:r>
      <w:r w:rsidR="00841685">
        <w:rPr>
          <w:rFonts w:eastAsia="Times New Roman"/>
          <w:szCs w:val="22"/>
          <w:lang w:val="fr-FR" w:eastAsia="en-US"/>
        </w:rPr>
        <w:t>aux</w:t>
      </w:r>
      <w:r w:rsidR="004E494C">
        <w:rPr>
          <w:rFonts w:eastAsia="Times New Roman"/>
          <w:szCs w:val="22"/>
          <w:lang w:val="fr-FR" w:eastAsia="en-US"/>
        </w:rPr>
        <w:t xml:space="preserve"> questions relatives à l</w:t>
      </w:r>
      <w:r w:rsidR="00A5561D">
        <w:rPr>
          <w:rFonts w:eastAsia="Times New Roman"/>
          <w:szCs w:val="22"/>
          <w:lang w:val="fr-FR" w:eastAsia="en-US"/>
        </w:rPr>
        <w:t>’</w:t>
      </w:r>
      <w:r w:rsidR="004E494C">
        <w:rPr>
          <w:rFonts w:eastAsia="Times New Roman"/>
          <w:szCs w:val="22"/>
          <w:lang w:val="fr-FR" w:eastAsia="en-US"/>
        </w:rPr>
        <w:t>information émanant du secteur public et au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4E494C">
        <w:rPr>
          <w:rFonts w:eastAsia="Times New Roman"/>
          <w:szCs w:val="22"/>
          <w:lang w:val="fr-FR" w:eastAsia="en-US"/>
        </w:rPr>
        <w:t>auteur et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4E494C">
        <w:rPr>
          <w:rFonts w:eastAsia="Times New Roman"/>
          <w:szCs w:val="22"/>
          <w:lang w:val="fr-FR" w:eastAsia="en-US"/>
        </w:rPr>
        <w:t xml:space="preserve">offrir une </w:t>
      </w:r>
      <w:r w:rsidR="003524A9">
        <w:rPr>
          <w:rFonts w:eastAsia="Times New Roman"/>
          <w:szCs w:val="22"/>
          <w:lang w:val="fr-FR" w:eastAsia="en-US"/>
        </w:rPr>
        <w:t>plateforme</w:t>
      </w:r>
      <w:r w:rsidR="004E494C">
        <w:rPr>
          <w:rFonts w:eastAsia="Times New Roman"/>
          <w:szCs w:val="22"/>
          <w:lang w:val="fr-FR" w:eastAsia="en-US"/>
        </w:rPr>
        <w:t xml:space="preserve"> de discussion et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4E494C">
        <w:rPr>
          <w:rFonts w:eastAsia="Times New Roman"/>
          <w:szCs w:val="22"/>
          <w:lang w:val="fr-FR" w:eastAsia="en-US"/>
        </w:rPr>
        <w:t>échange d</w:t>
      </w:r>
      <w:r w:rsidR="00A5561D">
        <w:rPr>
          <w:rFonts w:eastAsia="Times New Roman"/>
          <w:szCs w:val="22"/>
          <w:lang w:val="fr-FR" w:eastAsia="en-US"/>
        </w:rPr>
        <w:t>’</w:t>
      </w:r>
      <w:r w:rsidR="004E494C">
        <w:rPr>
          <w:rFonts w:eastAsia="Times New Roman"/>
          <w:szCs w:val="22"/>
          <w:lang w:val="fr-FR" w:eastAsia="en-US"/>
        </w:rPr>
        <w:t>informations sur les politiques en vigueur appliquées par les États membres</w:t>
      </w:r>
      <w:r w:rsidR="00F34508" w:rsidRPr="00DD05DF">
        <w:rPr>
          <w:rFonts w:eastAsia="Times New Roman"/>
          <w:szCs w:val="22"/>
          <w:lang w:val="fr-FR" w:eastAsia="en-US"/>
        </w:rPr>
        <w:t>.</w:t>
      </w:r>
    </w:p>
    <w:p w:rsidR="004F0465" w:rsidRDefault="004F0465" w:rsidP="00F34508">
      <w:pPr>
        <w:rPr>
          <w:rFonts w:eastAsia="Times New Roman"/>
          <w:szCs w:val="22"/>
          <w:lang w:val="fr-FR" w:eastAsia="en-US"/>
        </w:rPr>
      </w:pPr>
    </w:p>
    <w:p w:rsidR="004F0465" w:rsidRDefault="004640A7" w:rsidP="00E413B0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="00C57D2D" w:rsidRPr="00DD05DF">
        <w:rPr>
          <w:rFonts w:eastAsia="Times New Roman"/>
          <w:szCs w:val="22"/>
          <w:lang w:val="fr-FR" w:eastAsia="en-US"/>
        </w:rPr>
        <w:tab/>
      </w:r>
      <w:r w:rsidR="00F51C90">
        <w:rPr>
          <w:rFonts w:eastAsia="Times New Roman"/>
          <w:szCs w:val="22"/>
          <w:lang w:val="fr-FR" w:eastAsia="en-US"/>
        </w:rPr>
        <w:t>Le programme</w:t>
      </w:r>
      <w:r w:rsidR="00C57D2D" w:rsidRPr="00DD05DF">
        <w:rPr>
          <w:rStyle w:val="FootnoteReference"/>
          <w:rFonts w:eastAsia="Times New Roman"/>
          <w:szCs w:val="22"/>
          <w:lang w:val="fr-FR" w:eastAsia="en-US"/>
        </w:rPr>
        <w:footnoteReference w:id="3"/>
      </w:r>
      <w:r w:rsidRPr="00DD05DF">
        <w:rPr>
          <w:rFonts w:eastAsia="Times New Roman"/>
          <w:szCs w:val="22"/>
          <w:lang w:val="fr-FR" w:eastAsia="en-US"/>
        </w:rPr>
        <w:t xml:space="preserve"> </w:t>
      </w:r>
      <w:r w:rsidR="00F51C90">
        <w:rPr>
          <w:rFonts w:eastAsia="Times New Roman"/>
          <w:szCs w:val="22"/>
          <w:lang w:val="fr-FR" w:eastAsia="en-US"/>
        </w:rPr>
        <w:t>de la conférence était axé sur les thèmes principaux suivants</w:t>
      </w:r>
      <w:r w:rsidR="00A5561D">
        <w:rPr>
          <w:rFonts w:eastAsia="Times New Roman"/>
          <w:szCs w:val="22"/>
          <w:lang w:val="fr-FR" w:eastAsia="en-US"/>
        </w:rPr>
        <w:t> :</w:t>
      </w:r>
    </w:p>
    <w:p w:rsidR="004F0465" w:rsidRDefault="004F0465" w:rsidP="00E413B0">
      <w:pPr>
        <w:rPr>
          <w:rFonts w:eastAsia="Times New Roman"/>
          <w:szCs w:val="22"/>
          <w:lang w:val="fr-FR" w:eastAsia="en-US"/>
        </w:rPr>
      </w:pPr>
    </w:p>
    <w:p w:rsidR="004F0465" w:rsidRDefault="00F51C90" w:rsidP="00E413B0">
      <w:pPr>
        <w:pStyle w:val="ListParagraph"/>
        <w:numPr>
          <w:ilvl w:val="0"/>
          <w:numId w:val="10"/>
        </w:numPr>
        <w:rPr>
          <w:rFonts w:eastAsia="Times New Roman"/>
          <w:lang w:val="fr-FR" w:eastAsia="en-US"/>
        </w:rPr>
      </w:pPr>
      <w:r>
        <w:rPr>
          <w:rFonts w:eastAsia="Times New Roman"/>
          <w:lang w:val="fr-FR" w:eastAsia="en-US"/>
        </w:rPr>
        <w:t>Notions fondamentales relatives à l</w:t>
      </w:r>
      <w:r w:rsidR="00A5561D">
        <w:rPr>
          <w:rFonts w:eastAsia="Times New Roman"/>
          <w:lang w:val="fr-FR" w:eastAsia="en-US"/>
        </w:rPr>
        <w:t>’</w:t>
      </w:r>
      <w:r>
        <w:rPr>
          <w:rFonts w:eastAsia="Times New Roman"/>
          <w:lang w:val="fr-FR" w:eastAsia="en-US"/>
        </w:rPr>
        <w:t>information émanant du secteur public et pertinence sur le plan social et économique</w:t>
      </w:r>
    </w:p>
    <w:p w:rsidR="004F0465" w:rsidRDefault="00F51C90" w:rsidP="00E413B0">
      <w:pPr>
        <w:pStyle w:val="ListParagraph"/>
        <w:numPr>
          <w:ilvl w:val="0"/>
          <w:numId w:val="10"/>
        </w:numPr>
        <w:rPr>
          <w:rFonts w:eastAsia="Times New Roman"/>
          <w:lang w:val="fr-FR" w:eastAsia="en-US"/>
        </w:rPr>
      </w:pPr>
      <w:r>
        <w:rPr>
          <w:rFonts w:eastAsia="Times New Roman"/>
          <w:lang w:val="fr-FR" w:eastAsia="en-US"/>
        </w:rPr>
        <w:t>Lien entre information émanant du secteur public et droit d</w:t>
      </w:r>
      <w:r w:rsidR="00A5561D">
        <w:rPr>
          <w:rFonts w:eastAsia="Times New Roman"/>
          <w:lang w:val="fr-FR" w:eastAsia="en-US"/>
        </w:rPr>
        <w:t>’</w:t>
      </w:r>
      <w:r>
        <w:rPr>
          <w:rFonts w:eastAsia="Times New Roman"/>
          <w:lang w:val="fr-FR" w:eastAsia="en-US"/>
        </w:rPr>
        <w:t>auteur</w:t>
      </w:r>
    </w:p>
    <w:p w:rsidR="004F0465" w:rsidRDefault="00F51C90" w:rsidP="00E413B0">
      <w:pPr>
        <w:pStyle w:val="ListParagraph"/>
        <w:numPr>
          <w:ilvl w:val="0"/>
          <w:numId w:val="10"/>
        </w:numPr>
        <w:rPr>
          <w:rFonts w:eastAsia="Times New Roman"/>
          <w:lang w:val="fr-FR" w:eastAsia="en-US"/>
        </w:rPr>
      </w:pPr>
      <w:r>
        <w:rPr>
          <w:rFonts w:eastAsia="Times New Roman"/>
          <w:lang w:val="fr-FR" w:eastAsia="en-US"/>
        </w:rPr>
        <w:t>Information émanant du secteur public et concession de licences</w:t>
      </w:r>
    </w:p>
    <w:p w:rsidR="004F0465" w:rsidRDefault="00F51C90" w:rsidP="00E413B0">
      <w:pPr>
        <w:pStyle w:val="ListParagraph"/>
        <w:numPr>
          <w:ilvl w:val="0"/>
          <w:numId w:val="10"/>
        </w:numPr>
        <w:rPr>
          <w:rFonts w:eastAsia="Times New Roman"/>
          <w:lang w:val="fr-FR" w:eastAsia="en-US"/>
        </w:rPr>
      </w:pPr>
      <w:r>
        <w:rPr>
          <w:rFonts w:eastAsia="Times New Roman"/>
          <w:lang w:val="fr-FR" w:eastAsia="en-US"/>
        </w:rPr>
        <w:t>Présentation d</w:t>
      </w:r>
      <w:r w:rsidR="00A5561D">
        <w:rPr>
          <w:rFonts w:eastAsia="Times New Roman"/>
          <w:lang w:val="fr-FR" w:eastAsia="en-US"/>
        </w:rPr>
        <w:t>’</w:t>
      </w:r>
      <w:r>
        <w:rPr>
          <w:rFonts w:eastAsia="Times New Roman"/>
          <w:lang w:val="fr-FR" w:eastAsia="en-US"/>
        </w:rPr>
        <w:t>initiatives, de stratégies et de pratiques recommandées nationales</w:t>
      </w:r>
      <w:r w:rsidR="004640A7" w:rsidRPr="00DD05DF">
        <w:rPr>
          <w:rFonts w:eastAsia="Times New Roman"/>
          <w:lang w:val="fr-FR" w:eastAsia="en-US"/>
        </w:rPr>
        <w:t>.</w:t>
      </w:r>
    </w:p>
    <w:p w:rsidR="00E374BC" w:rsidRDefault="00E374BC" w:rsidP="00E413B0">
      <w:pPr>
        <w:rPr>
          <w:rFonts w:eastAsia="Times New Roman"/>
          <w:szCs w:val="22"/>
          <w:lang w:val="fr-FR" w:eastAsia="en-US"/>
        </w:rPr>
      </w:pPr>
    </w:p>
    <w:p w:rsidR="004F0465" w:rsidRDefault="001813D3" w:rsidP="00F34233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Pr="00DD05DF">
        <w:rPr>
          <w:rFonts w:eastAsia="Times New Roman"/>
          <w:szCs w:val="22"/>
          <w:lang w:val="fr-FR" w:eastAsia="en-US"/>
        </w:rPr>
        <w:tab/>
      </w:r>
      <w:r w:rsidR="00177565">
        <w:rPr>
          <w:rFonts w:eastAsia="Times New Roman"/>
          <w:szCs w:val="22"/>
          <w:lang w:val="fr-FR" w:eastAsia="en-US"/>
        </w:rPr>
        <w:t>Chaque thème a été traité par plusieurs experts internationaux sélectionnés sur la base de leurs connaissances et de leurs compétences, en tenant compte de l</w:t>
      </w:r>
      <w:r w:rsidR="00A5561D">
        <w:rPr>
          <w:rFonts w:eastAsia="Times New Roman"/>
          <w:szCs w:val="22"/>
          <w:lang w:val="fr-FR" w:eastAsia="en-US"/>
        </w:rPr>
        <w:t>’</w:t>
      </w:r>
      <w:r w:rsidR="00177565">
        <w:rPr>
          <w:rFonts w:eastAsia="Times New Roman"/>
          <w:szCs w:val="22"/>
          <w:lang w:val="fr-FR" w:eastAsia="en-US"/>
        </w:rPr>
        <w:t>équilibre géographique</w:t>
      </w:r>
      <w:r w:rsidR="00F34233" w:rsidRPr="00DD05DF">
        <w:rPr>
          <w:rFonts w:eastAsia="Times New Roman"/>
          <w:szCs w:val="22"/>
          <w:lang w:val="fr-FR" w:eastAsia="en-US"/>
        </w:rPr>
        <w:t>.</w:t>
      </w:r>
      <w:r w:rsidR="002D7971" w:rsidRPr="00DD05DF">
        <w:rPr>
          <w:rFonts w:eastAsia="Times New Roman"/>
          <w:szCs w:val="22"/>
          <w:lang w:val="fr-FR" w:eastAsia="en-US"/>
        </w:rPr>
        <w:t xml:space="preserve"> </w:t>
      </w:r>
      <w:r w:rsidR="00F34233" w:rsidRPr="00DD05DF">
        <w:rPr>
          <w:rFonts w:eastAsia="Times New Roman"/>
          <w:szCs w:val="22"/>
          <w:lang w:val="fr-FR" w:eastAsia="en-US"/>
        </w:rPr>
        <w:t xml:space="preserve"> </w:t>
      </w:r>
      <w:r w:rsidR="00177565">
        <w:rPr>
          <w:rFonts w:eastAsia="Times New Roman"/>
          <w:szCs w:val="22"/>
          <w:lang w:val="fr-FR" w:eastAsia="en-US"/>
        </w:rPr>
        <w:t xml:space="preserve">Les </w:t>
      </w:r>
      <w:r w:rsidR="0027716F" w:rsidRPr="00DD05DF">
        <w:rPr>
          <w:rFonts w:eastAsia="Times New Roman"/>
          <w:szCs w:val="22"/>
          <w:lang w:val="fr-FR" w:eastAsia="en-US"/>
        </w:rPr>
        <w:t>12</w:t>
      </w:r>
      <w:r w:rsidR="007D2747">
        <w:rPr>
          <w:rFonts w:eastAsia="Times New Roman"/>
          <w:szCs w:val="22"/>
          <w:lang w:val="fr-FR" w:eastAsia="en-US"/>
        </w:rPr>
        <w:t> </w:t>
      </w:r>
      <w:r w:rsidR="00177565">
        <w:rPr>
          <w:rFonts w:eastAsia="Times New Roman"/>
          <w:szCs w:val="22"/>
          <w:lang w:val="fr-FR" w:eastAsia="en-US"/>
        </w:rPr>
        <w:t>conférenciers ci</w:t>
      </w:r>
      <w:r w:rsidR="00A5561D">
        <w:rPr>
          <w:rFonts w:eastAsia="Times New Roman"/>
          <w:szCs w:val="22"/>
          <w:lang w:val="fr-FR" w:eastAsia="en-US"/>
        </w:rPr>
        <w:t>-</w:t>
      </w:r>
      <w:r w:rsidR="00177565">
        <w:rPr>
          <w:rFonts w:eastAsia="Times New Roman"/>
          <w:szCs w:val="22"/>
          <w:lang w:val="fr-FR" w:eastAsia="en-US"/>
        </w:rPr>
        <w:t>après ont participé à la conférence internationale</w:t>
      </w:r>
      <w:r w:rsidR="00A5561D">
        <w:rPr>
          <w:rFonts w:eastAsia="Times New Roman"/>
          <w:szCs w:val="22"/>
          <w:lang w:val="fr-FR" w:eastAsia="en-US"/>
        </w:rPr>
        <w:t> :</w:t>
      </w:r>
      <w:r w:rsidR="00F34233" w:rsidRPr="00DD05DF">
        <w:rPr>
          <w:rFonts w:eastAsia="Times New Roman"/>
          <w:szCs w:val="22"/>
          <w:lang w:val="fr-FR" w:eastAsia="en-US"/>
        </w:rPr>
        <w:t xml:space="preserve"> M.</w:t>
      </w:r>
      <w:r w:rsidR="003524A9">
        <w:rPr>
          <w:rFonts w:eastAsia="Times New Roman"/>
          <w:szCs w:val="22"/>
          <w:lang w:val="fr-FR" w:eastAsia="en-US"/>
        </w:rPr>
        <w:t> </w:t>
      </w:r>
      <w:r w:rsidR="00F34233" w:rsidRPr="00DD05DF">
        <w:rPr>
          <w:rFonts w:eastAsia="Times New Roman"/>
          <w:szCs w:val="22"/>
          <w:lang w:val="fr-FR" w:eastAsia="en-US"/>
        </w:rPr>
        <w:t>Kenneth</w:t>
      </w:r>
      <w:r w:rsidR="007D2747">
        <w:rPr>
          <w:rFonts w:eastAsia="Times New Roman"/>
          <w:szCs w:val="22"/>
          <w:lang w:val="fr-FR" w:eastAsia="en-US"/>
        </w:rPr>
        <w:t> 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Crews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(</w:t>
      </w:r>
      <w:r w:rsidR="00177565">
        <w:rPr>
          <w:rFonts w:eastAsia="Times New Roman"/>
          <w:szCs w:val="22"/>
          <w:lang w:val="fr-FR" w:eastAsia="en-US"/>
        </w:rPr>
        <w:t>États</w:t>
      </w:r>
      <w:r w:rsidR="00A5561D">
        <w:rPr>
          <w:rFonts w:eastAsia="Times New Roman"/>
          <w:szCs w:val="22"/>
          <w:lang w:val="fr-FR" w:eastAsia="en-US"/>
        </w:rPr>
        <w:t>-</w:t>
      </w:r>
      <w:r w:rsidR="00177565">
        <w:rPr>
          <w:rFonts w:eastAsia="Times New Roman"/>
          <w:szCs w:val="22"/>
          <w:lang w:val="fr-FR" w:eastAsia="en-US"/>
        </w:rPr>
        <w:t>Unis d</w:t>
      </w:r>
      <w:r w:rsidR="00A5561D">
        <w:rPr>
          <w:rFonts w:eastAsia="Times New Roman"/>
          <w:szCs w:val="22"/>
          <w:lang w:val="fr-FR" w:eastAsia="en-US"/>
        </w:rPr>
        <w:t>’</w:t>
      </w:r>
      <w:r w:rsidR="00177565">
        <w:rPr>
          <w:rFonts w:eastAsia="Times New Roman"/>
          <w:szCs w:val="22"/>
          <w:lang w:val="fr-FR" w:eastAsia="en-US"/>
        </w:rPr>
        <w:t>Amérique</w:t>
      </w:r>
      <w:r w:rsidR="00F34233" w:rsidRPr="00DD05DF">
        <w:rPr>
          <w:rFonts w:eastAsia="Times New Roman"/>
          <w:szCs w:val="22"/>
          <w:lang w:val="fr-FR" w:eastAsia="en-US"/>
        </w:rPr>
        <w:t>), M.</w:t>
      </w:r>
      <w:r w:rsidR="003524A9">
        <w:rPr>
          <w:rFonts w:eastAsia="Times New Roman"/>
          <w:szCs w:val="22"/>
          <w:lang w:val="fr-FR" w:eastAsia="en-US"/>
        </w:rPr>
        <w:t> </w:t>
      </w:r>
      <w:r w:rsidR="00F34233" w:rsidRPr="00DD05DF">
        <w:rPr>
          <w:rFonts w:eastAsia="Times New Roman"/>
          <w:szCs w:val="22"/>
          <w:lang w:val="fr-FR" w:eastAsia="en-US"/>
        </w:rPr>
        <w:t>Aziz Dieng (S</w:t>
      </w:r>
      <w:r w:rsidR="00177565">
        <w:rPr>
          <w:rFonts w:eastAsia="Times New Roman"/>
          <w:szCs w:val="22"/>
          <w:lang w:val="fr-FR" w:eastAsia="en-US"/>
        </w:rPr>
        <w:t>éné</w:t>
      </w:r>
      <w:r w:rsidR="00F34233" w:rsidRPr="00DD05DF">
        <w:rPr>
          <w:rFonts w:eastAsia="Times New Roman"/>
          <w:szCs w:val="22"/>
          <w:lang w:val="fr-FR" w:eastAsia="en-US"/>
        </w:rPr>
        <w:t>gal), M.</w:t>
      </w:r>
      <w:r w:rsidR="003524A9">
        <w:rPr>
          <w:rFonts w:eastAsia="Times New Roman"/>
          <w:szCs w:val="22"/>
          <w:lang w:val="fr-FR" w:eastAsia="en-US"/>
        </w:rPr>
        <w:t> </w:t>
      </w:r>
      <w:r w:rsidR="00F34233" w:rsidRPr="00DD05DF">
        <w:rPr>
          <w:rFonts w:eastAsia="Times New Roman"/>
          <w:szCs w:val="22"/>
          <w:lang w:val="fr-FR" w:eastAsia="en-US"/>
        </w:rPr>
        <w:t>Thomas</w:t>
      </w:r>
      <w:r w:rsidR="007D2747">
        <w:rPr>
          <w:rFonts w:eastAsia="Times New Roman"/>
          <w:szCs w:val="22"/>
          <w:lang w:val="fr-FR" w:eastAsia="en-US"/>
        </w:rPr>
        <w:t> 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Ewert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(</w:t>
      </w:r>
      <w:r w:rsidR="00177565">
        <w:rPr>
          <w:rFonts w:eastAsia="Times New Roman"/>
          <w:szCs w:val="22"/>
          <w:lang w:val="fr-FR" w:eastAsia="en-US"/>
        </w:rPr>
        <w:t>Allemagne</w:t>
      </w:r>
      <w:r w:rsidR="00F34233" w:rsidRPr="00DD05DF">
        <w:rPr>
          <w:rFonts w:eastAsia="Times New Roman"/>
          <w:szCs w:val="22"/>
          <w:lang w:val="fr-FR" w:eastAsia="en-US"/>
        </w:rPr>
        <w:t xml:space="preserve">), </w:t>
      </w:r>
      <w:r w:rsidR="00F34233" w:rsidRPr="00DD05DF">
        <w:rPr>
          <w:rFonts w:eastAsia="Times New Roman"/>
          <w:szCs w:val="22"/>
          <w:lang w:val="fr-FR" w:eastAsia="en-US"/>
        </w:rPr>
        <w:lastRenderedPageBreak/>
        <w:t>M.</w:t>
      </w:r>
      <w:r w:rsidR="003524A9">
        <w:rPr>
          <w:rFonts w:eastAsia="Times New Roman"/>
          <w:szCs w:val="22"/>
          <w:lang w:val="fr-FR" w:eastAsia="en-US"/>
        </w:rPr>
        <w:t> </w:t>
      </w:r>
      <w:r w:rsidR="00F34233" w:rsidRPr="00DD05DF">
        <w:rPr>
          <w:rFonts w:eastAsia="Times New Roman"/>
          <w:szCs w:val="22"/>
          <w:lang w:val="fr-FR" w:eastAsia="en-US"/>
        </w:rPr>
        <w:t>Joseph</w:t>
      </w:r>
      <w:r w:rsidR="007D2747">
        <w:rPr>
          <w:rFonts w:eastAsia="Times New Roman"/>
          <w:szCs w:val="22"/>
          <w:lang w:val="fr-FR" w:eastAsia="en-US"/>
        </w:rPr>
        <w:t> 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Fometeu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(Camero</w:t>
      </w:r>
      <w:r w:rsidR="00177565">
        <w:rPr>
          <w:rFonts w:eastAsia="Times New Roman"/>
          <w:szCs w:val="22"/>
          <w:lang w:val="fr-FR" w:eastAsia="en-US"/>
        </w:rPr>
        <w:t>u</w:t>
      </w:r>
      <w:r w:rsidR="00F34233" w:rsidRPr="00DD05DF">
        <w:rPr>
          <w:rFonts w:eastAsia="Times New Roman"/>
          <w:szCs w:val="22"/>
          <w:lang w:val="fr-FR" w:eastAsia="en-US"/>
        </w:rPr>
        <w:t>n), M.</w:t>
      </w:r>
      <w:r w:rsidR="003524A9">
        <w:rPr>
          <w:rFonts w:eastAsia="Times New Roman"/>
          <w:szCs w:val="22"/>
          <w:lang w:val="fr-FR" w:eastAsia="en-US"/>
        </w:rPr>
        <w:t> 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Maximilano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Marzetti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(Argentin</w:t>
      </w:r>
      <w:r w:rsidR="00177565">
        <w:rPr>
          <w:rFonts w:eastAsia="Times New Roman"/>
          <w:szCs w:val="22"/>
          <w:lang w:val="fr-FR" w:eastAsia="en-US"/>
        </w:rPr>
        <w:t>e</w:t>
      </w:r>
      <w:r w:rsidR="00F34233" w:rsidRPr="00DD05DF">
        <w:rPr>
          <w:rFonts w:eastAsia="Times New Roman"/>
          <w:szCs w:val="22"/>
          <w:lang w:val="fr-FR" w:eastAsia="en-US"/>
        </w:rPr>
        <w:t>)</w:t>
      </w:r>
      <w:r w:rsidR="003D4F43" w:rsidRPr="00DD05DF">
        <w:rPr>
          <w:rFonts w:eastAsia="Times New Roman"/>
          <w:szCs w:val="22"/>
          <w:lang w:val="fr-FR" w:eastAsia="en-US"/>
        </w:rPr>
        <w:t xml:space="preserve">, </w:t>
      </w:r>
      <w:r w:rsidR="00F34233" w:rsidRPr="00DD05DF">
        <w:rPr>
          <w:rFonts w:eastAsia="Times New Roman"/>
          <w:szCs w:val="22"/>
          <w:lang w:val="fr-FR" w:eastAsia="en-US"/>
        </w:rPr>
        <w:t>M</w:t>
      </w:r>
      <w:r w:rsidR="00177565">
        <w:rPr>
          <w:rFonts w:eastAsia="Times New Roman"/>
          <w:szCs w:val="22"/>
          <w:lang w:val="fr-FR" w:eastAsia="en-US"/>
        </w:rPr>
        <w:t>me</w:t>
      </w:r>
      <w:r w:rsidR="003524A9">
        <w:rPr>
          <w:rFonts w:eastAsia="Times New Roman"/>
          <w:szCs w:val="22"/>
          <w:lang w:val="fr-FR" w:eastAsia="en-US"/>
        </w:rPr>
        <w:t> 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Cristiana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Sappa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</w:t>
      </w:r>
      <w:r w:rsidR="003D4F43" w:rsidRPr="00DD05DF">
        <w:rPr>
          <w:rFonts w:eastAsia="Times New Roman"/>
          <w:szCs w:val="22"/>
          <w:lang w:val="fr-FR" w:eastAsia="en-US"/>
        </w:rPr>
        <w:t>(Ital</w:t>
      </w:r>
      <w:r w:rsidR="00177565">
        <w:rPr>
          <w:rFonts w:eastAsia="Times New Roman"/>
          <w:szCs w:val="22"/>
          <w:lang w:val="fr-FR" w:eastAsia="en-US"/>
        </w:rPr>
        <w:t>ie</w:t>
      </w:r>
      <w:r w:rsidR="003D4F43" w:rsidRPr="00DD05DF">
        <w:rPr>
          <w:rFonts w:eastAsia="Times New Roman"/>
          <w:szCs w:val="22"/>
          <w:lang w:val="fr-FR" w:eastAsia="en-US"/>
        </w:rPr>
        <w:t>)</w:t>
      </w:r>
      <w:r w:rsidR="0027716F" w:rsidRPr="00DD05DF">
        <w:rPr>
          <w:rFonts w:eastAsia="Times New Roman"/>
          <w:szCs w:val="22"/>
          <w:lang w:val="fr-FR" w:eastAsia="en-US"/>
        </w:rPr>
        <w:t xml:space="preserve">, </w:t>
      </w:r>
      <w:r w:rsidR="00F34233" w:rsidRPr="00DD05DF">
        <w:rPr>
          <w:rFonts w:eastAsia="Times New Roman"/>
          <w:szCs w:val="22"/>
          <w:lang w:val="fr-FR" w:eastAsia="en-US"/>
        </w:rPr>
        <w:t>M.</w:t>
      </w:r>
      <w:r w:rsidR="003524A9">
        <w:rPr>
          <w:rFonts w:eastAsia="Times New Roman"/>
          <w:szCs w:val="22"/>
          <w:lang w:val="fr-FR" w:eastAsia="en-US"/>
        </w:rPr>
        <w:t> </w:t>
      </w:r>
      <w:r w:rsidR="00F34233" w:rsidRPr="00DD05DF">
        <w:rPr>
          <w:rFonts w:eastAsia="Times New Roman"/>
          <w:szCs w:val="22"/>
          <w:lang w:val="fr-FR" w:eastAsia="en-US"/>
        </w:rPr>
        <w:t xml:space="preserve">Ben 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Sihanya</w:t>
      </w:r>
      <w:proofErr w:type="spellEnd"/>
      <w:r w:rsidR="0027716F" w:rsidRPr="00DD05DF">
        <w:rPr>
          <w:rFonts w:eastAsia="Times New Roman"/>
          <w:szCs w:val="22"/>
          <w:lang w:val="fr-FR" w:eastAsia="en-US"/>
        </w:rPr>
        <w:t xml:space="preserve"> (Kenya),</w:t>
      </w:r>
      <w:r w:rsidR="00F34233" w:rsidRPr="00DD05DF">
        <w:rPr>
          <w:rFonts w:eastAsia="Times New Roman"/>
          <w:szCs w:val="22"/>
          <w:lang w:val="fr-FR" w:eastAsia="en-US"/>
        </w:rPr>
        <w:t xml:space="preserve"> M.</w:t>
      </w:r>
      <w:r w:rsidR="003524A9">
        <w:rPr>
          <w:rFonts w:eastAsia="Times New Roman"/>
          <w:szCs w:val="22"/>
          <w:lang w:val="fr-FR" w:eastAsia="en-US"/>
        </w:rPr>
        <w:t> </w:t>
      </w:r>
      <w:r w:rsidR="00F34233" w:rsidRPr="00DD05DF">
        <w:rPr>
          <w:rFonts w:eastAsia="Times New Roman"/>
          <w:szCs w:val="22"/>
          <w:lang w:val="fr-FR" w:eastAsia="en-US"/>
        </w:rPr>
        <w:t>Paul</w:t>
      </w:r>
      <w:r w:rsidR="007D2747">
        <w:rPr>
          <w:rFonts w:eastAsia="Times New Roman"/>
          <w:szCs w:val="22"/>
          <w:lang w:val="fr-FR" w:eastAsia="en-US"/>
        </w:rPr>
        <w:t> 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Uhlir</w:t>
      </w:r>
      <w:proofErr w:type="spellEnd"/>
      <w:r w:rsidR="0027716F" w:rsidRPr="00DD05DF">
        <w:rPr>
          <w:rFonts w:eastAsia="Times New Roman"/>
          <w:szCs w:val="22"/>
          <w:lang w:val="fr-FR" w:eastAsia="en-US"/>
        </w:rPr>
        <w:t xml:space="preserve"> (</w:t>
      </w:r>
      <w:r w:rsidR="00177565">
        <w:rPr>
          <w:rFonts w:eastAsia="Times New Roman"/>
          <w:szCs w:val="22"/>
          <w:lang w:val="fr-FR" w:eastAsia="en-US"/>
        </w:rPr>
        <w:t>États</w:t>
      </w:r>
      <w:r w:rsidR="00A5561D">
        <w:rPr>
          <w:rFonts w:eastAsia="Times New Roman"/>
          <w:szCs w:val="22"/>
          <w:lang w:val="fr-FR" w:eastAsia="en-US"/>
        </w:rPr>
        <w:t>-</w:t>
      </w:r>
      <w:r w:rsidR="00177565">
        <w:rPr>
          <w:rFonts w:eastAsia="Times New Roman"/>
          <w:szCs w:val="22"/>
          <w:lang w:val="fr-FR" w:eastAsia="en-US"/>
        </w:rPr>
        <w:t>Unis d</w:t>
      </w:r>
      <w:r w:rsidR="00A5561D">
        <w:rPr>
          <w:rFonts w:eastAsia="Times New Roman"/>
          <w:szCs w:val="22"/>
          <w:lang w:val="fr-FR" w:eastAsia="en-US"/>
        </w:rPr>
        <w:t>’</w:t>
      </w:r>
      <w:r w:rsidR="00177565">
        <w:rPr>
          <w:rFonts w:eastAsia="Times New Roman"/>
          <w:szCs w:val="22"/>
          <w:lang w:val="fr-FR" w:eastAsia="en-US"/>
        </w:rPr>
        <w:t>Amérique</w:t>
      </w:r>
      <w:r w:rsidR="0027716F" w:rsidRPr="00DD05DF">
        <w:rPr>
          <w:rFonts w:eastAsia="Times New Roman"/>
          <w:szCs w:val="22"/>
          <w:lang w:val="fr-FR" w:eastAsia="en-US"/>
        </w:rPr>
        <w:t xml:space="preserve">), </w:t>
      </w:r>
      <w:r w:rsidR="002D7971" w:rsidRPr="00DD05DF">
        <w:rPr>
          <w:rFonts w:eastAsia="Times New Roman"/>
          <w:szCs w:val="22"/>
          <w:lang w:val="fr-FR" w:eastAsia="en-US"/>
        </w:rPr>
        <w:t>M</w:t>
      </w:r>
      <w:r w:rsidR="00177565">
        <w:rPr>
          <w:rFonts w:eastAsia="Times New Roman"/>
          <w:szCs w:val="22"/>
          <w:lang w:val="fr-FR" w:eastAsia="en-US"/>
        </w:rPr>
        <w:t>me</w:t>
      </w:r>
      <w:r w:rsidR="003524A9">
        <w:rPr>
          <w:rFonts w:eastAsia="Times New Roman"/>
          <w:szCs w:val="22"/>
          <w:lang w:val="fr-FR" w:eastAsia="en-US"/>
        </w:rPr>
        <w:t> </w:t>
      </w:r>
      <w:r w:rsidR="00F34233" w:rsidRPr="00DD05DF">
        <w:rPr>
          <w:rFonts w:eastAsia="Times New Roman"/>
          <w:szCs w:val="22"/>
          <w:lang w:val="fr-FR" w:eastAsia="en-US"/>
        </w:rPr>
        <w:t>Sarah</w:t>
      </w:r>
      <w:r w:rsidR="007D2747">
        <w:rPr>
          <w:rFonts w:eastAsia="Times New Roman"/>
          <w:szCs w:val="22"/>
          <w:lang w:val="fr-FR" w:eastAsia="en-US"/>
        </w:rPr>
        <w:t> 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Venites</w:t>
      </w:r>
      <w:proofErr w:type="spellEnd"/>
      <w:r w:rsidR="0027716F" w:rsidRPr="00DD05DF">
        <w:rPr>
          <w:rFonts w:eastAsia="Times New Roman"/>
          <w:szCs w:val="22"/>
          <w:lang w:val="fr-FR" w:eastAsia="en-US"/>
        </w:rPr>
        <w:t xml:space="preserve"> (Br</w:t>
      </w:r>
      <w:r w:rsidR="00177565">
        <w:rPr>
          <w:rFonts w:eastAsia="Times New Roman"/>
          <w:szCs w:val="22"/>
          <w:lang w:val="fr-FR" w:eastAsia="en-US"/>
        </w:rPr>
        <w:t>ésil</w:t>
      </w:r>
      <w:r w:rsidR="0027716F" w:rsidRPr="00DD05DF">
        <w:rPr>
          <w:rFonts w:eastAsia="Times New Roman"/>
          <w:szCs w:val="22"/>
          <w:lang w:val="fr-FR" w:eastAsia="en-US"/>
        </w:rPr>
        <w:t xml:space="preserve">), </w:t>
      </w:r>
      <w:r w:rsidR="00F34233" w:rsidRPr="00DD05DF">
        <w:rPr>
          <w:rFonts w:eastAsia="Times New Roman"/>
          <w:szCs w:val="22"/>
          <w:lang w:val="fr-FR" w:eastAsia="en-US"/>
        </w:rPr>
        <w:t>M.</w:t>
      </w:r>
      <w:r w:rsidR="003524A9">
        <w:rPr>
          <w:rFonts w:eastAsia="Times New Roman"/>
          <w:szCs w:val="22"/>
          <w:lang w:val="fr-FR" w:eastAsia="en-US"/>
        </w:rPr>
        <w:t> 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Tomoaki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Watanabe</w:t>
      </w:r>
      <w:proofErr w:type="spellEnd"/>
      <w:r w:rsidR="0027716F" w:rsidRPr="00DD05DF">
        <w:rPr>
          <w:rFonts w:eastAsia="Times New Roman"/>
          <w:szCs w:val="22"/>
          <w:lang w:val="fr-FR" w:eastAsia="en-US"/>
        </w:rPr>
        <w:t xml:space="preserve"> (Jap</w:t>
      </w:r>
      <w:r w:rsidR="00177565">
        <w:rPr>
          <w:rFonts w:eastAsia="Times New Roman"/>
          <w:szCs w:val="22"/>
          <w:lang w:val="fr-FR" w:eastAsia="en-US"/>
        </w:rPr>
        <w:t>on</w:t>
      </w:r>
      <w:r w:rsidR="0027716F" w:rsidRPr="00DD05DF">
        <w:rPr>
          <w:rFonts w:eastAsia="Times New Roman"/>
          <w:szCs w:val="22"/>
          <w:lang w:val="fr-FR" w:eastAsia="en-US"/>
        </w:rPr>
        <w:t xml:space="preserve">), </w:t>
      </w:r>
      <w:r w:rsidR="00F34233" w:rsidRPr="00DD05DF">
        <w:rPr>
          <w:rFonts w:eastAsia="Times New Roman"/>
          <w:szCs w:val="22"/>
          <w:lang w:val="fr-FR" w:eastAsia="en-US"/>
        </w:rPr>
        <w:t>M</w:t>
      </w:r>
      <w:r w:rsidR="00177565">
        <w:rPr>
          <w:rFonts w:eastAsia="Times New Roman"/>
          <w:szCs w:val="22"/>
          <w:lang w:val="fr-FR" w:eastAsia="en-US"/>
        </w:rPr>
        <w:t>me</w:t>
      </w:r>
      <w:r w:rsidR="003524A9">
        <w:rPr>
          <w:rFonts w:eastAsia="Times New Roman"/>
          <w:szCs w:val="22"/>
          <w:lang w:val="fr-FR" w:eastAsia="en-US"/>
        </w:rPr>
        <w:t> </w:t>
      </w:r>
      <w:r w:rsidR="00F34233" w:rsidRPr="00DD05DF">
        <w:rPr>
          <w:rFonts w:eastAsia="Times New Roman"/>
          <w:szCs w:val="22"/>
          <w:lang w:val="fr-FR" w:eastAsia="en-US"/>
        </w:rPr>
        <w:t xml:space="preserve">Raquel 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Xalabarder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</w:t>
      </w:r>
      <w:r w:rsidR="0027716F" w:rsidRPr="00DD05DF">
        <w:rPr>
          <w:rFonts w:eastAsia="Times New Roman"/>
          <w:szCs w:val="22"/>
          <w:lang w:val="fr-FR" w:eastAsia="en-US"/>
        </w:rPr>
        <w:t>(</w:t>
      </w:r>
      <w:r w:rsidR="00177565">
        <w:rPr>
          <w:rFonts w:eastAsia="Times New Roman"/>
          <w:szCs w:val="22"/>
          <w:lang w:val="fr-FR" w:eastAsia="en-US"/>
        </w:rPr>
        <w:t>Espagne</w:t>
      </w:r>
      <w:r w:rsidR="0027716F" w:rsidRPr="00DD05DF">
        <w:rPr>
          <w:rFonts w:eastAsia="Times New Roman"/>
          <w:szCs w:val="22"/>
          <w:lang w:val="fr-FR" w:eastAsia="en-US"/>
        </w:rPr>
        <w:t>)</w:t>
      </w:r>
      <w:r w:rsidR="00177565">
        <w:rPr>
          <w:rFonts w:eastAsia="Times New Roman"/>
          <w:szCs w:val="22"/>
          <w:lang w:val="fr-FR" w:eastAsia="en-US"/>
        </w:rPr>
        <w:t xml:space="preserve"> et</w:t>
      </w:r>
      <w:r w:rsidR="0027716F" w:rsidRPr="00DD05DF">
        <w:rPr>
          <w:rFonts w:eastAsia="Times New Roman"/>
          <w:szCs w:val="22"/>
          <w:lang w:val="fr-FR" w:eastAsia="en-US"/>
        </w:rPr>
        <w:t xml:space="preserve"> </w:t>
      </w:r>
      <w:r w:rsidR="00F34233" w:rsidRPr="00DD05DF">
        <w:rPr>
          <w:rFonts w:eastAsia="Times New Roman"/>
          <w:szCs w:val="22"/>
          <w:lang w:val="fr-FR" w:eastAsia="en-US"/>
        </w:rPr>
        <w:t>M.</w:t>
      </w:r>
      <w:r w:rsidR="003524A9">
        <w:rPr>
          <w:rFonts w:eastAsia="Times New Roman"/>
          <w:szCs w:val="22"/>
          <w:lang w:val="fr-FR" w:eastAsia="en-US"/>
        </w:rPr>
        <w:t> 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Mikhail</w:t>
      </w:r>
      <w:proofErr w:type="spellEnd"/>
      <w:r w:rsidR="00F34233" w:rsidRPr="00DD05DF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="00F34233" w:rsidRPr="00DD05DF">
        <w:rPr>
          <w:rFonts w:eastAsia="Times New Roman"/>
          <w:szCs w:val="22"/>
          <w:lang w:val="fr-FR" w:eastAsia="en-US"/>
        </w:rPr>
        <w:t>Zhuravlev</w:t>
      </w:r>
      <w:proofErr w:type="spellEnd"/>
      <w:r w:rsidR="0027716F" w:rsidRPr="00DD05DF">
        <w:rPr>
          <w:rFonts w:eastAsia="Times New Roman"/>
          <w:szCs w:val="22"/>
          <w:lang w:val="fr-FR" w:eastAsia="en-US"/>
        </w:rPr>
        <w:t xml:space="preserve"> (</w:t>
      </w:r>
      <w:r w:rsidR="00177565">
        <w:rPr>
          <w:rFonts w:eastAsia="Times New Roman"/>
          <w:szCs w:val="22"/>
          <w:lang w:val="fr-FR" w:eastAsia="en-US"/>
        </w:rPr>
        <w:t>Fédération de Russie</w:t>
      </w:r>
      <w:r w:rsidR="0027716F" w:rsidRPr="00DD05DF">
        <w:rPr>
          <w:rFonts w:eastAsia="Times New Roman"/>
          <w:szCs w:val="22"/>
          <w:lang w:val="fr-FR" w:eastAsia="en-US"/>
        </w:rPr>
        <w:t>).</w:t>
      </w:r>
    </w:p>
    <w:p w:rsidR="004F0465" w:rsidRDefault="004F0465" w:rsidP="00F34233">
      <w:pPr>
        <w:rPr>
          <w:rFonts w:eastAsia="Times New Roman"/>
          <w:szCs w:val="22"/>
          <w:lang w:val="fr-FR" w:eastAsia="en-US"/>
        </w:rPr>
      </w:pPr>
    </w:p>
    <w:p w:rsidR="004F0465" w:rsidRDefault="0041399C" w:rsidP="00F34233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Pr="00DD05DF">
        <w:rPr>
          <w:rFonts w:eastAsia="Times New Roman"/>
          <w:szCs w:val="22"/>
          <w:lang w:val="fr-FR" w:eastAsia="en-US"/>
        </w:rPr>
        <w:tab/>
      </w:r>
      <w:r w:rsidR="00006430">
        <w:rPr>
          <w:rFonts w:eastAsia="Times New Roman"/>
          <w:szCs w:val="22"/>
          <w:lang w:val="fr-FR" w:eastAsia="en-US"/>
        </w:rPr>
        <w:t>Les langues de travail de la conférence internationale étaient le français et l</w:t>
      </w:r>
      <w:r w:rsidR="00A5561D">
        <w:rPr>
          <w:rFonts w:eastAsia="Times New Roman"/>
          <w:szCs w:val="22"/>
          <w:lang w:val="fr-FR" w:eastAsia="en-US"/>
        </w:rPr>
        <w:t>’</w:t>
      </w:r>
      <w:r w:rsidR="00006430">
        <w:rPr>
          <w:rFonts w:eastAsia="Times New Roman"/>
          <w:szCs w:val="22"/>
          <w:lang w:val="fr-FR" w:eastAsia="en-US"/>
        </w:rPr>
        <w:t>anglais</w:t>
      </w:r>
      <w:r w:rsidR="00105E75">
        <w:rPr>
          <w:rFonts w:eastAsia="Times New Roman"/>
          <w:szCs w:val="22"/>
          <w:lang w:val="fr-FR" w:eastAsia="en-US"/>
        </w:rPr>
        <w:t xml:space="preserve"> et l</w:t>
      </w:r>
      <w:r w:rsidR="00A5561D">
        <w:rPr>
          <w:rFonts w:eastAsia="Times New Roman"/>
          <w:szCs w:val="22"/>
          <w:lang w:val="fr-FR" w:eastAsia="en-US"/>
        </w:rPr>
        <w:t>’</w:t>
      </w:r>
      <w:r w:rsidR="00006430">
        <w:rPr>
          <w:rFonts w:eastAsia="Times New Roman"/>
          <w:szCs w:val="22"/>
          <w:lang w:val="fr-FR" w:eastAsia="en-US"/>
        </w:rPr>
        <w:t xml:space="preserve">interprétation simultanée </w:t>
      </w:r>
      <w:r w:rsidR="00105E75">
        <w:rPr>
          <w:rFonts w:eastAsia="Times New Roman"/>
          <w:szCs w:val="22"/>
          <w:lang w:val="fr-FR" w:eastAsia="en-US"/>
        </w:rPr>
        <w:t>a été</w:t>
      </w:r>
      <w:r w:rsidR="00006430">
        <w:rPr>
          <w:rFonts w:eastAsia="Times New Roman"/>
          <w:szCs w:val="22"/>
          <w:lang w:val="fr-FR" w:eastAsia="en-US"/>
        </w:rPr>
        <w:t xml:space="preserve"> assurée durant toute la conférence</w:t>
      </w:r>
      <w:r w:rsidRPr="00DD05DF">
        <w:rPr>
          <w:rFonts w:eastAsia="Times New Roman"/>
          <w:szCs w:val="22"/>
          <w:lang w:val="fr-FR" w:eastAsia="en-US"/>
        </w:rPr>
        <w:t>.</w:t>
      </w:r>
    </w:p>
    <w:p w:rsidR="004F0465" w:rsidRDefault="004F0465" w:rsidP="00E413B0">
      <w:pPr>
        <w:rPr>
          <w:rFonts w:eastAsia="Times New Roman"/>
          <w:szCs w:val="22"/>
          <w:lang w:val="fr-FR" w:eastAsia="en-US"/>
        </w:rPr>
      </w:pPr>
    </w:p>
    <w:p w:rsidR="00E374BC" w:rsidRDefault="00DB71BB" w:rsidP="00E413B0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Pr="00DD05DF">
        <w:rPr>
          <w:rFonts w:eastAsia="Times New Roman"/>
          <w:szCs w:val="22"/>
          <w:lang w:val="fr-FR" w:eastAsia="en-US"/>
        </w:rPr>
        <w:tab/>
      </w:r>
      <w:r w:rsidR="00CA16C6">
        <w:rPr>
          <w:rFonts w:eastAsia="Times New Roman"/>
          <w:szCs w:val="22"/>
          <w:lang w:val="fr-FR" w:eastAsia="en-US"/>
        </w:rPr>
        <w:t>Conformément au descriptif du projet</w:t>
      </w:r>
      <w:r w:rsidR="00A10ED5" w:rsidRPr="00DD05DF">
        <w:rPr>
          <w:rFonts w:eastAsia="Times New Roman"/>
          <w:szCs w:val="22"/>
          <w:lang w:val="fr-FR" w:eastAsia="en-US"/>
        </w:rPr>
        <w:t xml:space="preserve"> </w:t>
      </w:r>
      <w:r w:rsidR="00CA16C6">
        <w:rPr>
          <w:rFonts w:eastAsia="Times New Roman"/>
          <w:szCs w:val="22"/>
          <w:lang w:val="fr-FR" w:eastAsia="en-US"/>
        </w:rPr>
        <w:t>(</w:t>
      </w:r>
      <w:r w:rsidR="00A5561D">
        <w:rPr>
          <w:rFonts w:eastAsia="Times New Roman"/>
          <w:szCs w:val="22"/>
          <w:lang w:val="fr-FR" w:eastAsia="en-US"/>
        </w:rPr>
        <w:t>document</w:t>
      </w:r>
      <w:r w:rsidR="00713EC2">
        <w:rPr>
          <w:rFonts w:eastAsia="Times New Roman"/>
          <w:szCs w:val="22"/>
          <w:lang w:val="fr-FR" w:eastAsia="en-US"/>
        </w:rPr>
        <w:t> </w:t>
      </w:r>
      <w:r w:rsidR="00A5561D" w:rsidRPr="00DD05DF">
        <w:rPr>
          <w:rFonts w:eastAsia="Times New Roman"/>
          <w:szCs w:val="22"/>
          <w:lang w:val="fr-FR" w:eastAsia="en-US"/>
        </w:rPr>
        <w:t>CD</w:t>
      </w:r>
      <w:r w:rsidR="00A10ED5" w:rsidRPr="00DD05DF">
        <w:rPr>
          <w:rFonts w:eastAsia="Times New Roman"/>
          <w:szCs w:val="22"/>
          <w:lang w:val="fr-FR" w:eastAsia="en-US"/>
        </w:rPr>
        <w:t>IP/13/11</w:t>
      </w:r>
      <w:r w:rsidR="00CA16C6">
        <w:rPr>
          <w:rFonts w:eastAsia="Times New Roman"/>
          <w:szCs w:val="22"/>
          <w:lang w:val="fr-FR" w:eastAsia="en-US"/>
        </w:rPr>
        <w:t>)</w:t>
      </w:r>
      <w:r w:rsidR="00A10ED5" w:rsidRPr="00DD05DF">
        <w:rPr>
          <w:rFonts w:eastAsia="Times New Roman"/>
          <w:szCs w:val="22"/>
          <w:lang w:val="fr-FR" w:eastAsia="en-US"/>
        </w:rPr>
        <w:t xml:space="preserve">, </w:t>
      </w:r>
      <w:r w:rsidR="00CA16C6">
        <w:rPr>
          <w:rFonts w:eastAsia="Times New Roman"/>
          <w:szCs w:val="22"/>
          <w:lang w:val="fr-FR" w:eastAsia="en-US"/>
        </w:rPr>
        <w:t xml:space="preserve">une </w:t>
      </w:r>
      <w:r w:rsidR="00E374BC">
        <w:rPr>
          <w:rFonts w:eastAsia="Times New Roman"/>
          <w:szCs w:val="22"/>
          <w:lang w:val="fr-FR" w:eastAsia="en-US"/>
        </w:rPr>
        <w:t>page W</w:t>
      </w:r>
      <w:r w:rsidR="00CA16C6">
        <w:rPr>
          <w:rFonts w:eastAsia="Times New Roman"/>
          <w:szCs w:val="22"/>
          <w:lang w:val="fr-FR" w:eastAsia="en-US"/>
        </w:rPr>
        <w:t>eb spécialement consacrée à la conférence</w:t>
      </w:r>
      <w:r w:rsidR="00A10ED5" w:rsidRPr="00DD05DF">
        <w:rPr>
          <w:rStyle w:val="FootnoteReference"/>
          <w:rFonts w:eastAsia="Times New Roman"/>
          <w:szCs w:val="22"/>
          <w:lang w:val="fr-FR" w:eastAsia="en-US"/>
        </w:rPr>
        <w:footnoteReference w:id="4"/>
      </w:r>
      <w:r w:rsidR="00A10ED5" w:rsidRPr="00DD05DF">
        <w:rPr>
          <w:rFonts w:eastAsia="Times New Roman"/>
          <w:szCs w:val="22"/>
          <w:lang w:val="fr-FR" w:eastAsia="en-US"/>
        </w:rPr>
        <w:t xml:space="preserve"> </w:t>
      </w:r>
      <w:r w:rsidR="00CA16C6">
        <w:rPr>
          <w:rFonts w:eastAsia="Times New Roman"/>
          <w:szCs w:val="22"/>
          <w:lang w:val="fr-FR" w:eastAsia="en-US"/>
        </w:rPr>
        <w:t>a été créée pour mettre à disposition les ressources ci</w:t>
      </w:r>
      <w:r w:rsidR="00A5561D">
        <w:rPr>
          <w:rFonts w:eastAsia="Times New Roman"/>
          <w:szCs w:val="22"/>
          <w:lang w:val="fr-FR" w:eastAsia="en-US"/>
        </w:rPr>
        <w:t>-</w:t>
      </w:r>
      <w:r w:rsidR="00CA16C6">
        <w:rPr>
          <w:rFonts w:eastAsia="Times New Roman"/>
          <w:szCs w:val="22"/>
          <w:lang w:val="fr-FR" w:eastAsia="en-US"/>
        </w:rPr>
        <w:t>après</w:t>
      </w:r>
      <w:r w:rsidR="00A5561D">
        <w:rPr>
          <w:rFonts w:eastAsia="Times New Roman"/>
          <w:szCs w:val="22"/>
          <w:lang w:val="fr-FR" w:eastAsia="en-US"/>
        </w:rPr>
        <w:t> :</w:t>
      </w:r>
      <w:r w:rsidR="00D02C4F" w:rsidRPr="00DD05DF">
        <w:rPr>
          <w:rFonts w:eastAsia="Times New Roman"/>
          <w:szCs w:val="22"/>
          <w:lang w:val="fr-FR" w:eastAsia="en-US"/>
        </w:rPr>
        <w:t xml:space="preserve"> </w:t>
      </w:r>
      <w:r w:rsidR="00CA16C6">
        <w:rPr>
          <w:rFonts w:eastAsia="Times New Roman"/>
          <w:szCs w:val="22"/>
          <w:lang w:val="fr-FR" w:eastAsia="en-US"/>
        </w:rPr>
        <w:t>les versions écrites des exposés présentés par les conférenciers internationaux</w:t>
      </w:r>
      <w:r w:rsidR="009F5FE9" w:rsidRPr="00DD05DF">
        <w:rPr>
          <w:rFonts w:eastAsia="Times New Roman"/>
          <w:szCs w:val="22"/>
          <w:lang w:val="fr-FR" w:eastAsia="en-US"/>
        </w:rPr>
        <w:t>;</w:t>
      </w:r>
      <w:r w:rsidR="00D02C4F" w:rsidRPr="00DD05DF">
        <w:rPr>
          <w:rFonts w:eastAsia="Times New Roman"/>
          <w:szCs w:val="22"/>
          <w:lang w:val="fr-FR" w:eastAsia="en-US"/>
        </w:rPr>
        <w:t xml:space="preserve"> </w:t>
      </w:r>
      <w:r w:rsidR="009F5FE9" w:rsidRPr="00DD05DF">
        <w:rPr>
          <w:rFonts w:eastAsia="Times New Roman"/>
          <w:szCs w:val="22"/>
          <w:lang w:val="fr-FR" w:eastAsia="en-US"/>
        </w:rPr>
        <w:t xml:space="preserve"> </w:t>
      </w:r>
      <w:r w:rsidR="00CA16C6">
        <w:rPr>
          <w:rFonts w:eastAsia="Times New Roman"/>
          <w:szCs w:val="22"/>
          <w:lang w:val="fr-FR" w:eastAsia="en-US"/>
        </w:rPr>
        <w:t>trois</w:t>
      </w:r>
      <w:r w:rsidR="003524A9">
        <w:rPr>
          <w:rFonts w:eastAsia="Times New Roman"/>
          <w:szCs w:val="22"/>
          <w:lang w:val="fr-FR" w:eastAsia="en-US"/>
        </w:rPr>
        <w:t> </w:t>
      </w:r>
      <w:r w:rsidR="00CA16C6">
        <w:rPr>
          <w:rFonts w:eastAsia="Times New Roman"/>
          <w:szCs w:val="22"/>
          <w:lang w:val="fr-FR" w:eastAsia="en-US"/>
        </w:rPr>
        <w:t>courtes vidéos sur l</w:t>
      </w:r>
      <w:r w:rsidR="000F182F">
        <w:rPr>
          <w:rFonts w:eastAsia="Times New Roman"/>
          <w:szCs w:val="22"/>
          <w:lang w:val="fr-FR" w:eastAsia="en-US"/>
        </w:rPr>
        <w:t xml:space="preserve">es </w:t>
      </w:r>
      <w:r w:rsidR="00CA16C6">
        <w:rPr>
          <w:rFonts w:eastAsia="Times New Roman"/>
          <w:szCs w:val="22"/>
          <w:lang w:val="fr-FR" w:eastAsia="en-US"/>
        </w:rPr>
        <w:t>approche</w:t>
      </w:r>
      <w:r w:rsidR="000F182F">
        <w:rPr>
          <w:rFonts w:eastAsia="Times New Roman"/>
          <w:szCs w:val="22"/>
          <w:lang w:val="fr-FR" w:eastAsia="en-US"/>
        </w:rPr>
        <w:t>s</w:t>
      </w:r>
      <w:r w:rsidR="00CA16C6">
        <w:rPr>
          <w:rFonts w:eastAsia="Times New Roman"/>
          <w:szCs w:val="22"/>
          <w:lang w:val="fr-FR" w:eastAsia="en-US"/>
        </w:rPr>
        <w:t xml:space="preserve"> en matière de gestion de l</w:t>
      </w:r>
      <w:r w:rsidR="00A5561D">
        <w:rPr>
          <w:rFonts w:eastAsia="Times New Roman"/>
          <w:szCs w:val="22"/>
          <w:lang w:val="fr-FR" w:eastAsia="en-US"/>
        </w:rPr>
        <w:t>’</w:t>
      </w:r>
      <w:r w:rsidR="00CA16C6">
        <w:rPr>
          <w:rFonts w:eastAsia="Times New Roman"/>
          <w:szCs w:val="22"/>
          <w:lang w:val="fr-FR" w:eastAsia="en-US"/>
        </w:rPr>
        <w:t xml:space="preserve">information émanant du secteur public </w:t>
      </w:r>
      <w:r w:rsidR="000F182F">
        <w:rPr>
          <w:rFonts w:eastAsia="Times New Roman"/>
          <w:szCs w:val="22"/>
          <w:lang w:val="fr-FR" w:eastAsia="en-US"/>
        </w:rPr>
        <w:t xml:space="preserve">adoptées </w:t>
      </w:r>
      <w:r w:rsidR="00CA16C6">
        <w:rPr>
          <w:rFonts w:eastAsia="Times New Roman"/>
          <w:szCs w:val="22"/>
          <w:lang w:val="fr-FR" w:eastAsia="en-US"/>
        </w:rPr>
        <w:t>par l</w:t>
      </w:r>
      <w:r w:rsidR="00A5561D">
        <w:rPr>
          <w:rFonts w:eastAsia="Times New Roman"/>
          <w:szCs w:val="22"/>
          <w:lang w:val="fr-FR" w:eastAsia="en-US"/>
        </w:rPr>
        <w:t>’</w:t>
      </w:r>
      <w:r w:rsidR="00CA16C6">
        <w:rPr>
          <w:rFonts w:eastAsia="Times New Roman"/>
          <w:szCs w:val="22"/>
          <w:lang w:val="fr-FR" w:eastAsia="en-US"/>
        </w:rPr>
        <w:t>Argentine, la Fédération de Russie et le Japon</w:t>
      </w:r>
      <w:r w:rsidR="009F5FE9" w:rsidRPr="00DD05DF">
        <w:rPr>
          <w:rFonts w:eastAsia="Times New Roman"/>
          <w:szCs w:val="22"/>
          <w:lang w:val="fr-FR" w:eastAsia="en-US"/>
        </w:rPr>
        <w:t xml:space="preserve">; </w:t>
      </w:r>
      <w:r w:rsidR="00D02C4F" w:rsidRPr="00DD05DF">
        <w:rPr>
          <w:rFonts w:eastAsia="Times New Roman"/>
          <w:szCs w:val="22"/>
          <w:lang w:val="fr-FR" w:eastAsia="en-US"/>
        </w:rPr>
        <w:t xml:space="preserve"> </w:t>
      </w:r>
      <w:r w:rsidR="001D29CC">
        <w:rPr>
          <w:rFonts w:eastAsia="Times New Roman"/>
          <w:szCs w:val="22"/>
          <w:lang w:val="fr-FR" w:eastAsia="en-US"/>
        </w:rPr>
        <w:t>le rapport sur la façon de réutiliser de façon optimale l</w:t>
      </w:r>
      <w:r w:rsidR="00A5561D">
        <w:rPr>
          <w:rFonts w:eastAsia="Times New Roman"/>
          <w:szCs w:val="22"/>
          <w:lang w:val="fr-FR" w:eastAsia="en-US"/>
        </w:rPr>
        <w:t>’</w:t>
      </w:r>
      <w:r w:rsidR="001D29CC">
        <w:rPr>
          <w:rFonts w:eastAsia="Times New Roman"/>
          <w:szCs w:val="22"/>
          <w:lang w:val="fr-FR" w:eastAsia="en-US"/>
        </w:rPr>
        <w:t>information émanant du secteur public dans</w:t>
      </w:r>
      <w:r w:rsidR="00E374BC">
        <w:rPr>
          <w:rFonts w:eastAsia="Times New Roman"/>
          <w:szCs w:val="22"/>
          <w:lang w:val="fr-FR" w:eastAsia="en-US"/>
        </w:rPr>
        <w:t xml:space="preserve"> les PMA</w:t>
      </w:r>
      <w:r w:rsidR="001D29CC">
        <w:rPr>
          <w:rFonts w:eastAsia="Times New Roman"/>
          <w:szCs w:val="22"/>
          <w:lang w:val="fr-FR" w:eastAsia="en-US"/>
        </w:rPr>
        <w:t xml:space="preserve"> et les pays en développement</w:t>
      </w:r>
      <w:r w:rsidR="00D8460D" w:rsidRPr="00DD05DF">
        <w:rPr>
          <w:rFonts w:eastAsia="Times New Roman"/>
          <w:szCs w:val="22"/>
          <w:lang w:val="fr-FR" w:eastAsia="en-US"/>
        </w:rPr>
        <w:t xml:space="preserve"> (2019), </w:t>
      </w:r>
      <w:r w:rsidR="001D29CC">
        <w:rPr>
          <w:rFonts w:eastAsia="Times New Roman"/>
          <w:szCs w:val="22"/>
          <w:lang w:val="fr-FR" w:eastAsia="en-US"/>
        </w:rPr>
        <w:t>établi par</w:t>
      </w:r>
      <w:r w:rsidR="0067326F" w:rsidRPr="00DD05DF">
        <w:rPr>
          <w:rFonts w:eastAsia="Times New Roman"/>
          <w:szCs w:val="22"/>
          <w:lang w:val="fr-FR" w:eastAsia="en-US"/>
        </w:rPr>
        <w:t xml:space="preserve"> M</w:t>
      </w:r>
      <w:r w:rsidR="001D29CC">
        <w:rPr>
          <w:rFonts w:eastAsia="Times New Roman"/>
          <w:szCs w:val="22"/>
          <w:lang w:val="fr-FR" w:eastAsia="en-US"/>
        </w:rPr>
        <w:t>me</w:t>
      </w:r>
      <w:r w:rsidR="003524A9">
        <w:rPr>
          <w:rFonts w:eastAsia="Times New Roman"/>
          <w:szCs w:val="22"/>
          <w:lang w:val="fr-FR" w:eastAsia="en-US"/>
        </w:rPr>
        <w:t> </w:t>
      </w:r>
      <w:proofErr w:type="spellStart"/>
      <w:r w:rsidR="0067326F" w:rsidRPr="00DD05DF">
        <w:rPr>
          <w:rFonts w:eastAsia="Times New Roman"/>
          <w:szCs w:val="22"/>
          <w:lang w:val="fr-FR" w:eastAsia="en-US"/>
        </w:rPr>
        <w:t>Cristiana</w:t>
      </w:r>
      <w:proofErr w:type="spellEnd"/>
      <w:r w:rsidR="0067326F" w:rsidRPr="00DD05DF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="0067326F" w:rsidRPr="00DD05DF">
        <w:rPr>
          <w:rFonts w:eastAsia="Times New Roman"/>
          <w:szCs w:val="22"/>
          <w:lang w:val="fr-FR" w:eastAsia="en-US"/>
        </w:rPr>
        <w:t>Sappa</w:t>
      </w:r>
      <w:proofErr w:type="spellEnd"/>
      <w:r w:rsidR="00D8460D" w:rsidRPr="00DD05DF">
        <w:rPr>
          <w:rFonts w:eastAsia="Times New Roman"/>
          <w:szCs w:val="22"/>
          <w:lang w:val="fr-FR" w:eastAsia="en-US"/>
        </w:rPr>
        <w:t xml:space="preserve">; </w:t>
      </w:r>
      <w:r w:rsidR="00D02C4F" w:rsidRPr="00DD05DF">
        <w:rPr>
          <w:rFonts w:eastAsia="Times New Roman"/>
          <w:szCs w:val="22"/>
          <w:lang w:val="fr-FR" w:eastAsia="en-US"/>
        </w:rPr>
        <w:t xml:space="preserve"> </w:t>
      </w:r>
      <w:r w:rsidR="001D29CC">
        <w:rPr>
          <w:rFonts w:eastAsia="Times New Roman"/>
          <w:szCs w:val="22"/>
          <w:lang w:val="fr-FR" w:eastAsia="en-US"/>
        </w:rPr>
        <w:t>et</w:t>
      </w:r>
      <w:r w:rsidR="00D8460D" w:rsidRPr="00DD05DF">
        <w:rPr>
          <w:rFonts w:eastAsia="Times New Roman"/>
          <w:szCs w:val="22"/>
          <w:lang w:val="fr-FR" w:eastAsia="en-US"/>
        </w:rPr>
        <w:t xml:space="preserve"> </w:t>
      </w:r>
      <w:r w:rsidR="001D29CC">
        <w:rPr>
          <w:rFonts w:eastAsia="Times New Roman"/>
          <w:szCs w:val="22"/>
          <w:lang w:val="fr-FR" w:eastAsia="en-US"/>
        </w:rPr>
        <w:t>le rapport sur l</w:t>
      </w:r>
      <w:r w:rsidR="00A5561D">
        <w:rPr>
          <w:rFonts w:eastAsia="Times New Roman"/>
          <w:szCs w:val="22"/>
          <w:lang w:val="fr-FR" w:eastAsia="en-US"/>
        </w:rPr>
        <w:t>’</w:t>
      </w:r>
      <w:r w:rsidR="001D29CC">
        <w:rPr>
          <w:rFonts w:eastAsia="Times New Roman"/>
          <w:szCs w:val="22"/>
          <w:lang w:val="fr-FR" w:eastAsia="en-US"/>
        </w:rPr>
        <w:t>utilisation du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1D29CC">
        <w:rPr>
          <w:rFonts w:eastAsia="Times New Roman"/>
          <w:szCs w:val="22"/>
          <w:lang w:val="fr-FR" w:eastAsia="en-US"/>
        </w:rPr>
        <w:t>auteur pour améliorer l</w:t>
      </w:r>
      <w:r w:rsidR="00A5561D">
        <w:rPr>
          <w:rFonts w:eastAsia="Times New Roman"/>
          <w:szCs w:val="22"/>
          <w:lang w:val="fr-FR" w:eastAsia="en-US"/>
        </w:rPr>
        <w:t>’</w:t>
      </w:r>
      <w:r w:rsidR="001D29CC">
        <w:rPr>
          <w:rFonts w:eastAsia="Times New Roman"/>
          <w:szCs w:val="22"/>
          <w:lang w:val="fr-FR" w:eastAsia="en-US"/>
        </w:rPr>
        <w:t>accès à l</w:t>
      </w:r>
      <w:r w:rsidR="00A5561D">
        <w:rPr>
          <w:rFonts w:eastAsia="Times New Roman"/>
          <w:szCs w:val="22"/>
          <w:lang w:val="fr-FR" w:eastAsia="en-US"/>
        </w:rPr>
        <w:t>’</w:t>
      </w:r>
      <w:r w:rsidR="001D29CC">
        <w:rPr>
          <w:rFonts w:eastAsia="Times New Roman"/>
          <w:szCs w:val="22"/>
          <w:lang w:val="fr-FR" w:eastAsia="en-US"/>
        </w:rPr>
        <w:t>information émanant du secteur public</w:t>
      </w:r>
      <w:r w:rsidR="00D8460D" w:rsidRPr="00DD05DF">
        <w:rPr>
          <w:lang w:val="fr-FR"/>
        </w:rPr>
        <w:t xml:space="preserve"> (</w:t>
      </w:r>
      <w:r w:rsidR="00D8460D" w:rsidRPr="00DD05DF">
        <w:rPr>
          <w:rFonts w:eastAsia="Times New Roman"/>
          <w:szCs w:val="22"/>
          <w:lang w:val="fr-FR" w:eastAsia="en-US"/>
        </w:rPr>
        <w:t>WIPO/CR/WK/GE/11/4</w:t>
      </w:r>
      <w:r w:rsidR="001D29CC">
        <w:rPr>
          <w:rFonts w:eastAsia="Times New Roman"/>
          <w:szCs w:val="22"/>
          <w:lang w:val="fr-FR" w:eastAsia="en-US"/>
        </w:rPr>
        <w:t>), établi par Mme</w:t>
      </w:r>
      <w:r w:rsidR="003524A9">
        <w:rPr>
          <w:rFonts w:eastAsia="Times New Roman"/>
          <w:szCs w:val="22"/>
          <w:lang w:val="fr-FR" w:eastAsia="en-US"/>
        </w:rPr>
        <w:t> </w:t>
      </w:r>
      <w:r w:rsidR="00D8460D" w:rsidRPr="00DD05DF">
        <w:rPr>
          <w:rFonts w:eastAsia="Times New Roman"/>
          <w:szCs w:val="22"/>
          <w:lang w:val="fr-FR" w:eastAsia="en-US"/>
        </w:rPr>
        <w:t>Catherine</w:t>
      </w:r>
      <w:r w:rsidR="007D2747">
        <w:rPr>
          <w:rFonts w:eastAsia="Times New Roman"/>
          <w:szCs w:val="22"/>
          <w:lang w:val="fr-FR" w:eastAsia="en-US"/>
        </w:rPr>
        <w:t> </w:t>
      </w:r>
      <w:proofErr w:type="spellStart"/>
      <w:r w:rsidR="00D8460D" w:rsidRPr="00DD05DF">
        <w:rPr>
          <w:rFonts w:eastAsia="Times New Roman"/>
          <w:szCs w:val="22"/>
          <w:lang w:val="fr-FR" w:eastAsia="en-US"/>
        </w:rPr>
        <w:t>Jasserand</w:t>
      </w:r>
      <w:proofErr w:type="spellEnd"/>
      <w:r w:rsidR="00D8460D" w:rsidRPr="00DD05DF">
        <w:rPr>
          <w:rFonts w:eastAsia="Times New Roman"/>
          <w:szCs w:val="22"/>
          <w:lang w:val="fr-FR" w:eastAsia="en-US"/>
        </w:rPr>
        <w:t xml:space="preserve"> </w:t>
      </w:r>
      <w:r w:rsidR="001D29CC">
        <w:rPr>
          <w:rFonts w:eastAsia="Times New Roman"/>
          <w:szCs w:val="22"/>
          <w:lang w:val="fr-FR" w:eastAsia="en-US"/>
        </w:rPr>
        <w:t>et M.</w:t>
      </w:r>
      <w:r w:rsidR="003524A9">
        <w:rPr>
          <w:rFonts w:eastAsia="Times New Roman"/>
          <w:szCs w:val="22"/>
          <w:lang w:val="fr-FR" w:eastAsia="en-US"/>
        </w:rPr>
        <w:t> </w:t>
      </w:r>
      <w:proofErr w:type="spellStart"/>
      <w:r w:rsidR="00D8460D" w:rsidRPr="00DD05DF">
        <w:rPr>
          <w:rFonts w:eastAsia="Times New Roman"/>
          <w:szCs w:val="22"/>
          <w:lang w:val="fr-FR" w:eastAsia="en-US"/>
        </w:rPr>
        <w:t>Bernt</w:t>
      </w:r>
      <w:proofErr w:type="spellEnd"/>
      <w:r w:rsidR="00D8460D" w:rsidRPr="00DD05DF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="00D8460D" w:rsidRPr="00DD05DF">
        <w:rPr>
          <w:rFonts w:eastAsia="Times New Roman"/>
          <w:szCs w:val="22"/>
          <w:lang w:val="fr-FR" w:eastAsia="en-US"/>
        </w:rPr>
        <w:t>Hugenholtz</w:t>
      </w:r>
      <w:proofErr w:type="spellEnd"/>
      <w:r w:rsidR="00D8460D" w:rsidRPr="00DD05DF">
        <w:rPr>
          <w:rFonts w:eastAsia="Times New Roman"/>
          <w:szCs w:val="22"/>
          <w:lang w:val="fr-FR" w:eastAsia="en-US"/>
        </w:rPr>
        <w:t>.</w:t>
      </w:r>
    </w:p>
    <w:p w:rsidR="004F0465" w:rsidRDefault="004F0465" w:rsidP="00E413B0">
      <w:pPr>
        <w:rPr>
          <w:rFonts w:eastAsia="Times New Roman"/>
          <w:szCs w:val="22"/>
          <w:lang w:val="fr-FR" w:eastAsia="en-US"/>
        </w:rPr>
      </w:pPr>
    </w:p>
    <w:p w:rsidR="00E374BC" w:rsidRDefault="005724D1" w:rsidP="000258B2">
      <w:pPr>
        <w:rPr>
          <w:rFonts w:eastAsia="Times New Roman"/>
          <w:szCs w:val="22"/>
          <w:lang w:val="fr-FR" w:eastAsia="en-US"/>
        </w:rPr>
      </w:pPr>
      <w:r w:rsidRPr="00DD05DF">
        <w:rPr>
          <w:rFonts w:eastAsia="Times New Roman"/>
          <w:szCs w:val="22"/>
          <w:lang w:val="fr-FR" w:eastAsia="en-US"/>
        </w:rPr>
        <w:fldChar w:fldCharType="begin"/>
      </w:r>
      <w:r w:rsidRPr="00DD05DF">
        <w:rPr>
          <w:rFonts w:eastAsia="Times New Roman"/>
          <w:szCs w:val="22"/>
          <w:lang w:val="fr-FR" w:eastAsia="en-US"/>
        </w:rPr>
        <w:instrText xml:space="preserve"> AUTONUM  </w:instrText>
      </w:r>
      <w:r w:rsidRPr="00DD05DF">
        <w:rPr>
          <w:rFonts w:eastAsia="Times New Roman"/>
          <w:szCs w:val="22"/>
          <w:lang w:val="fr-FR" w:eastAsia="en-US"/>
        </w:rPr>
        <w:fldChar w:fldCharType="end"/>
      </w:r>
      <w:r w:rsidR="007872E0" w:rsidRPr="00DD05DF">
        <w:rPr>
          <w:rFonts w:eastAsia="Times New Roman"/>
          <w:szCs w:val="22"/>
          <w:lang w:val="fr-FR" w:eastAsia="en-US"/>
        </w:rPr>
        <w:tab/>
      </w:r>
      <w:r w:rsidR="00250715">
        <w:rPr>
          <w:rFonts w:eastAsia="Times New Roman"/>
          <w:szCs w:val="22"/>
          <w:lang w:val="fr-FR" w:eastAsia="en-US"/>
        </w:rPr>
        <w:t>À la clôture de la conférence internationale, les représentants des États membres se sont vu remettre un questionnaire de satisfaction</w:t>
      </w:r>
      <w:r w:rsidR="004435BC" w:rsidRPr="00DD05DF">
        <w:rPr>
          <w:rFonts w:eastAsia="Times New Roman"/>
          <w:szCs w:val="22"/>
          <w:lang w:val="fr-FR" w:eastAsia="en-US"/>
        </w:rPr>
        <w:t xml:space="preserve">. </w:t>
      </w:r>
      <w:r w:rsidR="00505F34" w:rsidRPr="00DD05DF">
        <w:rPr>
          <w:rFonts w:eastAsia="Times New Roman"/>
          <w:szCs w:val="22"/>
          <w:lang w:val="fr-FR" w:eastAsia="en-US"/>
        </w:rPr>
        <w:t xml:space="preserve"> </w:t>
      </w:r>
      <w:r w:rsidR="00250715">
        <w:rPr>
          <w:rFonts w:eastAsia="Times New Roman"/>
          <w:szCs w:val="22"/>
          <w:lang w:val="fr-FR" w:eastAsia="en-US"/>
        </w:rPr>
        <w:t>Vingt</w:t>
      </w:r>
      <w:r w:rsidR="00A5561D">
        <w:rPr>
          <w:rFonts w:eastAsia="Times New Roman"/>
          <w:szCs w:val="22"/>
          <w:lang w:val="fr-FR" w:eastAsia="en-US"/>
        </w:rPr>
        <w:t>-</w:t>
      </w:r>
      <w:r w:rsidR="00250715">
        <w:rPr>
          <w:rFonts w:eastAsia="Times New Roman"/>
          <w:szCs w:val="22"/>
          <w:lang w:val="fr-FR" w:eastAsia="en-US"/>
        </w:rPr>
        <w:t>huit</w:t>
      </w:r>
      <w:r w:rsidRPr="00DD05DF">
        <w:rPr>
          <w:rFonts w:eastAsia="Times New Roman"/>
          <w:szCs w:val="22"/>
          <w:lang w:val="fr-FR" w:eastAsia="en-US"/>
        </w:rPr>
        <w:t xml:space="preserve"> </w:t>
      </w:r>
      <w:r w:rsidR="00250715">
        <w:rPr>
          <w:rFonts w:eastAsia="Times New Roman"/>
          <w:szCs w:val="22"/>
          <w:lang w:val="fr-FR" w:eastAsia="en-US"/>
        </w:rPr>
        <w:t>(28) représentants</w:t>
      </w:r>
      <w:r w:rsidRPr="00DD05DF">
        <w:rPr>
          <w:rFonts w:eastAsia="Times New Roman"/>
          <w:szCs w:val="22"/>
          <w:lang w:val="fr-FR" w:eastAsia="en-US"/>
        </w:rPr>
        <w:t xml:space="preserve"> </w:t>
      </w:r>
      <w:r w:rsidR="00250715">
        <w:rPr>
          <w:rFonts w:eastAsia="Times New Roman"/>
          <w:szCs w:val="22"/>
          <w:lang w:val="fr-FR" w:eastAsia="en-US"/>
        </w:rPr>
        <w:t xml:space="preserve">ont répondu au </w:t>
      </w:r>
      <w:proofErr w:type="gramStart"/>
      <w:r w:rsidR="00250715">
        <w:rPr>
          <w:rFonts w:eastAsia="Times New Roman"/>
          <w:szCs w:val="22"/>
          <w:lang w:val="fr-FR" w:eastAsia="en-US"/>
        </w:rPr>
        <w:t>questionnaire</w:t>
      </w:r>
      <w:r w:rsidR="004435BC" w:rsidRPr="00DD05DF">
        <w:rPr>
          <w:rFonts w:eastAsia="Times New Roman"/>
          <w:szCs w:val="22"/>
          <w:lang w:val="fr-FR" w:eastAsia="en-US"/>
        </w:rPr>
        <w:t xml:space="preserve">;  </w:t>
      </w:r>
      <w:r w:rsidR="00250715">
        <w:rPr>
          <w:rFonts w:eastAsia="Times New Roman"/>
          <w:szCs w:val="22"/>
          <w:lang w:val="fr-FR" w:eastAsia="en-US"/>
        </w:rPr>
        <w:t>en</w:t>
      </w:r>
      <w:proofErr w:type="gramEnd"/>
      <w:r w:rsidR="00250715">
        <w:rPr>
          <w:rFonts w:eastAsia="Times New Roman"/>
          <w:szCs w:val="22"/>
          <w:lang w:val="fr-FR" w:eastAsia="en-US"/>
        </w:rPr>
        <w:t xml:space="preserve"> moyenne, 97% </w:t>
      </w:r>
      <w:r w:rsidR="001B3191">
        <w:rPr>
          <w:rFonts w:eastAsia="Times New Roman"/>
          <w:szCs w:val="22"/>
          <w:lang w:val="fr-FR" w:eastAsia="en-US"/>
        </w:rPr>
        <w:t xml:space="preserve">des personnes ayant répondu étaient globalement satisfaites, très satisfaites ou pleinement satisfaites </w:t>
      </w:r>
      <w:r w:rsidR="009556F5">
        <w:rPr>
          <w:rFonts w:eastAsia="Times New Roman"/>
          <w:szCs w:val="22"/>
          <w:lang w:val="fr-FR" w:eastAsia="en-US"/>
        </w:rPr>
        <w:t>de</w:t>
      </w:r>
      <w:r w:rsidR="001B3191">
        <w:rPr>
          <w:rFonts w:eastAsia="Times New Roman"/>
          <w:szCs w:val="22"/>
          <w:lang w:val="fr-FR" w:eastAsia="en-US"/>
        </w:rPr>
        <w:t xml:space="preserve"> la </w:t>
      </w:r>
      <w:r w:rsidR="007872E0" w:rsidRPr="00DD05DF">
        <w:rPr>
          <w:rFonts w:eastAsia="Times New Roman"/>
          <w:szCs w:val="22"/>
          <w:lang w:val="fr-FR" w:eastAsia="en-US"/>
        </w:rPr>
        <w:t>“</w:t>
      </w:r>
      <w:r w:rsidR="001B3191">
        <w:rPr>
          <w:rFonts w:eastAsia="Times New Roman"/>
          <w:szCs w:val="22"/>
          <w:lang w:val="fr-FR" w:eastAsia="en-US"/>
        </w:rPr>
        <w:t>Conférence internationale</w:t>
      </w:r>
      <w:r w:rsidR="007872E0" w:rsidRPr="00DD05DF">
        <w:rPr>
          <w:rFonts w:eastAsia="Times New Roman"/>
          <w:szCs w:val="22"/>
          <w:lang w:val="fr-FR" w:eastAsia="en-US"/>
        </w:rPr>
        <w:t>”</w:t>
      </w:r>
      <w:r w:rsidRPr="00DD05DF">
        <w:rPr>
          <w:rFonts w:eastAsia="Times New Roman"/>
          <w:szCs w:val="22"/>
          <w:lang w:val="fr-FR" w:eastAsia="en-US"/>
        </w:rPr>
        <w:t xml:space="preserve"> </w:t>
      </w:r>
      <w:r w:rsidR="001B3191">
        <w:rPr>
          <w:rFonts w:eastAsia="Times New Roman"/>
          <w:szCs w:val="22"/>
          <w:lang w:val="fr-FR" w:eastAsia="en-US"/>
        </w:rPr>
        <w:t>et 93% estimaient que les enseignements tirés de la conférence étaient très utiles, voire extrêmement utiles.</w:t>
      </w:r>
    </w:p>
    <w:p w:rsidR="004F0465" w:rsidRDefault="004F0465" w:rsidP="000258B2">
      <w:pPr>
        <w:pStyle w:val="Endofdocument-Annex"/>
        <w:rPr>
          <w:lang w:val="fr-FR"/>
        </w:rPr>
      </w:pPr>
    </w:p>
    <w:p w:rsidR="004F0465" w:rsidRDefault="00C30229" w:rsidP="0067326F">
      <w:pPr>
        <w:pStyle w:val="Heading1"/>
        <w:rPr>
          <w:lang w:val="fr-FR"/>
        </w:rPr>
      </w:pPr>
      <w:r>
        <w:rPr>
          <w:lang w:val="fr-FR"/>
        </w:rPr>
        <w:t>Délibé</w:t>
      </w:r>
      <w:r w:rsidR="00CE780C" w:rsidRPr="00DD05DF">
        <w:rPr>
          <w:lang w:val="fr-FR"/>
        </w:rPr>
        <w:t>rations</w:t>
      </w:r>
    </w:p>
    <w:p w:rsidR="004F0465" w:rsidRDefault="004F0465" w:rsidP="00CE780C">
      <w:pPr>
        <w:rPr>
          <w:szCs w:val="22"/>
          <w:lang w:val="fr-FR"/>
        </w:rPr>
      </w:pPr>
    </w:p>
    <w:p w:rsidR="004F0465" w:rsidRDefault="00CE780C" w:rsidP="00381FA8">
      <w:pPr>
        <w:rPr>
          <w:szCs w:val="22"/>
          <w:lang w:val="fr-FR"/>
        </w:rPr>
      </w:pPr>
      <w:r w:rsidRPr="00DD05DF">
        <w:rPr>
          <w:szCs w:val="22"/>
          <w:lang w:val="fr-FR"/>
        </w:rPr>
        <w:fldChar w:fldCharType="begin"/>
      </w:r>
      <w:r w:rsidRPr="00DD05DF">
        <w:rPr>
          <w:szCs w:val="22"/>
          <w:lang w:val="fr-FR"/>
        </w:rPr>
        <w:instrText xml:space="preserve"> AUTONUM  </w:instrText>
      </w:r>
      <w:r w:rsidRPr="00DD05DF">
        <w:rPr>
          <w:szCs w:val="22"/>
          <w:lang w:val="fr-FR"/>
        </w:rPr>
        <w:fldChar w:fldCharType="end"/>
      </w:r>
      <w:r w:rsidRPr="00DD05DF">
        <w:rPr>
          <w:szCs w:val="22"/>
          <w:lang w:val="fr-FR"/>
        </w:rPr>
        <w:tab/>
      </w:r>
      <w:r w:rsidR="000649AE">
        <w:rPr>
          <w:szCs w:val="22"/>
          <w:lang w:val="fr-FR"/>
        </w:rPr>
        <w:t>Les exposés et les rapports disponibles sur le site</w:t>
      </w:r>
      <w:r w:rsidR="003524A9">
        <w:rPr>
          <w:szCs w:val="22"/>
          <w:lang w:val="fr-FR"/>
        </w:rPr>
        <w:t> </w:t>
      </w:r>
      <w:r w:rsidR="000649AE">
        <w:rPr>
          <w:szCs w:val="22"/>
          <w:lang w:val="fr-FR"/>
        </w:rPr>
        <w:t xml:space="preserve">Web susmentionné fournissent une analyse de fond détaillée de tous les aspects pertinents </w:t>
      </w:r>
      <w:r w:rsidR="003D5CC5">
        <w:rPr>
          <w:szCs w:val="22"/>
          <w:lang w:val="fr-FR"/>
        </w:rPr>
        <w:t>de</w:t>
      </w:r>
      <w:r w:rsidR="000649AE">
        <w:rPr>
          <w:szCs w:val="22"/>
          <w:lang w:val="fr-FR"/>
        </w:rPr>
        <w:t xml:space="preserve"> la gestion de l</w:t>
      </w:r>
      <w:r w:rsidR="00A5561D">
        <w:rPr>
          <w:szCs w:val="22"/>
          <w:lang w:val="fr-FR"/>
        </w:rPr>
        <w:t>’</w:t>
      </w:r>
      <w:r w:rsidR="000649AE">
        <w:rPr>
          <w:szCs w:val="22"/>
          <w:lang w:val="fr-FR"/>
        </w:rPr>
        <w:t xml:space="preserve">information émanant du secteur public </w:t>
      </w:r>
      <w:r w:rsidR="003D5CC5">
        <w:rPr>
          <w:szCs w:val="22"/>
          <w:lang w:val="fr-FR"/>
        </w:rPr>
        <w:t>en rapport avec</w:t>
      </w:r>
      <w:r w:rsidR="000649AE">
        <w:rPr>
          <w:szCs w:val="22"/>
          <w:lang w:val="fr-FR"/>
        </w:rPr>
        <w:t xml:space="preserve"> le droit d</w:t>
      </w:r>
      <w:r w:rsidR="00A5561D">
        <w:rPr>
          <w:szCs w:val="22"/>
          <w:lang w:val="fr-FR"/>
        </w:rPr>
        <w:t>’</w:t>
      </w:r>
      <w:r w:rsidR="000649AE">
        <w:rPr>
          <w:szCs w:val="22"/>
          <w:lang w:val="fr-FR"/>
        </w:rPr>
        <w:t>auteur</w:t>
      </w:r>
      <w:r w:rsidR="003D5CC5">
        <w:rPr>
          <w:szCs w:val="22"/>
          <w:lang w:val="fr-FR"/>
        </w:rPr>
        <w:t>.  Ces ressources resteront disponibles aux États membres et au public et pourront servir de matériel de référence pour l</w:t>
      </w:r>
      <w:r w:rsidR="00A5561D">
        <w:rPr>
          <w:szCs w:val="22"/>
          <w:lang w:val="fr-FR"/>
        </w:rPr>
        <w:t>’</w:t>
      </w:r>
      <w:r w:rsidR="003D5CC5">
        <w:rPr>
          <w:szCs w:val="22"/>
          <w:lang w:val="fr-FR"/>
        </w:rPr>
        <w:t>élaboration de politiques nationales dans ce domaine</w:t>
      </w:r>
      <w:r w:rsidR="0067326F" w:rsidRPr="00DD05DF">
        <w:rPr>
          <w:szCs w:val="22"/>
          <w:lang w:val="fr-FR"/>
        </w:rPr>
        <w:t xml:space="preserve">.  </w:t>
      </w:r>
      <w:r w:rsidR="003D5CC5">
        <w:rPr>
          <w:szCs w:val="22"/>
          <w:lang w:val="fr-FR"/>
        </w:rPr>
        <w:t>Les paragraphes ci</w:t>
      </w:r>
      <w:r w:rsidR="00A5561D">
        <w:rPr>
          <w:szCs w:val="22"/>
          <w:lang w:val="fr-FR"/>
        </w:rPr>
        <w:t>-</w:t>
      </w:r>
      <w:r w:rsidR="003D5CC5">
        <w:rPr>
          <w:szCs w:val="22"/>
          <w:lang w:val="fr-FR"/>
        </w:rPr>
        <w:t xml:space="preserve">après </w:t>
      </w:r>
      <w:r w:rsidR="00444395">
        <w:rPr>
          <w:szCs w:val="22"/>
          <w:lang w:val="fr-FR"/>
        </w:rPr>
        <w:t xml:space="preserve">visent à </w:t>
      </w:r>
      <w:r w:rsidR="003D5CC5">
        <w:rPr>
          <w:szCs w:val="22"/>
          <w:lang w:val="fr-FR"/>
        </w:rPr>
        <w:t xml:space="preserve">mettre en évidence certains des principaux résultats obtenus et </w:t>
      </w:r>
      <w:proofErr w:type="gramStart"/>
      <w:r w:rsidR="003D5CC5">
        <w:rPr>
          <w:szCs w:val="22"/>
          <w:lang w:val="fr-FR"/>
        </w:rPr>
        <w:t>points ayant</w:t>
      </w:r>
      <w:proofErr w:type="gramEnd"/>
      <w:r w:rsidR="003D5CC5">
        <w:rPr>
          <w:szCs w:val="22"/>
          <w:lang w:val="fr-FR"/>
        </w:rPr>
        <w:t xml:space="preserve"> fait l</w:t>
      </w:r>
      <w:r w:rsidR="00A5561D">
        <w:rPr>
          <w:szCs w:val="22"/>
          <w:lang w:val="fr-FR"/>
        </w:rPr>
        <w:t>’</w:t>
      </w:r>
      <w:r w:rsidR="003D5CC5">
        <w:rPr>
          <w:szCs w:val="22"/>
          <w:lang w:val="fr-FR"/>
        </w:rPr>
        <w:t>objet de débats pour chaque thème</w:t>
      </w:r>
      <w:r w:rsidR="0067326F" w:rsidRPr="00DD05DF">
        <w:rPr>
          <w:szCs w:val="22"/>
          <w:lang w:val="fr-FR"/>
        </w:rPr>
        <w:t>.</w:t>
      </w:r>
    </w:p>
    <w:p w:rsidR="004F0465" w:rsidRDefault="004F0465" w:rsidP="00381FA8">
      <w:pPr>
        <w:rPr>
          <w:szCs w:val="22"/>
          <w:lang w:val="fr-FR"/>
        </w:rPr>
      </w:pPr>
    </w:p>
    <w:p w:rsidR="00E374BC" w:rsidRDefault="0041399C" w:rsidP="0041399C">
      <w:pPr>
        <w:rPr>
          <w:szCs w:val="22"/>
          <w:lang w:val="fr-FR"/>
        </w:rPr>
      </w:pPr>
      <w:r w:rsidRPr="00DD05DF">
        <w:rPr>
          <w:szCs w:val="22"/>
          <w:lang w:val="fr-FR"/>
        </w:rPr>
        <w:fldChar w:fldCharType="begin"/>
      </w:r>
      <w:r w:rsidRPr="00DD05DF">
        <w:rPr>
          <w:szCs w:val="22"/>
          <w:lang w:val="fr-FR"/>
        </w:rPr>
        <w:instrText xml:space="preserve"> AUTONUM  </w:instrText>
      </w:r>
      <w:r w:rsidRPr="00DD05DF">
        <w:rPr>
          <w:szCs w:val="22"/>
          <w:lang w:val="fr-FR"/>
        </w:rPr>
        <w:fldChar w:fldCharType="end"/>
      </w:r>
      <w:r w:rsidRPr="00DD05DF">
        <w:rPr>
          <w:szCs w:val="22"/>
          <w:lang w:val="fr-FR"/>
        </w:rPr>
        <w:tab/>
      </w:r>
      <w:r w:rsidR="003D5CC5">
        <w:rPr>
          <w:szCs w:val="22"/>
          <w:lang w:val="fr-FR"/>
        </w:rPr>
        <w:t>La conférence internationale a été ouverte par Mme</w:t>
      </w:r>
      <w:r w:rsidR="003524A9">
        <w:rPr>
          <w:szCs w:val="22"/>
          <w:lang w:val="fr-FR"/>
        </w:rPr>
        <w:t> </w:t>
      </w:r>
      <w:r w:rsidRPr="00DD05DF">
        <w:rPr>
          <w:szCs w:val="22"/>
          <w:lang w:val="fr-FR"/>
        </w:rPr>
        <w:t>Sylvie</w:t>
      </w:r>
      <w:r w:rsidR="007D2747">
        <w:rPr>
          <w:szCs w:val="22"/>
          <w:lang w:val="fr-FR"/>
        </w:rPr>
        <w:t> </w:t>
      </w:r>
      <w:r w:rsidRPr="00DD05DF">
        <w:rPr>
          <w:szCs w:val="22"/>
          <w:lang w:val="fr-FR"/>
        </w:rPr>
        <w:t xml:space="preserve">Forbin, </w:t>
      </w:r>
      <w:r w:rsidR="003D5CC5">
        <w:rPr>
          <w:szCs w:val="22"/>
          <w:lang w:val="fr-FR"/>
        </w:rPr>
        <w:t>vice</w:t>
      </w:r>
      <w:r w:rsidR="00A5561D">
        <w:rPr>
          <w:szCs w:val="22"/>
          <w:lang w:val="fr-FR"/>
        </w:rPr>
        <w:t>-</w:t>
      </w:r>
      <w:r w:rsidR="003D5CC5">
        <w:rPr>
          <w:szCs w:val="22"/>
          <w:lang w:val="fr-FR"/>
        </w:rPr>
        <w:t>directrice générale chargée du Secteur du droit d</w:t>
      </w:r>
      <w:r w:rsidR="00A5561D">
        <w:rPr>
          <w:szCs w:val="22"/>
          <w:lang w:val="fr-FR"/>
        </w:rPr>
        <w:t>’</w:t>
      </w:r>
      <w:r w:rsidR="003D5CC5">
        <w:rPr>
          <w:szCs w:val="22"/>
          <w:lang w:val="fr-FR"/>
        </w:rPr>
        <w:t>auteur et des industries de la création de l</w:t>
      </w:r>
      <w:r w:rsidR="00A5561D">
        <w:rPr>
          <w:szCs w:val="22"/>
          <w:lang w:val="fr-FR"/>
        </w:rPr>
        <w:t>’</w:t>
      </w:r>
      <w:r w:rsidR="003D5CC5">
        <w:rPr>
          <w:szCs w:val="22"/>
          <w:lang w:val="fr-FR"/>
        </w:rPr>
        <w:t>OMPI et M.</w:t>
      </w:r>
      <w:r w:rsidR="003524A9">
        <w:rPr>
          <w:szCs w:val="22"/>
          <w:lang w:val="fr-FR"/>
        </w:rPr>
        <w:t> </w:t>
      </w:r>
      <w:r w:rsidRPr="00DD05DF">
        <w:rPr>
          <w:szCs w:val="22"/>
          <w:lang w:val="fr-FR"/>
        </w:rPr>
        <w:t>Edward</w:t>
      </w:r>
      <w:r w:rsidR="007D2747">
        <w:rPr>
          <w:szCs w:val="22"/>
          <w:lang w:val="fr-FR"/>
        </w:rPr>
        <w:t> </w:t>
      </w:r>
      <w:proofErr w:type="spellStart"/>
      <w:r w:rsidRPr="00DD05DF">
        <w:rPr>
          <w:szCs w:val="22"/>
          <w:lang w:val="fr-FR"/>
        </w:rPr>
        <w:t>Sigei</w:t>
      </w:r>
      <w:proofErr w:type="spellEnd"/>
      <w:r w:rsidRPr="00DD05DF">
        <w:rPr>
          <w:szCs w:val="22"/>
          <w:lang w:val="fr-FR"/>
        </w:rPr>
        <w:t xml:space="preserve">, </w:t>
      </w:r>
      <w:r w:rsidR="002928A3">
        <w:rPr>
          <w:szCs w:val="22"/>
          <w:lang w:val="fr-FR"/>
        </w:rPr>
        <w:t xml:space="preserve">directeur exécutif du </w:t>
      </w:r>
      <w:r w:rsidR="002928A3">
        <w:rPr>
          <w:rFonts w:eastAsia="Times New Roman"/>
          <w:szCs w:val="22"/>
          <w:lang w:val="fr-FR" w:eastAsia="en-US"/>
        </w:rPr>
        <w:t>Bureau kényan du droit d</w:t>
      </w:r>
      <w:r w:rsidR="00A5561D">
        <w:rPr>
          <w:rFonts w:eastAsia="Times New Roman"/>
          <w:szCs w:val="22"/>
          <w:lang w:val="fr-FR" w:eastAsia="en-US"/>
        </w:rPr>
        <w:t>’</w:t>
      </w:r>
      <w:r w:rsidR="002928A3">
        <w:rPr>
          <w:rFonts w:eastAsia="Times New Roman"/>
          <w:szCs w:val="22"/>
          <w:lang w:val="fr-FR" w:eastAsia="en-US"/>
        </w:rPr>
        <w:t>auteur</w:t>
      </w:r>
      <w:r w:rsidRPr="00DD05DF">
        <w:rPr>
          <w:szCs w:val="22"/>
          <w:lang w:val="fr-FR"/>
        </w:rPr>
        <w:t xml:space="preserve">.  </w:t>
      </w:r>
      <w:r w:rsidR="002928A3">
        <w:rPr>
          <w:szCs w:val="22"/>
          <w:lang w:val="fr-FR"/>
        </w:rPr>
        <w:t>Dans leur allocution d</w:t>
      </w:r>
      <w:r w:rsidR="00A5561D">
        <w:rPr>
          <w:szCs w:val="22"/>
          <w:lang w:val="fr-FR"/>
        </w:rPr>
        <w:t>’</w:t>
      </w:r>
      <w:r w:rsidR="002928A3">
        <w:rPr>
          <w:szCs w:val="22"/>
          <w:lang w:val="fr-FR"/>
        </w:rPr>
        <w:t>ouverture, tous deux</w:t>
      </w:r>
      <w:r w:rsidR="003524A9">
        <w:rPr>
          <w:szCs w:val="22"/>
          <w:lang w:val="fr-FR"/>
        </w:rPr>
        <w:t> </w:t>
      </w:r>
      <w:r w:rsidR="002928A3">
        <w:rPr>
          <w:szCs w:val="22"/>
          <w:lang w:val="fr-FR"/>
        </w:rPr>
        <w:t>ont souligné l</w:t>
      </w:r>
      <w:r w:rsidR="00A5561D">
        <w:rPr>
          <w:szCs w:val="22"/>
          <w:lang w:val="fr-FR"/>
        </w:rPr>
        <w:t>’</w:t>
      </w:r>
      <w:r w:rsidR="002928A3">
        <w:rPr>
          <w:szCs w:val="22"/>
          <w:lang w:val="fr-FR"/>
        </w:rPr>
        <w:t>importance stratégique du débat sur l</w:t>
      </w:r>
      <w:r w:rsidR="00A5561D">
        <w:rPr>
          <w:szCs w:val="22"/>
          <w:lang w:val="fr-FR"/>
        </w:rPr>
        <w:t>’</w:t>
      </w:r>
      <w:r w:rsidR="002928A3">
        <w:rPr>
          <w:szCs w:val="22"/>
          <w:lang w:val="fr-FR"/>
        </w:rPr>
        <w:t>information émanant du secteur public et notamment les retombées positives</w:t>
      </w:r>
      <w:r w:rsidR="0021059F">
        <w:rPr>
          <w:szCs w:val="22"/>
          <w:lang w:val="fr-FR"/>
        </w:rPr>
        <w:t xml:space="preserve"> pour les PMA et les pays en développement de</w:t>
      </w:r>
      <w:r w:rsidR="002928A3">
        <w:rPr>
          <w:szCs w:val="22"/>
          <w:lang w:val="fr-FR"/>
        </w:rPr>
        <w:t xml:space="preserve"> politiques publiques </w:t>
      </w:r>
      <w:r w:rsidR="0021059F">
        <w:rPr>
          <w:szCs w:val="22"/>
          <w:lang w:val="fr-FR"/>
        </w:rPr>
        <w:t>bien élaborées</w:t>
      </w:r>
      <w:r w:rsidR="00EC1391" w:rsidRPr="00DD05DF">
        <w:rPr>
          <w:szCs w:val="22"/>
          <w:lang w:val="fr-FR"/>
        </w:rPr>
        <w:t xml:space="preserve">. </w:t>
      </w:r>
      <w:r w:rsidRPr="00DD05DF">
        <w:rPr>
          <w:szCs w:val="22"/>
          <w:lang w:val="fr-FR"/>
        </w:rPr>
        <w:t xml:space="preserve"> </w:t>
      </w:r>
      <w:r w:rsidR="002928A3">
        <w:rPr>
          <w:szCs w:val="22"/>
          <w:lang w:val="fr-FR"/>
        </w:rPr>
        <w:t>La conférence internationale a été une occasion unique pour les États membres de mieux faire connaître et de partager leurs</w:t>
      </w:r>
      <w:r w:rsidR="00FA051B">
        <w:rPr>
          <w:szCs w:val="22"/>
          <w:lang w:val="fr-FR"/>
        </w:rPr>
        <w:t xml:space="preserve"> données d</w:t>
      </w:r>
      <w:r w:rsidR="00A5561D">
        <w:rPr>
          <w:szCs w:val="22"/>
          <w:lang w:val="fr-FR"/>
        </w:rPr>
        <w:t>’</w:t>
      </w:r>
      <w:r w:rsidR="002928A3">
        <w:rPr>
          <w:szCs w:val="22"/>
          <w:lang w:val="fr-FR"/>
        </w:rPr>
        <w:t>expérience et leurs positions en ce qui concerne l</w:t>
      </w:r>
      <w:r w:rsidR="00A5561D">
        <w:rPr>
          <w:szCs w:val="22"/>
          <w:lang w:val="fr-FR"/>
        </w:rPr>
        <w:t>’</w:t>
      </w:r>
      <w:r w:rsidR="002928A3">
        <w:rPr>
          <w:szCs w:val="22"/>
          <w:lang w:val="fr-FR"/>
        </w:rPr>
        <w:t>information émanant du secteur public et le droit d</w:t>
      </w:r>
      <w:r w:rsidR="00A5561D">
        <w:rPr>
          <w:szCs w:val="22"/>
          <w:lang w:val="fr-FR"/>
        </w:rPr>
        <w:t>’</w:t>
      </w:r>
      <w:r w:rsidR="002928A3">
        <w:rPr>
          <w:szCs w:val="22"/>
          <w:lang w:val="fr-FR"/>
        </w:rPr>
        <w:t>auteur</w:t>
      </w:r>
      <w:r w:rsidRPr="00DD05DF">
        <w:rPr>
          <w:szCs w:val="22"/>
          <w:lang w:val="fr-FR"/>
        </w:rPr>
        <w:t>.</w:t>
      </w:r>
    </w:p>
    <w:p w:rsidR="00E374BC" w:rsidRDefault="00E374BC" w:rsidP="00381FA8">
      <w:pPr>
        <w:rPr>
          <w:szCs w:val="22"/>
          <w:lang w:val="fr-FR"/>
        </w:rPr>
      </w:pPr>
    </w:p>
    <w:p w:rsidR="004F0465" w:rsidRDefault="00B91578" w:rsidP="00FC427C">
      <w:pPr>
        <w:rPr>
          <w:szCs w:val="22"/>
          <w:lang w:val="fr-FR"/>
        </w:rPr>
      </w:pPr>
      <w:r w:rsidRPr="00DD05DF">
        <w:rPr>
          <w:szCs w:val="22"/>
          <w:lang w:val="fr-FR"/>
        </w:rPr>
        <w:fldChar w:fldCharType="begin"/>
      </w:r>
      <w:r w:rsidRPr="00DD05DF">
        <w:rPr>
          <w:szCs w:val="22"/>
          <w:lang w:val="fr-FR"/>
        </w:rPr>
        <w:instrText xml:space="preserve"> AUTONUM  </w:instrText>
      </w:r>
      <w:r w:rsidRPr="00DD05DF">
        <w:rPr>
          <w:szCs w:val="22"/>
          <w:lang w:val="fr-FR"/>
        </w:rPr>
        <w:fldChar w:fldCharType="end"/>
      </w:r>
      <w:r w:rsidR="00BE70E5" w:rsidRPr="00DD05DF">
        <w:rPr>
          <w:szCs w:val="22"/>
          <w:lang w:val="fr-FR"/>
        </w:rPr>
        <w:tab/>
      </w:r>
      <w:r w:rsidR="00F17EDB">
        <w:rPr>
          <w:szCs w:val="22"/>
          <w:lang w:val="fr-FR"/>
        </w:rPr>
        <w:t xml:space="preserve">Dans le cadre du </w:t>
      </w:r>
      <w:r w:rsidR="00E374BC">
        <w:rPr>
          <w:szCs w:val="22"/>
          <w:lang w:val="fr-FR"/>
        </w:rPr>
        <w:t>thème 1</w:t>
      </w:r>
      <w:r w:rsidR="00084C5D" w:rsidRPr="00DD05DF">
        <w:rPr>
          <w:szCs w:val="22"/>
          <w:lang w:val="fr-FR"/>
        </w:rPr>
        <w:t>,</w:t>
      </w:r>
      <w:r w:rsidRPr="00DD05DF">
        <w:rPr>
          <w:szCs w:val="22"/>
          <w:lang w:val="fr-FR"/>
        </w:rPr>
        <w:t xml:space="preserve"> </w:t>
      </w:r>
      <w:r w:rsidR="00BE70E5" w:rsidRPr="00DD05DF">
        <w:rPr>
          <w:szCs w:val="22"/>
          <w:lang w:val="fr-FR"/>
        </w:rPr>
        <w:t>“</w:t>
      </w:r>
      <w:r w:rsidR="00F17EDB">
        <w:rPr>
          <w:rFonts w:eastAsia="Times New Roman"/>
          <w:lang w:val="fr-FR" w:eastAsia="en-US"/>
        </w:rPr>
        <w:t>Notions fondamentales relatives à l</w:t>
      </w:r>
      <w:r w:rsidR="00A5561D">
        <w:rPr>
          <w:rFonts w:eastAsia="Times New Roman"/>
          <w:lang w:val="fr-FR" w:eastAsia="en-US"/>
        </w:rPr>
        <w:t>’</w:t>
      </w:r>
      <w:r w:rsidR="00F17EDB">
        <w:rPr>
          <w:rFonts w:eastAsia="Times New Roman"/>
          <w:lang w:val="fr-FR" w:eastAsia="en-US"/>
        </w:rPr>
        <w:t>information émanant du secteur public et pertinence sur le plan social et économique</w:t>
      </w:r>
      <w:r w:rsidR="00BE70E5" w:rsidRPr="00DD05DF">
        <w:rPr>
          <w:szCs w:val="22"/>
          <w:lang w:val="fr-FR"/>
        </w:rPr>
        <w:t xml:space="preserve">”, </w:t>
      </w:r>
      <w:r w:rsidR="00F17EDB">
        <w:rPr>
          <w:szCs w:val="22"/>
          <w:lang w:val="fr-FR"/>
        </w:rPr>
        <w:t xml:space="preserve">les conférenciers internationaux </w:t>
      </w:r>
      <w:r w:rsidR="000D17A8">
        <w:rPr>
          <w:szCs w:val="22"/>
          <w:lang w:val="fr-FR"/>
        </w:rPr>
        <w:t>se sont efforcés</w:t>
      </w:r>
      <w:r w:rsidR="00F17EDB">
        <w:rPr>
          <w:szCs w:val="22"/>
          <w:lang w:val="fr-FR"/>
        </w:rPr>
        <w:t xml:space="preserve"> de </w:t>
      </w:r>
      <w:r w:rsidR="00351EF9">
        <w:rPr>
          <w:szCs w:val="22"/>
          <w:lang w:val="fr-FR"/>
        </w:rPr>
        <w:t xml:space="preserve">définir </w:t>
      </w:r>
      <w:r w:rsidR="00F17EDB">
        <w:rPr>
          <w:szCs w:val="22"/>
          <w:lang w:val="fr-FR"/>
        </w:rPr>
        <w:t>la notion d</w:t>
      </w:r>
      <w:r w:rsidR="00A5561D">
        <w:rPr>
          <w:szCs w:val="22"/>
          <w:lang w:val="fr-FR"/>
        </w:rPr>
        <w:t>’</w:t>
      </w:r>
      <w:r w:rsidR="000F3F97" w:rsidRPr="00DD05DF">
        <w:rPr>
          <w:szCs w:val="22"/>
          <w:lang w:val="fr-FR"/>
        </w:rPr>
        <w:t>“</w:t>
      </w:r>
      <w:r w:rsidR="00F17EDB">
        <w:rPr>
          <w:szCs w:val="22"/>
          <w:lang w:val="fr-FR"/>
        </w:rPr>
        <w:t>information émanant du secteur public</w:t>
      </w:r>
      <w:r w:rsidR="000F3F97" w:rsidRPr="00DD05DF">
        <w:rPr>
          <w:szCs w:val="22"/>
          <w:lang w:val="fr-FR"/>
        </w:rPr>
        <w:t>”</w:t>
      </w:r>
      <w:r w:rsidR="003E1A75" w:rsidRPr="00DD05DF">
        <w:rPr>
          <w:szCs w:val="22"/>
          <w:lang w:val="fr-FR"/>
        </w:rPr>
        <w:t xml:space="preserve">, </w:t>
      </w:r>
      <w:r w:rsidR="00F17EDB">
        <w:rPr>
          <w:szCs w:val="22"/>
          <w:lang w:val="fr-FR"/>
        </w:rPr>
        <w:t xml:space="preserve">de recenser </w:t>
      </w:r>
      <w:r w:rsidR="00B607BD">
        <w:rPr>
          <w:szCs w:val="22"/>
          <w:lang w:val="fr-FR"/>
        </w:rPr>
        <w:t>les</w:t>
      </w:r>
      <w:r w:rsidR="00F17EDB">
        <w:rPr>
          <w:szCs w:val="22"/>
          <w:lang w:val="fr-FR"/>
        </w:rPr>
        <w:t xml:space="preserve"> principales catégories d</w:t>
      </w:r>
      <w:r w:rsidR="00A5561D">
        <w:rPr>
          <w:szCs w:val="22"/>
          <w:lang w:val="fr-FR"/>
        </w:rPr>
        <w:t>’</w:t>
      </w:r>
      <w:r w:rsidR="00F17EDB">
        <w:rPr>
          <w:szCs w:val="22"/>
          <w:lang w:val="fr-FR"/>
        </w:rPr>
        <w:t>information et d</w:t>
      </w:r>
      <w:r w:rsidR="00A5561D">
        <w:rPr>
          <w:szCs w:val="22"/>
          <w:lang w:val="fr-FR"/>
        </w:rPr>
        <w:t>’</w:t>
      </w:r>
      <w:r w:rsidR="00F17EDB">
        <w:rPr>
          <w:szCs w:val="22"/>
          <w:lang w:val="fr-FR"/>
        </w:rPr>
        <w:t>en mesurer l</w:t>
      </w:r>
      <w:r w:rsidR="00A5561D">
        <w:rPr>
          <w:szCs w:val="22"/>
          <w:lang w:val="fr-FR"/>
        </w:rPr>
        <w:t>’</w:t>
      </w:r>
      <w:r w:rsidR="00F17EDB">
        <w:rPr>
          <w:szCs w:val="22"/>
          <w:lang w:val="fr-FR"/>
        </w:rPr>
        <w:t>importance sur le plan social et économique</w:t>
      </w:r>
      <w:r w:rsidR="003E1A75" w:rsidRPr="00DD05DF">
        <w:rPr>
          <w:szCs w:val="22"/>
          <w:lang w:val="fr-FR"/>
        </w:rPr>
        <w:t xml:space="preserve">.  </w:t>
      </w:r>
      <w:r w:rsidR="00822FE2">
        <w:rPr>
          <w:szCs w:val="22"/>
          <w:lang w:val="fr-FR"/>
        </w:rPr>
        <w:t xml:space="preserve">Pour </w:t>
      </w:r>
      <w:r w:rsidR="003E1A75" w:rsidRPr="00DD05DF">
        <w:rPr>
          <w:szCs w:val="22"/>
          <w:lang w:val="fr-FR"/>
        </w:rPr>
        <w:t>M.</w:t>
      </w:r>
      <w:r w:rsidR="003524A9">
        <w:rPr>
          <w:szCs w:val="22"/>
          <w:lang w:val="fr-FR"/>
        </w:rPr>
        <w:t> </w:t>
      </w:r>
      <w:proofErr w:type="spellStart"/>
      <w:r w:rsidR="003E1A75" w:rsidRPr="00DD05DF">
        <w:rPr>
          <w:szCs w:val="22"/>
          <w:lang w:val="fr-FR"/>
        </w:rPr>
        <w:t>Fometeu</w:t>
      </w:r>
      <w:proofErr w:type="spellEnd"/>
      <w:r w:rsidR="00822FE2">
        <w:rPr>
          <w:szCs w:val="22"/>
          <w:lang w:val="fr-FR"/>
        </w:rPr>
        <w:t xml:space="preserve">, </w:t>
      </w:r>
      <w:r w:rsidR="003E77F5">
        <w:rPr>
          <w:szCs w:val="22"/>
          <w:lang w:val="fr-FR"/>
        </w:rPr>
        <w:t>cette</w:t>
      </w:r>
      <w:r w:rsidR="00F17EDB">
        <w:rPr>
          <w:szCs w:val="22"/>
          <w:lang w:val="fr-FR"/>
        </w:rPr>
        <w:t xml:space="preserve"> notion </w:t>
      </w:r>
      <w:r w:rsidR="00822FE2">
        <w:rPr>
          <w:szCs w:val="22"/>
          <w:lang w:val="fr-FR"/>
        </w:rPr>
        <w:t xml:space="preserve">englobait </w:t>
      </w:r>
      <w:r w:rsidR="00F17EDB">
        <w:rPr>
          <w:szCs w:val="22"/>
          <w:lang w:val="fr-FR"/>
        </w:rPr>
        <w:t>tout document ou toute donnée produit(e), commandé(e) ou stocké</w:t>
      </w:r>
      <w:r w:rsidR="00A63155">
        <w:rPr>
          <w:szCs w:val="22"/>
          <w:lang w:val="fr-FR"/>
        </w:rPr>
        <w:t>(e)</w:t>
      </w:r>
      <w:r w:rsidR="00F17EDB">
        <w:rPr>
          <w:szCs w:val="22"/>
          <w:lang w:val="fr-FR"/>
        </w:rPr>
        <w:t xml:space="preserve"> à des fins officielles par l</w:t>
      </w:r>
      <w:r w:rsidR="00A5561D">
        <w:rPr>
          <w:szCs w:val="22"/>
          <w:lang w:val="fr-FR"/>
        </w:rPr>
        <w:t>’</w:t>
      </w:r>
      <w:r w:rsidR="00F17EDB">
        <w:rPr>
          <w:szCs w:val="22"/>
          <w:lang w:val="fr-FR"/>
        </w:rPr>
        <w:t>État ou des organes du secteur public</w:t>
      </w:r>
      <w:r w:rsidR="003E1A75" w:rsidRPr="00DD05DF">
        <w:rPr>
          <w:szCs w:val="22"/>
          <w:lang w:val="fr-FR"/>
        </w:rPr>
        <w:t xml:space="preserve">, </w:t>
      </w:r>
      <w:r w:rsidR="00F17EDB">
        <w:rPr>
          <w:szCs w:val="22"/>
          <w:lang w:val="fr-FR"/>
        </w:rPr>
        <w:t>notamment</w:t>
      </w:r>
      <w:r w:rsidR="00A5561D">
        <w:rPr>
          <w:szCs w:val="22"/>
          <w:lang w:val="fr-FR"/>
        </w:rPr>
        <w:t> :</w:t>
      </w:r>
      <w:r w:rsidR="003E1A75" w:rsidRPr="00DD05DF">
        <w:rPr>
          <w:szCs w:val="22"/>
          <w:lang w:val="fr-FR"/>
        </w:rPr>
        <w:t xml:space="preserve"> </w:t>
      </w:r>
      <w:r w:rsidR="00F17EDB">
        <w:rPr>
          <w:szCs w:val="22"/>
          <w:lang w:val="fr-FR"/>
        </w:rPr>
        <w:t xml:space="preserve">toutes les administrations publiques, telles que les tribunaux, les </w:t>
      </w:r>
      <w:proofErr w:type="gramStart"/>
      <w:r w:rsidR="00F17EDB">
        <w:rPr>
          <w:szCs w:val="22"/>
          <w:lang w:val="fr-FR"/>
        </w:rPr>
        <w:lastRenderedPageBreak/>
        <w:t>assemblées;</w:t>
      </w:r>
      <w:r w:rsidR="003E1A75" w:rsidRPr="00DD05DF">
        <w:rPr>
          <w:szCs w:val="22"/>
          <w:lang w:val="fr-FR"/>
        </w:rPr>
        <w:t xml:space="preserve"> </w:t>
      </w:r>
      <w:r w:rsidR="00F17EDB">
        <w:rPr>
          <w:szCs w:val="22"/>
          <w:lang w:val="fr-FR"/>
        </w:rPr>
        <w:t xml:space="preserve"> les</w:t>
      </w:r>
      <w:proofErr w:type="gramEnd"/>
      <w:r w:rsidR="00F17EDB">
        <w:rPr>
          <w:szCs w:val="22"/>
          <w:lang w:val="fr-FR"/>
        </w:rPr>
        <w:t xml:space="preserve"> entités locales décentralisées</w:t>
      </w:r>
      <w:r w:rsidR="003E1A75" w:rsidRPr="00DD05DF">
        <w:rPr>
          <w:szCs w:val="22"/>
          <w:lang w:val="fr-FR"/>
        </w:rPr>
        <w:t>;</w:t>
      </w:r>
      <w:r w:rsidR="00084C5D" w:rsidRPr="00DD05DF">
        <w:rPr>
          <w:szCs w:val="22"/>
          <w:lang w:val="fr-FR"/>
        </w:rPr>
        <w:t xml:space="preserve">  </w:t>
      </w:r>
      <w:r w:rsidR="00F17EDB">
        <w:rPr>
          <w:szCs w:val="22"/>
          <w:lang w:val="fr-FR"/>
        </w:rPr>
        <w:t>les personnes morales relevant du droit public</w:t>
      </w:r>
      <w:r w:rsidR="003E1A75" w:rsidRPr="00DD05DF">
        <w:rPr>
          <w:szCs w:val="22"/>
          <w:lang w:val="fr-FR"/>
        </w:rPr>
        <w:t>;</w:t>
      </w:r>
      <w:r w:rsidR="006F467A" w:rsidRPr="00DD05DF">
        <w:rPr>
          <w:szCs w:val="22"/>
          <w:lang w:val="fr-FR"/>
        </w:rPr>
        <w:t xml:space="preserve"> </w:t>
      </w:r>
      <w:r w:rsidR="003E1A75" w:rsidRPr="00DD05DF">
        <w:rPr>
          <w:szCs w:val="22"/>
          <w:lang w:val="fr-FR"/>
        </w:rPr>
        <w:t xml:space="preserve"> </w:t>
      </w:r>
      <w:r w:rsidR="00F17EDB">
        <w:rPr>
          <w:szCs w:val="22"/>
          <w:lang w:val="fr-FR"/>
        </w:rPr>
        <w:t xml:space="preserve">les personnes morales de droit privé </w:t>
      </w:r>
      <w:r w:rsidR="008F7914">
        <w:rPr>
          <w:szCs w:val="22"/>
          <w:lang w:val="fr-FR"/>
        </w:rPr>
        <w:t>se voyant confier</w:t>
      </w:r>
      <w:r w:rsidR="00F17EDB">
        <w:rPr>
          <w:szCs w:val="22"/>
          <w:lang w:val="fr-FR"/>
        </w:rPr>
        <w:t xml:space="preserve"> une mission de service public</w:t>
      </w:r>
      <w:r w:rsidR="003E1A75" w:rsidRPr="00DD05DF">
        <w:rPr>
          <w:szCs w:val="22"/>
          <w:lang w:val="fr-FR"/>
        </w:rPr>
        <w:t xml:space="preserve">; </w:t>
      </w:r>
      <w:r w:rsidR="00F17EDB">
        <w:rPr>
          <w:szCs w:val="22"/>
          <w:lang w:val="fr-FR"/>
        </w:rPr>
        <w:t xml:space="preserve"> et les organisations internationales</w:t>
      </w:r>
      <w:r w:rsidR="003E1A75" w:rsidRPr="00DD05DF">
        <w:rPr>
          <w:szCs w:val="22"/>
          <w:lang w:val="fr-FR"/>
        </w:rPr>
        <w:t>.</w:t>
      </w:r>
      <w:r w:rsidR="00FC427C" w:rsidRPr="00DD05DF">
        <w:rPr>
          <w:szCs w:val="22"/>
          <w:lang w:val="fr-FR"/>
        </w:rPr>
        <w:t xml:space="preserve">  </w:t>
      </w:r>
      <w:r w:rsidR="00F17EDB">
        <w:rPr>
          <w:szCs w:val="22"/>
          <w:lang w:val="fr-FR"/>
        </w:rPr>
        <w:t>Plus généralement, l</w:t>
      </w:r>
      <w:r w:rsidR="00A5561D">
        <w:rPr>
          <w:szCs w:val="22"/>
          <w:lang w:val="fr-FR"/>
        </w:rPr>
        <w:t>’</w:t>
      </w:r>
      <w:r w:rsidR="00F17EDB">
        <w:rPr>
          <w:szCs w:val="22"/>
          <w:lang w:val="fr-FR"/>
        </w:rPr>
        <w:t xml:space="preserve">information émanant du secteur public </w:t>
      </w:r>
      <w:r w:rsidR="0075006B">
        <w:rPr>
          <w:szCs w:val="22"/>
          <w:lang w:val="fr-FR"/>
        </w:rPr>
        <w:t>pouvait</w:t>
      </w:r>
      <w:r w:rsidR="006460A7">
        <w:rPr>
          <w:szCs w:val="22"/>
          <w:lang w:val="fr-FR"/>
        </w:rPr>
        <w:t xml:space="preserve"> englober une grande diversité de contenus, telle que les données, les statistiques, les métadonnées, les documents administratifs, les dossiers, les recueils</w:t>
      </w:r>
      <w:r w:rsidR="00FC427C" w:rsidRPr="00DD05DF">
        <w:rPr>
          <w:szCs w:val="22"/>
          <w:lang w:val="fr-FR"/>
        </w:rPr>
        <w:t xml:space="preserve">, </w:t>
      </w:r>
      <w:r w:rsidR="006460A7">
        <w:rPr>
          <w:szCs w:val="22"/>
          <w:lang w:val="fr-FR"/>
        </w:rPr>
        <w:t>les bases de données et toute autre source d</w:t>
      </w:r>
      <w:r w:rsidR="00A5561D">
        <w:rPr>
          <w:szCs w:val="22"/>
          <w:lang w:val="fr-FR"/>
        </w:rPr>
        <w:t>’</w:t>
      </w:r>
      <w:r w:rsidR="006460A7">
        <w:rPr>
          <w:szCs w:val="22"/>
          <w:lang w:val="fr-FR"/>
        </w:rPr>
        <w:t>informations</w:t>
      </w:r>
      <w:r w:rsidR="006F467A" w:rsidRPr="00DD05DF">
        <w:rPr>
          <w:szCs w:val="22"/>
          <w:lang w:val="fr-FR"/>
        </w:rPr>
        <w:t>.</w:t>
      </w:r>
      <w:r w:rsidR="004435BC" w:rsidRPr="00DD05DF">
        <w:rPr>
          <w:szCs w:val="22"/>
          <w:lang w:val="fr-FR"/>
        </w:rPr>
        <w:t xml:space="preserve"> </w:t>
      </w:r>
      <w:r w:rsidR="006F467A" w:rsidRPr="00DD05DF">
        <w:rPr>
          <w:szCs w:val="22"/>
          <w:lang w:val="fr-FR"/>
        </w:rPr>
        <w:t xml:space="preserve"> </w:t>
      </w:r>
      <w:r w:rsidR="00C917FE">
        <w:rPr>
          <w:szCs w:val="22"/>
          <w:lang w:val="fr-FR"/>
        </w:rPr>
        <w:t>En outre, faciliter l</w:t>
      </w:r>
      <w:r w:rsidR="00A5561D">
        <w:rPr>
          <w:szCs w:val="22"/>
          <w:lang w:val="fr-FR"/>
        </w:rPr>
        <w:t>’</w:t>
      </w:r>
      <w:r w:rsidR="00C917FE">
        <w:rPr>
          <w:szCs w:val="22"/>
          <w:lang w:val="fr-FR"/>
        </w:rPr>
        <w:t>accès à l</w:t>
      </w:r>
      <w:r w:rsidR="00A5561D">
        <w:rPr>
          <w:szCs w:val="22"/>
          <w:lang w:val="fr-FR"/>
        </w:rPr>
        <w:t>’</w:t>
      </w:r>
      <w:r w:rsidR="00C917FE">
        <w:rPr>
          <w:szCs w:val="22"/>
          <w:lang w:val="fr-FR"/>
        </w:rPr>
        <w:t xml:space="preserve">information émanant du secteur public offrait de nombreux </w:t>
      </w:r>
      <w:r w:rsidR="006460A7">
        <w:rPr>
          <w:szCs w:val="22"/>
          <w:lang w:val="fr-FR"/>
        </w:rPr>
        <w:t>avantages</w:t>
      </w:r>
      <w:r w:rsidR="00A5561D">
        <w:rPr>
          <w:szCs w:val="22"/>
          <w:lang w:val="fr-FR"/>
        </w:rPr>
        <w:t> :</w:t>
      </w:r>
      <w:r w:rsidR="006460A7">
        <w:rPr>
          <w:szCs w:val="22"/>
          <w:lang w:val="fr-FR"/>
        </w:rPr>
        <w:t xml:space="preserve"> soutien de la croissance économique, meilleur rendement des investissements publics dans les activités liées aux données et à l</w:t>
      </w:r>
      <w:r w:rsidR="00A5561D">
        <w:rPr>
          <w:szCs w:val="22"/>
          <w:lang w:val="fr-FR"/>
        </w:rPr>
        <w:t>’</w:t>
      </w:r>
      <w:r w:rsidR="006460A7">
        <w:rPr>
          <w:szCs w:val="22"/>
          <w:lang w:val="fr-FR"/>
        </w:rPr>
        <w:t>information, avantages sociétaux, t</w:t>
      </w:r>
      <w:r w:rsidR="00591830">
        <w:rPr>
          <w:szCs w:val="22"/>
          <w:lang w:val="fr-FR"/>
        </w:rPr>
        <w:t>ant individuels que collectifs, meilleure réponse aux attentes de la société en ce qui concerne l</w:t>
      </w:r>
      <w:r w:rsidR="00A5561D">
        <w:rPr>
          <w:szCs w:val="22"/>
          <w:lang w:val="fr-FR"/>
        </w:rPr>
        <w:t>’</w:t>
      </w:r>
      <w:r w:rsidR="00591830">
        <w:rPr>
          <w:szCs w:val="22"/>
          <w:lang w:val="fr-FR"/>
        </w:rPr>
        <w:t>accès à l</w:t>
      </w:r>
      <w:r w:rsidR="00A5561D">
        <w:rPr>
          <w:szCs w:val="22"/>
          <w:lang w:val="fr-FR"/>
        </w:rPr>
        <w:t>’</w:t>
      </w:r>
      <w:r w:rsidR="00591830">
        <w:rPr>
          <w:szCs w:val="22"/>
          <w:lang w:val="fr-FR"/>
        </w:rPr>
        <w:t>information numérique et son utilisation, promotion des avantages sur le plan de la réputation et mise en œuvre de principes éthiques</w:t>
      </w:r>
      <w:r w:rsidR="00FC427C" w:rsidRPr="00DD05DF">
        <w:rPr>
          <w:szCs w:val="22"/>
          <w:lang w:val="fr-FR"/>
        </w:rPr>
        <w:t xml:space="preserve">. </w:t>
      </w:r>
      <w:r w:rsidR="006F467A" w:rsidRPr="00DD05DF">
        <w:rPr>
          <w:szCs w:val="22"/>
          <w:lang w:val="fr-FR"/>
        </w:rPr>
        <w:t xml:space="preserve"> </w:t>
      </w:r>
      <w:r w:rsidR="00FC427C" w:rsidRPr="00DD05DF">
        <w:rPr>
          <w:szCs w:val="22"/>
          <w:lang w:val="fr-FR"/>
        </w:rPr>
        <w:t>M.</w:t>
      </w:r>
      <w:r w:rsidR="003524A9">
        <w:rPr>
          <w:szCs w:val="22"/>
          <w:lang w:val="fr-FR"/>
        </w:rPr>
        <w:t> </w:t>
      </w:r>
      <w:proofErr w:type="spellStart"/>
      <w:r w:rsidR="00FC427C" w:rsidRPr="00DD05DF">
        <w:rPr>
          <w:szCs w:val="22"/>
          <w:lang w:val="fr-FR"/>
        </w:rPr>
        <w:t>Ewert</w:t>
      </w:r>
      <w:proofErr w:type="spellEnd"/>
      <w:r w:rsidR="00FC427C" w:rsidRPr="00DD05DF">
        <w:rPr>
          <w:szCs w:val="22"/>
          <w:lang w:val="fr-FR"/>
        </w:rPr>
        <w:t xml:space="preserve"> </w:t>
      </w:r>
      <w:r w:rsidR="00591830">
        <w:rPr>
          <w:szCs w:val="22"/>
          <w:lang w:val="fr-FR"/>
        </w:rPr>
        <w:t>a indiqué qu</w:t>
      </w:r>
      <w:r w:rsidR="00A5561D">
        <w:rPr>
          <w:szCs w:val="22"/>
          <w:lang w:val="fr-FR"/>
        </w:rPr>
        <w:t>’</w:t>
      </w:r>
      <w:r w:rsidR="00591830">
        <w:rPr>
          <w:szCs w:val="22"/>
          <w:lang w:val="fr-FR"/>
        </w:rPr>
        <w:t>au sein de l</w:t>
      </w:r>
      <w:r w:rsidR="00A5561D">
        <w:rPr>
          <w:szCs w:val="22"/>
          <w:lang w:val="fr-FR"/>
        </w:rPr>
        <w:t>’</w:t>
      </w:r>
      <w:r w:rsidR="00591830">
        <w:rPr>
          <w:szCs w:val="22"/>
          <w:lang w:val="fr-FR"/>
        </w:rPr>
        <w:t>Union européenne, les retombées économiques des données étaient immenses</w:t>
      </w:r>
      <w:r w:rsidR="00A5561D">
        <w:rPr>
          <w:szCs w:val="22"/>
          <w:lang w:val="fr-FR"/>
        </w:rPr>
        <w:t> :</w:t>
      </w:r>
      <w:r w:rsidR="00591830">
        <w:rPr>
          <w:szCs w:val="22"/>
          <w:lang w:val="fr-FR"/>
        </w:rPr>
        <w:t xml:space="preserve"> </w:t>
      </w:r>
      <w:r w:rsidR="00E374BC">
        <w:rPr>
          <w:szCs w:val="22"/>
          <w:lang w:val="fr-FR"/>
        </w:rPr>
        <w:t>en </w:t>
      </w:r>
      <w:r w:rsidR="00E374BC" w:rsidRPr="00DD05DF">
        <w:rPr>
          <w:szCs w:val="22"/>
          <w:lang w:val="fr-FR"/>
        </w:rPr>
        <w:t>2016</w:t>
      </w:r>
      <w:r w:rsidR="00FC427C" w:rsidRPr="00DD05DF">
        <w:rPr>
          <w:szCs w:val="22"/>
          <w:lang w:val="fr-FR"/>
        </w:rPr>
        <w:t xml:space="preserve">, </w:t>
      </w:r>
      <w:r w:rsidR="00591830">
        <w:rPr>
          <w:szCs w:val="22"/>
          <w:lang w:val="fr-FR"/>
        </w:rPr>
        <w:t>l</w:t>
      </w:r>
      <w:r w:rsidR="00A5561D">
        <w:rPr>
          <w:szCs w:val="22"/>
          <w:lang w:val="fr-FR"/>
        </w:rPr>
        <w:t>’</w:t>
      </w:r>
      <w:r w:rsidR="00591830">
        <w:rPr>
          <w:szCs w:val="22"/>
          <w:lang w:val="fr-FR"/>
        </w:rPr>
        <w:t>Union européenne comptait</w:t>
      </w:r>
      <w:r w:rsidR="00FC427C" w:rsidRPr="00DD05DF">
        <w:rPr>
          <w:szCs w:val="22"/>
          <w:lang w:val="fr-FR"/>
        </w:rPr>
        <w:t xml:space="preserve"> 254</w:t>
      </w:r>
      <w:r w:rsidR="00591830">
        <w:rPr>
          <w:szCs w:val="22"/>
          <w:lang w:val="fr-FR"/>
        </w:rPr>
        <w:t> </w:t>
      </w:r>
      <w:r w:rsidR="00FC427C" w:rsidRPr="00DD05DF">
        <w:rPr>
          <w:szCs w:val="22"/>
          <w:lang w:val="fr-FR"/>
        </w:rPr>
        <w:t>850</w:t>
      </w:r>
      <w:r w:rsidR="007D2747">
        <w:rPr>
          <w:szCs w:val="22"/>
          <w:lang w:val="fr-FR"/>
        </w:rPr>
        <w:t> </w:t>
      </w:r>
      <w:r w:rsidR="00591830">
        <w:rPr>
          <w:szCs w:val="22"/>
          <w:lang w:val="fr-FR"/>
        </w:rPr>
        <w:t xml:space="preserve">sociétés de données, un chiffre qui devrait </w:t>
      </w:r>
      <w:r w:rsidR="003223FE">
        <w:rPr>
          <w:szCs w:val="22"/>
          <w:lang w:val="fr-FR"/>
        </w:rPr>
        <w:t>passer à</w:t>
      </w:r>
      <w:r w:rsidR="00591830">
        <w:rPr>
          <w:szCs w:val="22"/>
          <w:lang w:val="fr-FR"/>
        </w:rPr>
        <w:t xml:space="preserve"> 360 000 </w:t>
      </w:r>
      <w:r w:rsidR="001F089A">
        <w:rPr>
          <w:szCs w:val="22"/>
          <w:lang w:val="fr-FR"/>
        </w:rPr>
        <w:t>d</w:t>
      </w:r>
      <w:r w:rsidR="00A5561D">
        <w:rPr>
          <w:szCs w:val="22"/>
          <w:lang w:val="fr-FR"/>
        </w:rPr>
        <w:t>’</w:t>
      </w:r>
      <w:r w:rsidR="001F089A">
        <w:rPr>
          <w:szCs w:val="22"/>
          <w:lang w:val="fr-FR"/>
        </w:rPr>
        <w:t>ici</w:t>
      </w:r>
      <w:r w:rsidR="00591830">
        <w:rPr>
          <w:szCs w:val="22"/>
          <w:lang w:val="fr-FR"/>
        </w:rPr>
        <w:t xml:space="preserve"> 2020</w:t>
      </w:r>
      <w:r w:rsidR="00FC427C" w:rsidRPr="00DD05DF">
        <w:rPr>
          <w:szCs w:val="22"/>
          <w:lang w:val="fr-FR"/>
        </w:rPr>
        <w:t>.</w:t>
      </w:r>
      <w:r w:rsidR="006F467A" w:rsidRPr="00DD05DF">
        <w:rPr>
          <w:szCs w:val="22"/>
          <w:lang w:val="fr-FR"/>
        </w:rPr>
        <w:t xml:space="preserve"> </w:t>
      </w:r>
      <w:r w:rsidR="00FC427C" w:rsidRPr="00DD05DF">
        <w:rPr>
          <w:szCs w:val="22"/>
          <w:lang w:val="fr-FR"/>
        </w:rPr>
        <w:t xml:space="preserve"> </w:t>
      </w:r>
      <w:r w:rsidR="00591830">
        <w:rPr>
          <w:szCs w:val="22"/>
          <w:lang w:val="fr-FR"/>
        </w:rPr>
        <w:t>En outre, selon les prévisions, si les conditions sont réunies, l</w:t>
      </w:r>
      <w:r w:rsidR="00A5561D">
        <w:rPr>
          <w:szCs w:val="22"/>
          <w:lang w:val="fr-FR"/>
        </w:rPr>
        <w:t>’</w:t>
      </w:r>
      <w:r w:rsidR="00591830">
        <w:rPr>
          <w:szCs w:val="22"/>
          <w:lang w:val="fr-FR"/>
        </w:rPr>
        <w:t>économie des données en Europe</w:t>
      </w:r>
      <w:r w:rsidR="00651321">
        <w:rPr>
          <w:szCs w:val="22"/>
          <w:lang w:val="fr-FR"/>
        </w:rPr>
        <w:t>, qui représent</w:t>
      </w:r>
      <w:r w:rsidR="00296A05">
        <w:rPr>
          <w:szCs w:val="22"/>
          <w:lang w:val="fr-FR"/>
        </w:rPr>
        <w:t xml:space="preserve">ait </w:t>
      </w:r>
      <w:r w:rsidR="00591830">
        <w:rPr>
          <w:szCs w:val="22"/>
          <w:lang w:val="fr-FR"/>
        </w:rPr>
        <w:t>1,99%</w:t>
      </w:r>
      <w:r w:rsidR="00E374BC">
        <w:rPr>
          <w:szCs w:val="22"/>
          <w:lang w:val="fr-FR"/>
        </w:rPr>
        <w:t xml:space="preserve"> du PIB</w:t>
      </w:r>
      <w:r w:rsidR="00591830">
        <w:rPr>
          <w:szCs w:val="22"/>
          <w:lang w:val="fr-FR"/>
        </w:rPr>
        <w:t xml:space="preserve"> de l</w:t>
      </w:r>
      <w:r w:rsidR="00A5561D">
        <w:rPr>
          <w:szCs w:val="22"/>
          <w:lang w:val="fr-FR"/>
        </w:rPr>
        <w:t>’</w:t>
      </w:r>
      <w:r w:rsidR="00591830">
        <w:rPr>
          <w:szCs w:val="22"/>
          <w:lang w:val="fr-FR"/>
        </w:rPr>
        <w:t>Union européenne</w:t>
      </w:r>
      <w:r w:rsidR="00296A05">
        <w:rPr>
          <w:szCs w:val="22"/>
          <w:lang w:val="fr-FR"/>
        </w:rPr>
        <w:t xml:space="preserve"> en 2016</w:t>
      </w:r>
      <w:r w:rsidR="00651321">
        <w:rPr>
          <w:szCs w:val="22"/>
          <w:lang w:val="fr-FR"/>
        </w:rPr>
        <w:t>, pourrait représenter jusqu</w:t>
      </w:r>
      <w:r w:rsidR="00A5561D">
        <w:rPr>
          <w:szCs w:val="22"/>
          <w:lang w:val="fr-FR"/>
        </w:rPr>
        <w:t>’</w:t>
      </w:r>
      <w:r w:rsidR="00591830">
        <w:rPr>
          <w:szCs w:val="22"/>
          <w:lang w:val="fr-FR"/>
        </w:rPr>
        <w:t xml:space="preserve">à 4% </w:t>
      </w:r>
      <w:r w:rsidR="00651321">
        <w:rPr>
          <w:szCs w:val="22"/>
          <w:lang w:val="fr-FR"/>
        </w:rPr>
        <w:t xml:space="preserve">du PIB </w:t>
      </w:r>
      <w:r w:rsidR="00A5561D">
        <w:rPr>
          <w:szCs w:val="22"/>
          <w:lang w:val="fr-FR"/>
        </w:rPr>
        <w:t>en 2020</w:t>
      </w:r>
      <w:r w:rsidR="00591830">
        <w:rPr>
          <w:szCs w:val="22"/>
          <w:lang w:val="fr-FR"/>
        </w:rPr>
        <w:t>.</w:t>
      </w:r>
    </w:p>
    <w:p w:rsidR="004F0465" w:rsidRDefault="004F0465" w:rsidP="00CE780C">
      <w:pPr>
        <w:rPr>
          <w:szCs w:val="22"/>
          <w:lang w:val="fr-FR"/>
        </w:rPr>
      </w:pPr>
    </w:p>
    <w:p w:rsidR="004F0465" w:rsidRDefault="00B91578" w:rsidP="00BD3180">
      <w:pPr>
        <w:rPr>
          <w:lang w:val="fr-FR"/>
        </w:rPr>
      </w:pPr>
      <w:r w:rsidRPr="00DD05DF">
        <w:rPr>
          <w:lang w:val="fr-FR"/>
        </w:rPr>
        <w:fldChar w:fldCharType="begin"/>
      </w:r>
      <w:r w:rsidRPr="00DD05DF">
        <w:rPr>
          <w:lang w:val="fr-FR"/>
        </w:rPr>
        <w:instrText xml:space="preserve"> AUTONUM  </w:instrText>
      </w:r>
      <w:r w:rsidRPr="00DD05DF">
        <w:rPr>
          <w:lang w:val="fr-FR"/>
        </w:rPr>
        <w:fldChar w:fldCharType="end"/>
      </w:r>
      <w:r w:rsidRPr="00DD05DF">
        <w:rPr>
          <w:lang w:val="fr-FR"/>
        </w:rPr>
        <w:tab/>
      </w:r>
      <w:r w:rsidR="00591830">
        <w:rPr>
          <w:lang w:val="fr-FR"/>
        </w:rPr>
        <w:t xml:space="preserve">Dans le cadre du </w:t>
      </w:r>
      <w:r w:rsidR="00E374BC">
        <w:rPr>
          <w:lang w:val="fr-FR"/>
        </w:rPr>
        <w:t>thème 2</w:t>
      </w:r>
      <w:r w:rsidR="00591830">
        <w:rPr>
          <w:lang w:val="fr-FR"/>
        </w:rPr>
        <w:t>,</w:t>
      </w:r>
      <w:r w:rsidRPr="00DD05DF">
        <w:rPr>
          <w:lang w:val="fr-FR"/>
        </w:rPr>
        <w:t xml:space="preserve"> </w:t>
      </w:r>
      <w:r w:rsidR="00FC427C" w:rsidRPr="00DD05DF">
        <w:rPr>
          <w:lang w:val="fr-FR"/>
        </w:rPr>
        <w:t>“</w:t>
      </w:r>
      <w:r w:rsidR="00921FE2">
        <w:rPr>
          <w:rFonts w:eastAsia="Times New Roman"/>
          <w:lang w:val="fr-FR" w:eastAsia="en-US"/>
        </w:rPr>
        <w:t>Lien entre information émanant du secteur public et droit d</w:t>
      </w:r>
      <w:r w:rsidR="00A5561D">
        <w:rPr>
          <w:rFonts w:eastAsia="Times New Roman"/>
          <w:lang w:val="fr-FR" w:eastAsia="en-US"/>
        </w:rPr>
        <w:t>’</w:t>
      </w:r>
      <w:r w:rsidR="00921FE2">
        <w:rPr>
          <w:rFonts w:eastAsia="Times New Roman"/>
          <w:lang w:val="fr-FR" w:eastAsia="en-US"/>
        </w:rPr>
        <w:t>auteur</w:t>
      </w:r>
      <w:r w:rsidR="00BD3180" w:rsidRPr="00DD05DF">
        <w:rPr>
          <w:lang w:val="fr-FR"/>
        </w:rPr>
        <w:t>”</w:t>
      </w:r>
      <w:r w:rsidR="00372DE4" w:rsidRPr="00DD05DF">
        <w:rPr>
          <w:lang w:val="fr-FR"/>
        </w:rPr>
        <w:t xml:space="preserve">, </w:t>
      </w:r>
      <w:r w:rsidR="00921FE2">
        <w:rPr>
          <w:lang w:val="fr-FR"/>
        </w:rPr>
        <w:t>les conférenciers internationaux ont précisé qu</w:t>
      </w:r>
      <w:r w:rsidR="00A5561D">
        <w:rPr>
          <w:lang w:val="fr-FR"/>
        </w:rPr>
        <w:t>’</w:t>
      </w:r>
      <w:r w:rsidR="00921FE2">
        <w:rPr>
          <w:lang w:val="fr-FR"/>
        </w:rPr>
        <w:t xml:space="preserve">une part importante </w:t>
      </w:r>
      <w:r w:rsidR="00FC17E4">
        <w:rPr>
          <w:lang w:val="fr-FR"/>
        </w:rPr>
        <w:t>des différents</w:t>
      </w:r>
      <w:r w:rsidR="00921FE2">
        <w:rPr>
          <w:lang w:val="fr-FR"/>
        </w:rPr>
        <w:t xml:space="preserve"> types d</w:t>
      </w:r>
      <w:r w:rsidR="00A5561D">
        <w:rPr>
          <w:lang w:val="fr-FR"/>
        </w:rPr>
        <w:t>’</w:t>
      </w:r>
      <w:r w:rsidR="00921FE2">
        <w:rPr>
          <w:lang w:val="fr-FR"/>
        </w:rPr>
        <w:t>information émanant du secteur public était en principe protégée par le droit d</w:t>
      </w:r>
      <w:r w:rsidR="00A5561D">
        <w:rPr>
          <w:lang w:val="fr-FR"/>
        </w:rPr>
        <w:t>’</w:t>
      </w:r>
      <w:r w:rsidR="00921FE2">
        <w:rPr>
          <w:lang w:val="fr-FR"/>
        </w:rPr>
        <w:t>auteur et que le droit d</w:t>
      </w:r>
      <w:r w:rsidR="00A5561D">
        <w:rPr>
          <w:lang w:val="fr-FR"/>
        </w:rPr>
        <w:t>’</w:t>
      </w:r>
      <w:r w:rsidR="00921FE2">
        <w:rPr>
          <w:lang w:val="fr-FR"/>
        </w:rPr>
        <w:t>auteur jouait un rôle déterminant dans la façon dont l</w:t>
      </w:r>
      <w:r w:rsidR="00A5561D">
        <w:rPr>
          <w:lang w:val="fr-FR"/>
        </w:rPr>
        <w:t>’</w:t>
      </w:r>
      <w:r w:rsidR="00921FE2">
        <w:rPr>
          <w:lang w:val="fr-FR"/>
        </w:rPr>
        <w:t xml:space="preserve">information émanant du secteur public pouvait être consultée et </w:t>
      </w:r>
      <w:r w:rsidR="008F7645">
        <w:rPr>
          <w:lang w:val="fr-FR"/>
        </w:rPr>
        <w:t>réutilisée</w:t>
      </w:r>
      <w:r w:rsidR="00921FE2">
        <w:rPr>
          <w:lang w:val="fr-FR"/>
        </w:rPr>
        <w:t xml:space="preserve"> par le public.  Les différentes législations nationales sur le droit d</w:t>
      </w:r>
      <w:r w:rsidR="00A5561D">
        <w:rPr>
          <w:lang w:val="fr-FR"/>
        </w:rPr>
        <w:t>’</w:t>
      </w:r>
      <w:r w:rsidR="00921FE2">
        <w:rPr>
          <w:lang w:val="fr-FR"/>
        </w:rPr>
        <w:t>auteur traitent l</w:t>
      </w:r>
      <w:r w:rsidR="00A5561D">
        <w:rPr>
          <w:lang w:val="fr-FR"/>
        </w:rPr>
        <w:t>’</w:t>
      </w:r>
      <w:r w:rsidR="00921FE2">
        <w:rPr>
          <w:lang w:val="fr-FR"/>
        </w:rPr>
        <w:t>information émanant du secteur public de manière très différente, certaines prévoyant une exclusion partielle</w:t>
      </w:r>
      <w:r w:rsidR="007D2747">
        <w:rPr>
          <w:lang w:val="fr-FR"/>
        </w:rPr>
        <w:t xml:space="preserve">, </w:t>
      </w:r>
      <w:r w:rsidR="00921FE2">
        <w:rPr>
          <w:lang w:val="fr-FR"/>
        </w:rPr>
        <w:t>voire totale</w:t>
      </w:r>
      <w:r w:rsidR="007D2747">
        <w:rPr>
          <w:lang w:val="fr-FR"/>
        </w:rPr>
        <w:t xml:space="preserve">, </w:t>
      </w:r>
      <w:r w:rsidR="00921FE2">
        <w:rPr>
          <w:lang w:val="fr-FR"/>
        </w:rPr>
        <w:t>de l</w:t>
      </w:r>
      <w:r w:rsidR="00A5561D">
        <w:rPr>
          <w:lang w:val="fr-FR"/>
        </w:rPr>
        <w:t>’</w:t>
      </w:r>
      <w:r w:rsidR="00921FE2">
        <w:rPr>
          <w:lang w:val="fr-FR"/>
        </w:rPr>
        <w:t>information émanant du secteur public de la protection au titre du droit d</w:t>
      </w:r>
      <w:r w:rsidR="00A5561D">
        <w:rPr>
          <w:lang w:val="fr-FR"/>
        </w:rPr>
        <w:t>’</w:t>
      </w:r>
      <w:r w:rsidR="00921FE2">
        <w:rPr>
          <w:lang w:val="fr-FR"/>
        </w:rPr>
        <w:t>auteur</w:t>
      </w:r>
      <w:r w:rsidR="00BD3180" w:rsidRPr="00DD05DF">
        <w:rPr>
          <w:lang w:val="fr-FR"/>
        </w:rPr>
        <w:t xml:space="preserve"> (</w:t>
      </w:r>
      <w:r w:rsidR="00921FE2">
        <w:rPr>
          <w:lang w:val="fr-FR"/>
        </w:rPr>
        <w:t>p.</w:t>
      </w:r>
      <w:r w:rsidR="003524A9">
        <w:rPr>
          <w:lang w:val="fr-FR"/>
        </w:rPr>
        <w:t> </w:t>
      </w:r>
      <w:r w:rsidR="00921FE2">
        <w:rPr>
          <w:lang w:val="fr-FR"/>
        </w:rPr>
        <w:t>ex.</w:t>
      </w:r>
      <w:r w:rsidR="003524A9">
        <w:rPr>
          <w:lang w:val="fr-FR"/>
        </w:rPr>
        <w:t> </w:t>
      </w:r>
      <w:r w:rsidR="00921FE2">
        <w:rPr>
          <w:lang w:val="fr-FR"/>
        </w:rPr>
        <w:t>aux États</w:t>
      </w:r>
      <w:r w:rsidR="00A5561D">
        <w:rPr>
          <w:lang w:val="fr-FR"/>
        </w:rPr>
        <w:t>-</w:t>
      </w:r>
      <w:r w:rsidR="00921FE2">
        <w:rPr>
          <w:lang w:val="fr-FR"/>
        </w:rPr>
        <w:t>Unis d</w:t>
      </w:r>
      <w:r w:rsidR="00A5561D">
        <w:rPr>
          <w:lang w:val="fr-FR"/>
        </w:rPr>
        <w:t>’</w:t>
      </w:r>
      <w:r w:rsidR="00921FE2">
        <w:rPr>
          <w:lang w:val="fr-FR"/>
        </w:rPr>
        <w:t>Amérique</w:t>
      </w:r>
      <w:r w:rsidR="00BD3180" w:rsidRPr="00DD05DF">
        <w:rPr>
          <w:lang w:val="fr-FR"/>
        </w:rPr>
        <w:t xml:space="preserve">), </w:t>
      </w:r>
      <w:r w:rsidR="00921FE2">
        <w:rPr>
          <w:lang w:val="fr-FR"/>
        </w:rPr>
        <w:t>tandis que, dans d</w:t>
      </w:r>
      <w:r w:rsidR="00A5561D">
        <w:rPr>
          <w:lang w:val="fr-FR"/>
        </w:rPr>
        <w:t>’</w:t>
      </w:r>
      <w:r w:rsidR="00450BE3">
        <w:rPr>
          <w:lang w:val="fr-FR"/>
        </w:rPr>
        <w:t>au</w:t>
      </w:r>
      <w:r w:rsidR="00476E0F">
        <w:rPr>
          <w:lang w:val="fr-FR"/>
        </w:rPr>
        <w:t>tres, cette protection incombe</w:t>
      </w:r>
      <w:r w:rsidR="00921FE2">
        <w:rPr>
          <w:lang w:val="fr-FR"/>
        </w:rPr>
        <w:t xml:space="preserve"> dans sa totalité ou sa quasi</w:t>
      </w:r>
      <w:r w:rsidR="00A5561D">
        <w:rPr>
          <w:lang w:val="fr-FR"/>
        </w:rPr>
        <w:t>-</w:t>
      </w:r>
      <w:r w:rsidR="00921FE2">
        <w:rPr>
          <w:lang w:val="fr-FR"/>
        </w:rPr>
        <w:t>totalité aux pouvoirs publics</w:t>
      </w:r>
      <w:r w:rsidR="00BD3180" w:rsidRPr="00DD05DF">
        <w:rPr>
          <w:lang w:val="fr-FR"/>
        </w:rPr>
        <w:t xml:space="preserve"> (</w:t>
      </w:r>
      <w:r w:rsidR="00921FE2">
        <w:rPr>
          <w:lang w:val="fr-FR"/>
        </w:rPr>
        <w:t>p.</w:t>
      </w:r>
      <w:r w:rsidR="003524A9">
        <w:rPr>
          <w:lang w:val="fr-FR"/>
        </w:rPr>
        <w:t> </w:t>
      </w:r>
      <w:r w:rsidR="00921FE2">
        <w:rPr>
          <w:lang w:val="fr-FR"/>
        </w:rPr>
        <w:t>ex.</w:t>
      </w:r>
      <w:r w:rsidR="003524A9">
        <w:rPr>
          <w:lang w:val="fr-FR"/>
        </w:rPr>
        <w:t> </w:t>
      </w:r>
      <w:r w:rsidR="00921FE2">
        <w:rPr>
          <w:lang w:val="fr-FR"/>
        </w:rPr>
        <w:t>au Royaume</w:t>
      </w:r>
      <w:r w:rsidR="00A5561D">
        <w:rPr>
          <w:lang w:val="fr-FR"/>
        </w:rPr>
        <w:t>-</w:t>
      </w:r>
      <w:r w:rsidR="00921FE2">
        <w:rPr>
          <w:lang w:val="fr-FR"/>
        </w:rPr>
        <w:t>Uni).</w:t>
      </w:r>
      <w:r w:rsidR="00BD3180" w:rsidRPr="00DD05DF">
        <w:rPr>
          <w:lang w:val="fr-FR"/>
        </w:rPr>
        <w:t xml:space="preserve">  </w:t>
      </w:r>
      <w:r w:rsidR="00921FE2">
        <w:rPr>
          <w:lang w:val="fr-FR"/>
        </w:rPr>
        <w:t>La Convention de Berne (</w:t>
      </w:r>
      <w:r w:rsidR="00E374BC">
        <w:rPr>
          <w:lang w:val="fr-FR"/>
        </w:rPr>
        <w:t>article 2</w:t>
      </w:r>
      <w:r w:rsidR="00921FE2">
        <w:rPr>
          <w:lang w:val="fr-FR"/>
        </w:rPr>
        <w:t>.4)) laisse aux pays la liberté de déterminer la protection à accorder au titre du droit d</w:t>
      </w:r>
      <w:r w:rsidR="00A5561D">
        <w:rPr>
          <w:lang w:val="fr-FR"/>
        </w:rPr>
        <w:t>’</w:t>
      </w:r>
      <w:r w:rsidR="00921FE2">
        <w:rPr>
          <w:lang w:val="fr-FR"/>
        </w:rPr>
        <w:t xml:space="preserve">auteur aux actes officiels tels que les “textes </w:t>
      </w:r>
      <w:r w:rsidR="002C308A">
        <w:rPr>
          <w:lang w:val="fr-FR"/>
        </w:rPr>
        <w:t xml:space="preserve">officiels </w:t>
      </w:r>
      <w:r w:rsidR="00921FE2">
        <w:rPr>
          <w:lang w:val="fr-FR"/>
        </w:rPr>
        <w:t>d</w:t>
      </w:r>
      <w:r w:rsidR="00A5561D">
        <w:rPr>
          <w:lang w:val="fr-FR"/>
        </w:rPr>
        <w:t>’</w:t>
      </w:r>
      <w:r w:rsidR="00921FE2">
        <w:rPr>
          <w:lang w:val="fr-FR"/>
        </w:rPr>
        <w:t>ordre législatif, administratif ou judiciaire</w:t>
      </w:r>
      <w:r w:rsidR="002C308A">
        <w:rPr>
          <w:lang w:val="fr-FR"/>
        </w:rPr>
        <w:t>, ainsi qu</w:t>
      </w:r>
      <w:r w:rsidR="00A5561D">
        <w:rPr>
          <w:lang w:val="fr-FR"/>
        </w:rPr>
        <w:t>’</w:t>
      </w:r>
      <w:r w:rsidR="002C308A">
        <w:rPr>
          <w:lang w:val="fr-FR"/>
        </w:rPr>
        <w:t>aux traductions officielles de ces textes</w:t>
      </w:r>
      <w:r w:rsidR="00BD3180" w:rsidRPr="00DD05DF">
        <w:rPr>
          <w:lang w:val="fr-FR"/>
        </w:rPr>
        <w:t xml:space="preserve">”.  </w:t>
      </w:r>
      <w:r w:rsidR="002C308A">
        <w:rPr>
          <w:lang w:val="fr-FR"/>
        </w:rPr>
        <w:t>Toutefois, comme cela a été précisé, la notion d</w:t>
      </w:r>
      <w:r w:rsidR="00A5561D">
        <w:rPr>
          <w:lang w:val="fr-FR"/>
        </w:rPr>
        <w:t>’</w:t>
      </w:r>
      <w:r w:rsidR="00A630B6" w:rsidRPr="00DD05DF">
        <w:rPr>
          <w:lang w:val="fr-FR"/>
        </w:rPr>
        <w:t>“</w:t>
      </w:r>
      <w:r w:rsidR="002C308A">
        <w:rPr>
          <w:lang w:val="fr-FR"/>
        </w:rPr>
        <w:t>information émanant du secteur public</w:t>
      </w:r>
      <w:r w:rsidR="00A630B6" w:rsidRPr="00DD05DF">
        <w:rPr>
          <w:lang w:val="fr-FR"/>
        </w:rPr>
        <w:t>”</w:t>
      </w:r>
      <w:r w:rsidR="002C308A">
        <w:rPr>
          <w:lang w:val="fr-FR"/>
        </w:rPr>
        <w:t xml:space="preserve"> est beaucoup plus large que cette catégorie limitée d</w:t>
      </w:r>
      <w:r w:rsidR="00A5561D">
        <w:rPr>
          <w:lang w:val="fr-FR"/>
        </w:rPr>
        <w:t>’</w:t>
      </w:r>
      <w:r w:rsidR="002C308A">
        <w:rPr>
          <w:lang w:val="fr-FR"/>
        </w:rPr>
        <w:t>actes officiels.  Celle</w:t>
      </w:r>
      <w:r w:rsidR="00A5561D">
        <w:rPr>
          <w:lang w:val="fr-FR"/>
        </w:rPr>
        <w:t>-</w:t>
      </w:r>
      <w:r w:rsidR="002C308A">
        <w:rPr>
          <w:lang w:val="fr-FR"/>
        </w:rPr>
        <w:t xml:space="preserve">ci peut également englober les rapports, les études ou les bases de données qui </w:t>
      </w:r>
      <w:r w:rsidR="00EC07C7">
        <w:rPr>
          <w:lang w:val="fr-FR"/>
        </w:rPr>
        <w:t>bénéficient d</w:t>
      </w:r>
      <w:r w:rsidR="00A5561D">
        <w:rPr>
          <w:lang w:val="fr-FR"/>
        </w:rPr>
        <w:t>’</w:t>
      </w:r>
      <w:r w:rsidR="00EC07C7">
        <w:rPr>
          <w:lang w:val="fr-FR"/>
        </w:rPr>
        <w:t>une protection étendue</w:t>
      </w:r>
      <w:r w:rsidR="002C308A">
        <w:rPr>
          <w:lang w:val="fr-FR"/>
        </w:rPr>
        <w:t xml:space="preserve"> à l</w:t>
      </w:r>
      <w:r w:rsidR="00A5561D">
        <w:rPr>
          <w:lang w:val="fr-FR"/>
        </w:rPr>
        <w:t>’</w:t>
      </w:r>
      <w:r w:rsidR="002C308A">
        <w:rPr>
          <w:lang w:val="fr-FR"/>
        </w:rPr>
        <w:t>échelle mondiale</w:t>
      </w:r>
      <w:r w:rsidR="00BD3180" w:rsidRPr="00DD05DF">
        <w:rPr>
          <w:lang w:val="fr-FR"/>
        </w:rPr>
        <w:t>.</w:t>
      </w:r>
      <w:r w:rsidR="00B9463F" w:rsidRPr="00DD05DF">
        <w:rPr>
          <w:lang w:val="fr-FR"/>
        </w:rPr>
        <w:t xml:space="preserve">  M</w:t>
      </w:r>
      <w:r w:rsidR="002C308A">
        <w:rPr>
          <w:lang w:val="fr-FR"/>
        </w:rPr>
        <w:t>me</w:t>
      </w:r>
      <w:r w:rsidR="003524A9">
        <w:rPr>
          <w:lang w:val="fr-FR"/>
        </w:rPr>
        <w:t> </w:t>
      </w:r>
      <w:proofErr w:type="spellStart"/>
      <w:r w:rsidR="00B9463F" w:rsidRPr="00DD05DF">
        <w:rPr>
          <w:lang w:val="fr-FR"/>
        </w:rPr>
        <w:t>Sappa</w:t>
      </w:r>
      <w:proofErr w:type="spellEnd"/>
      <w:r w:rsidR="00B9463F" w:rsidRPr="00DD05DF">
        <w:rPr>
          <w:lang w:val="fr-FR"/>
        </w:rPr>
        <w:t xml:space="preserve"> </w:t>
      </w:r>
      <w:r w:rsidR="002C308A">
        <w:rPr>
          <w:lang w:val="fr-FR"/>
        </w:rPr>
        <w:t>a examiné les particularités des institutions chargées de la culture, de l</w:t>
      </w:r>
      <w:r w:rsidR="00A5561D">
        <w:rPr>
          <w:lang w:val="fr-FR"/>
        </w:rPr>
        <w:t>’</w:t>
      </w:r>
      <w:r w:rsidR="002C308A">
        <w:rPr>
          <w:lang w:val="fr-FR"/>
        </w:rPr>
        <w:t>enseignement ou de la recherche en ce qui concerne la création de l</w:t>
      </w:r>
      <w:r w:rsidR="00A5561D">
        <w:rPr>
          <w:lang w:val="fr-FR"/>
        </w:rPr>
        <w:t>’</w:t>
      </w:r>
      <w:r w:rsidR="002C308A">
        <w:rPr>
          <w:lang w:val="fr-FR"/>
        </w:rPr>
        <w:t>information émanant du secteur public et l</w:t>
      </w:r>
      <w:r w:rsidR="00A5561D">
        <w:rPr>
          <w:lang w:val="fr-FR"/>
        </w:rPr>
        <w:t>’</w:t>
      </w:r>
      <w:r w:rsidR="002C308A">
        <w:rPr>
          <w:lang w:val="fr-FR"/>
        </w:rPr>
        <w:t xml:space="preserve">accès à cette information et a souligné que les limitations et les exceptions </w:t>
      </w:r>
      <w:r w:rsidR="00931B7E">
        <w:rPr>
          <w:lang w:val="fr-FR"/>
        </w:rPr>
        <w:t>jouaient</w:t>
      </w:r>
      <w:r w:rsidR="002C308A">
        <w:rPr>
          <w:lang w:val="fr-FR"/>
        </w:rPr>
        <w:t xml:space="preserve"> un rôle essentiel dans la façon dont l</w:t>
      </w:r>
      <w:r w:rsidR="00A5561D">
        <w:rPr>
          <w:lang w:val="fr-FR"/>
        </w:rPr>
        <w:t>’</w:t>
      </w:r>
      <w:r w:rsidR="002C308A">
        <w:rPr>
          <w:lang w:val="fr-FR"/>
        </w:rPr>
        <w:t xml:space="preserve">information émanant du secteur public pouvait être réutilisée à </w:t>
      </w:r>
      <w:r w:rsidR="0029100A">
        <w:rPr>
          <w:lang w:val="fr-FR"/>
        </w:rPr>
        <w:t>certaines</w:t>
      </w:r>
      <w:r w:rsidR="002C308A">
        <w:rPr>
          <w:lang w:val="fr-FR"/>
        </w:rPr>
        <w:t xml:space="preserve"> fins spécifiques</w:t>
      </w:r>
      <w:r w:rsidR="00B9463F" w:rsidRPr="00DD05DF">
        <w:rPr>
          <w:lang w:val="fr-FR"/>
        </w:rPr>
        <w:t>.</w:t>
      </w:r>
    </w:p>
    <w:p w:rsidR="004F0465" w:rsidRDefault="004F0465" w:rsidP="00921F8E">
      <w:pPr>
        <w:rPr>
          <w:lang w:val="fr-FR"/>
        </w:rPr>
      </w:pPr>
    </w:p>
    <w:p w:rsidR="004F0465" w:rsidRDefault="00B91578" w:rsidP="00921F8E">
      <w:pPr>
        <w:rPr>
          <w:lang w:val="fr-FR"/>
        </w:rPr>
      </w:pPr>
      <w:r w:rsidRPr="00DD05DF">
        <w:rPr>
          <w:lang w:val="fr-FR"/>
        </w:rPr>
        <w:fldChar w:fldCharType="begin"/>
      </w:r>
      <w:r w:rsidRPr="00DD05DF">
        <w:rPr>
          <w:lang w:val="fr-FR"/>
        </w:rPr>
        <w:instrText xml:space="preserve"> AUTONUM  </w:instrText>
      </w:r>
      <w:r w:rsidRPr="00DD05DF">
        <w:rPr>
          <w:lang w:val="fr-FR"/>
        </w:rPr>
        <w:fldChar w:fldCharType="end"/>
      </w:r>
      <w:r w:rsidRPr="00DD05DF">
        <w:rPr>
          <w:lang w:val="fr-FR"/>
        </w:rPr>
        <w:tab/>
      </w:r>
      <w:r w:rsidR="00675B32">
        <w:rPr>
          <w:lang w:val="fr-FR"/>
        </w:rPr>
        <w:t xml:space="preserve">Dans le cadre du </w:t>
      </w:r>
      <w:r w:rsidR="00E374BC">
        <w:rPr>
          <w:lang w:val="fr-FR"/>
        </w:rPr>
        <w:t>thème 3</w:t>
      </w:r>
      <w:r w:rsidR="007D2747">
        <w:rPr>
          <w:lang w:val="fr-FR"/>
        </w:rPr>
        <w:t> </w:t>
      </w:r>
      <w:r w:rsidR="00B9463F" w:rsidRPr="00DD05DF">
        <w:rPr>
          <w:lang w:val="fr-FR"/>
        </w:rPr>
        <w:t>“</w:t>
      </w:r>
      <w:r w:rsidR="00675B32">
        <w:rPr>
          <w:rFonts w:eastAsia="Times New Roman"/>
          <w:lang w:val="fr-FR" w:eastAsia="en-US"/>
        </w:rPr>
        <w:t>Information émanant du secteur public et concession de licences</w:t>
      </w:r>
      <w:r w:rsidR="00B9463F" w:rsidRPr="00DD05DF">
        <w:rPr>
          <w:lang w:val="fr-FR"/>
        </w:rPr>
        <w:t>”</w:t>
      </w:r>
      <w:r w:rsidR="00084C5D" w:rsidRPr="00DD05DF">
        <w:rPr>
          <w:lang w:val="fr-FR"/>
        </w:rPr>
        <w:t>,</w:t>
      </w:r>
      <w:r w:rsidR="00B9463F" w:rsidRPr="00DD05DF">
        <w:rPr>
          <w:lang w:val="fr-FR"/>
        </w:rPr>
        <w:t xml:space="preserve"> </w:t>
      </w:r>
      <w:r w:rsidR="00675B32">
        <w:rPr>
          <w:lang w:val="fr-FR"/>
        </w:rPr>
        <w:t>les conférenciers internationaux ont examiné les options actuelles en matière de concession de licences pour permettre et encourager la réutilisation de l</w:t>
      </w:r>
      <w:r w:rsidR="00A5561D">
        <w:rPr>
          <w:lang w:val="fr-FR"/>
        </w:rPr>
        <w:t>’</w:t>
      </w:r>
      <w:r w:rsidR="00675B32">
        <w:rPr>
          <w:lang w:val="fr-FR"/>
        </w:rPr>
        <w:t>information émanant du secteur public protégée par le droit d</w:t>
      </w:r>
      <w:r w:rsidR="00A5561D">
        <w:rPr>
          <w:lang w:val="fr-FR"/>
        </w:rPr>
        <w:t>’</w:t>
      </w:r>
      <w:r w:rsidR="00675B32">
        <w:rPr>
          <w:lang w:val="fr-FR"/>
        </w:rPr>
        <w:t>auteur</w:t>
      </w:r>
      <w:r w:rsidR="00B9463F" w:rsidRPr="00DD05DF">
        <w:rPr>
          <w:lang w:val="fr-FR"/>
        </w:rPr>
        <w:t>.</w:t>
      </w:r>
      <w:r w:rsidR="008209D9" w:rsidRPr="00DD05DF">
        <w:rPr>
          <w:lang w:val="fr-FR"/>
        </w:rPr>
        <w:t xml:space="preserve"> </w:t>
      </w:r>
      <w:r w:rsidR="006F467A" w:rsidRPr="00DD05DF">
        <w:rPr>
          <w:lang w:val="fr-FR"/>
        </w:rPr>
        <w:t xml:space="preserve"> </w:t>
      </w:r>
      <w:r w:rsidR="00675B32">
        <w:rPr>
          <w:lang w:val="fr-FR"/>
        </w:rPr>
        <w:t>Dans les pays où l</w:t>
      </w:r>
      <w:r w:rsidR="00A5561D">
        <w:rPr>
          <w:lang w:val="fr-FR"/>
        </w:rPr>
        <w:t>’</w:t>
      </w:r>
      <w:r w:rsidR="00675B32">
        <w:rPr>
          <w:lang w:val="fr-FR"/>
        </w:rPr>
        <w:t>information émanant du secteur public bénéficie de la protection au titre du droit d</w:t>
      </w:r>
      <w:r w:rsidR="00A5561D">
        <w:rPr>
          <w:lang w:val="fr-FR"/>
        </w:rPr>
        <w:t>’</w:t>
      </w:r>
      <w:r w:rsidR="00675B32">
        <w:rPr>
          <w:lang w:val="fr-FR"/>
        </w:rPr>
        <w:t xml:space="preserve">auteur, des structures de concession de licences relatives </w:t>
      </w:r>
      <w:r w:rsidR="00610DA8">
        <w:rPr>
          <w:lang w:val="fr-FR"/>
        </w:rPr>
        <w:t>au</w:t>
      </w:r>
      <w:r w:rsidR="00675B32">
        <w:rPr>
          <w:lang w:val="fr-FR"/>
        </w:rPr>
        <w:t xml:space="preserve"> contenu libre</w:t>
      </w:r>
      <w:r w:rsidR="004435BC" w:rsidRPr="00DD05DF">
        <w:rPr>
          <w:lang w:val="fr-FR"/>
        </w:rPr>
        <w:t xml:space="preserve">, </w:t>
      </w:r>
      <w:r w:rsidR="00A5561D">
        <w:rPr>
          <w:lang w:val="fr-FR"/>
        </w:rPr>
        <w:t>y compris</w:t>
      </w:r>
      <w:r w:rsidR="00675B32">
        <w:rPr>
          <w:lang w:val="fr-FR"/>
        </w:rPr>
        <w:t xml:space="preserve"> de</w:t>
      </w:r>
      <w:r w:rsidR="00610DA8">
        <w:rPr>
          <w:lang w:val="fr-FR"/>
        </w:rPr>
        <w:t>s</w:t>
      </w:r>
      <w:r w:rsidR="00675B32">
        <w:rPr>
          <w:lang w:val="fr-FR"/>
        </w:rPr>
        <w:t xml:space="preserve"> portails et des dépôts, </w:t>
      </w:r>
      <w:r w:rsidR="00610DA8">
        <w:rPr>
          <w:lang w:val="fr-FR"/>
        </w:rPr>
        <w:t>ont été</w:t>
      </w:r>
      <w:r w:rsidR="00675B32">
        <w:rPr>
          <w:lang w:val="fr-FR"/>
        </w:rPr>
        <w:t xml:space="preserve"> créé</w:t>
      </w:r>
      <w:r w:rsidR="007D2747">
        <w:rPr>
          <w:lang w:val="fr-FR"/>
        </w:rPr>
        <w:t>s</w:t>
      </w:r>
      <w:r w:rsidR="00675B32">
        <w:rPr>
          <w:lang w:val="fr-FR"/>
        </w:rPr>
        <w:t xml:space="preserve"> et mis</w:t>
      </w:r>
      <w:r w:rsidR="007D2747">
        <w:rPr>
          <w:lang w:val="fr-FR"/>
        </w:rPr>
        <w:t xml:space="preserve">e </w:t>
      </w:r>
      <w:r w:rsidR="00675B32">
        <w:rPr>
          <w:lang w:val="fr-FR"/>
        </w:rPr>
        <w:t>en place avec succès</w:t>
      </w:r>
      <w:r w:rsidR="006F467A" w:rsidRPr="00DD05DF">
        <w:rPr>
          <w:lang w:val="fr-FR"/>
        </w:rPr>
        <w:t xml:space="preserve">.  </w:t>
      </w:r>
      <w:r w:rsidR="00675B32">
        <w:rPr>
          <w:lang w:val="fr-FR"/>
        </w:rPr>
        <w:t xml:space="preserve">Ces structures reposent sur des modèles standard de concession de licences </w:t>
      </w:r>
      <w:r w:rsidR="00C34981">
        <w:rPr>
          <w:lang w:val="fr-FR"/>
        </w:rPr>
        <w:t>permettant</w:t>
      </w:r>
      <w:r w:rsidR="00675B32">
        <w:rPr>
          <w:lang w:val="fr-FR"/>
        </w:rPr>
        <w:t xml:space="preserve"> la réutilisation de l</w:t>
      </w:r>
      <w:r w:rsidR="00A5561D">
        <w:rPr>
          <w:lang w:val="fr-FR"/>
        </w:rPr>
        <w:t>’</w:t>
      </w:r>
      <w:r w:rsidR="00675B32">
        <w:rPr>
          <w:lang w:val="fr-FR"/>
        </w:rPr>
        <w:t>information émanant du secteur public, tels que</w:t>
      </w:r>
      <w:r w:rsidR="006F467A" w:rsidRPr="00DD05DF">
        <w:rPr>
          <w:lang w:val="fr-FR"/>
        </w:rPr>
        <w:t xml:space="preserve"> </w:t>
      </w:r>
      <w:proofErr w:type="spellStart"/>
      <w:r w:rsidR="006F467A" w:rsidRPr="00DD05DF">
        <w:rPr>
          <w:lang w:val="fr-FR"/>
        </w:rPr>
        <w:t>Creative</w:t>
      </w:r>
      <w:proofErr w:type="spellEnd"/>
      <w:r w:rsidR="006F467A" w:rsidRPr="00DD05DF">
        <w:rPr>
          <w:lang w:val="fr-FR"/>
        </w:rPr>
        <w:t xml:space="preserve"> Commons </w:t>
      </w:r>
      <w:r w:rsidR="00675B32">
        <w:rPr>
          <w:lang w:val="fr-FR"/>
        </w:rPr>
        <w:t>ou les logiciels libres</w:t>
      </w:r>
      <w:r w:rsidR="006F467A" w:rsidRPr="00DD05DF">
        <w:rPr>
          <w:lang w:val="fr-FR"/>
        </w:rPr>
        <w:t xml:space="preserve">, </w:t>
      </w:r>
      <w:r w:rsidR="00675B32">
        <w:rPr>
          <w:lang w:val="fr-FR"/>
        </w:rPr>
        <w:t xml:space="preserve">ou </w:t>
      </w:r>
      <w:r w:rsidR="00C34981">
        <w:rPr>
          <w:lang w:val="fr-FR"/>
        </w:rPr>
        <w:t>des</w:t>
      </w:r>
      <w:r w:rsidR="00675B32">
        <w:rPr>
          <w:lang w:val="fr-FR"/>
        </w:rPr>
        <w:t xml:space="preserve"> licences sur mesure, telles que le </w:t>
      </w:r>
      <w:r w:rsidR="006F467A" w:rsidRPr="00DD05DF">
        <w:rPr>
          <w:lang w:val="fr-FR"/>
        </w:rPr>
        <w:t xml:space="preserve">UK </w:t>
      </w:r>
      <w:proofErr w:type="spellStart"/>
      <w:r w:rsidR="006F467A" w:rsidRPr="00DD05DF">
        <w:rPr>
          <w:lang w:val="fr-FR"/>
        </w:rPr>
        <w:t>Government</w:t>
      </w:r>
      <w:proofErr w:type="spellEnd"/>
      <w:r w:rsidR="006F467A" w:rsidRPr="00DD05DF">
        <w:rPr>
          <w:lang w:val="fr-FR"/>
        </w:rPr>
        <w:t xml:space="preserve"> </w:t>
      </w:r>
      <w:proofErr w:type="spellStart"/>
      <w:r w:rsidR="006F467A" w:rsidRPr="00DD05DF">
        <w:rPr>
          <w:lang w:val="fr-FR"/>
        </w:rPr>
        <w:t>Licensing</w:t>
      </w:r>
      <w:proofErr w:type="spellEnd"/>
      <w:r w:rsidR="006F467A" w:rsidRPr="00DD05DF">
        <w:rPr>
          <w:lang w:val="fr-FR"/>
        </w:rPr>
        <w:t xml:space="preserve"> Framework.</w:t>
      </w:r>
      <w:r w:rsidR="004A4E40">
        <w:rPr>
          <w:lang w:val="fr-FR"/>
        </w:rPr>
        <w:t xml:space="preserve">  La politique de libre accès de l</w:t>
      </w:r>
      <w:r w:rsidR="00A5561D">
        <w:rPr>
          <w:lang w:val="fr-FR"/>
        </w:rPr>
        <w:t>’</w:t>
      </w:r>
      <w:r w:rsidR="004A4E40">
        <w:rPr>
          <w:lang w:val="fr-FR"/>
        </w:rPr>
        <w:t>OMPI</w:t>
      </w:r>
      <w:r w:rsidR="00372DE4" w:rsidRPr="00DD05DF">
        <w:rPr>
          <w:rStyle w:val="FootnoteReference"/>
          <w:lang w:val="fr-FR"/>
        </w:rPr>
        <w:footnoteReference w:id="5"/>
      </w:r>
      <w:r w:rsidR="00372DE4" w:rsidRPr="00DD05DF">
        <w:rPr>
          <w:lang w:val="fr-FR"/>
        </w:rPr>
        <w:t xml:space="preserve"> </w:t>
      </w:r>
      <w:r w:rsidR="004A4E40">
        <w:rPr>
          <w:lang w:val="fr-FR"/>
        </w:rPr>
        <w:t xml:space="preserve">a également été citée comme une solution mixte </w:t>
      </w:r>
      <w:r w:rsidR="00C34981">
        <w:rPr>
          <w:lang w:val="fr-FR"/>
        </w:rPr>
        <w:t>associant</w:t>
      </w:r>
      <w:r w:rsidR="004A4E40">
        <w:rPr>
          <w:lang w:val="fr-FR"/>
        </w:rPr>
        <w:t xml:space="preserve"> les conditions d</w:t>
      </w:r>
      <w:r w:rsidR="00A5561D">
        <w:rPr>
          <w:lang w:val="fr-FR"/>
        </w:rPr>
        <w:t>’</w:t>
      </w:r>
      <w:r w:rsidR="004A4E40">
        <w:rPr>
          <w:lang w:val="fr-FR"/>
        </w:rPr>
        <w:t>utilisation souples du site</w:t>
      </w:r>
      <w:r w:rsidR="003524A9">
        <w:rPr>
          <w:lang w:val="fr-FR"/>
        </w:rPr>
        <w:t> </w:t>
      </w:r>
      <w:r w:rsidR="004A4E40">
        <w:rPr>
          <w:lang w:val="fr-FR"/>
        </w:rPr>
        <w:t>Web de l</w:t>
      </w:r>
      <w:r w:rsidR="00A5561D">
        <w:rPr>
          <w:lang w:val="fr-FR"/>
        </w:rPr>
        <w:t>’</w:t>
      </w:r>
      <w:r w:rsidR="004A4E40">
        <w:rPr>
          <w:lang w:val="fr-FR"/>
        </w:rPr>
        <w:t>OMPI et l</w:t>
      </w:r>
      <w:r w:rsidR="00A5561D">
        <w:rPr>
          <w:lang w:val="fr-FR"/>
        </w:rPr>
        <w:t>’</w:t>
      </w:r>
      <w:r w:rsidR="004A4E40">
        <w:rPr>
          <w:lang w:val="fr-FR"/>
        </w:rPr>
        <w:t xml:space="preserve">utilisation de licences </w:t>
      </w:r>
      <w:proofErr w:type="spellStart"/>
      <w:r w:rsidR="004A4E40">
        <w:rPr>
          <w:lang w:val="fr-FR"/>
        </w:rPr>
        <w:t>Creative</w:t>
      </w:r>
      <w:proofErr w:type="spellEnd"/>
      <w:r w:rsidR="004A4E40">
        <w:rPr>
          <w:lang w:val="fr-FR"/>
        </w:rPr>
        <w:t xml:space="preserve"> Commons pour les organisations intergouvernementales (CC IGO) pour une grande partie des publications et du contenu mis à disposition sur des plateformes externes</w:t>
      </w:r>
      <w:r w:rsidR="00372DE4" w:rsidRPr="00DD05DF">
        <w:rPr>
          <w:lang w:val="fr-FR"/>
        </w:rPr>
        <w:t>.</w:t>
      </w:r>
    </w:p>
    <w:p w:rsidR="004F0465" w:rsidRDefault="00B91578" w:rsidP="00921F8E">
      <w:pPr>
        <w:rPr>
          <w:lang w:val="fr-FR"/>
        </w:rPr>
      </w:pPr>
      <w:r w:rsidRPr="00DD05DF">
        <w:rPr>
          <w:lang w:val="fr-FR"/>
        </w:rPr>
        <w:lastRenderedPageBreak/>
        <w:fldChar w:fldCharType="begin"/>
      </w:r>
      <w:r w:rsidRPr="00DD05DF">
        <w:rPr>
          <w:lang w:val="fr-FR"/>
        </w:rPr>
        <w:instrText xml:space="preserve"> AUTONUM  </w:instrText>
      </w:r>
      <w:r w:rsidRPr="00DD05DF">
        <w:rPr>
          <w:lang w:val="fr-FR"/>
        </w:rPr>
        <w:fldChar w:fldCharType="end"/>
      </w:r>
      <w:r w:rsidRPr="00DD05DF">
        <w:rPr>
          <w:lang w:val="fr-FR"/>
        </w:rPr>
        <w:tab/>
      </w:r>
      <w:r w:rsidR="004A4E40">
        <w:rPr>
          <w:lang w:val="fr-FR"/>
        </w:rPr>
        <w:t xml:space="preserve">Dans le cadre du </w:t>
      </w:r>
      <w:r w:rsidR="00E374BC">
        <w:rPr>
          <w:lang w:val="fr-FR"/>
        </w:rPr>
        <w:t>thème </w:t>
      </w:r>
      <w:r w:rsidR="00E374BC" w:rsidRPr="00DD05DF">
        <w:rPr>
          <w:lang w:val="fr-FR"/>
        </w:rPr>
        <w:t>4</w:t>
      </w:r>
      <w:r w:rsidR="00084C5D" w:rsidRPr="00DD05DF">
        <w:rPr>
          <w:lang w:val="fr-FR"/>
        </w:rPr>
        <w:t>,</w:t>
      </w:r>
      <w:r w:rsidRPr="00DD05DF">
        <w:rPr>
          <w:lang w:val="fr-FR"/>
        </w:rPr>
        <w:t xml:space="preserve"> “</w:t>
      </w:r>
      <w:r w:rsidR="004A4E40">
        <w:rPr>
          <w:rFonts w:eastAsia="Times New Roman"/>
          <w:lang w:val="fr-FR" w:eastAsia="en-US"/>
        </w:rPr>
        <w:t>Présentation d</w:t>
      </w:r>
      <w:r w:rsidR="00A5561D">
        <w:rPr>
          <w:rFonts w:eastAsia="Times New Roman"/>
          <w:lang w:val="fr-FR" w:eastAsia="en-US"/>
        </w:rPr>
        <w:t>’</w:t>
      </w:r>
      <w:r w:rsidR="004A4E40">
        <w:rPr>
          <w:rFonts w:eastAsia="Times New Roman"/>
          <w:lang w:val="fr-FR" w:eastAsia="en-US"/>
        </w:rPr>
        <w:t>initiatives, de stratégies et de pratiques recommandées nationales</w:t>
      </w:r>
      <w:r w:rsidRPr="00DD05DF">
        <w:rPr>
          <w:lang w:val="fr-FR"/>
        </w:rPr>
        <w:t>”</w:t>
      </w:r>
      <w:r w:rsidR="00084C5D" w:rsidRPr="00DD05DF">
        <w:rPr>
          <w:lang w:val="fr-FR"/>
        </w:rPr>
        <w:t>,</w:t>
      </w:r>
      <w:r w:rsidRPr="00DD05DF">
        <w:rPr>
          <w:lang w:val="fr-FR"/>
        </w:rPr>
        <w:t xml:space="preserve"> </w:t>
      </w:r>
      <w:r w:rsidR="004A4E40">
        <w:rPr>
          <w:lang w:val="fr-FR"/>
        </w:rPr>
        <w:t>les conférenciers internationaux ont présenté des exemples de réglementation et de politique nationales dans le domaine de la gestion de l</w:t>
      </w:r>
      <w:r w:rsidR="00A5561D">
        <w:rPr>
          <w:lang w:val="fr-FR"/>
        </w:rPr>
        <w:t>’</w:t>
      </w:r>
      <w:r w:rsidR="004A4E40">
        <w:rPr>
          <w:lang w:val="fr-FR"/>
        </w:rPr>
        <w:t xml:space="preserve">information émanant du secteur public </w:t>
      </w:r>
      <w:r w:rsidR="009F1678">
        <w:rPr>
          <w:lang w:val="fr-FR"/>
        </w:rPr>
        <w:t>en ce qui concerne</w:t>
      </w:r>
      <w:r w:rsidR="004A4E40">
        <w:rPr>
          <w:lang w:val="fr-FR"/>
        </w:rPr>
        <w:t xml:space="preserve"> les pays ci</w:t>
      </w:r>
      <w:r w:rsidR="00A5561D">
        <w:rPr>
          <w:lang w:val="fr-FR"/>
        </w:rPr>
        <w:t>-</w:t>
      </w:r>
      <w:r w:rsidR="004A4E40">
        <w:rPr>
          <w:lang w:val="fr-FR"/>
        </w:rPr>
        <w:t>après</w:t>
      </w:r>
      <w:r w:rsidR="00A5561D">
        <w:rPr>
          <w:lang w:val="fr-FR"/>
        </w:rPr>
        <w:t> :</w:t>
      </w:r>
      <w:r w:rsidR="00084C5D" w:rsidRPr="00DD05DF">
        <w:rPr>
          <w:lang w:val="fr-FR"/>
        </w:rPr>
        <w:t xml:space="preserve"> </w:t>
      </w:r>
      <w:r w:rsidRPr="00DD05DF">
        <w:rPr>
          <w:lang w:val="fr-FR"/>
        </w:rPr>
        <w:t>Argentin</w:t>
      </w:r>
      <w:r w:rsidR="004A4E40">
        <w:rPr>
          <w:lang w:val="fr-FR"/>
        </w:rPr>
        <w:t>e</w:t>
      </w:r>
      <w:r w:rsidRPr="00DD05DF">
        <w:rPr>
          <w:lang w:val="fr-FR"/>
        </w:rPr>
        <w:t>, Br</w:t>
      </w:r>
      <w:r w:rsidR="004A4E40">
        <w:rPr>
          <w:lang w:val="fr-FR"/>
        </w:rPr>
        <w:t>ésil</w:t>
      </w:r>
      <w:r w:rsidRPr="00DD05DF">
        <w:rPr>
          <w:lang w:val="fr-FR"/>
        </w:rPr>
        <w:t xml:space="preserve">, </w:t>
      </w:r>
      <w:r w:rsidR="00CE5C1D">
        <w:rPr>
          <w:lang w:val="fr-FR"/>
        </w:rPr>
        <w:t>États</w:t>
      </w:r>
      <w:r w:rsidR="00A5561D">
        <w:rPr>
          <w:lang w:val="fr-FR"/>
        </w:rPr>
        <w:t>-</w:t>
      </w:r>
      <w:r w:rsidR="00CE5C1D">
        <w:rPr>
          <w:lang w:val="fr-FR"/>
        </w:rPr>
        <w:t>Unis d</w:t>
      </w:r>
      <w:r w:rsidR="00A5561D">
        <w:rPr>
          <w:lang w:val="fr-FR"/>
        </w:rPr>
        <w:t>’</w:t>
      </w:r>
      <w:r w:rsidR="00CE5C1D">
        <w:rPr>
          <w:lang w:val="fr-FR"/>
        </w:rPr>
        <w:t xml:space="preserve">Amérique, </w:t>
      </w:r>
      <w:r w:rsidR="004A4E40">
        <w:rPr>
          <w:lang w:val="fr-FR"/>
        </w:rPr>
        <w:t xml:space="preserve">Fédération de Russie, </w:t>
      </w:r>
      <w:r w:rsidRPr="00DD05DF">
        <w:rPr>
          <w:lang w:val="fr-FR"/>
        </w:rPr>
        <w:t xml:space="preserve">France, </w:t>
      </w:r>
      <w:r w:rsidR="004A4E40">
        <w:rPr>
          <w:lang w:val="fr-FR"/>
        </w:rPr>
        <w:t>Italie, Japo</w:t>
      </w:r>
      <w:r w:rsidRPr="00DD05DF">
        <w:rPr>
          <w:lang w:val="fr-FR"/>
        </w:rPr>
        <w:t>n</w:t>
      </w:r>
      <w:r w:rsidR="00680146">
        <w:rPr>
          <w:lang w:val="fr-FR"/>
        </w:rPr>
        <w:t>,</w:t>
      </w:r>
      <w:r w:rsidR="00CE5C1D">
        <w:rPr>
          <w:lang w:val="fr-FR"/>
        </w:rPr>
        <w:t xml:space="preserve"> </w:t>
      </w:r>
      <w:r w:rsidR="00680146" w:rsidRPr="00DD05DF">
        <w:rPr>
          <w:lang w:val="fr-FR"/>
        </w:rPr>
        <w:t xml:space="preserve">Kenya, </w:t>
      </w:r>
      <w:r w:rsidR="00CE5C1D">
        <w:rPr>
          <w:lang w:val="fr-FR"/>
        </w:rPr>
        <w:t>et</w:t>
      </w:r>
      <w:r w:rsidRPr="00DD05DF">
        <w:rPr>
          <w:lang w:val="fr-FR"/>
        </w:rPr>
        <w:t xml:space="preserve"> S</w:t>
      </w:r>
      <w:r w:rsidR="004A4E40">
        <w:rPr>
          <w:lang w:val="fr-FR"/>
        </w:rPr>
        <w:t>éné</w:t>
      </w:r>
      <w:r w:rsidR="00CE5C1D">
        <w:rPr>
          <w:lang w:val="fr-FR"/>
        </w:rPr>
        <w:t>gal</w:t>
      </w:r>
      <w:r w:rsidRPr="00DD05DF">
        <w:rPr>
          <w:lang w:val="fr-FR"/>
        </w:rPr>
        <w:t xml:space="preserve">.  </w:t>
      </w:r>
      <w:r w:rsidR="00432E86">
        <w:rPr>
          <w:lang w:val="fr-FR"/>
        </w:rPr>
        <w:t xml:space="preserve">Ces exposés, dans le cadre desquels </w:t>
      </w:r>
      <w:r w:rsidR="00680146">
        <w:rPr>
          <w:lang w:val="fr-FR"/>
        </w:rPr>
        <w:t xml:space="preserve">des exemples concrets de politiques nationales </w:t>
      </w:r>
      <w:r w:rsidR="00432E86">
        <w:rPr>
          <w:lang w:val="fr-FR"/>
        </w:rPr>
        <w:t xml:space="preserve">ont été présentés, </w:t>
      </w:r>
      <w:r w:rsidR="00680146">
        <w:rPr>
          <w:lang w:val="fr-FR"/>
        </w:rPr>
        <w:t>ont permis de mettre en lumière les grandes disparités entre les différentes approches nationales.</w:t>
      </w:r>
      <w:r w:rsidR="008209D9" w:rsidRPr="00DD05DF">
        <w:rPr>
          <w:lang w:val="fr-FR"/>
        </w:rPr>
        <w:t xml:space="preserve">  </w:t>
      </w:r>
      <w:r w:rsidR="00680146">
        <w:rPr>
          <w:lang w:val="fr-FR"/>
        </w:rPr>
        <w:t>Cette session a également permis de constater que la plupart</w:t>
      </w:r>
      <w:r w:rsidR="00E374BC">
        <w:rPr>
          <w:lang w:val="fr-FR"/>
        </w:rPr>
        <w:t xml:space="preserve"> des PMA</w:t>
      </w:r>
      <w:r w:rsidR="00680146">
        <w:rPr>
          <w:lang w:val="fr-FR"/>
        </w:rPr>
        <w:t xml:space="preserve"> et des pays en développement </w:t>
      </w:r>
      <w:r w:rsidR="00D9796B">
        <w:rPr>
          <w:lang w:val="fr-FR"/>
        </w:rPr>
        <w:t>ne s</w:t>
      </w:r>
      <w:r w:rsidR="00A5561D">
        <w:rPr>
          <w:lang w:val="fr-FR"/>
        </w:rPr>
        <w:t>’</w:t>
      </w:r>
      <w:r w:rsidR="00D9796B">
        <w:rPr>
          <w:lang w:val="fr-FR"/>
        </w:rPr>
        <w:t>étaient pas encore penchés sur la question de l</w:t>
      </w:r>
      <w:r w:rsidR="00A5561D">
        <w:rPr>
          <w:lang w:val="fr-FR"/>
        </w:rPr>
        <w:t>’</w:t>
      </w:r>
      <w:r w:rsidR="00D9796B">
        <w:rPr>
          <w:lang w:val="fr-FR"/>
        </w:rPr>
        <w:t>information émanant du secteur public et du droit d</w:t>
      </w:r>
      <w:r w:rsidR="00A5561D">
        <w:rPr>
          <w:lang w:val="fr-FR"/>
        </w:rPr>
        <w:t>’</w:t>
      </w:r>
      <w:r w:rsidR="00D9796B">
        <w:rPr>
          <w:lang w:val="fr-FR"/>
        </w:rPr>
        <w:t xml:space="preserve">auteur </w:t>
      </w:r>
      <w:r w:rsidR="00432E86">
        <w:rPr>
          <w:lang w:val="fr-FR"/>
        </w:rPr>
        <w:t>à l</w:t>
      </w:r>
      <w:r w:rsidR="00A5561D">
        <w:rPr>
          <w:lang w:val="fr-FR"/>
        </w:rPr>
        <w:t>’</w:t>
      </w:r>
      <w:r w:rsidR="00432E86">
        <w:rPr>
          <w:lang w:val="fr-FR"/>
        </w:rPr>
        <w:t xml:space="preserve">échelle </w:t>
      </w:r>
      <w:r w:rsidR="00D9796B">
        <w:rPr>
          <w:lang w:val="fr-FR"/>
        </w:rPr>
        <w:t>politique nationale.</w:t>
      </w:r>
    </w:p>
    <w:p w:rsidR="004F0465" w:rsidRDefault="004F0465" w:rsidP="00921F8E">
      <w:pPr>
        <w:rPr>
          <w:lang w:val="fr-FR"/>
        </w:rPr>
      </w:pPr>
    </w:p>
    <w:p w:rsidR="004F0465" w:rsidRDefault="004F0465" w:rsidP="00921F8E">
      <w:pPr>
        <w:rPr>
          <w:lang w:val="fr-FR"/>
        </w:rPr>
      </w:pPr>
    </w:p>
    <w:p w:rsidR="004F0465" w:rsidRDefault="004F0465" w:rsidP="00921F8E">
      <w:pPr>
        <w:rPr>
          <w:lang w:val="fr-FR"/>
        </w:rPr>
      </w:pPr>
    </w:p>
    <w:p w:rsidR="004F0465" w:rsidRDefault="00D4477E" w:rsidP="00D4477E">
      <w:pPr>
        <w:pStyle w:val="Endofdocument-Annex"/>
        <w:rPr>
          <w:lang w:val="fr-FR"/>
        </w:rPr>
      </w:pPr>
      <w:r w:rsidRPr="00DD05DF">
        <w:rPr>
          <w:lang w:val="fr-FR"/>
        </w:rPr>
        <w:t>[</w:t>
      </w:r>
      <w:r w:rsidR="00675B32">
        <w:rPr>
          <w:lang w:val="fr-FR"/>
        </w:rPr>
        <w:t>Fin de l</w:t>
      </w:r>
      <w:r w:rsidR="00A5561D">
        <w:rPr>
          <w:lang w:val="fr-FR"/>
        </w:rPr>
        <w:t>’</w:t>
      </w:r>
      <w:r w:rsidR="00675B32">
        <w:rPr>
          <w:lang w:val="fr-FR"/>
        </w:rPr>
        <w:t>annexe et du document</w:t>
      </w:r>
      <w:r w:rsidRPr="00DD05DF">
        <w:rPr>
          <w:lang w:val="fr-FR"/>
        </w:rPr>
        <w:t>]</w:t>
      </w:r>
    </w:p>
    <w:p w:rsidR="00D4477E" w:rsidRPr="00DD05DF" w:rsidRDefault="00D4477E" w:rsidP="00D4477E">
      <w:pPr>
        <w:pStyle w:val="Endofdocument-Annex"/>
        <w:rPr>
          <w:lang w:val="fr-FR"/>
        </w:rPr>
      </w:pPr>
    </w:p>
    <w:sectPr w:rsidR="00D4477E" w:rsidRPr="00DD05DF" w:rsidSect="00800B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DB" w:rsidRDefault="00F17EDB" w:rsidP="00CE780C">
      <w:r>
        <w:separator/>
      </w:r>
    </w:p>
  </w:endnote>
  <w:endnote w:type="continuationSeparator" w:id="0">
    <w:p w:rsidR="00F17EDB" w:rsidRDefault="00F17EDB" w:rsidP="00CE780C">
      <w:r>
        <w:continuationSeparator/>
      </w:r>
    </w:p>
  </w:endnote>
  <w:endnote w:type="continuationNotice" w:id="1">
    <w:p w:rsidR="007D2747" w:rsidRDefault="007D2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 w:rsidP="0096165B">
    <w:pPr>
      <w:pStyle w:val="Footer"/>
      <w:jc w:val="right"/>
    </w:pPr>
  </w:p>
  <w:p w:rsidR="00F17EDB" w:rsidRDefault="00F17EDB" w:rsidP="00961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 w:rsidP="00403688">
    <w:pPr>
      <w:pStyle w:val="Footer"/>
      <w:jc w:val="right"/>
    </w:pPr>
  </w:p>
  <w:p w:rsidR="00F17EDB" w:rsidRDefault="00F17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 w:rsidP="0096165B">
    <w:pPr>
      <w:pStyle w:val="Footer"/>
      <w:jc w:val="right"/>
    </w:pPr>
  </w:p>
  <w:p w:rsidR="00F17EDB" w:rsidRDefault="00F17EDB" w:rsidP="009616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 w:rsidP="00403688">
    <w:pPr>
      <w:pStyle w:val="Footer"/>
      <w:jc w:val="right"/>
    </w:pPr>
  </w:p>
  <w:p w:rsidR="00F17EDB" w:rsidRDefault="00F17ED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DB" w:rsidRDefault="00F17EDB" w:rsidP="00CE780C">
      <w:r>
        <w:separator/>
      </w:r>
    </w:p>
  </w:footnote>
  <w:footnote w:type="continuationSeparator" w:id="0">
    <w:p w:rsidR="00F17EDB" w:rsidRDefault="00F17EDB" w:rsidP="00CE780C">
      <w:r>
        <w:continuationSeparator/>
      </w:r>
    </w:p>
  </w:footnote>
  <w:footnote w:type="continuationNotice" w:id="1">
    <w:p w:rsidR="007D2747" w:rsidRDefault="007D2747"/>
  </w:footnote>
  <w:footnote w:id="2">
    <w:p w:rsidR="00F17EDB" w:rsidRDefault="00F17EDB" w:rsidP="00F345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https://www.wipo.int/meetings/fr/doc_details.jsp?doc_id=281039</w:t>
        </w:r>
      </w:hyperlink>
      <w:r>
        <w:t xml:space="preserve"> </w:t>
      </w:r>
    </w:p>
  </w:footnote>
  <w:footnote w:id="3">
    <w:p w:rsidR="00F17EDB" w:rsidRPr="00C57D2D" w:rsidRDefault="00F17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https://www.wipo.int/meetings/fr/doc_details.jsp?doc_id=436951</w:t>
        </w:r>
      </w:hyperlink>
      <w:r>
        <w:t xml:space="preserve"> </w:t>
      </w:r>
    </w:p>
  </w:footnote>
  <w:footnote w:id="4">
    <w:p w:rsidR="00F17EDB" w:rsidRDefault="00F17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448CD">
          <w:rPr>
            <w:rStyle w:val="Hyperlink"/>
          </w:rPr>
          <w:t>https://www.wipo.int/meetings/</w:t>
        </w:r>
        <w:r>
          <w:rPr>
            <w:rStyle w:val="Hyperlink"/>
          </w:rPr>
          <w:t>fr</w:t>
        </w:r>
        <w:r w:rsidRPr="001448CD">
          <w:rPr>
            <w:rStyle w:val="Hyperlink"/>
          </w:rPr>
          <w:t>/details.jsp?meeting_id=52886</w:t>
        </w:r>
      </w:hyperlink>
      <w:r>
        <w:t xml:space="preserve"> </w:t>
      </w:r>
    </w:p>
  </w:footnote>
  <w:footnote w:id="5">
    <w:p w:rsidR="00F17EDB" w:rsidRDefault="00F17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4A4E40">
          <w:rPr>
            <w:rStyle w:val="Hyperlink"/>
          </w:rPr>
          <w:t>https://www.wipo.int/tools/fr/disclaim.html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 w:rsidP="0096165B">
    <w:pPr>
      <w:pStyle w:val="Header"/>
      <w:jc w:val="right"/>
    </w:pPr>
    <w:r>
      <w:t>CDIP/20/3</w:t>
    </w:r>
  </w:p>
  <w:p w:rsidR="00F17EDB" w:rsidRDefault="00F17EDB" w:rsidP="0096165B">
    <w:pPr>
      <w:pStyle w:val="Header"/>
      <w:jc w:val="right"/>
      <w:rPr>
        <w:noProof/>
      </w:rPr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17EDB" w:rsidRDefault="00F17EDB" w:rsidP="0096165B">
    <w:pPr>
      <w:pStyle w:val="Header"/>
      <w:rPr>
        <w:noProof/>
      </w:rPr>
    </w:pPr>
  </w:p>
  <w:p w:rsidR="00F17EDB" w:rsidRDefault="00F17EDB" w:rsidP="00961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 w:rsidP="0035776B">
    <w:pPr>
      <w:pStyle w:val="Header"/>
      <w:jc w:val="right"/>
    </w:pPr>
    <w:r>
      <w:t>CDIP/20/3</w:t>
    </w:r>
  </w:p>
  <w:p w:rsidR="00F17EDB" w:rsidRDefault="00F17EDB" w:rsidP="0035776B">
    <w:pPr>
      <w:pStyle w:val="Header"/>
      <w:jc w:val="right"/>
      <w:rPr>
        <w:noProof/>
      </w:rPr>
    </w:pPr>
    <w:proofErr w:type="spellStart"/>
    <w:r>
      <w:t>Annexe</w:t>
    </w:r>
    <w:proofErr w:type="spellEnd"/>
    <w:r>
      <w:t>, page</w:t>
    </w:r>
    <w:r w:rsidR="007D2747">
      <w:t> </w:t>
    </w:r>
    <w:r>
      <w:fldChar w:fldCharType="begin"/>
    </w:r>
    <w:r>
      <w:instrText xml:space="preserve"> PAGE   \* MERGEFORMAT </w:instrText>
    </w:r>
    <w:r>
      <w:fldChar w:fldCharType="separate"/>
    </w:r>
    <w:r w:rsidR="00141FBC">
      <w:rPr>
        <w:noProof/>
      </w:rPr>
      <w:t>2</w:t>
    </w:r>
    <w:r>
      <w:rPr>
        <w:noProof/>
      </w:rPr>
      <w:fldChar w:fldCharType="end"/>
    </w:r>
  </w:p>
  <w:p w:rsidR="00F17EDB" w:rsidRDefault="00F17EDB">
    <w:pPr>
      <w:pStyle w:val="Header"/>
      <w:rPr>
        <w:noProof/>
      </w:rPr>
    </w:pPr>
  </w:p>
  <w:p w:rsidR="00F17EDB" w:rsidRDefault="00F17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 w:rsidP="0096165B">
    <w:pPr>
      <w:pStyle w:val="Header"/>
      <w:jc w:val="right"/>
    </w:pPr>
    <w:r>
      <w:t>CDIP/24/6</w:t>
    </w:r>
  </w:p>
  <w:p w:rsidR="00F17EDB" w:rsidRDefault="00F17EDB" w:rsidP="0096165B">
    <w:pPr>
      <w:pStyle w:val="Header"/>
      <w:jc w:val="right"/>
      <w:rPr>
        <w:noProof/>
      </w:rPr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17EDB" w:rsidRDefault="00F17EDB" w:rsidP="0096165B">
    <w:pPr>
      <w:pStyle w:val="Header"/>
      <w:rPr>
        <w:noProof/>
      </w:rPr>
    </w:pPr>
  </w:p>
  <w:p w:rsidR="00F17EDB" w:rsidRDefault="00F17EDB" w:rsidP="009616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 w:rsidP="0035776B">
    <w:pPr>
      <w:pStyle w:val="Header"/>
      <w:jc w:val="right"/>
    </w:pPr>
    <w:r>
      <w:t>CDIP/24/6</w:t>
    </w:r>
  </w:p>
  <w:p w:rsidR="00F17EDB" w:rsidRDefault="00F17EDB" w:rsidP="0035776B">
    <w:pPr>
      <w:pStyle w:val="Header"/>
      <w:jc w:val="right"/>
      <w:rPr>
        <w:noProof/>
      </w:rPr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916E9C">
      <w:rPr>
        <w:noProof/>
      </w:rPr>
      <w:t>4</w:t>
    </w:r>
    <w:r>
      <w:rPr>
        <w:noProof/>
      </w:rPr>
      <w:fldChar w:fldCharType="end"/>
    </w:r>
  </w:p>
  <w:p w:rsidR="00F17EDB" w:rsidRDefault="00F17EDB">
    <w:pPr>
      <w:pStyle w:val="Header"/>
      <w:rPr>
        <w:noProof/>
      </w:rPr>
    </w:pPr>
  </w:p>
  <w:p w:rsidR="00F17EDB" w:rsidRDefault="00F17ED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B" w:rsidRDefault="00F17EDB" w:rsidP="0035776B">
    <w:pPr>
      <w:pStyle w:val="Header"/>
      <w:jc w:val="right"/>
    </w:pPr>
    <w:r>
      <w:t>CDIP/24/6</w:t>
    </w:r>
  </w:p>
  <w:p w:rsidR="00F17EDB" w:rsidRDefault="00F17EDB" w:rsidP="0035776B">
    <w:pPr>
      <w:pStyle w:val="Header"/>
      <w:jc w:val="right"/>
    </w:pPr>
    <w:r>
      <w:t>ANNEXE</w:t>
    </w:r>
  </w:p>
  <w:p w:rsidR="00F17EDB" w:rsidRDefault="00F17EDB">
    <w:pPr>
      <w:pStyle w:val="Header"/>
    </w:pPr>
  </w:p>
  <w:p w:rsidR="00F17EDB" w:rsidRDefault="00F1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FFFFFF89"/>
    <w:multiLevelType w:val="singleLevel"/>
    <w:tmpl w:val="87868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718E5"/>
    <w:multiLevelType w:val="hybridMultilevel"/>
    <w:tmpl w:val="5ADC3326"/>
    <w:lvl w:ilvl="0" w:tplc="DDB63F3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1B586A"/>
    <w:multiLevelType w:val="hybridMultilevel"/>
    <w:tmpl w:val="693C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37AE"/>
    <w:multiLevelType w:val="hybridMultilevel"/>
    <w:tmpl w:val="741854E4"/>
    <w:lvl w:ilvl="0" w:tplc="9D88E4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3BD1"/>
    <w:multiLevelType w:val="hybridMultilevel"/>
    <w:tmpl w:val="16AAF416"/>
    <w:lvl w:ilvl="0" w:tplc="DDB63F3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6BB84039"/>
    <w:multiLevelType w:val="hybridMultilevel"/>
    <w:tmpl w:val="0E4245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A57B8"/>
    <w:multiLevelType w:val="hybridMultilevel"/>
    <w:tmpl w:val="FFB67B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B01170A"/>
    <w:multiLevelType w:val="hybridMultilevel"/>
    <w:tmpl w:val="B7D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258B2"/>
    <w:rsid w:val="00002F0C"/>
    <w:rsid w:val="000032DC"/>
    <w:rsid w:val="00006430"/>
    <w:rsid w:val="00013BBB"/>
    <w:rsid w:val="00021EB1"/>
    <w:rsid w:val="000258B2"/>
    <w:rsid w:val="00031241"/>
    <w:rsid w:val="00040D0D"/>
    <w:rsid w:val="000649AE"/>
    <w:rsid w:val="00067027"/>
    <w:rsid w:val="00084C5D"/>
    <w:rsid w:val="00090AFC"/>
    <w:rsid w:val="000A4F63"/>
    <w:rsid w:val="000D17A8"/>
    <w:rsid w:val="000D789C"/>
    <w:rsid w:val="000E3651"/>
    <w:rsid w:val="000F182F"/>
    <w:rsid w:val="000F3F97"/>
    <w:rsid w:val="000F5E56"/>
    <w:rsid w:val="00105881"/>
    <w:rsid w:val="00105E75"/>
    <w:rsid w:val="0011045B"/>
    <w:rsid w:val="00124528"/>
    <w:rsid w:val="00141FBC"/>
    <w:rsid w:val="00154479"/>
    <w:rsid w:val="0015663C"/>
    <w:rsid w:val="001651C7"/>
    <w:rsid w:val="0017135C"/>
    <w:rsid w:val="00177565"/>
    <w:rsid w:val="0018039F"/>
    <w:rsid w:val="001813D3"/>
    <w:rsid w:val="001A04BF"/>
    <w:rsid w:val="001A4693"/>
    <w:rsid w:val="001B3191"/>
    <w:rsid w:val="001B66B6"/>
    <w:rsid w:val="001C3017"/>
    <w:rsid w:val="001D0EA3"/>
    <w:rsid w:val="001D29CC"/>
    <w:rsid w:val="001D3D85"/>
    <w:rsid w:val="001E3855"/>
    <w:rsid w:val="001E5E7E"/>
    <w:rsid w:val="001F089A"/>
    <w:rsid w:val="00201CF4"/>
    <w:rsid w:val="002064B3"/>
    <w:rsid w:val="002070F1"/>
    <w:rsid w:val="0021059F"/>
    <w:rsid w:val="00210C2C"/>
    <w:rsid w:val="00216C33"/>
    <w:rsid w:val="00236E25"/>
    <w:rsid w:val="00240CF8"/>
    <w:rsid w:val="00243370"/>
    <w:rsid w:val="00250715"/>
    <w:rsid w:val="0025257C"/>
    <w:rsid w:val="00263EA7"/>
    <w:rsid w:val="0027716F"/>
    <w:rsid w:val="00283E7A"/>
    <w:rsid w:val="0029100A"/>
    <w:rsid w:val="002928A3"/>
    <w:rsid w:val="00294B20"/>
    <w:rsid w:val="00296A05"/>
    <w:rsid w:val="002C308A"/>
    <w:rsid w:val="002D7971"/>
    <w:rsid w:val="002D79EA"/>
    <w:rsid w:val="002F01D4"/>
    <w:rsid w:val="00314271"/>
    <w:rsid w:val="003223FE"/>
    <w:rsid w:val="00327E37"/>
    <w:rsid w:val="003322BF"/>
    <w:rsid w:val="003357DF"/>
    <w:rsid w:val="003357FC"/>
    <w:rsid w:val="00337977"/>
    <w:rsid w:val="00351EF9"/>
    <w:rsid w:val="003524A9"/>
    <w:rsid w:val="003547FC"/>
    <w:rsid w:val="0035776B"/>
    <w:rsid w:val="00361AC7"/>
    <w:rsid w:val="00363E42"/>
    <w:rsid w:val="003663B5"/>
    <w:rsid w:val="0036729A"/>
    <w:rsid w:val="00372DE4"/>
    <w:rsid w:val="003807B6"/>
    <w:rsid w:val="00381FA8"/>
    <w:rsid w:val="00384D91"/>
    <w:rsid w:val="003B1896"/>
    <w:rsid w:val="003B21D5"/>
    <w:rsid w:val="003B2C1E"/>
    <w:rsid w:val="003B7621"/>
    <w:rsid w:val="003C4CFD"/>
    <w:rsid w:val="003C5540"/>
    <w:rsid w:val="003D0602"/>
    <w:rsid w:val="003D4F43"/>
    <w:rsid w:val="003D5CC5"/>
    <w:rsid w:val="003E1A75"/>
    <w:rsid w:val="003E77F5"/>
    <w:rsid w:val="00400D26"/>
    <w:rsid w:val="00403518"/>
    <w:rsid w:val="00403688"/>
    <w:rsid w:val="004104B6"/>
    <w:rsid w:val="0041399C"/>
    <w:rsid w:val="00416DAE"/>
    <w:rsid w:val="00417745"/>
    <w:rsid w:val="004266AF"/>
    <w:rsid w:val="00431118"/>
    <w:rsid w:val="00432E86"/>
    <w:rsid w:val="004435BC"/>
    <w:rsid w:val="00444395"/>
    <w:rsid w:val="004443DD"/>
    <w:rsid w:val="00447EC7"/>
    <w:rsid w:val="00450BE3"/>
    <w:rsid w:val="0045460F"/>
    <w:rsid w:val="00462B6A"/>
    <w:rsid w:val="004640A7"/>
    <w:rsid w:val="004746C8"/>
    <w:rsid w:val="00476E0F"/>
    <w:rsid w:val="00484A41"/>
    <w:rsid w:val="004A3ADA"/>
    <w:rsid w:val="004A4E40"/>
    <w:rsid w:val="004C09BC"/>
    <w:rsid w:val="004D73CC"/>
    <w:rsid w:val="004E494C"/>
    <w:rsid w:val="004F0465"/>
    <w:rsid w:val="005000BF"/>
    <w:rsid w:val="00505F34"/>
    <w:rsid w:val="00511524"/>
    <w:rsid w:val="0051553E"/>
    <w:rsid w:val="00515AE2"/>
    <w:rsid w:val="00520EBC"/>
    <w:rsid w:val="005319CF"/>
    <w:rsid w:val="00534261"/>
    <w:rsid w:val="0054136C"/>
    <w:rsid w:val="005441C6"/>
    <w:rsid w:val="005461EE"/>
    <w:rsid w:val="00550AE3"/>
    <w:rsid w:val="005724D1"/>
    <w:rsid w:val="0057257E"/>
    <w:rsid w:val="00573A62"/>
    <w:rsid w:val="00574995"/>
    <w:rsid w:val="00591830"/>
    <w:rsid w:val="00596BF5"/>
    <w:rsid w:val="005A413D"/>
    <w:rsid w:val="005C44D1"/>
    <w:rsid w:val="005D16A5"/>
    <w:rsid w:val="005D6D6A"/>
    <w:rsid w:val="005E3102"/>
    <w:rsid w:val="005E4D6F"/>
    <w:rsid w:val="005E615C"/>
    <w:rsid w:val="005F000F"/>
    <w:rsid w:val="005F1E24"/>
    <w:rsid w:val="005F7DC3"/>
    <w:rsid w:val="00610DA8"/>
    <w:rsid w:val="00613E06"/>
    <w:rsid w:val="006172D6"/>
    <w:rsid w:val="00632D80"/>
    <w:rsid w:val="00633369"/>
    <w:rsid w:val="006440EE"/>
    <w:rsid w:val="0064568B"/>
    <w:rsid w:val="006460A7"/>
    <w:rsid w:val="00651321"/>
    <w:rsid w:val="0066305A"/>
    <w:rsid w:val="00667322"/>
    <w:rsid w:val="0067326F"/>
    <w:rsid w:val="00675B32"/>
    <w:rsid w:val="00675D17"/>
    <w:rsid w:val="00680146"/>
    <w:rsid w:val="00686A33"/>
    <w:rsid w:val="006A336D"/>
    <w:rsid w:val="006A629D"/>
    <w:rsid w:val="006B2F04"/>
    <w:rsid w:val="006B6D66"/>
    <w:rsid w:val="006D15F5"/>
    <w:rsid w:val="006E08D0"/>
    <w:rsid w:val="006E16DD"/>
    <w:rsid w:val="006E6844"/>
    <w:rsid w:val="006F1401"/>
    <w:rsid w:val="006F467A"/>
    <w:rsid w:val="006F5434"/>
    <w:rsid w:val="007075FD"/>
    <w:rsid w:val="00707FC5"/>
    <w:rsid w:val="007108EF"/>
    <w:rsid w:val="00713E5B"/>
    <w:rsid w:val="00713EC2"/>
    <w:rsid w:val="0073292E"/>
    <w:rsid w:val="00735005"/>
    <w:rsid w:val="00741B70"/>
    <w:rsid w:val="0075006B"/>
    <w:rsid w:val="00780621"/>
    <w:rsid w:val="00782C3B"/>
    <w:rsid w:val="007836CE"/>
    <w:rsid w:val="007872E0"/>
    <w:rsid w:val="00792FFF"/>
    <w:rsid w:val="00794F88"/>
    <w:rsid w:val="007A2563"/>
    <w:rsid w:val="007A6B2D"/>
    <w:rsid w:val="007B240C"/>
    <w:rsid w:val="007C3BD3"/>
    <w:rsid w:val="007C48C4"/>
    <w:rsid w:val="007C4BEF"/>
    <w:rsid w:val="007C4C4D"/>
    <w:rsid w:val="007C731E"/>
    <w:rsid w:val="007D2747"/>
    <w:rsid w:val="007D53C7"/>
    <w:rsid w:val="007E634B"/>
    <w:rsid w:val="00800B87"/>
    <w:rsid w:val="00804DB7"/>
    <w:rsid w:val="00820863"/>
    <w:rsid w:val="008209D9"/>
    <w:rsid w:val="00822FE2"/>
    <w:rsid w:val="00826E53"/>
    <w:rsid w:val="00826EED"/>
    <w:rsid w:val="008311B1"/>
    <w:rsid w:val="0083399A"/>
    <w:rsid w:val="00834074"/>
    <w:rsid w:val="008353EE"/>
    <w:rsid w:val="00836305"/>
    <w:rsid w:val="00841685"/>
    <w:rsid w:val="00850F50"/>
    <w:rsid w:val="008801F4"/>
    <w:rsid w:val="0088424A"/>
    <w:rsid w:val="008951E0"/>
    <w:rsid w:val="0089783D"/>
    <w:rsid w:val="008F035B"/>
    <w:rsid w:val="008F42BF"/>
    <w:rsid w:val="008F7645"/>
    <w:rsid w:val="008F7914"/>
    <w:rsid w:val="009057B6"/>
    <w:rsid w:val="00911A91"/>
    <w:rsid w:val="00912430"/>
    <w:rsid w:val="00914D07"/>
    <w:rsid w:val="009152EC"/>
    <w:rsid w:val="009162B8"/>
    <w:rsid w:val="00916381"/>
    <w:rsid w:val="00916E9C"/>
    <w:rsid w:val="00921F8E"/>
    <w:rsid w:val="00921FE2"/>
    <w:rsid w:val="009273B6"/>
    <w:rsid w:val="00931B7E"/>
    <w:rsid w:val="0094234B"/>
    <w:rsid w:val="00952477"/>
    <w:rsid w:val="009556F5"/>
    <w:rsid w:val="009578D7"/>
    <w:rsid w:val="0096165B"/>
    <w:rsid w:val="00961AEA"/>
    <w:rsid w:val="0096740B"/>
    <w:rsid w:val="00971EDC"/>
    <w:rsid w:val="00981682"/>
    <w:rsid w:val="00990653"/>
    <w:rsid w:val="00996AE7"/>
    <w:rsid w:val="009A1C03"/>
    <w:rsid w:val="009B3437"/>
    <w:rsid w:val="009B3791"/>
    <w:rsid w:val="009C5A1E"/>
    <w:rsid w:val="009D1C9C"/>
    <w:rsid w:val="009E4DC8"/>
    <w:rsid w:val="009F0A5A"/>
    <w:rsid w:val="009F0FF5"/>
    <w:rsid w:val="009F1678"/>
    <w:rsid w:val="009F5FE9"/>
    <w:rsid w:val="00A01272"/>
    <w:rsid w:val="00A10ED5"/>
    <w:rsid w:val="00A233DD"/>
    <w:rsid w:val="00A4035A"/>
    <w:rsid w:val="00A43CA5"/>
    <w:rsid w:val="00A549A9"/>
    <w:rsid w:val="00A5561D"/>
    <w:rsid w:val="00A630B6"/>
    <w:rsid w:val="00A63155"/>
    <w:rsid w:val="00A66E0E"/>
    <w:rsid w:val="00A70BD8"/>
    <w:rsid w:val="00A72782"/>
    <w:rsid w:val="00A76C04"/>
    <w:rsid w:val="00A83A81"/>
    <w:rsid w:val="00A95A16"/>
    <w:rsid w:val="00AA1C9A"/>
    <w:rsid w:val="00AA4496"/>
    <w:rsid w:val="00AC1C78"/>
    <w:rsid w:val="00AC5E10"/>
    <w:rsid w:val="00AD08CE"/>
    <w:rsid w:val="00AD3113"/>
    <w:rsid w:val="00AE5095"/>
    <w:rsid w:val="00AE6FD7"/>
    <w:rsid w:val="00AF1AA3"/>
    <w:rsid w:val="00AF7AFE"/>
    <w:rsid w:val="00AF7EAF"/>
    <w:rsid w:val="00B1197F"/>
    <w:rsid w:val="00B241C2"/>
    <w:rsid w:val="00B41A8A"/>
    <w:rsid w:val="00B607BD"/>
    <w:rsid w:val="00B66F1C"/>
    <w:rsid w:val="00B74D37"/>
    <w:rsid w:val="00B77973"/>
    <w:rsid w:val="00B80092"/>
    <w:rsid w:val="00B91578"/>
    <w:rsid w:val="00B9463F"/>
    <w:rsid w:val="00BA2A0E"/>
    <w:rsid w:val="00BA33BE"/>
    <w:rsid w:val="00BA49AF"/>
    <w:rsid w:val="00BB4A58"/>
    <w:rsid w:val="00BD023C"/>
    <w:rsid w:val="00BD3180"/>
    <w:rsid w:val="00BE41EF"/>
    <w:rsid w:val="00BE65D0"/>
    <w:rsid w:val="00BE70E5"/>
    <w:rsid w:val="00C04B07"/>
    <w:rsid w:val="00C05DB9"/>
    <w:rsid w:val="00C30229"/>
    <w:rsid w:val="00C34981"/>
    <w:rsid w:val="00C554EC"/>
    <w:rsid w:val="00C57D2D"/>
    <w:rsid w:val="00C629C0"/>
    <w:rsid w:val="00C80725"/>
    <w:rsid w:val="00C80F69"/>
    <w:rsid w:val="00C85DC2"/>
    <w:rsid w:val="00C917FE"/>
    <w:rsid w:val="00C939D7"/>
    <w:rsid w:val="00C960C4"/>
    <w:rsid w:val="00CA16C6"/>
    <w:rsid w:val="00CA5457"/>
    <w:rsid w:val="00CB04F3"/>
    <w:rsid w:val="00CB36F0"/>
    <w:rsid w:val="00CC59AA"/>
    <w:rsid w:val="00CC7209"/>
    <w:rsid w:val="00CD0E3A"/>
    <w:rsid w:val="00CD4510"/>
    <w:rsid w:val="00CD6642"/>
    <w:rsid w:val="00CE48E6"/>
    <w:rsid w:val="00CE5C1D"/>
    <w:rsid w:val="00CE780C"/>
    <w:rsid w:val="00D02C4F"/>
    <w:rsid w:val="00D05CA4"/>
    <w:rsid w:val="00D11415"/>
    <w:rsid w:val="00D25D01"/>
    <w:rsid w:val="00D4477E"/>
    <w:rsid w:val="00D449FB"/>
    <w:rsid w:val="00D623A4"/>
    <w:rsid w:val="00D629BA"/>
    <w:rsid w:val="00D77281"/>
    <w:rsid w:val="00D84573"/>
    <w:rsid w:val="00D8460D"/>
    <w:rsid w:val="00D91AAF"/>
    <w:rsid w:val="00D9796B"/>
    <w:rsid w:val="00DA3DC8"/>
    <w:rsid w:val="00DB0FDF"/>
    <w:rsid w:val="00DB56FB"/>
    <w:rsid w:val="00DB71BB"/>
    <w:rsid w:val="00DD05DF"/>
    <w:rsid w:val="00DD0653"/>
    <w:rsid w:val="00DD1AD2"/>
    <w:rsid w:val="00DE409C"/>
    <w:rsid w:val="00E01C6A"/>
    <w:rsid w:val="00E1437E"/>
    <w:rsid w:val="00E324DE"/>
    <w:rsid w:val="00E374BC"/>
    <w:rsid w:val="00E413B0"/>
    <w:rsid w:val="00E469A8"/>
    <w:rsid w:val="00E55216"/>
    <w:rsid w:val="00E5532B"/>
    <w:rsid w:val="00E746D9"/>
    <w:rsid w:val="00E939EF"/>
    <w:rsid w:val="00EA2D78"/>
    <w:rsid w:val="00EC07C7"/>
    <w:rsid w:val="00EC1391"/>
    <w:rsid w:val="00ED04CE"/>
    <w:rsid w:val="00ED6951"/>
    <w:rsid w:val="00EE17DD"/>
    <w:rsid w:val="00EE51B7"/>
    <w:rsid w:val="00EE759B"/>
    <w:rsid w:val="00F00CA7"/>
    <w:rsid w:val="00F14332"/>
    <w:rsid w:val="00F17EDB"/>
    <w:rsid w:val="00F34233"/>
    <w:rsid w:val="00F34508"/>
    <w:rsid w:val="00F41835"/>
    <w:rsid w:val="00F472C8"/>
    <w:rsid w:val="00F51C90"/>
    <w:rsid w:val="00F638AE"/>
    <w:rsid w:val="00F810A2"/>
    <w:rsid w:val="00F83B0D"/>
    <w:rsid w:val="00F84EB1"/>
    <w:rsid w:val="00F87B22"/>
    <w:rsid w:val="00F90EDF"/>
    <w:rsid w:val="00FA051B"/>
    <w:rsid w:val="00FA06F2"/>
    <w:rsid w:val="00FA5EFF"/>
    <w:rsid w:val="00FC1651"/>
    <w:rsid w:val="00FC17E4"/>
    <w:rsid w:val="00FC427C"/>
    <w:rsid w:val="00FD3571"/>
    <w:rsid w:val="00FF1B59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435C8C0-72C6-4411-B32E-D72C81B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B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link w:val="Endofdocument-AnnexChar"/>
    <w:rsid w:val="000258B2"/>
    <w:pPr>
      <w:ind w:left="5534"/>
    </w:pPr>
  </w:style>
  <w:style w:type="character" w:customStyle="1" w:styleId="Endofdocument-AnnexChar">
    <w:name w:val="[End of document - Annex] Char"/>
    <w:link w:val="Endofdocument-Annex"/>
    <w:rsid w:val="000258B2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0258B2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02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8B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640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24D1"/>
    <w:rPr>
      <w:color w:val="0000FF" w:themeColor="hyperlink"/>
      <w:u w:val="single"/>
    </w:rPr>
  </w:style>
  <w:style w:type="paragraph" w:styleId="ListBullet">
    <w:name w:val="List Bullet"/>
    <w:basedOn w:val="Normal"/>
    <w:rsid w:val="00363E42"/>
    <w:pPr>
      <w:numPr>
        <w:numId w:val="12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0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CE780C"/>
    <w:rPr>
      <w:vertAlign w:val="superscript"/>
    </w:rPr>
  </w:style>
  <w:style w:type="character" w:styleId="Strong">
    <w:name w:val="Strong"/>
    <w:basedOn w:val="DefaultParagraphFont"/>
    <w:uiPriority w:val="22"/>
    <w:qFormat/>
    <w:rsid w:val="00CE780C"/>
    <w:rPr>
      <w:b/>
      <w:bCs/>
    </w:rPr>
  </w:style>
  <w:style w:type="character" w:customStyle="1" w:styleId="apple-converted-space">
    <w:name w:val="apple-converted-space"/>
    <w:basedOn w:val="DefaultParagraphFont"/>
    <w:rsid w:val="00C939D7"/>
  </w:style>
  <w:style w:type="character" w:customStyle="1" w:styleId="FooterChar">
    <w:name w:val="Footer Char"/>
    <w:basedOn w:val="DefaultParagraphFont"/>
    <w:link w:val="Footer"/>
    <w:uiPriority w:val="99"/>
    <w:rsid w:val="00D05CA4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A10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fr/details.jsp?meeting_id=52886" TargetMode="External"/><Relationship Id="rId2" Type="http://schemas.openxmlformats.org/officeDocument/2006/relationships/hyperlink" Target="https://www.wipo.int/meetings/fr/doc_details.jsp?doc_id=436951" TargetMode="External"/><Relationship Id="rId1" Type="http://schemas.openxmlformats.org/officeDocument/2006/relationships/hyperlink" Target="https://www.wipo.int/meetings/fr/doc_details.jsp?doc_id=281039" TargetMode="External"/><Relationship Id="rId4" Type="http://schemas.openxmlformats.org/officeDocument/2006/relationships/hyperlink" Target="https://www.wipo.int/tools/fr/disclai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72C0-F215-4693-8786-31DAC1AD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12374</Characters>
  <Application>Microsoft Office Word</Application>
  <DocSecurity>0</DocSecurity>
  <Lines>219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CDIP/24/6_EN</vt:lpstr>
      <vt:lpstr>CDIP/24/6_EN</vt:lpstr>
    </vt:vector>
  </TitlesOfParts>
  <Company>World Intellectual Property Organization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CDIP/24/6_EN</dc:title>
  <dc:subject>Wipo Templates</dc:subject>
  <dc:creator>CERBARI Mihaela</dc:creator>
  <cp:keywords>FOR OFFICIAL USE ONLY</cp:keywords>
  <cp:lastModifiedBy>ESTEVES DOS SANTOS Anabela</cp:lastModifiedBy>
  <cp:revision>2</cp:revision>
  <cp:lastPrinted>2019-09-06T07:47:00Z</cp:lastPrinted>
  <dcterms:created xsi:type="dcterms:W3CDTF">2019-09-11T07:54:00Z</dcterms:created>
  <dcterms:modified xsi:type="dcterms:W3CDTF">2019-09-11T07:54:00Z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d9536f1a-f0f2-482c-93ee-cf29b3d96835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