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B84F20">
      <w:pPr>
        <w:spacing w:after="120"/>
        <w:jc w:val="right"/>
      </w:pPr>
      <w:bookmarkStart w:id="0" w:name="_GoBack"/>
      <w:bookmarkEnd w:id="0"/>
      <w:r>
        <w:rPr>
          <w:noProof/>
          <w:lang w:eastAsia="fr-CH"/>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7B4D4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105B7C" w:rsidP="00B84F20">
      <w:pPr>
        <w:jc w:val="right"/>
        <w:rPr>
          <w:rFonts w:ascii="Arial Black" w:hAnsi="Arial Black"/>
          <w:caps/>
          <w:sz w:val="15"/>
          <w:szCs w:val="15"/>
        </w:rPr>
      </w:pPr>
      <w:r>
        <w:rPr>
          <w:rFonts w:ascii="Arial Black" w:hAnsi="Arial Black"/>
          <w:caps/>
          <w:sz w:val="15"/>
          <w:lang w:val="fr-FR"/>
        </w:rPr>
        <w:t>CDIP/29/</w:t>
      </w:r>
      <w:bookmarkStart w:id="1" w:name="Code"/>
      <w:r w:rsidR="007A54C3">
        <w:rPr>
          <w:rFonts w:ascii="Arial Black" w:hAnsi="Arial Black"/>
          <w:caps/>
          <w:sz w:val="15"/>
          <w:lang w:val="fr-FR"/>
        </w:rPr>
        <w:t>8</w:t>
      </w:r>
    </w:p>
    <w:bookmarkEnd w:id="1"/>
    <w:p w:rsidR="008B2CC1" w:rsidRPr="00DB0349" w:rsidRDefault="00DB0349" w:rsidP="00B84F20">
      <w:pPr>
        <w:jc w:val="right"/>
        <w:rPr>
          <w:rFonts w:ascii="Arial Black" w:hAnsi="Arial Black"/>
          <w:caps/>
          <w:sz w:val="15"/>
          <w:szCs w:val="15"/>
        </w:rPr>
      </w:pPr>
      <w:r>
        <w:rPr>
          <w:rFonts w:ascii="Arial Black" w:hAnsi="Arial Black"/>
          <w:caps/>
          <w:sz w:val="15"/>
          <w:szCs w:val="15"/>
        </w:rPr>
        <w:t xml:space="preserve">Original : </w:t>
      </w:r>
      <w:bookmarkStart w:id="2" w:name="Original"/>
      <w:r w:rsidR="007A54C3">
        <w:rPr>
          <w:rFonts w:ascii="Arial Black" w:hAnsi="Arial Black"/>
          <w:caps/>
          <w:sz w:val="15"/>
          <w:szCs w:val="15"/>
        </w:rPr>
        <w:t>anglais</w:t>
      </w:r>
    </w:p>
    <w:bookmarkEnd w:id="2"/>
    <w:p w:rsidR="008B2CC1" w:rsidRPr="00DB0349" w:rsidRDefault="00DB0349" w:rsidP="00B84F20">
      <w:pPr>
        <w:spacing w:after="1200"/>
        <w:jc w:val="right"/>
        <w:rPr>
          <w:rFonts w:ascii="Arial Black" w:hAnsi="Arial Black"/>
          <w:caps/>
          <w:sz w:val="15"/>
          <w:szCs w:val="15"/>
        </w:rPr>
      </w:pPr>
      <w:r>
        <w:rPr>
          <w:rFonts w:ascii="Arial Black" w:hAnsi="Arial Black"/>
          <w:caps/>
          <w:sz w:val="15"/>
          <w:szCs w:val="15"/>
        </w:rPr>
        <w:t xml:space="preserve">date : </w:t>
      </w:r>
      <w:bookmarkStart w:id="3" w:name="Date"/>
      <w:r w:rsidR="007A54C3">
        <w:rPr>
          <w:rFonts w:ascii="Arial Black" w:hAnsi="Arial Black"/>
          <w:caps/>
          <w:sz w:val="15"/>
          <w:szCs w:val="15"/>
        </w:rPr>
        <w:t>14 septembre 2022</w:t>
      </w:r>
    </w:p>
    <w:bookmarkEnd w:id="3"/>
    <w:p w:rsidR="00C40E15" w:rsidRPr="00DB0349" w:rsidRDefault="00105B7C" w:rsidP="00B84F20">
      <w:pPr>
        <w:spacing w:after="600"/>
        <w:outlineLvl w:val="0"/>
        <w:rPr>
          <w:b/>
          <w:sz w:val="28"/>
          <w:szCs w:val="28"/>
        </w:rPr>
      </w:pPr>
      <w:r w:rsidRPr="00105B7C">
        <w:rPr>
          <w:b/>
          <w:sz w:val="28"/>
          <w:szCs w:val="28"/>
        </w:rPr>
        <w:t>Comité du développement et de la propriété intellectuelle (CDIP)</w:t>
      </w:r>
    </w:p>
    <w:p w:rsidR="00081F58" w:rsidRPr="003845C1" w:rsidRDefault="00105B7C" w:rsidP="00B84F20">
      <w:pPr>
        <w:spacing w:after="720"/>
        <w:outlineLvl w:val="1"/>
        <w:rPr>
          <w:b/>
          <w:sz w:val="24"/>
          <w:szCs w:val="24"/>
        </w:rPr>
      </w:pPr>
      <w:r w:rsidRPr="00105B7C">
        <w:rPr>
          <w:b/>
          <w:sz w:val="24"/>
          <w:szCs w:val="24"/>
        </w:rPr>
        <w:t>Vingt</w:t>
      </w:r>
      <w:r w:rsidR="00931279">
        <w:rPr>
          <w:b/>
          <w:sz w:val="24"/>
          <w:szCs w:val="24"/>
        </w:rPr>
        <w:noBreakHyphen/>
      </w:r>
      <w:r w:rsidRPr="00105B7C">
        <w:rPr>
          <w:b/>
          <w:sz w:val="24"/>
          <w:szCs w:val="24"/>
        </w:rPr>
        <w:t>neuvième</w:t>
      </w:r>
      <w:r>
        <w:rPr>
          <w:b/>
          <w:sz w:val="24"/>
          <w:szCs w:val="24"/>
        </w:rPr>
        <w:t> </w:t>
      </w:r>
      <w:r w:rsidRPr="00105B7C">
        <w:rPr>
          <w:b/>
          <w:sz w:val="24"/>
          <w:szCs w:val="24"/>
        </w:rPr>
        <w:t>session</w:t>
      </w:r>
      <w:r w:rsidR="00081F58">
        <w:rPr>
          <w:b/>
          <w:sz w:val="24"/>
          <w:szCs w:val="24"/>
        </w:rPr>
        <w:br/>
      </w:r>
      <w:r w:rsidRPr="00105B7C">
        <w:rPr>
          <w:b/>
          <w:sz w:val="24"/>
          <w:szCs w:val="24"/>
        </w:rPr>
        <w:t>Genève, 17 – 21 octobre 2022</w:t>
      </w:r>
    </w:p>
    <w:p w:rsidR="008B2CC1" w:rsidRPr="00842A13" w:rsidRDefault="007A54C3" w:rsidP="00B84F20">
      <w:pPr>
        <w:spacing w:after="360"/>
        <w:rPr>
          <w:caps/>
          <w:sz w:val="24"/>
        </w:rPr>
      </w:pPr>
      <w:bookmarkStart w:id="4" w:name="TitleOfDoc"/>
      <w:r w:rsidRPr="00D45268">
        <w:rPr>
          <w:caps/>
          <w:sz w:val="24"/>
          <w:lang w:val="fr-FR"/>
        </w:rPr>
        <w:t>Renforcement de l’utilisation de l</w:t>
      </w:r>
      <w:r w:rsidR="00931279">
        <w:rPr>
          <w:caps/>
          <w:sz w:val="24"/>
          <w:lang w:val="fr-FR"/>
        </w:rPr>
        <w:t>a propriété intellectuelle pour </w:t>
      </w:r>
      <w:r w:rsidRPr="00D45268">
        <w:rPr>
          <w:caps/>
          <w:sz w:val="24"/>
          <w:lang w:val="fr-FR"/>
        </w:rPr>
        <w:t>les applications mobiles dans le secteur des logiciels – Proposition relative à la phase II</w:t>
      </w:r>
    </w:p>
    <w:p w:rsidR="00525B63" w:rsidRPr="007A54C3" w:rsidRDefault="007A54C3" w:rsidP="00B84F20">
      <w:pPr>
        <w:spacing w:after="960"/>
        <w:rPr>
          <w:i/>
        </w:rPr>
      </w:pPr>
      <w:bookmarkStart w:id="5" w:name="Prepared"/>
      <w:bookmarkEnd w:id="4"/>
      <w:r w:rsidRPr="007A54C3">
        <w:rPr>
          <w:i/>
        </w:rPr>
        <w:t>Document établi par le Secrétariat</w:t>
      </w:r>
    </w:p>
    <w:bookmarkEnd w:id="5"/>
    <w:p w:rsidR="007A54C3" w:rsidRPr="00D45268" w:rsidRDefault="007A54C3" w:rsidP="00B84F20">
      <w:pPr>
        <w:pStyle w:val="ONUMFS"/>
        <w:rPr>
          <w:lang w:val="fr-FR"/>
        </w:rPr>
      </w:pPr>
      <w:r w:rsidRPr="00D45268">
        <w:rPr>
          <w:lang w:val="fr-FR"/>
        </w:rPr>
        <w:t>Le Comité du développement et de la propriété intellectuelle (CDIP), à sa vingt</w:t>
      </w:r>
      <w:r w:rsidR="00931279">
        <w:rPr>
          <w:lang w:val="fr-FR"/>
        </w:rPr>
        <w:noBreakHyphen/>
      </w:r>
      <w:r w:rsidRPr="00D45268">
        <w:rPr>
          <w:lang w:val="fr-FR"/>
        </w:rPr>
        <w:t>huitième session, en examinant le Rapport d’évaluation du projet relatif au renforcement de l’utilisation de la propriété intellectuelle dans les applications mobiles dans le secteur des logiciels, contenu dans le document CDIP/28/6, a notamment demandé “à recevoir un document de suivi sur les autres activités à entreprendre par le Secrétariat dans ce domaine” (paragraphe 4.3 du résumé présenté par le président de la vingt</w:t>
      </w:r>
      <w:r w:rsidR="00931279">
        <w:rPr>
          <w:lang w:val="fr-FR"/>
        </w:rPr>
        <w:noBreakHyphen/>
      </w:r>
      <w:r w:rsidRPr="00D45268">
        <w:rPr>
          <w:lang w:val="fr-FR"/>
        </w:rPr>
        <w:t>huitième session du CDIP).</w:t>
      </w:r>
    </w:p>
    <w:p w:rsidR="007A54C3" w:rsidRPr="00D45268" w:rsidRDefault="007A54C3" w:rsidP="00B84F20">
      <w:pPr>
        <w:pStyle w:val="ONUMFS"/>
        <w:rPr>
          <w:rFonts w:eastAsia="Batang"/>
          <w:color w:val="000000"/>
          <w:szCs w:val="22"/>
          <w:lang w:val="fr-FR"/>
        </w:rPr>
      </w:pPr>
      <w:r w:rsidRPr="00D45268">
        <w:rPr>
          <w:lang w:val="fr-FR"/>
        </w:rPr>
        <w:t>L’annexe du présent document contient une proposition relative à la phase II du Projet de renforcement de l’utilisation de la propriété intellectuelle pour les applications mobiles dans le secteur des logiciels.</w:t>
      </w:r>
    </w:p>
    <w:p w:rsidR="007A54C3" w:rsidRPr="00931279" w:rsidRDefault="007A54C3" w:rsidP="00B84F20">
      <w:pPr>
        <w:pStyle w:val="ONUMFS"/>
        <w:ind w:left="5533"/>
        <w:rPr>
          <w:i/>
        </w:rPr>
      </w:pPr>
      <w:r w:rsidRPr="00931279">
        <w:rPr>
          <w:i/>
        </w:rPr>
        <w:t>Le CDIP est invité à examiner les informations contenues dans l’annexe du présent document.</w:t>
      </w:r>
    </w:p>
    <w:p w:rsidR="007A54C3" w:rsidRPr="00931279" w:rsidRDefault="007A54C3" w:rsidP="00B84F20">
      <w:pPr>
        <w:pStyle w:val="Endofdocument-Annex"/>
      </w:pPr>
      <w:r w:rsidRPr="00931279">
        <w:t>[L’annexe suit]</w:t>
      </w:r>
    </w:p>
    <w:p w:rsidR="007A54C3" w:rsidRPr="00D45268" w:rsidRDefault="007A54C3" w:rsidP="00B84F20">
      <w:pPr>
        <w:spacing w:after="220"/>
        <w:rPr>
          <w:lang w:val="fr-FR"/>
        </w:rPr>
      </w:pPr>
    </w:p>
    <w:p w:rsidR="007A54C3" w:rsidRPr="00D45268" w:rsidRDefault="007A54C3" w:rsidP="00B84F20">
      <w:pPr>
        <w:spacing w:after="220"/>
        <w:rPr>
          <w:lang w:val="fr-FR"/>
        </w:rPr>
        <w:sectPr w:rsidR="007A54C3" w:rsidRPr="00D45268" w:rsidSect="005A1A7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7A54C3" w:rsidRPr="00D45268" w:rsidTr="00DF2AFA">
        <w:trPr>
          <w:trHeight w:val="253"/>
        </w:trPr>
        <w:tc>
          <w:tcPr>
            <w:tcW w:w="9352" w:type="dxa"/>
            <w:shd w:val="clear" w:color="auto" w:fill="68E089"/>
          </w:tcPr>
          <w:p w:rsidR="007A54C3" w:rsidRPr="00D45268" w:rsidRDefault="007A54C3" w:rsidP="00B84F20">
            <w:pPr>
              <w:pStyle w:val="TableParagraph"/>
              <w:widowControl/>
              <w:numPr>
                <w:ilvl w:val="0"/>
                <w:numId w:val="14"/>
              </w:numPr>
              <w:spacing w:line="234" w:lineRule="exact"/>
              <w:ind w:right="87"/>
              <w:jc w:val="center"/>
              <w:rPr>
                <w:b/>
              </w:rPr>
            </w:pPr>
            <w:r w:rsidRPr="00D45268">
              <w:rPr>
                <w:b/>
              </w:rPr>
              <w:lastRenderedPageBreak/>
              <w:t>Code du projet</w:t>
            </w:r>
          </w:p>
        </w:tc>
      </w:tr>
      <w:tr w:rsidR="007A54C3" w:rsidRPr="00D45268" w:rsidTr="00DF2AFA">
        <w:trPr>
          <w:trHeight w:val="441"/>
        </w:trPr>
        <w:tc>
          <w:tcPr>
            <w:tcW w:w="9352" w:type="dxa"/>
          </w:tcPr>
          <w:p w:rsidR="007A54C3" w:rsidRPr="00D45268" w:rsidRDefault="007A54C3" w:rsidP="00B84F20">
            <w:pPr>
              <w:pStyle w:val="TableParagraph"/>
              <w:widowControl/>
              <w:spacing w:line="249" w:lineRule="exact"/>
              <w:ind w:left="110"/>
            </w:pPr>
            <w:r w:rsidRPr="00D45268">
              <w:t>DA_4_11_23_24_27_02</w:t>
            </w:r>
          </w:p>
        </w:tc>
      </w:tr>
      <w:tr w:rsidR="007A54C3" w:rsidRPr="00D45268" w:rsidTr="00DF2AFA">
        <w:trPr>
          <w:trHeight w:val="251"/>
        </w:trPr>
        <w:tc>
          <w:tcPr>
            <w:tcW w:w="9352" w:type="dxa"/>
            <w:shd w:val="clear" w:color="auto" w:fill="68E089"/>
          </w:tcPr>
          <w:p w:rsidR="007A54C3" w:rsidRPr="00D45268" w:rsidRDefault="007A54C3" w:rsidP="00B84F20">
            <w:pPr>
              <w:pStyle w:val="TableParagraph"/>
              <w:widowControl/>
              <w:spacing w:line="232" w:lineRule="exact"/>
              <w:ind w:left="103" w:right="90"/>
              <w:jc w:val="center"/>
              <w:rPr>
                <w:b/>
              </w:rPr>
            </w:pPr>
            <w:r w:rsidRPr="00D45268">
              <w:rPr>
                <w:b/>
              </w:rPr>
              <w:t>1.2 Intitulé du projet</w:t>
            </w:r>
          </w:p>
        </w:tc>
      </w:tr>
      <w:tr w:rsidR="007A54C3" w:rsidRPr="00D45268" w:rsidTr="00DF2AFA">
        <w:trPr>
          <w:trHeight w:val="699"/>
        </w:trPr>
        <w:tc>
          <w:tcPr>
            <w:tcW w:w="9352" w:type="dxa"/>
          </w:tcPr>
          <w:p w:rsidR="007A54C3" w:rsidRPr="00D45268" w:rsidRDefault="007A54C3" w:rsidP="00B84F20">
            <w:pPr>
              <w:pStyle w:val="TableParagraph"/>
              <w:widowControl/>
              <w:ind w:left="110" w:right="188"/>
            </w:pPr>
            <w:r w:rsidRPr="00D45268">
              <w:t>Renforcement de l’utilisation de la propriété intellectuelle pour les applications mobiles dans le secteur des logiciels – Phase II</w:t>
            </w:r>
          </w:p>
        </w:tc>
      </w:tr>
      <w:tr w:rsidR="007A54C3" w:rsidRPr="00D45268" w:rsidTr="00DF2AFA">
        <w:trPr>
          <w:trHeight w:val="252"/>
        </w:trPr>
        <w:tc>
          <w:tcPr>
            <w:tcW w:w="9352" w:type="dxa"/>
            <w:shd w:val="clear" w:color="auto" w:fill="68E089"/>
          </w:tcPr>
          <w:p w:rsidR="007A54C3" w:rsidRPr="00D45268" w:rsidRDefault="007A54C3" w:rsidP="00B84F20">
            <w:pPr>
              <w:pStyle w:val="TableParagraph"/>
              <w:widowControl/>
              <w:spacing w:line="232" w:lineRule="exact"/>
              <w:ind w:left="103" w:right="88"/>
              <w:jc w:val="center"/>
              <w:rPr>
                <w:b/>
              </w:rPr>
            </w:pPr>
            <w:r w:rsidRPr="00D45268">
              <w:rPr>
                <w:b/>
                <w:bCs/>
              </w:rPr>
              <w:t xml:space="preserve">1.3 </w:t>
            </w:r>
            <w:hyperlink r:id="rId14" w:history="1">
              <w:r w:rsidRPr="00D45268">
                <w:rPr>
                  <w:rStyle w:val="Hyperlink"/>
                  <w:b/>
                </w:rPr>
                <w:t>Recommandations du Plan d’action pour le développement</w:t>
              </w:r>
            </w:hyperlink>
          </w:p>
        </w:tc>
      </w:tr>
      <w:tr w:rsidR="007A54C3" w:rsidRPr="00D45268" w:rsidTr="00DF2AFA">
        <w:trPr>
          <w:trHeight w:val="760"/>
        </w:trPr>
        <w:tc>
          <w:tcPr>
            <w:tcW w:w="9352" w:type="dxa"/>
          </w:tcPr>
          <w:p w:rsidR="007A54C3" w:rsidRPr="00D45268" w:rsidRDefault="007A54C3" w:rsidP="00B84F20">
            <w:pPr>
              <w:pStyle w:val="TableParagraph"/>
              <w:widowControl/>
              <w:ind w:left="110"/>
              <w:rPr>
                <w:i/>
              </w:rPr>
            </w:pPr>
            <w:r w:rsidRPr="00D45268">
              <w:rPr>
                <w:i/>
              </w:rPr>
              <w:t xml:space="preserve">Recommandation n° 4 : </w:t>
            </w:r>
            <w:r w:rsidRPr="00D45268">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p w:rsidR="007A54C3" w:rsidRPr="00D45268" w:rsidRDefault="007A54C3" w:rsidP="00B84F20">
            <w:pPr>
              <w:pStyle w:val="TableParagraph"/>
              <w:widowControl/>
              <w:ind w:left="110"/>
              <w:rPr>
                <w:i/>
              </w:rPr>
            </w:pPr>
          </w:p>
          <w:p w:rsidR="007A54C3" w:rsidRPr="00D45268" w:rsidRDefault="007A54C3" w:rsidP="00B84F20">
            <w:pPr>
              <w:pStyle w:val="TableParagraph"/>
              <w:widowControl/>
              <w:ind w:left="110"/>
            </w:pPr>
            <w:r w:rsidRPr="00D45268">
              <w:rPr>
                <w:i/>
              </w:rPr>
              <w:t xml:space="preserve">Recommandation n° 11 : </w:t>
            </w:r>
            <w:r w:rsidRPr="00D45268">
              <w:t>Aider les États membres à renforcer leur capacité nationale de protection des créations, innovations et inventions nationales et soutenir au besoin le développement des infrastructures scientifiques et technologiques nationales, conformément au mandat de l’OMPI.</w:t>
            </w:r>
          </w:p>
          <w:p w:rsidR="007A54C3" w:rsidRPr="00D45268" w:rsidRDefault="007A54C3" w:rsidP="00B84F20">
            <w:pPr>
              <w:pStyle w:val="TableParagraph"/>
              <w:widowControl/>
              <w:ind w:left="110"/>
              <w:rPr>
                <w:i/>
              </w:rPr>
            </w:pPr>
          </w:p>
          <w:p w:rsidR="007A54C3" w:rsidRPr="00D45268" w:rsidRDefault="007A54C3" w:rsidP="00B84F20">
            <w:pPr>
              <w:pStyle w:val="TableParagraph"/>
              <w:widowControl/>
              <w:ind w:left="110"/>
            </w:pPr>
            <w:r w:rsidRPr="00D45268">
              <w:rPr>
                <w:i/>
              </w:rPr>
              <w:t xml:space="preserve">Recommandation n° 23 : </w:t>
            </w:r>
            <w:r w:rsidRPr="00D45268">
              <w:t>Examiner les moyens de mieux promouvoir des pratiques en matière de concession de licences de propriété intellectuelle stimulant la concurrence, en vue notamment de favoriser la créativité, l’innovation et le transfert et la diffusion de la technologie en faveur des pays intéressés, en particulier les pays en développement et les PMA.</w:t>
            </w:r>
          </w:p>
          <w:p w:rsidR="007A54C3" w:rsidRPr="00D45268" w:rsidRDefault="007A54C3" w:rsidP="00B84F20">
            <w:pPr>
              <w:pStyle w:val="TableParagraph"/>
              <w:widowControl/>
              <w:ind w:left="110"/>
              <w:rPr>
                <w:i/>
              </w:rPr>
            </w:pPr>
          </w:p>
          <w:p w:rsidR="007A54C3" w:rsidRPr="00D45268" w:rsidRDefault="007A54C3" w:rsidP="00B84F20">
            <w:pPr>
              <w:pStyle w:val="TableParagraph"/>
              <w:widowControl/>
              <w:ind w:left="110"/>
            </w:pPr>
            <w:r w:rsidRPr="00D45268">
              <w:rPr>
                <w:i/>
              </w:rPr>
              <w:t xml:space="preserve">Recommandation n° 24 : </w:t>
            </w:r>
            <w:r w:rsidRPr="00D45268">
              <w:t>Demander à l’OMPI, dans le cadre de son mandat, d’étendre la portée de ses activités visant à réduire la fracture numérique, conformément aux conclusions du Sommet mondial sur la société de l’information (SMSI), en prenant aussi en considération l’importance du Fonds de solidarité numérique.</w:t>
            </w:r>
          </w:p>
          <w:p w:rsidR="007A54C3" w:rsidRPr="00D45268" w:rsidRDefault="007A54C3" w:rsidP="00B84F20">
            <w:pPr>
              <w:pStyle w:val="TableParagraph"/>
              <w:widowControl/>
              <w:ind w:left="110"/>
              <w:rPr>
                <w:i/>
              </w:rPr>
            </w:pPr>
          </w:p>
          <w:p w:rsidR="007A54C3" w:rsidRPr="00D45268" w:rsidRDefault="007A54C3" w:rsidP="00B84F20">
            <w:pPr>
              <w:pStyle w:val="TableParagraph"/>
              <w:widowControl/>
              <w:ind w:left="110"/>
            </w:pPr>
            <w:r w:rsidRPr="00D45268">
              <w:rPr>
                <w:i/>
              </w:rPr>
              <w:t xml:space="preserve">Recommandation n° 27 : </w:t>
            </w:r>
            <w:r w:rsidRPr="00D45268">
              <w:t>Promouvoir les aspects des TIC liés à la propriété intellectuelle en faveur de la croissance et du développement : permettre, dans le cadre d’un organe compétent de l’OMPI, des discussions axées sur l’importance des aspects des TIC liés à la propriété intellectuelle et de leur rôle dans le développement économique et culturel, une attention particulière devant être accordée à la nécessité d’aider les États membres à déterminer des stratégies de propriété intellectuelle concrètes en ce qui concerne l’utilisation des TIC au service du développement économique, social et culturel.</w:t>
            </w:r>
          </w:p>
        </w:tc>
      </w:tr>
      <w:tr w:rsidR="007A54C3" w:rsidRPr="00D45268" w:rsidTr="00DF2AFA">
        <w:trPr>
          <w:trHeight w:val="251"/>
        </w:trPr>
        <w:tc>
          <w:tcPr>
            <w:tcW w:w="9352" w:type="dxa"/>
            <w:shd w:val="clear" w:color="auto" w:fill="68E089"/>
          </w:tcPr>
          <w:p w:rsidR="007A54C3" w:rsidRPr="00D45268" w:rsidRDefault="007A54C3" w:rsidP="00B84F20">
            <w:pPr>
              <w:pStyle w:val="TableParagraph"/>
              <w:widowControl/>
              <w:spacing w:line="232" w:lineRule="exact"/>
              <w:ind w:left="103" w:right="88"/>
              <w:jc w:val="center"/>
              <w:rPr>
                <w:b/>
              </w:rPr>
            </w:pPr>
            <w:r w:rsidRPr="00D45268">
              <w:rPr>
                <w:b/>
              </w:rPr>
              <w:t>1.4 Durée du projet</w:t>
            </w:r>
          </w:p>
        </w:tc>
      </w:tr>
      <w:tr w:rsidR="007A54C3" w:rsidRPr="00D45268" w:rsidTr="00DF2AFA">
        <w:trPr>
          <w:trHeight w:val="251"/>
        </w:trPr>
        <w:tc>
          <w:tcPr>
            <w:tcW w:w="9352" w:type="dxa"/>
            <w:shd w:val="clear" w:color="auto" w:fill="auto"/>
          </w:tcPr>
          <w:p w:rsidR="007A54C3" w:rsidRPr="00D45268" w:rsidRDefault="007A54C3" w:rsidP="00B84F20">
            <w:pPr>
              <w:pStyle w:val="TableParagraph"/>
              <w:widowControl/>
              <w:spacing w:line="232" w:lineRule="exact"/>
              <w:ind w:left="103" w:right="90"/>
            </w:pPr>
            <w:r w:rsidRPr="00D45268">
              <w:t>15 mois</w:t>
            </w:r>
          </w:p>
          <w:p w:rsidR="007A54C3" w:rsidRPr="00D45268" w:rsidRDefault="007A54C3" w:rsidP="00B84F20">
            <w:pPr>
              <w:pStyle w:val="TableParagraph"/>
              <w:widowControl/>
              <w:spacing w:line="232" w:lineRule="exact"/>
              <w:ind w:left="103" w:right="90"/>
              <w:rPr>
                <w:b/>
              </w:rPr>
            </w:pPr>
          </w:p>
        </w:tc>
      </w:tr>
      <w:tr w:rsidR="007A54C3" w:rsidRPr="00D45268" w:rsidTr="00DF2AFA">
        <w:trPr>
          <w:trHeight w:val="251"/>
        </w:trPr>
        <w:tc>
          <w:tcPr>
            <w:tcW w:w="9352" w:type="dxa"/>
            <w:shd w:val="clear" w:color="auto" w:fill="68E089"/>
          </w:tcPr>
          <w:p w:rsidR="007A54C3" w:rsidRPr="00D45268" w:rsidRDefault="007A54C3" w:rsidP="00B84F20">
            <w:pPr>
              <w:pStyle w:val="TableParagraph"/>
              <w:widowControl/>
              <w:spacing w:line="232" w:lineRule="exact"/>
              <w:ind w:left="103" w:right="90"/>
              <w:jc w:val="center"/>
              <w:rPr>
                <w:b/>
              </w:rPr>
            </w:pPr>
            <w:r w:rsidRPr="00D45268">
              <w:rPr>
                <w:b/>
              </w:rPr>
              <w:t xml:space="preserve">1.5 Budget du projet </w:t>
            </w:r>
          </w:p>
        </w:tc>
      </w:tr>
      <w:tr w:rsidR="007A54C3" w:rsidRPr="00D45268" w:rsidTr="00DF2AFA">
        <w:trPr>
          <w:trHeight w:val="251"/>
        </w:trPr>
        <w:tc>
          <w:tcPr>
            <w:tcW w:w="9352" w:type="dxa"/>
            <w:shd w:val="clear" w:color="auto" w:fill="auto"/>
          </w:tcPr>
          <w:p w:rsidR="007A54C3" w:rsidRPr="00D45268" w:rsidRDefault="007A54C3" w:rsidP="00B84F20">
            <w:pPr>
              <w:pStyle w:val="TableParagraph"/>
              <w:widowControl/>
              <w:spacing w:line="232" w:lineRule="exact"/>
              <w:ind w:left="103" w:right="90"/>
              <w:rPr>
                <w:bCs/>
              </w:rPr>
            </w:pPr>
            <w:r w:rsidRPr="00D45268">
              <w:t>Total des dépenses autres que les dépenses de personnel : 150 000 francs suisses</w:t>
            </w:r>
          </w:p>
          <w:p w:rsidR="007A54C3" w:rsidRPr="00D45268" w:rsidRDefault="007A54C3" w:rsidP="00B84F20">
            <w:pPr>
              <w:pStyle w:val="TableParagraph"/>
              <w:widowControl/>
              <w:spacing w:line="232" w:lineRule="exact"/>
              <w:ind w:left="103" w:right="90"/>
              <w:rPr>
                <w:bCs/>
              </w:rPr>
            </w:pPr>
          </w:p>
        </w:tc>
      </w:tr>
      <w:tr w:rsidR="007A54C3" w:rsidRPr="00D45268" w:rsidTr="00DF2AFA">
        <w:trPr>
          <w:trHeight w:val="251"/>
        </w:trPr>
        <w:tc>
          <w:tcPr>
            <w:tcW w:w="9352" w:type="dxa"/>
            <w:shd w:val="clear" w:color="auto" w:fill="68E089"/>
          </w:tcPr>
          <w:p w:rsidR="007A54C3" w:rsidRPr="00D45268" w:rsidRDefault="00B84F20" w:rsidP="00B84F20">
            <w:pPr>
              <w:pStyle w:val="TableParagraph"/>
              <w:widowControl/>
              <w:spacing w:line="232" w:lineRule="exact"/>
              <w:ind w:left="103" w:right="90"/>
              <w:jc w:val="center"/>
              <w:rPr>
                <w:b/>
              </w:rPr>
            </w:pPr>
            <w:r>
              <w:rPr>
                <w:b/>
              </w:rPr>
              <w:t>2.</w:t>
            </w:r>
            <w:r>
              <w:rPr>
                <w:b/>
              </w:rPr>
              <w:tab/>
            </w:r>
            <w:r w:rsidR="007A54C3" w:rsidRPr="00D45268">
              <w:rPr>
                <w:b/>
              </w:rPr>
              <w:t>Description du projet</w:t>
            </w:r>
          </w:p>
        </w:tc>
      </w:tr>
      <w:tr w:rsidR="007A54C3" w:rsidRPr="00D45268" w:rsidTr="00DF2AFA">
        <w:trPr>
          <w:trHeight w:val="1172"/>
        </w:trPr>
        <w:tc>
          <w:tcPr>
            <w:tcW w:w="9352" w:type="dxa"/>
          </w:tcPr>
          <w:p w:rsidR="007A54C3" w:rsidRPr="00D45268" w:rsidRDefault="007A54C3" w:rsidP="00B84F20">
            <w:pPr>
              <w:pStyle w:val="TableParagraph"/>
              <w:widowControl/>
              <w:ind w:left="110" w:right="493"/>
            </w:pPr>
            <w:r w:rsidRPr="00D45268">
              <w:t>Le projet relatif au renforcement de</w:t>
            </w:r>
            <w:r w:rsidR="00931279">
              <w:t xml:space="preserve"> l’</w:t>
            </w:r>
            <w:hyperlink r:id="rId15" w:history="1">
              <w:r w:rsidR="00931279">
                <w:rPr>
                  <w:rStyle w:val="Hyperlink"/>
                </w:rPr>
                <w:t>utilisation de la propriété intellectuelle pour les applications mobiles dans le secteur des logiciels</w:t>
              </w:r>
            </w:hyperlink>
            <w:r w:rsidRPr="00D45268">
              <w:t xml:space="preserve"> a été proposé par le Kenya et approuvé par le CDIP à sa vingt</w:t>
            </w:r>
            <w:r w:rsidR="00931279">
              <w:noBreakHyphen/>
            </w:r>
            <w:r w:rsidRPr="00D45268">
              <w:t>deuxième session, en 2018.</w:t>
            </w:r>
          </w:p>
          <w:p w:rsidR="007A54C3" w:rsidRPr="00D45268" w:rsidRDefault="007A54C3" w:rsidP="00B84F20">
            <w:pPr>
              <w:pStyle w:val="TableParagraph"/>
              <w:widowControl/>
              <w:ind w:left="110" w:right="493"/>
            </w:pPr>
          </w:p>
          <w:p w:rsidR="007A54C3" w:rsidRPr="00D45268" w:rsidRDefault="007A54C3" w:rsidP="00B84F20">
            <w:pPr>
              <w:pStyle w:val="TableParagraph"/>
              <w:widowControl/>
              <w:ind w:left="110" w:right="493"/>
            </w:pPr>
            <w:r w:rsidRPr="00D45268">
              <w:t>L’objectif général de ce projet était de contribuer au développement économique des pays bénéficiaires par le renforcement de l’utilisation de la propriété intellectuelle dans le secteur des logiciels, notamment par la fourniture d’instruments susceptibles d’être également utilisés dans d’autres pays.</w:t>
            </w:r>
          </w:p>
          <w:p w:rsidR="007A54C3" w:rsidRPr="00D45268" w:rsidRDefault="007A54C3" w:rsidP="00B84F20">
            <w:pPr>
              <w:pStyle w:val="TableParagraph"/>
              <w:widowControl/>
              <w:ind w:left="110" w:right="493"/>
            </w:pPr>
          </w:p>
          <w:p w:rsidR="007A54C3" w:rsidRPr="00D45268" w:rsidRDefault="007A54C3" w:rsidP="00B84F20">
            <w:pPr>
              <w:pStyle w:val="TableParagraph"/>
              <w:widowControl/>
              <w:ind w:left="110" w:right="493"/>
            </w:pPr>
            <w:r w:rsidRPr="00D45268">
              <w:t>Plus précisément, le projet vise à :</w:t>
            </w:r>
          </w:p>
          <w:p w:rsidR="007A54C3" w:rsidRPr="00D45268" w:rsidRDefault="007A54C3" w:rsidP="00B84F20">
            <w:pPr>
              <w:pStyle w:val="TableParagraph"/>
              <w:widowControl/>
              <w:ind w:left="110" w:right="493"/>
            </w:pPr>
          </w:p>
          <w:p w:rsidR="007A54C3" w:rsidRPr="00D45268" w:rsidRDefault="007A54C3" w:rsidP="00B84F20">
            <w:pPr>
              <w:pStyle w:val="TableParagraph"/>
              <w:widowControl/>
              <w:ind w:left="567" w:right="493"/>
            </w:pPr>
            <w:r w:rsidRPr="00D45268">
              <w:t xml:space="preserve">i) contribuer au renforcement de l’utilisation de la propriété intellectuelle à l’appui des applications mobiles en assurant la formation des chercheurs, concepteurs et chefs d’entreprise en ce qui concerne l’éventail des instruments de propriété intellectuelle </w:t>
            </w:r>
            <w:r w:rsidRPr="00D45268">
              <w:lastRenderedPageBreak/>
              <w:t>à leur disposition et la manière de les utiliser pour favoriser l’aboutissement de leurs efforts dans ce domaine;</w:t>
            </w:r>
          </w:p>
          <w:p w:rsidR="007A54C3" w:rsidRPr="00D45268" w:rsidRDefault="007A54C3" w:rsidP="00B84F20">
            <w:pPr>
              <w:pStyle w:val="TableParagraph"/>
              <w:widowControl/>
              <w:ind w:left="567" w:right="493"/>
            </w:pPr>
          </w:p>
          <w:p w:rsidR="007A54C3" w:rsidRPr="00D45268" w:rsidRDefault="007A54C3" w:rsidP="00B84F20">
            <w:pPr>
              <w:pStyle w:val="TableParagraph"/>
              <w:widowControl/>
              <w:ind w:left="567" w:right="493"/>
            </w:pPr>
            <w:r w:rsidRPr="00D45268">
              <w:t>ii) sensibiliser les chefs d’entreprise, les institutions financières, les fournisseurs de capital</w:t>
            </w:r>
            <w:r w:rsidR="00931279">
              <w:noBreakHyphen/>
            </w:r>
            <w:r w:rsidRPr="00D45268">
              <w:t xml:space="preserve">risque et les autres investisseurs à l’utilisation de la propriété intellectuelle comme atout et instrument de collaboration en favorisant l’échange de connaissances et de données </w:t>
            </w:r>
            <w:proofErr w:type="gramStart"/>
            <w:r w:rsidRPr="00D45268">
              <w:t>d’expériences;  et</w:t>
            </w:r>
            <w:proofErr w:type="gramEnd"/>
          </w:p>
          <w:p w:rsidR="007A54C3" w:rsidRPr="00D45268" w:rsidRDefault="007A54C3" w:rsidP="00B84F20">
            <w:pPr>
              <w:pStyle w:val="TableParagraph"/>
              <w:widowControl/>
              <w:ind w:left="567" w:right="493"/>
            </w:pPr>
          </w:p>
          <w:p w:rsidR="007A54C3" w:rsidRPr="00D45268" w:rsidRDefault="007A54C3" w:rsidP="00B84F20">
            <w:pPr>
              <w:pStyle w:val="TableParagraph"/>
              <w:widowControl/>
              <w:ind w:left="567" w:right="493"/>
            </w:pPr>
            <w:r>
              <w:t>i</w:t>
            </w:r>
            <w:r w:rsidRPr="00D45268">
              <w:t>ii) favoriser le respect de la propriété intellectuelle dans le secteur des logiciels en sensibilisant les chercheurs, les concepteurs et les chefs d’entreprise aux instruments et mécanismes permettant d’assurer une protection efficace des droits de propriété intellectuelle relatifs aux applications mobiles, notamment la médiation et l’arbitrage.</w:t>
            </w:r>
          </w:p>
          <w:p w:rsidR="007A54C3" w:rsidRPr="00D45268" w:rsidRDefault="007A54C3" w:rsidP="00B84F20">
            <w:pPr>
              <w:pStyle w:val="TableParagraph"/>
              <w:widowControl/>
              <w:ind w:left="110" w:right="493"/>
            </w:pPr>
          </w:p>
          <w:p w:rsidR="007A54C3" w:rsidRPr="00D45268" w:rsidRDefault="007A54C3" w:rsidP="00B84F20">
            <w:pPr>
              <w:pStyle w:val="TableParagraph"/>
              <w:widowControl/>
              <w:ind w:left="110" w:right="493"/>
            </w:pPr>
            <w:r w:rsidRPr="00D45268">
              <w:t>La première phase du projet a été mise en œuvre au Kenya, aux Philippines et à la Trinité</w:t>
            </w:r>
            <w:r w:rsidR="00931279">
              <w:noBreakHyphen/>
            </w:r>
            <w:r w:rsidRPr="00D45268">
              <w:t>et</w:t>
            </w:r>
            <w:r w:rsidR="00931279">
              <w:noBreakHyphen/>
            </w:r>
            <w:r w:rsidRPr="00D45268">
              <w:t>Tobago.  La mise en œuvre a eu lieu entre janvier 2019 et décembre 2021.</w:t>
            </w:r>
          </w:p>
          <w:p w:rsidR="007A54C3" w:rsidRPr="00D45268" w:rsidRDefault="007A54C3" w:rsidP="00B84F20">
            <w:pPr>
              <w:pStyle w:val="TableParagraph"/>
              <w:widowControl/>
              <w:ind w:left="110" w:right="493"/>
            </w:pPr>
          </w:p>
          <w:p w:rsidR="007A54C3" w:rsidRPr="00D45268" w:rsidRDefault="007A54C3" w:rsidP="00B84F20">
            <w:pPr>
              <w:pStyle w:val="TableParagraph"/>
              <w:widowControl/>
              <w:ind w:left="110"/>
            </w:pPr>
            <w:r w:rsidRPr="00D45268">
              <w:t>Dans le cadre du débat sur le rapport d’achèvement du projet (document CDIP/28/7) et sur le rapport d’évaluation (document CDIP/28/6), mené au cours de la vingt</w:t>
            </w:r>
            <w:r w:rsidR="00931279">
              <w:noBreakHyphen/>
            </w:r>
            <w:r w:rsidRPr="00D45268">
              <w:t>huitième session du CDIP, il a été souligné que le projet s’était concentré sur les applications mobiles sans se fixer sur un secteur en particulier.  Les applications mobiles sont néanmoins encore plus pertinentes dans certains contextes précis, lorsqu’elles apportent une valeur ajoutée et renforcent l’utilisation de la propriété intellectuelle ainsi que les performances du marché dans certains secteurs.  Ainsi qu’il est indiqué dans la recommandation faisant l’objet du paragraphe 47.b) du Rapport d’évaluation,</w:t>
            </w:r>
            <w:r>
              <w:t xml:space="preserve"> </w:t>
            </w:r>
            <w:r w:rsidRPr="00D45268">
              <w:t>une analyse verticale constitue un complément essentiel de l’analyse horizontale effectuée dans la première phase du projet, et contribuerait à la durabilité des résultats initiaux du projet.</w:t>
            </w:r>
          </w:p>
          <w:p w:rsidR="007A54C3" w:rsidRPr="00D45268" w:rsidRDefault="007A54C3" w:rsidP="00B84F20">
            <w:pPr>
              <w:pStyle w:val="TableParagraph"/>
              <w:widowControl/>
              <w:ind w:left="110"/>
            </w:pPr>
          </w:p>
          <w:p w:rsidR="007A54C3" w:rsidRPr="00D45268" w:rsidRDefault="007A54C3" w:rsidP="00B84F20">
            <w:pPr>
              <w:pStyle w:val="TableParagraph"/>
              <w:widowControl/>
              <w:ind w:left="110"/>
            </w:pPr>
            <w:r w:rsidRPr="00D45268">
              <w:t>Compte tenu de l’appréciation positive des rapports susmentionnés, le comité a décidé d’intégrer les résultats du projet dans les activités de l’OMPI et a demandé “à recevoir un document de suivi sur les activités supplémentaires à entreprendre par le Secrétariat dans ce domaine”</w:t>
            </w:r>
            <w:r w:rsidRPr="00D45268">
              <w:rPr>
                <w:rStyle w:val="FootnoteReference"/>
              </w:rPr>
              <w:footnoteReference w:id="2"/>
            </w:r>
            <w:r w:rsidRPr="00D45268">
              <w:t>.</w:t>
            </w:r>
          </w:p>
          <w:p w:rsidR="007A54C3" w:rsidRPr="00D45268" w:rsidRDefault="007A54C3" w:rsidP="00B84F20">
            <w:pPr>
              <w:pStyle w:val="TableParagraph"/>
              <w:widowControl/>
              <w:ind w:left="110"/>
            </w:pPr>
          </w:p>
          <w:p w:rsidR="007A54C3" w:rsidRPr="00D45268" w:rsidRDefault="007A54C3" w:rsidP="00B84F20">
            <w:pPr>
              <w:pStyle w:val="TableParagraph"/>
              <w:widowControl/>
              <w:ind w:left="110" w:right="493"/>
            </w:pPr>
            <w:r w:rsidRPr="00D45268">
              <w:t>En conséquence, la deuxième phase du projet sera axée sur la durabilité des résultats du projet, l’idée étant de les intégrer dans un programme de formation complet offrant des possibilités d’apprentissage autonome, de formation et de référence.</w:t>
            </w:r>
          </w:p>
          <w:p w:rsidR="007A54C3" w:rsidRPr="00D45268" w:rsidRDefault="007A54C3" w:rsidP="00B84F20">
            <w:pPr>
              <w:pStyle w:val="TableParagraph"/>
              <w:widowControl/>
              <w:ind w:left="110"/>
            </w:pPr>
          </w:p>
          <w:p w:rsidR="007A54C3" w:rsidRPr="00D45268" w:rsidRDefault="007A54C3" w:rsidP="00B84F20">
            <w:pPr>
              <w:pStyle w:val="TableParagraph"/>
              <w:widowControl/>
              <w:ind w:left="110"/>
            </w:pPr>
            <w:r w:rsidRPr="00D45268">
              <w:t>En outre, en consultation avec les pays bénéficiaires (Kenya, Philippines et Trinité</w:t>
            </w:r>
            <w:r w:rsidR="00931279">
              <w:noBreakHyphen/>
            </w:r>
            <w:r w:rsidRPr="00D45268">
              <w:t>et</w:t>
            </w:r>
            <w:r w:rsidR="00931279">
              <w:noBreakHyphen/>
            </w:r>
            <w:r w:rsidRPr="00D45268">
              <w:t>Tobago), il a été décidé d’axer la deuxième phase du projet sur le renforcement de l’utilisation de la propriété intellectuelle en faveur des applications mobiles dans les quatre secteurs suivants : musique, édition, jeux vidéo et contenus audiovisuels.</w:t>
            </w:r>
          </w:p>
          <w:p w:rsidR="007A54C3" w:rsidRPr="00D45268" w:rsidRDefault="007A54C3" w:rsidP="00B84F20">
            <w:pPr>
              <w:pStyle w:val="TableParagraph"/>
              <w:widowControl/>
              <w:ind w:right="493"/>
            </w:pPr>
          </w:p>
        </w:tc>
      </w:tr>
      <w:tr w:rsidR="007A54C3" w:rsidRPr="00D45268" w:rsidTr="00DF2AFA">
        <w:trPr>
          <w:trHeight w:val="280"/>
        </w:trPr>
        <w:tc>
          <w:tcPr>
            <w:tcW w:w="9352" w:type="dxa"/>
            <w:shd w:val="clear" w:color="auto" w:fill="68E089"/>
          </w:tcPr>
          <w:p w:rsidR="007A54C3" w:rsidRPr="00D45268" w:rsidDel="00821A8E" w:rsidRDefault="007A54C3" w:rsidP="00B84F20">
            <w:pPr>
              <w:pStyle w:val="TableParagraph"/>
              <w:widowControl/>
              <w:ind w:left="110"/>
              <w:jc w:val="center"/>
              <w:rPr>
                <w:b/>
                <w:bCs/>
              </w:rPr>
            </w:pPr>
            <w:r w:rsidRPr="00D45268">
              <w:rPr>
                <w:b/>
              </w:rPr>
              <w:lastRenderedPageBreak/>
              <w:t>2.1.</w:t>
            </w:r>
            <w:r w:rsidR="00931279">
              <w:rPr>
                <w:b/>
              </w:rPr>
              <w:t> </w:t>
            </w:r>
            <w:r w:rsidRPr="00D45268">
              <w:rPr>
                <w:b/>
              </w:rPr>
              <w:t>Objectifs, résultats et réalisations du projet</w:t>
            </w:r>
          </w:p>
        </w:tc>
      </w:tr>
      <w:tr w:rsidR="007A54C3" w:rsidRPr="00D45268" w:rsidTr="00DF2AFA">
        <w:trPr>
          <w:trHeight w:val="280"/>
        </w:trPr>
        <w:tc>
          <w:tcPr>
            <w:tcW w:w="9352" w:type="dxa"/>
            <w:shd w:val="clear" w:color="auto" w:fill="auto"/>
          </w:tcPr>
          <w:p w:rsidR="007A54C3" w:rsidRPr="00D45268" w:rsidRDefault="007A54C3" w:rsidP="00B84F20">
            <w:pPr>
              <w:pStyle w:val="TableParagraph"/>
              <w:widowControl/>
              <w:ind w:left="110"/>
            </w:pPr>
            <w:r w:rsidRPr="00D45268">
              <w:t>L’</w:t>
            </w:r>
            <w:r w:rsidRPr="00D45268">
              <w:rPr>
                <w:b/>
                <w:bCs/>
              </w:rPr>
              <w:t>objectif</w:t>
            </w:r>
            <w:r w:rsidRPr="00D45268">
              <w:t xml:space="preserve"> général de la phase II proposée est de faire fond sur les outils et les capacités mis au point durant la première phase du projet et d’assurer une plus grande durabilité des résultats.</w:t>
            </w:r>
          </w:p>
          <w:p w:rsidR="007A54C3" w:rsidRPr="00D45268" w:rsidRDefault="007A54C3" w:rsidP="00B84F20">
            <w:pPr>
              <w:pStyle w:val="TableParagraph"/>
              <w:widowControl/>
            </w:pPr>
          </w:p>
          <w:p w:rsidR="007A54C3" w:rsidRPr="00D45268" w:rsidRDefault="007A54C3" w:rsidP="00B84F20">
            <w:pPr>
              <w:pStyle w:val="TableParagraph"/>
              <w:widowControl/>
              <w:ind w:left="110"/>
            </w:pPr>
            <w:r w:rsidRPr="00D45268">
              <w:t xml:space="preserve">Compte tenu de ce qui précède, le </w:t>
            </w:r>
            <w:r w:rsidRPr="00D45268">
              <w:rPr>
                <w:b/>
                <w:bCs/>
              </w:rPr>
              <w:t>résultat</w:t>
            </w:r>
            <w:r w:rsidRPr="00D45268">
              <w:t xml:space="preserve"> escompté consiste à faire mieux comprendre la pertinence de la propriété intellectuelle et à renforcer son utilisation en faveur des applications mobiles dans les secteurs de la musique, de l’édition, des jeux vidéo et des contenus audiovisuels.</w:t>
            </w:r>
          </w:p>
          <w:p w:rsidR="007A54C3" w:rsidRPr="00D45268" w:rsidRDefault="007A54C3" w:rsidP="00B84F20">
            <w:pPr>
              <w:pStyle w:val="TableParagraph"/>
              <w:widowControl/>
              <w:ind w:left="110"/>
            </w:pPr>
          </w:p>
          <w:p w:rsidR="007A54C3" w:rsidRPr="00D45268" w:rsidRDefault="007A54C3" w:rsidP="00B84F20">
            <w:pPr>
              <w:pStyle w:val="TableParagraph"/>
              <w:keepNext/>
              <w:widowControl/>
              <w:ind w:left="110"/>
            </w:pPr>
            <w:r w:rsidRPr="00D45268">
              <w:lastRenderedPageBreak/>
              <w:t xml:space="preserve">Les objectifs seront </w:t>
            </w:r>
            <w:r w:rsidRPr="00D45268">
              <w:rPr>
                <w:b/>
                <w:bCs/>
              </w:rPr>
              <w:t>réalisés</w:t>
            </w:r>
            <w:r w:rsidRPr="00D45268">
              <w:t xml:space="preserve"> au moyen des activités suivantes :</w:t>
            </w:r>
          </w:p>
          <w:p w:rsidR="007A54C3" w:rsidRPr="00D45268" w:rsidRDefault="00B84F20" w:rsidP="00B84F20">
            <w:pPr>
              <w:pStyle w:val="TableParagraph"/>
              <w:widowControl/>
              <w:numPr>
                <w:ilvl w:val="0"/>
                <w:numId w:val="7"/>
              </w:numPr>
              <w:ind w:left="1126" w:hanging="567"/>
            </w:pPr>
            <w:proofErr w:type="gramStart"/>
            <w:r>
              <w:t>i</w:t>
            </w:r>
            <w:r w:rsidR="007A54C3" w:rsidRPr="00D45268">
              <w:t>nstruments</w:t>
            </w:r>
            <w:proofErr w:type="gramEnd"/>
            <w:r w:rsidR="007A54C3" w:rsidRPr="00D45268">
              <w:t xml:space="preserve"> de formation relatifs à la propriété intellectuelle pour les applications mobiles;</w:t>
            </w:r>
          </w:p>
          <w:p w:rsidR="007A54C3" w:rsidRPr="00D45268" w:rsidRDefault="007A54C3" w:rsidP="00B84F20">
            <w:pPr>
              <w:pStyle w:val="TableParagraph"/>
              <w:widowControl/>
              <w:numPr>
                <w:ilvl w:val="0"/>
                <w:numId w:val="7"/>
              </w:numPr>
              <w:ind w:left="1126" w:hanging="567"/>
            </w:pPr>
            <w:proofErr w:type="gramStart"/>
            <w:r w:rsidRPr="00D45268">
              <w:t>outils</w:t>
            </w:r>
            <w:proofErr w:type="gramEnd"/>
            <w:r w:rsidRPr="00D45268">
              <w:t xml:space="preserve"> sur la propriété intellectuelle pour les applications mobiles dans les secteurs de la musique, de l’édition, des jeux vidéo et des contenus audiovisuels;</w:t>
            </w:r>
          </w:p>
          <w:p w:rsidR="007A54C3" w:rsidRPr="00D45268" w:rsidRDefault="007A54C3" w:rsidP="00B84F20">
            <w:pPr>
              <w:pStyle w:val="TableParagraph"/>
              <w:widowControl/>
              <w:numPr>
                <w:ilvl w:val="0"/>
                <w:numId w:val="7"/>
              </w:numPr>
              <w:ind w:left="1126" w:hanging="567"/>
            </w:pPr>
            <w:proofErr w:type="gramStart"/>
            <w:r w:rsidRPr="00D45268">
              <w:t>organisation</w:t>
            </w:r>
            <w:proofErr w:type="gramEnd"/>
            <w:r w:rsidRPr="00D45268">
              <w:t xml:space="preserve"> d’événements afin de présenter les supports produits aux parties prenantes concernées dans chaque pays bénéficiaire et de recueill</w:t>
            </w:r>
            <w:r w:rsidR="00931279">
              <w:t>ir leurs commentaires.</w:t>
            </w:r>
          </w:p>
          <w:p w:rsidR="007A54C3" w:rsidRPr="00D45268" w:rsidDel="00821A8E" w:rsidRDefault="007A54C3" w:rsidP="00B84F20">
            <w:pPr>
              <w:pStyle w:val="TableParagraph"/>
              <w:widowControl/>
              <w:ind w:left="720"/>
            </w:pPr>
          </w:p>
        </w:tc>
      </w:tr>
      <w:tr w:rsidR="007A54C3" w:rsidRPr="00D45268" w:rsidTr="00DF2AFA">
        <w:trPr>
          <w:trHeight w:val="280"/>
        </w:trPr>
        <w:tc>
          <w:tcPr>
            <w:tcW w:w="9352" w:type="dxa"/>
            <w:shd w:val="clear" w:color="auto" w:fill="68E089"/>
          </w:tcPr>
          <w:p w:rsidR="007A54C3" w:rsidRPr="00D45268" w:rsidRDefault="007A54C3" w:rsidP="00B84F20">
            <w:pPr>
              <w:pStyle w:val="TableParagraph"/>
              <w:widowControl/>
              <w:ind w:left="110"/>
              <w:jc w:val="center"/>
              <w:rPr>
                <w:b/>
                <w:bCs/>
              </w:rPr>
            </w:pPr>
            <w:r w:rsidRPr="00D45268">
              <w:rPr>
                <w:b/>
              </w:rPr>
              <w:lastRenderedPageBreak/>
              <w:t xml:space="preserve">2.2 Stratégie de mise en œuvre du projet </w:t>
            </w:r>
          </w:p>
        </w:tc>
      </w:tr>
      <w:tr w:rsidR="007A54C3" w:rsidRPr="00D45268" w:rsidTr="00DF2AFA">
        <w:trPr>
          <w:trHeight w:val="463"/>
        </w:trPr>
        <w:tc>
          <w:tcPr>
            <w:tcW w:w="9352" w:type="dxa"/>
            <w:shd w:val="clear" w:color="auto" w:fill="auto"/>
          </w:tcPr>
          <w:p w:rsidR="007A54C3" w:rsidRPr="00D45268" w:rsidRDefault="007A54C3" w:rsidP="00B84F20">
            <w:pPr>
              <w:pStyle w:val="TableParagraph"/>
              <w:widowControl/>
              <w:ind w:left="110"/>
            </w:pPr>
            <w:r w:rsidRPr="00D45268">
              <w:t>Les supports de formation à la propriété intellectuelle seront mis au point au moyen des outils conçus pendant la première phase du projet.  Ils seront mis à la disposition des pays bénéficiaires (et de tous les États membres) en vue d’une utilisation, selon que de besoin, dans leurs activités futures.  Le matériel de formation sera disponible uniquement ligne et, dans le cadre de l’intégration du projet, sera régulièrement mis à jour afin que les informations soient toujours d’actualité.  Il sera également transmis à l’Académie de l’OMPI pour une éventuelle utilisation dans ses diverses activités de renforcement des capacités.</w:t>
            </w:r>
          </w:p>
          <w:p w:rsidR="007A54C3" w:rsidRPr="00931279" w:rsidRDefault="007A54C3" w:rsidP="00B84F20">
            <w:pPr>
              <w:pStyle w:val="TableParagraph"/>
              <w:widowControl/>
              <w:ind w:left="110"/>
              <w:rPr>
                <w:sz w:val="20"/>
              </w:rPr>
            </w:pPr>
          </w:p>
          <w:p w:rsidR="007A54C3" w:rsidRPr="00D45268" w:rsidRDefault="007A54C3" w:rsidP="00B84F20">
            <w:pPr>
              <w:pStyle w:val="TableParagraph"/>
              <w:widowControl/>
              <w:ind w:left="110"/>
            </w:pPr>
            <w:r w:rsidRPr="00D45268">
              <w:t>Les instruments relatifs à la propriété intellectuelle pour les applications mobiles dans les secteurs sélectionnés compléteront les contenus élaborés au cours de la première phase et constitueront un matériel spécialement destiné aux parties prenantes des secteurs de la musique, de l’édition, des jeux vidéo et des contenus audiovisuels souhaitant accroître leurs recettes en tirant parti de la propriété intellectuelle.  Ils pourraient permettre de rassembler les meilleures pratiques et servir de référence aux chefs d’entreprise.</w:t>
            </w:r>
          </w:p>
          <w:p w:rsidR="007A54C3" w:rsidRPr="00931279" w:rsidRDefault="007A54C3" w:rsidP="00B84F20">
            <w:pPr>
              <w:pStyle w:val="TableParagraph"/>
              <w:widowControl/>
              <w:ind w:left="110"/>
              <w:rPr>
                <w:sz w:val="20"/>
              </w:rPr>
            </w:pPr>
          </w:p>
          <w:p w:rsidR="007A54C3" w:rsidRPr="00D45268" w:rsidRDefault="007A54C3" w:rsidP="00B84F20">
            <w:pPr>
              <w:pStyle w:val="TableParagraph"/>
              <w:widowControl/>
              <w:ind w:left="110"/>
            </w:pPr>
            <w:r w:rsidRPr="00D45268">
              <w:t>Les événements organisés pour présenter ces outils et les mettre à l’essai auprès des parties prenantes concernées dans chaque pays bénéficiaire permettront d’évaluer objectivement leur niveau d’acceptation et leur caractère pratique.  Les informations reçues des participants seront également recueillies au cours des événements, en vue de réviser ou d’ajuster les contenus en conséquence, le cas échéant.</w:t>
            </w:r>
          </w:p>
          <w:p w:rsidR="007A54C3" w:rsidRPr="00931279" w:rsidRDefault="007A54C3" w:rsidP="00B84F20">
            <w:pPr>
              <w:pStyle w:val="TableParagraph"/>
              <w:widowControl/>
              <w:ind w:left="110"/>
              <w:rPr>
                <w:sz w:val="20"/>
              </w:rPr>
            </w:pPr>
          </w:p>
          <w:p w:rsidR="007A54C3" w:rsidRPr="00D45268" w:rsidRDefault="007A54C3" w:rsidP="00B84F20">
            <w:pPr>
              <w:pStyle w:val="TableParagraph"/>
              <w:widowControl/>
              <w:ind w:left="110"/>
            </w:pPr>
            <w:r w:rsidRPr="00D45268">
              <w:t>Cette stratégie sera mise en œuvre en étroite coopération avec les partenaires de chacun des pays bénéficiaires, et en consultation avec les parties prenantes des secteurs relatifs aux applications mobile</w:t>
            </w:r>
            <w:r>
              <w:t>s</w:t>
            </w:r>
            <w:r w:rsidRPr="00D45268">
              <w:t xml:space="preserve"> et à l’industrie de la création.</w:t>
            </w:r>
          </w:p>
          <w:p w:rsidR="007A54C3" w:rsidRPr="00D45268" w:rsidRDefault="007A54C3" w:rsidP="00B84F20">
            <w:pPr>
              <w:pStyle w:val="TableParagraph"/>
              <w:widowControl/>
              <w:ind w:left="110"/>
            </w:pPr>
          </w:p>
        </w:tc>
      </w:tr>
      <w:tr w:rsidR="007A54C3" w:rsidRPr="00D45268" w:rsidTr="00DF2AFA">
        <w:trPr>
          <w:trHeight w:val="280"/>
        </w:trPr>
        <w:tc>
          <w:tcPr>
            <w:tcW w:w="9352" w:type="dxa"/>
            <w:shd w:val="clear" w:color="auto" w:fill="68E089"/>
          </w:tcPr>
          <w:p w:rsidR="007A54C3" w:rsidRPr="00D45268" w:rsidRDefault="007A54C3" w:rsidP="00B84F20">
            <w:pPr>
              <w:pStyle w:val="TableParagraph"/>
              <w:widowControl/>
              <w:ind w:left="110"/>
              <w:jc w:val="center"/>
              <w:rPr>
                <w:b/>
                <w:bCs/>
              </w:rPr>
            </w:pPr>
            <w:r w:rsidRPr="00D45268">
              <w:rPr>
                <w:b/>
              </w:rPr>
              <w:t>2.3 Indicateurs du projet</w:t>
            </w:r>
          </w:p>
        </w:tc>
      </w:tr>
      <w:tr w:rsidR="007A54C3" w:rsidRPr="00D45268" w:rsidTr="00DF2AFA">
        <w:trPr>
          <w:trHeight w:val="280"/>
        </w:trPr>
        <w:tc>
          <w:tcPr>
            <w:tcW w:w="9352" w:type="dxa"/>
            <w:shd w:val="clear" w:color="auto" w:fill="FFFFFF" w:themeFill="background1"/>
          </w:tcPr>
          <w:p w:rsidR="007A54C3" w:rsidRPr="00D45268" w:rsidRDefault="007A54C3" w:rsidP="00B84F20">
            <w:pPr>
              <w:pStyle w:val="TableParagraph"/>
              <w:widowControl/>
              <w:ind w:left="110"/>
            </w:pPr>
            <w:r w:rsidRPr="00D45268">
              <w:rPr>
                <w:b/>
                <w:bCs/>
              </w:rPr>
              <w:t>Résultats</w:t>
            </w:r>
            <w:r w:rsidRPr="00D45268">
              <w:t xml:space="preserve"> du projet : Faire mieux comprendre la pertinence de la propriété intellectuelle et renforcer son utilisation en faveur des applications mobiles dans les secteurs de la musique, de l’édition, des jeux vidéo et des contenus audiovisuels.</w:t>
            </w:r>
          </w:p>
          <w:p w:rsidR="007A54C3" w:rsidRPr="00931279" w:rsidRDefault="007A54C3" w:rsidP="00B84F20">
            <w:pPr>
              <w:rPr>
                <w:sz w:val="18"/>
                <w:lang w:val="fr-FR"/>
              </w:rPr>
            </w:pPr>
          </w:p>
          <w:p w:rsidR="007A54C3" w:rsidRPr="00D45268" w:rsidRDefault="007A54C3" w:rsidP="00B84F20">
            <w:pPr>
              <w:pStyle w:val="TableParagraph"/>
              <w:widowControl/>
              <w:ind w:left="110"/>
            </w:pPr>
            <w:r w:rsidRPr="00D45268">
              <w:rPr>
                <w:b/>
                <w:bCs/>
              </w:rPr>
              <w:t>Indicateurs</w:t>
            </w:r>
            <w:r w:rsidRPr="00D45268">
              <w:t xml:space="preserve"> de résultats :</w:t>
            </w:r>
          </w:p>
          <w:p w:rsidR="007A54C3" w:rsidRPr="00D45268" w:rsidRDefault="007A54C3" w:rsidP="00B84F20">
            <w:pPr>
              <w:pStyle w:val="TableParagraph"/>
              <w:widowControl/>
              <w:numPr>
                <w:ilvl w:val="0"/>
                <w:numId w:val="11"/>
              </w:numPr>
              <w:ind w:left="1126" w:hanging="567"/>
            </w:pPr>
            <w:r w:rsidRPr="00D45268">
              <w:t>70% des parties prenantes concernées dans les pays bénéficiaires comprennent que la propriété intellectuelle est un instrument susceptible d’appuyer les applications mobiles dans les secteurs de la musique, de l’édition, des jeux vidéo et des contenus audiov</w:t>
            </w:r>
            <w:r w:rsidR="00B84F20">
              <w:t>isuels;</w:t>
            </w:r>
          </w:p>
          <w:p w:rsidR="007A54C3" w:rsidRPr="00D45268" w:rsidRDefault="00B84F20" w:rsidP="00B84F20">
            <w:pPr>
              <w:pStyle w:val="TableParagraph"/>
              <w:widowControl/>
              <w:numPr>
                <w:ilvl w:val="0"/>
                <w:numId w:val="11"/>
              </w:numPr>
              <w:ind w:left="1126" w:hanging="567"/>
            </w:pPr>
            <w:proofErr w:type="gramStart"/>
            <w:r>
              <w:t>a</w:t>
            </w:r>
            <w:r w:rsidR="007A54C3" w:rsidRPr="00D45268">
              <w:t>u</w:t>
            </w:r>
            <w:proofErr w:type="gramEnd"/>
            <w:r w:rsidR="007A54C3" w:rsidRPr="00D45268">
              <w:t xml:space="preserve"> moins 100 téléchargements des outils enregistrés au cours des trois premiers mois à compter de leur publication.</w:t>
            </w:r>
          </w:p>
          <w:p w:rsidR="007A54C3" w:rsidRPr="00931279" w:rsidRDefault="007A54C3" w:rsidP="00B84F20">
            <w:pPr>
              <w:pStyle w:val="TableParagraph"/>
              <w:widowControl/>
              <w:ind w:left="110"/>
              <w:rPr>
                <w:sz w:val="18"/>
              </w:rPr>
            </w:pPr>
          </w:p>
          <w:p w:rsidR="007A54C3" w:rsidRPr="00D45268" w:rsidRDefault="007A54C3" w:rsidP="00B84F20">
            <w:pPr>
              <w:pStyle w:val="TableParagraph"/>
              <w:widowControl/>
              <w:ind w:left="110"/>
            </w:pPr>
            <w:r w:rsidRPr="00D45268">
              <w:rPr>
                <w:b/>
                <w:bCs/>
              </w:rPr>
              <w:t>Réalisations</w:t>
            </w:r>
            <w:r w:rsidRPr="00D45268">
              <w:t xml:space="preserve"> du projet :</w:t>
            </w:r>
          </w:p>
          <w:p w:rsidR="007A54C3" w:rsidRPr="00D45268" w:rsidRDefault="00B84F20" w:rsidP="00B84F20">
            <w:pPr>
              <w:pStyle w:val="TableParagraph"/>
              <w:widowControl/>
              <w:numPr>
                <w:ilvl w:val="0"/>
                <w:numId w:val="12"/>
              </w:numPr>
              <w:ind w:left="1126" w:hanging="567"/>
            </w:pPr>
            <w:proofErr w:type="gramStart"/>
            <w:r>
              <w:t>s</w:t>
            </w:r>
            <w:r w:rsidR="007A54C3" w:rsidRPr="00D45268">
              <w:t>upports</w:t>
            </w:r>
            <w:proofErr w:type="gramEnd"/>
            <w:r w:rsidR="007A54C3" w:rsidRPr="00D45268">
              <w:t xml:space="preserve"> de formation relatifs à la propriété intellectuelle pour les applications mobiles;</w:t>
            </w:r>
          </w:p>
          <w:p w:rsidR="007A54C3" w:rsidRPr="00D45268" w:rsidRDefault="007A54C3" w:rsidP="00B84F20">
            <w:pPr>
              <w:pStyle w:val="TableParagraph"/>
              <w:widowControl/>
              <w:numPr>
                <w:ilvl w:val="0"/>
                <w:numId w:val="12"/>
              </w:numPr>
              <w:ind w:left="1126" w:hanging="567"/>
            </w:pPr>
            <w:proofErr w:type="gramStart"/>
            <w:r w:rsidRPr="00D45268">
              <w:t>outils</w:t>
            </w:r>
            <w:proofErr w:type="gramEnd"/>
            <w:r w:rsidRPr="00D45268">
              <w:t xml:space="preserve"> sur la propriété intellectuelle pour les applications mobiles dans les secteurs de la musique, de l’édition, des jeux vidéo et des contenus audiovisuels;</w:t>
            </w:r>
          </w:p>
          <w:p w:rsidR="007A54C3" w:rsidRPr="00D45268" w:rsidRDefault="00B84F20" w:rsidP="00B84F20">
            <w:pPr>
              <w:pStyle w:val="TableParagraph"/>
              <w:widowControl/>
              <w:numPr>
                <w:ilvl w:val="0"/>
                <w:numId w:val="12"/>
              </w:numPr>
              <w:ind w:left="1126" w:hanging="567"/>
            </w:pPr>
            <w:proofErr w:type="gramStart"/>
            <w:r>
              <w:t>o</w:t>
            </w:r>
            <w:r w:rsidR="007A54C3" w:rsidRPr="00D45268">
              <w:t>rganisation</w:t>
            </w:r>
            <w:proofErr w:type="gramEnd"/>
            <w:r w:rsidR="007A54C3" w:rsidRPr="00D45268">
              <w:t xml:space="preserve"> d’événements afin de présenter les supports produits aux parties prenantes concernées dans chaque pays bénéficiaire et de recueillir leurs commentaires.</w:t>
            </w:r>
          </w:p>
          <w:p w:rsidR="007A54C3" w:rsidRPr="00D45268" w:rsidRDefault="007A54C3" w:rsidP="00B84F20">
            <w:pPr>
              <w:pStyle w:val="TableParagraph"/>
              <w:widowControl/>
            </w:pPr>
          </w:p>
          <w:p w:rsidR="007A54C3" w:rsidRPr="00D45268" w:rsidRDefault="007A54C3" w:rsidP="00B84F20">
            <w:pPr>
              <w:pStyle w:val="TableParagraph"/>
              <w:widowControl/>
              <w:ind w:left="110"/>
            </w:pPr>
            <w:r w:rsidRPr="00D45268">
              <w:rPr>
                <w:b/>
                <w:bCs/>
              </w:rPr>
              <w:t>Indicateurs</w:t>
            </w:r>
            <w:r w:rsidRPr="00D45268">
              <w:t xml:space="preserve"> de résultats :</w:t>
            </w:r>
          </w:p>
          <w:p w:rsidR="007A54C3" w:rsidRPr="00D45268" w:rsidRDefault="00B84F20" w:rsidP="00B84F20">
            <w:pPr>
              <w:pStyle w:val="TableParagraph"/>
              <w:widowControl/>
              <w:numPr>
                <w:ilvl w:val="0"/>
                <w:numId w:val="13"/>
              </w:numPr>
              <w:ind w:left="1126" w:hanging="567"/>
            </w:pPr>
            <w:proofErr w:type="gramStart"/>
            <w:r>
              <w:t>s</w:t>
            </w:r>
            <w:r w:rsidR="007A54C3" w:rsidRPr="00D45268">
              <w:t>upports</w:t>
            </w:r>
            <w:proofErr w:type="gramEnd"/>
            <w:r w:rsidR="007A54C3" w:rsidRPr="00D45268">
              <w:t xml:space="preserve"> de formation à la propriété intellectuelle pour les applications mobiles mis au point et diffusés en ligne dans les six mois suivant la mise en œuvre du projet;</w:t>
            </w:r>
          </w:p>
          <w:p w:rsidR="007A54C3" w:rsidRPr="00D45268" w:rsidRDefault="00B84F20" w:rsidP="00B84F20">
            <w:pPr>
              <w:pStyle w:val="TableParagraph"/>
              <w:widowControl/>
              <w:numPr>
                <w:ilvl w:val="0"/>
                <w:numId w:val="13"/>
              </w:numPr>
              <w:ind w:left="1126" w:hanging="567"/>
            </w:pPr>
            <w:proofErr w:type="gramStart"/>
            <w:r>
              <w:t>q</w:t>
            </w:r>
            <w:r w:rsidR="007A54C3" w:rsidRPr="00D45268">
              <w:t>uatre</w:t>
            </w:r>
            <w:proofErr w:type="gramEnd"/>
            <w:r w:rsidR="007A54C3" w:rsidRPr="00D45268">
              <w:t xml:space="preserve"> instruments relatifs à la propriété intellectuelle pour les applications mobiles dans les secteurs de la musique, de l’édition, des jeux vidéo et des contenus audiovisuels, mis au point et publiés en ligne dans un délai de neuf mois à compter de la mise en œuvre du projet;</w:t>
            </w:r>
          </w:p>
          <w:p w:rsidR="007A54C3" w:rsidRPr="00D45268" w:rsidRDefault="00B84F20" w:rsidP="00B84F20">
            <w:pPr>
              <w:pStyle w:val="TableParagraph"/>
              <w:widowControl/>
              <w:numPr>
                <w:ilvl w:val="0"/>
                <w:numId w:val="13"/>
              </w:numPr>
              <w:ind w:left="1126" w:hanging="567"/>
            </w:pPr>
            <w:proofErr w:type="gramStart"/>
            <w:r>
              <w:t>t</w:t>
            </w:r>
            <w:r w:rsidR="007A54C3" w:rsidRPr="00D45268">
              <w:t>rois</w:t>
            </w:r>
            <w:proofErr w:type="gramEnd"/>
            <w:r w:rsidR="007A54C3" w:rsidRPr="00D45268">
              <w:t xml:space="preserve"> événements organisés (un par pays bénéficiaire), avec la participation d’au moins deux représentants de chacun des secteurs de la création sélectionnés.  Les instruments ont été ajustés, selon que de besoin, afin de répondre aux éventuels commentaires formulés dans un délai d’un mois à compter de l’événement.</w:t>
            </w:r>
          </w:p>
          <w:p w:rsidR="007A54C3" w:rsidRPr="00D45268" w:rsidRDefault="007A54C3" w:rsidP="00B84F20">
            <w:pPr>
              <w:pStyle w:val="TableParagraph"/>
              <w:widowControl/>
              <w:ind w:left="720"/>
            </w:pPr>
          </w:p>
        </w:tc>
      </w:tr>
      <w:tr w:rsidR="007A54C3" w:rsidRPr="00D45268" w:rsidTr="00DF2AFA">
        <w:trPr>
          <w:trHeight w:val="280"/>
        </w:trPr>
        <w:tc>
          <w:tcPr>
            <w:tcW w:w="9352" w:type="dxa"/>
            <w:shd w:val="clear" w:color="auto" w:fill="68E089"/>
          </w:tcPr>
          <w:p w:rsidR="007A54C3" w:rsidRPr="00D45268" w:rsidRDefault="007A54C3" w:rsidP="00B84F20">
            <w:pPr>
              <w:pStyle w:val="TableParagraph"/>
              <w:widowControl/>
              <w:ind w:left="110"/>
              <w:jc w:val="center"/>
              <w:rPr>
                <w:b/>
                <w:bCs/>
              </w:rPr>
            </w:pPr>
            <w:r w:rsidRPr="00D45268">
              <w:rPr>
                <w:b/>
              </w:rPr>
              <w:lastRenderedPageBreak/>
              <w:t>2.4 Stratégie de pérennisation</w:t>
            </w:r>
          </w:p>
        </w:tc>
      </w:tr>
      <w:tr w:rsidR="007A54C3" w:rsidRPr="00D45268" w:rsidTr="00DF2AFA">
        <w:trPr>
          <w:trHeight w:val="370"/>
        </w:trPr>
        <w:tc>
          <w:tcPr>
            <w:tcW w:w="9352" w:type="dxa"/>
          </w:tcPr>
          <w:p w:rsidR="007A54C3" w:rsidRPr="00D45268" w:rsidRDefault="007A54C3" w:rsidP="00B84F20">
            <w:pPr>
              <w:pStyle w:val="TableParagraph"/>
              <w:widowControl/>
              <w:ind w:left="110"/>
            </w:pPr>
            <w:r w:rsidRPr="00D45268">
              <w:t>Afin de garantir la pérennité des résultats du projet, il est important que les instruments élaborés dans le contexte des phases I et II du projet soient tenus à jour et restent pertinents pour les groupes de parties prenantes concernés.  Il est également important que l’OMPI et les États membres veillent à ce que les instruments élaborés dans le cadre du projet soient facilement accessibles par les parties prenantes, et qu’ils poursuivent leurs activités de sensibilisation afin d’assurer une utilisation accrue de ces instruments dans les futures activités de renforcement des capacités.  Si nécessaire, ces instruments pourraient être personnalisés ou traduits dans d’autres langues.</w:t>
            </w:r>
          </w:p>
          <w:p w:rsidR="007A54C3" w:rsidRPr="00D45268" w:rsidRDefault="007A54C3" w:rsidP="00B84F20">
            <w:pPr>
              <w:pStyle w:val="TableParagraph"/>
              <w:widowControl/>
              <w:ind w:left="110"/>
            </w:pPr>
          </w:p>
          <w:p w:rsidR="007A54C3" w:rsidRPr="00D45268" w:rsidRDefault="007A54C3" w:rsidP="00B84F20">
            <w:pPr>
              <w:pStyle w:val="TableParagraph"/>
              <w:widowControl/>
              <w:ind w:left="110"/>
            </w:pPr>
            <w:r w:rsidRPr="00D45268">
              <w:t>En outre, la vingt</w:t>
            </w:r>
            <w:r w:rsidR="00931279">
              <w:noBreakHyphen/>
            </w:r>
            <w:r w:rsidRPr="00D45268">
              <w:t>huitième session du CDIP a approuvé l’intégration des résultats du projet</w:t>
            </w:r>
            <w:r w:rsidRPr="00D45268">
              <w:rPr>
                <w:vertAlign w:val="superscript"/>
              </w:rPr>
              <w:footnoteReference w:id="3"/>
            </w:r>
            <w:r w:rsidRPr="00D45268">
              <w:t>.  En conséquence, le Secrétariat veillera à ce que les résultats du projet soient dûment intégrés dans les activités ordinaires de l’OMPI.</w:t>
            </w:r>
          </w:p>
          <w:p w:rsidR="007A54C3" w:rsidRPr="00D45268" w:rsidRDefault="007A54C3" w:rsidP="00B84F20">
            <w:pPr>
              <w:pStyle w:val="TableParagraph"/>
              <w:widowControl/>
            </w:pPr>
          </w:p>
        </w:tc>
      </w:tr>
      <w:tr w:rsidR="007A54C3" w:rsidRPr="00D45268" w:rsidTr="00DF2AFA">
        <w:trPr>
          <w:trHeight w:val="253"/>
        </w:trPr>
        <w:tc>
          <w:tcPr>
            <w:tcW w:w="9352" w:type="dxa"/>
            <w:shd w:val="clear" w:color="auto" w:fill="68E089"/>
          </w:tcPr>
          <w:p w:rsidR="007A54C3" w:rsidRPr="00D45268" w:rsidRDefault="007A54C3" w:rsidP="00B84F20">
            <w:pPr>
              <w:pStyle w:val="TableParagraph"/>
              <w:widowControl/>
              <w:spacing w:line="234" w:lineRule="exact"/>
              <w:ind w:left="102" w:right="90"/>
              <w:jc w:val="center"/>
              <w:rPr>
                <w:b/>
              </w:rPr>
            </w:pPr>
            <w:r w:rsidRPr="00D45268">
              <w:rPr>
                <w:b/>
              </w:rPr>
              <w:t>2.5 Critères de sélection des pays pilotes/bénéficiaires</w:t>
            </w:r>
          </w:p>
        </w:tc>
      </w:tr>
      <w:tr w:rsidR="007A54C3" w:rsidRPr="00D45268" w:rsidTr="00DF2AFA">
        <w:trPr>
          <w:trHeight w:val="253"/>
        </w:trPr>
        <w:tc>
          <w:tcPr>
            <w:tcW w:w="9352" w:type="dxa"/>
            <w:shd w:val="clear" w:color="auto" w:fill="FFFFFF" w:themeFill="background1"/>
          </w:tcPr>
          <w:p w:rsidR="007A54C3" w:rsidRPr="00D45268" w:rsidRDefault="007A54C3" w:rsidP="00B84F20">
            <w:pPr>
              <w:pStyle w:val="TableParagraph"/>
              <w:widowControl/>
              <w:spacing w:line="234" w:lineRule="exact"/>
              <w:ind w:left="102" w:right="90"/>
            </w:pPr>
            <w:r w:rsidRPr="00D45268">
              <w:t>Les pays bénéficiaires seront les mêmes que ceux ayant participé à la phase I, à savoir : le Kenya, les Philippines et la Trinité</w:t>
            </w:r>
            <w:r w:rsidR="00931279">
              <w:noBreakHyphen/>
            </w:r>
            <w:r w:rsidRPr="00D45268">
              <w:t>et</w:t>
            </w:r>
            <w:r w:rsidR="00931279">
              <w:noBreakHyphen/>
            </w:r>
            <w:r w:rsidRPr="00D45268">
              <w:t>Tobago.</w:t>
            </w:r>
          </w:p>
          <w:p w:rsidR="007A54C3" w:rsidRPr="00D45268" w:rsidRDefault="007A54C3" w:rsidP="00B84F20">
            <w:pPr>
              <w:pStyle w:val="TableParagraph"/>
              <w:widowControl/>
              <w:spacing w:line="234" w:lineRule="exact"/>
              <w:ind w:left="102" w:right="90"/>
            </w:pPr>
          </w:p>
        </w:tc>
      </w:tr>
      <w:tr w:rsidR="007A54C3" w:rsidRPr="00D45268" w:rsidTr="00DF2AFA">
        <w:trPr>
          <w:trHeight w:val="253"/>
        </w:trPr>
        <w:tc>
          <w:tcPr>
            <w:tcW w:w="9352" w:type="dxa"/>
            <w:shd w:val="clear" w:color="auto" w:fill="68E089"/>
          </w:tcPr>
          <w:p w:rsidR="007A54C3" w:rsidRPr="00D45268" w:rsidRDefault="007A54C3" w:rsidP="00B84F20">
            <w:pPr>
              <w:pStyle w:val="TableParagraph"/>
              <w:widowControl/>
              <w:spacing w:line="234" w:lineRule="exact"/>
              <w:ind w:left="102" w:right="90"/>
              <w:jc w:val="center"/>
              <w:rPr>
                <w:b/>
              </w:rPr>
            </w:pPr>
            <w:r w:rsidRPr="00D45268">
              <w:rPr>
                <w:b/>
              </w:rPr>
              <w:t>2.6 Entité organisationnelle de mise en œuvre</w:t>
            </w:r>
          </w:p>
        </w:tc>
      </w:tr>
      <w:tr w:rsidR="007A54C3" w:rsidRPr="00D45268" w:rsidTr="00DF2AFA">
        <w:trPr>
          <w:trHeight w:val="416"/>
        </w:trPr>
        <w:tc>
          <w:tcPr>
            <w:tcW w:w="9352" w:type="dxa"/>
          </w:tcPr>
          <w:p w:rsidR="007A54C3" w:rsidRPr="00D45268" w:rsidRDefault="007A54C3" w:rsidP="00B84F20">
            <w:pPr>
              <w:pStyle w:val="TableParagraph"/>
              <w:widowControl/>
              <w:ind w:left="110" w:right="614"/>
            </w:pPr>
            <w:r w:rsidRPr="00D45268">
              <w:t>Secteur du droit d’auteur et des industries de la création, Division de l’information et de la communication numérique</w:t>
            </w:r>
          </w:p>
        </w:tc>
      </w:tr>
      <w:tr w:rsidR="007A54C3" w:rsidRPr="00D45268" w:rsidTr="00DF2AFA">
        <w:trPr>
          <w:trHeight w:val="254"/>
        </w:trPr>
        <w:tc>
          <w:tcPr>
            <w:tcW w:w="9352" w:type="dxa"/>
            <w:shd w:val="clear" w:color="auto" w:fill="68E089"/>
          </w:tcPr>
          <w:p w:rsidR="007A54C3" w:rsidRPr="00D45268" w:rsidRDefault="007A54C3" w:rsidP="00B84F20">
            <w:pPr>
              <w:pStyle w:val="TableParagraph"/>
              <w:widowControl/>
              <w:spacing w:line="234" w:lineRule="exact"/>
              <w:ind w:left="102" w:right="90"/>
              <w:jc w:val="center"/>
              <w:rPr>
                <w:b/>
              </w:rPr>
            </w:pPr>
            <w:r w:rsidRPr="00D45268">
              <w:rPr>
                <w:b/>
              </w:rPr>
              <w:t>2.7 Liens vers d’autres entités organisationnelles</w:t>
            </w:r>
          </w:p>
        </w:tc>
      </w:tr>
      <w:tr w:rsidR="007A54C3" w:rsidRPr="00D45268" w:rsidTr="00DF2AFA">
        <w:trPr>
          <w:trHeight w:val="431"/>
        </w:trPr>
        <w:tc>
          <w:tcPr>
            <w:tcW w:w="9352" w:type="dxa"/>
          </w:tcPr>
          <w:p w:rsidR="007A54C3" w:rsidRPr="00D45268" w:rsidRDefault="007A54C3" w:rsidP="00B84F20">
            <w:pPr>
              <w:pStyle w:val="TableParagraph"/>
              <w:widowControl/>
              <w:spacing w:before="1"/>
              <w:ind w:left="110"/>
            </w:pPr>
            <w:r w:rsidRPr="00D45268">
              <w:t>Secteur du développement régional et national</w:t>
            </w:r>
          </w:p>
          <w:p w:rsidR="007A54C3" w:rsidRPr="00D45268" w:rsidRDefault="007A54C3" w:rsidP="00B84F20">
            <w:pPr>
              <w:pStyle w:val="TableParagraph"/>
              <w:widowControl/>
              <w:spacing w:before="1"/>
              <w:ind w:left="110"/>
            </w:pPr>
            <w:r w:rsidRPr="00D45268">
              <w:t>Secteur des écosystèmes de propriété intellectuelle et d’innovation</w:t>
            </w:r>
          </w:p>
          <w:p w:rsidR="007A54C3" w:rsidRPr="00D45268" w:rsidRDefault="007A54C3" w:rsidP="00B84F20">
            <w:pPr>
              <w:pStyle w:val="TableParagraph"/>
              <w:widowControl/>
              <w:spacing w:before="1"/>
              <w:ind w:left="110"/>
            </w:pPr>
          </w:p>
        </w:tc>
      </w:tr>
      <w:tr w:rsidR="007A54C3" w:rsidRPr="00D45268" w:rsidTr="00DF2AFA">
        <w:trPr>
          <w:trHeight w:val="361"/>
        </w:trPr>
        <w:tc>
          <w:tcPr>
            <w:tcW w:w="9352" w:type="dxa"/>
            <w:shd w:val="clear" w:color="auto" w:fill="68E089"/>
          </w:tcPr>
          <w:p w:rsidR="007A54C3" w:rsidRPr="00D45268" w:rsidRDefault="007A54C3" w:rsidP="00B84F20">
            <w:pPr>
              <w:pStyle w:val="TableParagraph"/>
              <w:widowControl/>
              <w:spacing w:line="250" w:lineRule="exact"/>
              <w:ind w:left="110"/>
              <w:jc w:val="center"/>
            </w:pPr>
            <w:r w:rsidRPr="00D45268">
              <w:rPr>
                <w:b/>
              </w:rPr>
              <w:t>2.8 Liens vers d’autres projets du Plan d’action pour le développement</w:t>
            </w:r>
          </w:p>
        </w:tc>
      </w:tr>
      <w:tr w:rsidR="007A54C3" w:rsidRPr="00D45268" w:rsidTr="00DF2AFA">
        <w:trPr>
          <w:trHeight w:val="568"/>
        </w:trPr>
        <w:tc>
          <w:tcPr>
            <w:tcW w:w="9352" w:type="dxa"/>
          </w:tcPr>
          <w:p w:rsidR="007A54C3" w:rsidRPr="00D45268" w:rsidRDefault="007A54C3" w:rsidP="00B84F20">
            <w:pPr>
              <w:pStyle w:val="TableParagraph"/>
              <w:widowControl/>
              <w:ind w:left="110" w:right="614"/>
            </w:pPr>
            <w:r w:rsidRPr="00D45268">
              <w:t>Projet du Plan d’action pour le développement sur le renforcement de l’utilisation de la propriété intellectuelle dans le secteur des logiciels (DA_11_23_24_27_01)</w:t>
            </w:r>
          </w:p>
          <w:p w:rsidR="007A54C3" w:rsidRPr="00D45268" w:rsidRDefault="007A54C3" w:rsidP="00B84F20">
            <w:pPr>
              <w:pStyle w:val="TableParagraph"/>
              <w:widowControl/>
              <w:ind w:right="614"/>
            </w:pPr>
          </w:p>
        </w:tc>
      </w:tr>
      <w:tr w:rsidR="007A54C3" w:rsidRPr="00D45268" w:rsidTr="00DF2AFA">
        <w:trPr>
          <w:trHeight w:val="406"/>
        </w:trPr>
        <w:tc>
          <w:tcPr>
            <w:tcW w:w="9352" w:type="dxa"/>
            <w:shd w:val="clear" w:color="auto" w:fill="68E089"/>
          </w:tcPr>
          <w:p w:rsidR="007A54C3" w:rsidRPr="00D45268" w:rsidRDefault="007A54C3" w:rsidP="00B84F20">
            <w:pPr>
              <w:pStyle w:val="TableParagraph"/>
              <w:widowControl/>
              <w:spacing w:line="246" w:lineRule="exact"/>
              <w:ind w:left="110"/>
              <w:jc w:val="center"/>
            </w:pPr>
            <w:r w:rsidRPr="00D45268">
              <w:rPr>
                <w:b/>
              </w:rPr>
              <w:t xml:space="preserve">2.9 Contribution aux résultats escomptés dans le </w:t>
            </w:r>
            <w:r>
              <w:rPr>
                <w:b/>
              </w:rPr>
              <w:t>p</w:t>
            </w:r>
            <w:r w:rsidRPr="00D45268">
              <w:rPr>
                <w:b/>
              </w:rPr>
              <w:t>rogramme et budget de l’OMPI</w:t>
            </w:r>
          </w:p>
        </w:tc>
      </w:tr>
      <w:tr w:rsidR="007A54C3" w:rsidRPr="00D45268" w:rsidTr="00DF2AFA">
        <w:trPr>
          <w:trHeight w:val="451"/>
        </w:trPr>
        <w:tc>
          <w:tcPr>
            <w:tcW w:w="9352" w:type="dxa"/>
          </w:tcPr>
          <w:p w:rsidR="007A54C3" w:rsidRPr="00D45268" w:rsidRDefault="007A54C3" w:rsidP="00B84F20">
            <w:pPr>
              <w:pStyle w:val="TableParagraph"/>
              <w:widowControl/>
              <w:spacing w:line="246" w:lineRule="exact"/>
              <w:ind w:left="110"/>
            </w:pPr>
            <w:r w:rsidRPr="00D45268">
              <w:t>4.1 Utilisation plus efficace de la propriété intellectuelle au service de la croissance et du développement de l’ensemble des États membres et de leurs régions et sous</w:t>
            </w:r>
            <w:r w:rsidR="00931279">
              <w:noBreakHyphen/>
            </w:r>
            <w:r w:rsidRPr="00D45268">
              <w:t>régions respectives, notamment grâce à l’intégration des recommandations du Plan d’action pour le développement.</w:t>
            </w:r>
          </w:p>
          <w:p w:rsidR="007A54C3" w:rsidRPr="00D45268" w:rsidRDefault="007A54C3" w:rsidP="00B84F20">
            <w:pPr>
              <w:pStyle w:val="TableParagraph"/>
              <w:widowControl/>
              <w:spacing w:line="246" w:lineRule="exact"/>
              <w:ind w:left="110"/>
            </w:pPr>
          </w:p>
          <w:p w:rsidR="007A54C3" w:rsidRPr="00D45268" w:rsidRDefault="007A54C3" w:rsidP="00B84F20">
            <w:pPr>
              <w:pStyle w:val="TableParagraph"/>
              <w:widowControl/>
              <w:spacing w:line="246" w:lineRule="exact"/>
              <w:ind w:left="110"/>
            </w:pPr>
            <w:r w:rsidRPr="00D45268">
              <w:t>4.2 Mise en place d’écosystèmes équilibrés et efficaces en matière de propriété intellectuelle, d’innovation et de création dans les États membres.</w:t>
            </w:r>
          </w:p>
          <w:p w:rsidR="007A54C3" w:rsidRPr="00D45268" w:rsidRDefault="007A54C3" w:rsidP="00B84F20">
            <w:pPr>
              <w:pStyle w:val="TableParagraph"/>
              <w:widowControl/>
              <w:spacing w:line="246" w:lineRule="exact"/>
              <w:ind w:left="110"/>
            </w:pPr>
          </w:p>
          <w:p w:rsidR="007A54C3" w:rsidRPr="00D45268" w:rsidRDefault="007A54C3" w:rsidP="00B84F20">
            <w:pPr>
              <w:pStyle w:val="TableParagraph"/>
              <w:widowControl/>
              <w:spacing w:line="246" w:lineRule="exact"/>
              <w:ind w:left="110"/>
            </w:pPr>
            <w:r w:rsidRPr="00D45268">
              <w:lastRenderedPageBreak/>
              <w:t>4.3 Mise en valeur des connaissances et des compétences en matière de propriété intellectuelle dans tous les États membres.</w:t>
            </w:r>
          </w:p>
          <w:p w:rsidR="007A54C3" w:rsidRPr="00D45268" w:rsidRDefault="007A54C3" w:rsidP="00B84F20">
            <w:pPr>
              <w:pStyle w:val="TableParagraph"/>
              <w:widowControl/>
              <w:spacing w:line="246" w:lineRule="exact"/>
              <w:ind w:left="110"/>
              <w:rPr>
                <w:b/>
              </w:rPr>
            </w:pPr>
          </w:p>
          <w:p w:rsidR="007A54C3" w:rsidRPr="00D45268" w:rsidRDefault="007A54C3" w:rsidP="00B84F20">
            <w:pPr>
              <w:pStyle w:val="TableParagraph"/>
              <w:widowControl/>
              <w:spacing w:line="246" w:lineRule="exact"/>
              <w:ind w:left="110"/>
            </w:pPr>
            <w:r w:rsidRPr="00D45268">
              <w:t>4.4 Davantage d’innovateurs, de créateurs, de PME, d’universités, d’instituts de recherche et de communautés tirent profit de la propriété intellectuelle.</w:t>
            </w:r>
          </w:p>
          <w:p w:rsidR="007A54C3" w:rsidRPr="00D45268" w:rsidRDefault="007A54C3" w:rsidP="00B84F20">
            <w:pPr>
              <w:pStyle w:val="TableParagraph"/>
              <w:widowControl/>
              <w:spacing w:line="246" w:lineRule="exact"/>
              <w:ind w:left="110"/>
              <w:rPr>
                <w:b/>
              </w:rPr>
            </w:pPr>
          </w:p>
        </w:tc>
      </w:tr>
      <w:tr w:rsidR="007A54C3" w:rsidRPr="00D45268" w:rsidTr="00DF2AFA">
        <w:trPr>
          <w:trHeight w:val="352"/>
        </w:trPr>
        <w:tc>
          <w:tcPr>
            <w:tcW w:w="9352" w:type="dxa"/>
            <w:shd w:val="clear" w:color="auto" w:fill="68E089"/>
          </w:tcPr>
          <w:p w:rsidR="007A54C3" w:rsidRPr="00D45268" w:rsidRDefault="007A54C3" w:rsidP="00B84F20">
            <w:pPr>
              <w:pStyle w:val="TableParagraph"/>
              <w:widowControl/>
              <w:ind w:left="110" w:right="77"/>
              <w:jc w:val="center"/>
              <w:rPr>
                <w:b/>
              </w:rPr>
            </w:pPr>
            <w:r w:rsidRPr="00D45268">
              <w:rPr>
                <w:b/>
              </w:rPr>
              <w:lastRenderedPageBreak/>
              <w:t>2.10 Risques et mesures atténuation</w:t>
            </w:r>
          </w:p>
        </w:tc>
      </w:tr>
      <w:tr w:rsidR="007A54C3" w:rsidRPr="00D45268" w:rsidTr="00DF2AFA">
        <w:trPr>
          <w:trHeight w:val="424"/>
        </w:trPr>
        <w:tc>
          <w:tcPr>
            <w:tcW w:w="9352" w:type="dxa"/>
            <w:shd w:val="clear" w:color="auto" w:fill="FFFFFF" w:themeFill="background1"/>
          </w:tcPr>
          <w:p w:rsidR="007A54C3" w:rsidRPr="00D45268" w:rsidRDefault="007A54C3" w:rsidP="00B84F20">
            <w:pPr>
              <w:pStyle w:val="TableParagraph"/>
              <w:widowControl/>
              <w:ind w:left="110" w:right="77"/>
            </w:pPr>
            <w:r w:rsidRPr="00D45268">
              <w:rPr>
                <w:b/>
                <w:bCs/>
              </w:rPr>
              <w:t>Risque</w:t>
            </w:r>
            <w:r w:rsidRPr="00D45268">
              <w:t> </w:t>
            </w:r>
            <w:r w:rsidRPr="00D45268">
              <w:rPr>
                <w:b/>
              </w:rPr>
              <w:t>I</w:t>
            </w:r>
            <w:r w:rsidRPr="00D45268">
              <w:t> : Difficultés liées à l’identification des développeurs d’applications mobiles dans les secteurs sélectionnés (musique, édition, jeux vidéo et contenus audiovisuels)</w:t>
            </w:r>
            <w:r w:rsidR="00B84F20">
              <w:t>.</w:t>
            </w:r>
          </w:p>
          <w:p w:rsidR="007A54C3" w:rsidRPr="00D45268" w:rsidRDefault="007A54C3" w:rsidP="00B84F20">
            <w:pPr>
              <w:pStyle w:val="TableParagraph"/>
              <w:widowControl/>
              <w:ind w:left="110" w:right="77"/>
            </w:pPr>
          </w:p>
          <w:p w:rsidR="007A54C3" w:rsidRPr="00D45268" w:rsidRDefault="007A54C3" w:rsidP="00B84F20">
            <w:pPr>
              <w:pStyle w:val="TableParagraph"/>
              <w:widowControl/>
              <w:ind w:left="110" w:right="77"/>
            </w:pPr>
            <w:r w:rsidRPr="00D45268">
              <w:rPr>
                <w:b/>
                <w:bCs/>
              </w:rPr>
              <w:t>Mesure d’atténuation I :</w:t>
            </w:r>
            <w:r w:rsidRPr="00D45268">
              <w:t xml:space="preserve"> Élaboration d’une stratégie de communication ou de sensibilisation claire et ciblée en étroite coordination avec les partenaires locaux dans chacun des pays bénéficiaires.</w:t>
            </w:r>
          </w:p>
          <w:p w:rsidR="007A54C3" w:rsidRPr="00D45268" w:rsidRDefault="007A54C3" w:rsidP="00B84F20">
            <w:pPr>
              <w:pStyle w:val="TableParagraph"/>
              <w:widowControl/>
              <w:ind w:left="110" w:right="77"/>
            </w:pPr>
          </w:p>
          <w:p w:rsidR="007A54C3" w:rsidRPr="00D45268" w:rsidRDefault="007A54C3" w:rsidP="00B84F20">
            <w:pPr>
              <w:pStyle w:val="TableParagraph"/>
              <w:widowControl/>
              <w:ind w:left="110" w:right="77"/>
            </w:pPr>
            <w:r w:rsidRPr="00D45268">
              <w:rPr>
                <w:b/>
                <w:bCs/>
              </w:rPr>
              <w:t>Risque</w:t>
            </w:r>
            <w:r w:rsidRPr="00D45268">
              <w:t> </w:t>
            </w:r>
            <w:r w:rsidRPr="00D45268">
              <w:rPr>
                <w:b/>
              </w:rPr>
              <w:t>II</w:t>
            </w:r>
            <w:r w:rsidRPr="00D45268">
              <w:t> : Maintien de certaines restrictions liées à la COVID</w:t>
            </w:r>
            <w:r w:rsidR="00931279">
              <w:noBreakHyphen/>
            </w:r>
            <w:r w:rsidRPr="00D45268">
              <w:t>19 dans chacun des pays bénéficiaires, qui peuvent entraver le niveau requis d’interaction, la création de réseaux et l’organisation de manifestations en personne.</w:t>
            </w:r>
          </w:p>
          <w:p w:rsidR="007A54C3" w:rsidRPr="00D45268" w:rsidRDefault="007A54C3" w:rsidP="00B84F20">
            <w:pPr>
              <w:pStyle w:val="TableParagraph"/>
              <w:widowControl/>
              <w:ind w:left="110" w:right="77"/>
            </w:pPr>
          </w:p>
          <w:p w:rsidR="007A54C3" w:rsidRPr="00D45268" w:rsidRDefault="007A54C3" w:rsidP="00B84F20">
            <w:pPr>
              <w:pStyle w:val="TableParagraph"/>
              <w:widowControl/>
              <w:ind w:left="110" w:right="77"/>
            </w:pPr>
            <w:r w:rsidRPr="00D45268">
              <w:rPr>
                <w:b/>
                <w:bCs/>
              </w:rPr>
              <w:t>Mesure d’atténuation II :</w:t>
            </w:r>
            <w:r w:rsidRPr="00D45268">
              <w:t xml:space="preserve"> Veiller à ce que le projet soit mis en œuvre de manière harmonisée dans les trois pays bénéficiaires, en organisant les événements dans un format virtuel ou à Genève.</w:t>
            </w:r>
          </w:p>
          <w:p w:rsidR="007A54C3" w:rsidRPr="00D45268" w:rsidRDefault="007A54C3" w:rsidP="00B84F20">
            <w:pPr>
              <w:pStyle w:val="TableParagraph"/>
              <w:widowControl/>
              <w:ind w:left="110" w:right="77"/>
            </w:pPr>
          </w:p>
        </w:tc>
      </w:tr>
    </w:tbl>
    <w:p w:rsidR="007A54C3" w:rsidRPr="00D45268" w:rsidRDefault="007A54C3" w:rsidP="00B84F20">
      <w:pPr>
        <w:autoSpaceDE w:val="0"/>
        <w:autoSpaceDN w:val="0"/>
        <w:spacing w:before="71"/>
        <w:ind w:left="136"/>
        <w:rPr>
          <w:rFonts w:eastAsia="Arial"/>
          <w:b/>
          <w:szCs w:val="22"/>
          <w:lang w:val="fr-FR" w:eastAsia="en-US"/>
        </w:rPr>
      </w:pPr>
    </w:p>
    <w:p w:rsidR="007A54C3" w:rsidRPr="00D45268" w:rsidRDefault="007A54C3" w:rsidP="00B84F20">
      <w:pPr>
        <w:rPr>
          <w:rFonts w:eastAsia="Arial"/>
          <w:b/>
          <w:szCs w:val="22"/>
          <w:lang w:val="fr-FR"/>
        </w:rPr>
      </w:pPr>
      <w:r w:rsidRPr="00D45268">
        <w:rPr>
          <w:lang w:val="fr-FR"/>
        </w:rPr>
        <w:br w:type="page"/>
      </w:r>
    </w:p>
    <w:p w:rsidR="007A54C3" w:rsidRPr="00D45268" w:rsidRDefault="007A54C3" w:rsidP="00B84F20">
      <w:pPr>
        <w:spacing w:before="5" w:after="220"/>
        <w:rPr>
          <w:rFonts w:eastAsia="Times New Roman"/>
          <w:szCs w:val="22"/>
          <w:lang w:val="fr-FR"/>
        </w:rPr>
      </w:pPr>
      <w:r w:rsidRPr="00D45268">
        <w:rPr>
          <w:b/>
          <w:lang w:val="fr-FR"/>
        </w:rPr>
        <w:lastRenderedPageBreak/>
        <w:t>3.</w:t>
      </w:r>
      <w:r w:rsidR="00B84F20">
        <w:rPr>
          <w:b/>
          <w:lang w:val="fr-FR"/>
        </w:rPr>
        <w:tab/>
      </w:r>
      <w:r w:rsidRPr="00D45268">
        <w:rPr>
          <w:b/>
          <w:lang w:val="fr-FR"/>
        </w:rPr>
        <w:t>Calendrier de mise en œuvre provisoire</w:t>
      </w:r>
    </w:p>
    <w:tbl>
      <w:tblPr>
        <w:tblW w:w="949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5245"/>
        <w:gridCol w:w="851"/>
        <w:gridCol w:w="850"/>
        <w:gridCol w:w="851"/>
        <w:gridCol w:w="850"/>
        <w:gridCol w:w="851"/>
      </w:tblGrid>
      <w:tr w:rsidR="007A54C3" w:rsidRPr="00D45268" w:rsidTr="00DF2AFA">
        <w:trPr>
          <w:trHeight w:val="377"/>
        </w:trPr>
        <w:tc>
          <w:tcPr>
            <w:tcW w:w="5245" w:type="dxa"/>
            <w:vMerge w:val="restart"/>
            <w:tcBorders>
              <w:left w:val="nil"/>
              <w:bottom w:val="single" w:sz="8" w:space="0" w:color="FFFFFF"/>
              <w:right w:val="single" w:sz="8" w:space="0" w:color="FFFFFF"/>
            </w:tcBorders>
            <w:shd w:val="clear" w:color="auto" w:fill="F1F1F1"/>
          </w:tcPr>
          <w:p w:rsidR="007A54C3" w:rsidRPr="00D45268" w:rsidRDefault="007A54C3" w:rsidP="00B84F20">
            <w:pPr>
              <w:pStyle w:val="TableParagraph"/>
              <w:widowControl/>
            </w:pPr>
          </w:p>
          <w:p w:rsidR="007A54C3" w:rsidRPr="00D45268" w:rsidRDefault="007A54C3" w:rsidP="00B84F20">
            <w:pPr>
              <w:pStyle w:val="TableParagraph"/>
              <w:widowControl/>
              <w:spacing w:before="150"/>
              <w:ind w:left="98"/>
            </w:pPr>
            <w:r w:rsidRPr="00D45268">
              <w:t xml:space="preserve">Résultats intermédiaires du projet </w:t>
            </w: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rsidR="007A54C3" w:rsidRPr="00D45268" w:rsidRDefault="007A54C3" w:rsidP="00B84F20">
            <w:pPr>
              <w:pStyle w:val="TableParagraph"/>
              <w:widowControl/>
              <w:spacing w:line="264" w:lineRule="exact"/>
              <w:ind w:left="90"/>
              <w:jc w:val="center"/>
            </w:pPr>
            <w:r w:rsidRPr="00D45268">
              <w:t>2023</w:t>
            </w:r>
            <w:r w:rsidR="00931279">
              <w:noBreakHyphen/>
            </w:r>
            <w:r w:rsidRPr="00D45268">
              <w:t>2024</w:t>
            </w:r>
          </w:p>
        </w:tc>
      </w:tr>
      <w:tr w:rsidR="007A54C3" w:rsidRPr="00D45268" w:rsidTr="00DF2AFA">
        <w:trPr>
          <w:trHeight w:val="384"/>
        </w:trPr>
        <w:tc>
          <w:tcPr>
            <w:tcW w:w="5245" w:type="dxa"/>
            <w:vMerge/>
            <w:tcBorders>
              <w:top w:val="nil"/>
              <w:left w:val="nil"/>
              <w:bottom w:val="single" w:sz="8" w:space="0" w:color="FFFFFF"/>
              <w:right w:val="single" w:sz="8" w:space="0" w:color="FFFFFF"/>
            </w:tcBorders>
            <w:shd w:val="clear" w:color="auto" w:fill="F1F1F1"/>
          </w:tcPr>
          <w:p w:rsidR="007A54C3" w:rsidRPr="00D45268" w:rsidRDefault="007A54C3" w:rsidP="00B84F20">
            <w:pPr>
              <w:rPr>
                <w:lang w:val="fr-FR"/>
              </w:rPr>
            </w:pPr>
          </w:p>
        </w:tc>
        <w:tc>
          <w:tcPr>
            <w:tcW w:w="4253" w:type="dxa"/>
            <w:gridSpan w:val="5"/>
            <w:tcBorders>
              <w:left w:val="single" w:sz="8" w:space="0" w:color="FFFFFF"/>
              <w:bottom w:val="single" w:sz="12" w:space="0" w:color="FFFFFF"/>
              <w:right w:val="single" w:sz="12" w:space="0" w:color="FFFFFF" w:themeColor="background1"/>
            </w:tcBorders>
            <w:shd w:val="clear" w:color="auto" w:fill="68E089"/>
          </w:tcPr>
          <w:p w:rsidR="007A54C3" w:rsidRPr="00D45268" w:rsidRDefault="007A54C3" w:rsidP="00B84F20">
            <w:pPr>
              <w:pStyle w:val="TableParagraph"/>
              <w:widowControl/>
              <w:jc w:val="center"/>
            </w:pPr>
            <w:r w:rsidRPr="00D45268">
              <w:t>Trimestres</w:t>
            </w:r>
          </w:p>
        </w:tc>
      </w:tr>
      <w:tr w:rsidR="007A54C3" w:rsidRPr="00D45268" w:rsidTr="00DF2AFA">
        <w:trPr>
          <w:trHeight w:val="387"/>
        </w:trPr>
        <w:tc>
          <w:tcPr>
            <w:tcW w:w="5245" w:type="dxa"/>
            <w:vMerge/>
            <w:tcBorders>
              <w:top w:val="nil"/>
              <w:left w:val="nil"/>
              <w:bottom w:val="single" w:sz="8" w:space="0" w:color="FFFFFF"/>
              <w:right w:val="single" w:sz="8" w:space="0" w:color="FFFFFF"/>
            </w:tcBorders>
            <w:shd w:val="clear" w:color="auto" w:fill="F1F1F1"/>
          </w:tcPr>
          <w:p w:rsidR="007A54C3" w:rsidRPr="00D45268" w:rsidRDefault="007A54C3" w:rsidP="00B84F20">
            <w:pPr>
              <w:rPr>
                <w:lang w:val="fr-FR"/>
              </w:rPr>
            </w:pP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rsidR="007A54C3" w:rsidRPr="00D45268" w:rsidRDefault="007A54C3" w:rsidP="00B84F20">
            <w:pPr>
              <w:pStyle w:val="TableParagraph"/>
              <w:widowControl/>
              <w:spacing w:before="45" w:line="146" w:lineRule="auto"/>
              <w:ind w:left="103"/>
            </w:pPr>
            <w:r w:rsidRPr="00D45268">
              <w:t>1</w:t>
            </w:r>
            <w:r w:rsidRPr="00D45268">
              <w:rPr>
                <w:vertAlign w:val="superscript"/>
              </w:rPr>
              <w:t>er</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rsidR="007A54C3" w:rsidRPr="00D45268" w:rsidRDefault="007A54C3" w:rsidP="00B84F20">
            <w:pPr>
              <w:pStyle w:val="TableParagraph"/>
              <w:widowControl/>
              <w:spacing w:before="45" w:line="146" w:lineRule="auto"/>
              <w:ind w:left="103"/>
            </w:pPr>
            <w:r w:rsidRPr="00D45268">
              <w:t>2</w:t>
            </w:r>
            <w:r>
              <w:rPr>
                <w:vertAlign w:val="superscript"/>
              </w:rPr>
              <w:t>e</w:t>
            </w:r>
            <w:r w:rsidRPr="00D45268">
              <w:t xml:space="preserve"> </w:t>
            </w:r>
          </w:p>
        </w:tc>
        <w:tc>
          <w:tcPr>
            <w:tcW w:w="851" w:type="dxa"/>
            <w:tcBorders>
              <w:top w:val="single" w:sz="4" w:space="0" w:color="auto"/>
              <w:left w:val="single" w:sz="8" w:space="0" w:color="FFFFFF"/>
              <w:bottom w:val="single" w:sz="12" w:space="0" w:color="FFFFFF"/>
              <w:right w:val="single" w:sz="4" w:space="0" w:color="auto"/>
            </w:tcBorders>
            <w:shd w:val="clear" w:color="auto" w:fill="68E089"/>
          </w:tcPr>
          <w:p w:rsidR="007A54C3" w:rsidRPr="00D45268" w:rsidRDefault="007A54C3" w:rsidP="00B84F20">
            <w:pPr>
              <w:pStyle w:val="TableParagraph"/>
              <w:widowControl/>
              <w:spacing w:before="45" w:line="146" w:lineRule="auto"/>
              <w:ind w:left="103"/>
            </w:pPr>
            <w:r w:rsidRPr="00D45268">
              <w:t>3</w:t>
            </w:r>
            <w:r>
              <w:rPr>
                <w:vertAlign w:val="superscript"/>
              </w:rPr>
              <w:t>e</w:t>
            </w:r>
            <w:r w:rsidRPr="00D45268">
              <w:t xml:space="preserve"> </w:t>
            </w:r>
          </w:p>
        </w:tc>
        <w:tc>
          <w:tcPr>
            <w:tcW w:w="850" w:type="dxa"/>
            <w:tcBorders>
              <w:top w:val="single" w:sz="4" w:space="0" w:color="auto"/>
              <w:left w:val="single" w:sz="8" w:space="0" w:color="FFFFFF"/>
              <w:bottom w:val="single" w:sz="12" w:space="0" w:color="FFFFFF"/>
              <w:right w:val="single" w:sz="4" w:space="0" w:color="auto"/>
            </w:tcBorders>
            <w:shd w:val="clear" w:color="auto" w:fill="68E089"/>
          </w:tcPr>
          <w:p w:rsidR="007A54C3" w:rsidRPr="00D45268" w:rsidRDefault="007A54C3" w:rsidP="00B84F20">
            <w:pPr>
              <w:pStyle w:val="TableParagraph"/>
              <w:widowControl/>
              <w:spacing w:before="45" w:line="146" w:lineRule="auto"/>
              <w:ind w:left="103"/>
            </w:pPr>
            <w:r w:rsidRPr="00D45268">
              <w:t>4</w:t>
            </w:r>
            <w:r>
              <w:rPr>
                <w:vertAlign w:val="superscript"/>
              </w:rPr>
              <w:t>e</w:t>
            </w:r>
            <w:r w:rsidRPr="00D45268">
              <w:t xml:space="preserve"> </w:t>
            </w:r>
          </w:p>
        </w:tc>
        <w:tc>
          <w:tcPr>
            <w:tcW w:w="851" w:type="dxa"/>
            <w:tcBorders>
              <w:top w:val="single" w:sz="4" w:space="0" w:color="auto"/>
              <w:left w:val="single" w:sz="8" w:space="0" w:color="FFFFFF"/>
              <w:bottom w:val="single" w:sz="12" w:space="0" w:color="FFFFFF"/>
              <w:right w:val="single" w:sz="12" w:space="0" w:color="FFFFFF" w:themeColor="background1"/>
            </w:tcBorders>
            <w:shd w:val="clear" w:color="auto" w:fill="68E089"/>
          </w:tcPr>
          <w:p w:rsidR="007A54C3" w:rsidRPr="00D45268" w:rsidRDefault="007A54C3" w:rsidP="00B84F20">
            <w:pPr>
              <w:pStyle w:val="TableParagraph"/>
              <w:widowControl/>
              <w:spacing w:before="45" w:line="146" w:lineRule="auto"/>
              <w:ind w:left="103"/>
            </w:pPr>
            <w:r w:rsidRPr="00D45268">
              <w:t>1</w:t>
            </w:r>
            <w:r w:rsidRPr="00D45268">
              <w:rPr>
                <w:vertAlign w:val="superscript"/>
              </w:rPr>
              <w:t>er</w:t>
            </w:r>
            <w:r w:rsidRPr="00D45268">
              <w:t xml:space="preserve"> </w:t>
            </w:r>
          </w:p>
        </w:tc>
      </w:tr>
      <w:tr w:rsidR="007A54C3" w:rsidRPr="00D45268" w:rsidTr="00DF2AFA">
        <w:trPr>
          <w:trHeight w:val="388"/>
        </w:trPr>
        <w:tc>
          <w:tcPr>
            <w:tcW w:w="5245" w:type="dxa"/>
            <w:tcBorders>
              <w:top w:val="single" w:sz="8" w:space="0" w:color="FFFFFF"/>
              <w:left w:val="nil"/>
              <w:bottom w:val="single" w:sz="8" w:space="0" w:color="FFFFFF"/>
              <w:right w:val="single" w:sz="8" w:space="0" w:color="FFFFFF"/>
            </w:tcBorders>
            <w:shd w:val="clear" w:color="auto" w:fill="F1F1F1"/>
          </w:tcPr>
          <w:p w:rsidR="007A54C3" w:rsidRPr="00D45268" w:rsidRDefault="007A54C3" w:rsidP="00B84F20">
            <w:pPr>
              <w:pStyle w:val="TableParagraph"/>
              <w:widowControl/>
              <w:spacing w:line="268" w:lineRule="exact"/>
              <w:ind w:left="98"/>
            </w:pPr>
            <w:r w:rsidRPr="00D45268">
              <w:t>1.  Supports de formation relatifs la propriété intellectuelle pour les applications mobiles</w:t>
            </w:r>
          </w:p>
        </w:tc>
        <w:tc>
          <w:tcPr>
            <w:tcW w:w="851" w:type="dxa"/>
            <w:tcBorders>
              <w:top w:val="single" w:sz="4" w:space="0" w:color="auto"/>
              <w:left w:val="single" w:sz="8" w:space="0" w:color="FFFFFF"/>
              <w:right w:val="nil"/>
            </w:tcBorders>
            <w:shd w:val="clear" w:color="auto" w:fill="68E089"/>
          </w:tcPr>
          <w:p w:rsidR="007A54C3" w:rsidRPr="00D45268" w:rsidRDefault="007A54C3" w:rsidP="00B84F20">
            <w:pPr>
              <w:pStyle w:val="TableParagraph"/>
              <w:widowControl/>
              <w:jc w:val="center"/>
            </w:pPr>
            <w:r w:rsidRPr="00D45268">
              <w:t>X</w:t>
            </w:r>
          </w:p>
        </w:tc>
        <w:tc>
          <w:tcPr>
            <w:tcW w:w="850" w:type="dxa"/>
            <w:tcBorders>
              <w:top w:val="single" w:sz="4" w:space="0" w:color="auto"/>
              <w:left w:val="single" w:sz="8" w:space="0" w:color="FFFFFF"/>
              <w:right w:val="nil"/>
            </w:tcBorders>
            <w:shd w:val="clear" w:color="auto" w:fill="68E089"/>
          </w:tcPr>
          <w:p w:rsidR="007A54C3" w:rsidRPr="00D45268" w:rsidRDefault="007A54C3" w:rsidP="00B84F20">
            <w:pPr>
              <w:pStyle w:val="TableParagraph"/>
              <w:widowControl/>
              <w:jc w:val="center"/>
            </w:pPr>
            <w:r w:rsidRPr="00D45268">
              <w:t>X</w:t>
            </w:r>
          </w:p>
        </w:tc>
        <w:tc>
          <w:tcPr>
            <w:tcW w:w="851" w:type="dxa"/>
            <w:tcBorders>
              <w:top w:val="single" w:sz="4" w:space="0" w:color="auto"/>
              <w:left w:val="single" w:sz="8" w:space="0" w:color="FFFFFF"/>
              <w:right w:val="nil"/>
            </w:tcBorders>
            <w:shd w:val="clear" w:color="auto" w:fill="D9D9D9" w:themeFill="background1" w:themeFillShade="D9"/>
          </w:tcPr>
          <w:p w:rsidR="007A54C3" w:rsidRPr="00D45268" w:rsidRDefault="007A54C3" w:rsidP="00B84F20">
            <w:pPr>
              <w:pStyle w:val="TableParagraph"/>
              <w:widowControl/>
              <w:jc w:val="center"/>
            </w:pPr>
          </w:p>
        </w:tc>
        <w:tc>
          <w:tcPr>
            <w:tcW w:w="850" w:type="dxa"/>
            <w:tcBorders>
              <w:top w:val="single" w:sz="4" w:space="0" w:color="auto"/>
              <w:left w:val="single" w:sz="8" w:space="0" w:color="FFFFFF"/>
              <w:right w:val="nil"/>
            </w:tcBorders>
            <w:shd w:val="clear" w:color="auto" w:fill="D9D9D9" w:themeFill="background1" w:themeFillShade="D9"/>
          </w:tcPr>
          <w:p w:rsidR="007A54C3" w:rsidRPr="00D45268" w:rsidRDefault="007A54C3" w:rsidP="00B84F20">
            <w:pPr>
              <w:pStyle w:val="TableParagraph"/>
              <w:widowControl/>
              <w:jc w:val="center"/>
            </w:pPr>
          </w:p>
        </w:tc>
        <w:tc>
          <w:tcPr>
            <w:tcW w:w="851" w:type="dxa"/>
            <w:tcBorders>
              <w:top w:val="single" w:sz="4" w:space="0" w:color="auto"/>
              <w:left w:val="single" w:sz="8" w:space="0" w:color="FFFFFF"/>
              <w:right w:val="single" w:sz="12" w:space="0" w:color="FFFFFF" w:themeColor="background1"/>
            </w:tcBorders>
            <w:shd w:val="clear" w:color="auto" w:fill="D9D9D9" w:themeFill="background1" w:themeFillShade="D9"/>
          </w:tcPr>
          <w:p w:rsidR="007A54C3" w:rsidRPr="00D45268" w:rsidRDefault="007A54C3" w:rsidP="00B84F20">
            <w:pPr>
              <w:pStyle w:val="TableParagraph"/>
              <w:widowControl/>
              <w:jc w:val="center"/>
            </w:pPr>
          </w:p>
        </w:tc>
      </w:tr>
      <w:tr w:rsidR="007A54C3" w:rsidRPr="00D45268" w:rsidTr="00DF2AFA">
        <w:trPr>
          <w:trHeight w:val="384"/>
        </w:trPr>
        <w:tc>
          <w:tcPr>
            <w:tcW w:w="5245" w:type="dxa"/>
            <w:tcBorders>
              <w:top w:val="single" w:sz="8" w:space="0" w:color="FFFFFF"/>
              <w:left w:val="nil"/>
              <w:right w:val="single" w:sz="8" w:space="0" w:color="FFFFFF"/>
            </w:tcBorders>
            <w:shd w:val="clear" w:color="auto" w:fill="F1F1F1"/>
          </w:tcPr>
          <w:p w:rsidR="007A54C3" w:rsidRPr="00D45268" w:rsidRDefault="007A54C3" w:rsidP="00B84F20">
            <w:pPr>
              <w:pStyle w:val="TableParagraph"/>
              <w:widowControl/>
              <w:spacing w:line="267" w:lineRule="exact"/>
              <w:ind w:left="98"/>
            </w:pPr>
            <w:r w:rsidRPr="00D45268">
              <w:t>2.  Quatre instruments relatifs à la propriété intellectuelle pour les applications mobiles dans les secteurs de la musique, de l’édition, des jeux vidéo et des contenus audiovisuels</w:t>
            </w:r>
          </w:p>
        </w:tc>
        <w:tc>
          <w:tcPr>
            <w:tcW w:w="851" w:type="dxa"/>
            <w:tcBorders>
              <w:left w:val="single" w:sz="8" w:space="0" w:color="FFFFFF"/>
              <w:right w:val="nil"/>
            </w:tcBorders>
            <w:shd w:val="clear" w:color="auto" w:fill="D9D9D9" w:themeFill="background1" w:themeFillShade="D9"/>
          </w:tcPr>
          <w:p w:rsidR="007A54C3" w:rsidRPr="00D45268" w:rsidRDefault="007A54C3" w:rsidP="00B84F20">
            <w:pPr>
              <w:pStyle w:val="TableParagraph"/>
              <w:widowControl/>
              <w:jc w:val="center"/>
            </w:pPr>
          </w:p>
        </w:tc>
        <w:tc>
          <w:tcPr>
            <w:tcW w:w="850" w:type="dxa"/>
            <w:tcBorders>
              <w:left w:val="single" w:sz="8" w:space="0" w:color="FFFFFF"/>
              <w:right w:val="nil"/>
            </w:tcBorders>
            <w:shd w:val="clear" w:color="auto" w:fill="68E089"/>
          </w:tcPr>
          <w:p w:rsidR="007A54C3" w:rsidRPr="00D45268" w:rsidRDefault="007A54C3" w:rsidP="00B84F20">
            <w:pPr>
              <w:pStyle w:val="TableParagraph"/>
              <w:widowControl/>
              <w:jc w:val="center"/>
            </w:pPr>
            <w:r w:rsidRPr="00D45268">
              <w:t>X</w:t>
            </w:r>
          </w:p>
        </w:tc>
        <w:tc>
          <w:tcPr>
            <w:tcW w:w="851" w:type="dxa"/>
            <w:tcBorders>
              <w:left w:val="single" w:sz="8" w:space="0" w:color="FFFFFF"/>
              <w:right w:val="nil"/>
            </w:tcBorders>
            <w:shd w:val="clear" w:color="auto" w:fill="68E089"/>
          </w:tcPr>
          <w:p w:rsidR="007A54C3" w:rsidRPr="00D45268" w:rsidRDefault="007A54C3" w:rsidP="00B84F20">
            <w:pPr>
              <w:pStyle w:val="TableParagraph"/>
              <w:widowControl/>
              <w:jc w:val="center"/>
            </w:pPr>
            <w:r w:rsidRPr="00D45268">
              <w:t>X</w:t>
            </w:r>
          </w:p>
        </w:tc>
        <w:tc>
          <w:tcPr>
            <w:tcW w:w="850" w:type="dxa"/>
            <w:tcBorders>
              <w:left w:val="single" w:sz="8" w:space="0" w:color="FFFFFF"/>
              <w:right w:val="nil"/>
            </w:tcBorders>
            <w:shd w:val="clear" w:color="auto" w:fill="D9D9D9" w:themeFill="background1" w:themeFillShade="D9"/>
          </w:tcPr>
          <w:p w:rsidR="007A54C3" w:rsidRPr="00D45268" w:rsidRDefault="007A54C3" w:rsidP="00B84F20">
            <w:pPr>
              <w:pStyle w:val="TableParagraph"/>
              <w:widowControl/>
              <w:jc w:val="center"/>
            </w:pPr>
          </w:p>
        </w:tc>
        <w:tc>
          <w:tcPr>
            <w:tcW w:w="851" w:type="dxa"/>
            <w:tcBorders>
              <w:left w:val="single" w:sz="8" w:space="0" w:color="FFFFFF"/>
              <w:right w:val="single" w:sz="12" w:space="0" w:color="FFFFFF" w:themeColor="background1"/>
            </w:tcBorders>
            <w:shd w:val="clear" w:color="auto" w:fill="D9D9D9" w:themeFill="background1" w:themeFillShade="D9"/>
          </w:tcPr>
          <w:p w:rsidR="007A54C3" w:rsidRPr="00D45268" w:rsidRDefault="007A54C3" w:rsidP="00B84F20">
            <w:pPr>
              <w:pStyle w:val="TableParagraph"/>
              <w:widowControl/>
              <w:jc w:val="center"/>
            </w:pPr>
          </w:p>
        </w:tc>
      </w:tr>
      <w:tr w:rsidR="007A54C3" w:rsidRPr="00D45268" w:rsidTr="00DF2AFA">
        <w:trPr>
          <w:trHeight w:val="384"/>
        </w:trPr>
        <w:tc>
          <w:tcPr>
            <w:tcW w:w="5245" w:type="dxa"/>
            <w:tcBorders>
              <w:top w:val="single" w:sz="8" w:space="0" w:color="FFFFFF"/>
              <w:left w:val="nil"/>
              <w:right w:val="single" w:sz="8" w:space="0" w:color="FFFFFF"/>
            </w:tcBorders>
            <w:shd w:val="clear" w:color="auto" w:fill="F1F1F1"/>
          </w:tcPr>
          <w:p w:rsidR="007A54C3" w:rsidRPr="00D45268" w:rsidRDefault="007A54C3" w:rsidP="00B84F20">
            <w:pPr>
              <w:pStyle w:val="TableParagraph"/>
              <w:widowControl/>
              <w:spacing w:line="267" w:lineRule="exact"/>
              <w:ind w:left="98"/>
            </w:pPr>
            <w:r w:rsidRPr="00D45268">
              <w:t>3.  Trois événements afin de présenter les supports produits aux parties prenantes concernées dans chaque pays bénéficiaire et de recueillir leurs commentaires</w:t>
            </w:r>
          </w:p>
        </w:tc>
        <w:tc>
          <w:tcPr>
            <w:tcW w:w="851" w:type="dxa"/>
            <w:tcBorders>
              <w:left w:val="single" w:sz="8" w:space="0" w:color="FFFFFF"/>
              <w:right w:val="nil"/>
            </w:tcBorders>
            <w:shd w:val="clear" w:color="auto" w:fill="D9D9D9" w:themeFill="background1" w:themeFillShade="D9"/>
          </w:tcPr>
          <w:p w:rsidR="007A54C3" w:rsidRPr="00D45268" w:rsidRDefault="007A54C3" w:rsidP="00B84F20">
            <w:pPr>
              <w:pStyle w:val="TableParagraph"/>
              <w:widowControl/>
              <w:jc w:val="center"/>
            </w:pPr>
          </w:p>
        </w:tc>
        <w:tc>
          <w:tcPr>
            <w:tcW w:w="850" w:type="dxa"/>
            <w:tcBorders>
              <w:left w:val="single" w:sz="8" w:space="0" w:color="FFFFFF"/>
              <w:right w:val="nil"/>
            </w:tcBorders>
            <w:shd w:val="clear" w:color="auto" w:fill="D9D9D9" w:themeFill="background1" w:themeFillShade="D9"/>
          </w:tcPr>
          <w:p w:rsidR="007A54C3" w:rsidRPr="00D45268" w:rsidRDefault="007A54C3" w:rsidP="00B84F20">
            <w:pPr>
              <w:pStyle w:val="TableParagraph"/>
              <w:widowControl/>
              <w:jc w:val="center"/>
            </w:pPr>
          </w:p>
        </w:tc>
        <w:tc>
          <w:tcPr>
            <w:tcW w:w="851" w:type="dxa"/>
            <w:tcBorders>
              <w:left w:val="single" w:sz="8" w:space="0" w:color="FFFFFF"/>
              <w:right w:val="nil"/>
            </w:tcBorders>
            <w:shd w:val="clear" w:color="auto" w:fill="68E089"/>
          </w:tcPr>
          <w:p w:rsidR="007A54C3" w:rsidRPr="00D45268" w:rsidRDefault="007A54C3" w:rsidP="00B84F20">
            <w:pPr>
              <w:pStyle w:val="TableParagraph"/>
              <w:widowControl/>
              <w:jc w:val="center"/>
            </w:pPr>
            <w:r w:rsidRPr="00D45268">
              <w:t>X</w:t>
            </w:r>
          </w:p>
        </w:tc>
        <w:tc>
          <w:tcPr>
            <w:tcW w:w="850" w:type="dxa"/>
            <w:tcBorders>
              <w:left w:val="single" w:sz="8" w:space="0" w:color="FFFFFF"/>
              <w:right w:val="nil"/>
            </w:tcBorders>
            <w:shd w:val="clear" w:color="auto" w:fill="68E089"/>
          </w:tcPr>
          <w:p w:rsidR="007A54C3" w:rsidRPr="00D45268" w:rsidRDefault="007A54C3" w:rsidP="00B84F20">
            <w:pPr>
              <w:pStyle w:val="TableParagraph"/>
              <w:widowControl/>
              <w:jc w:val="center"/>
            </w:pPr>
            <w:r w:rsidRPr="00D45268">
              <w:t>X</w:t>
            </w:r>
          </w:p>
        </w:tc>
        <w:tc>
          <w:tcPr>
            <w:tcW w:w="851" w:type="dxa"/>
            <w:tcBorders>
              <w:left w:val="single" w:sz="8" w:space="0" w:color="FFFFFF"/>
              <w:right w:val="single" w:sz="12" w:space="0" w:color="FFFFFF" w:themeColor="background1"/>
            </w:tcBorders>
            <w:shd w:val="clear" w:color="auto" w:fill="D9D9D9" w:themeFill="background1" w:themeFillShade="D9"/>
          </w:tcPr>
          <w:p w:rsidR="007A54C3" w:rsidRPr="00D45268" w:rsidRDefault="007A54C3" w:rsidP="00B84F20">
            <w:pPr>
              <w:pStyle w:val="TableParagraph"/>
              <w:widowControl/>
              <w:jc w:val="center"/>
            </w:pPr>
          </w:p>
        </w:tc>
      </w:tr>
      <w:tr w:rsidR="007A54C3" w:rsidRPr="00D45268" w:rsidTr="00DF2AFA">
        <w:trPr>
          <w:trHeight w:val="387"/>
        </w:trPr>
        <w:tc>
          <w:tcPr>
            <w:tcW w:w="5245" w:type="dxa"/>
            <w:tcBorders>
              <w:top w:val="single" w:sz="8" w:space="0" w:color="FFFFFF"/>
              <w:left w:val="nil"/>
              <w:bottom w:val="single" w:sz="8" w:space="0" w:color="FFFFFF"/>
              <w:right w:val="single" w:sz="8" w:space="0" w:color="FFFFFF"/>
            </w:tcBorders>
            <w:shd w:val="clear" w:color="auto" w:fill="F1F1F1"/>
          </w:tcPr>
          <w:p w:rsidR="007A54C3" w:rsidRPr="00D45268" w:rsidRDefault="007A54C3" w:rsidP="00B84F20">
            <w:pPr>
              <w:pStyle w:val="TableParagraph"/>
              <w:widowControl/>
              <w:spacing w:line="267" w:lineRule="exact"/>
              <w:ind w:left="98"/>
            </w:pPr>
            <w:r w:rsidRPr="00D45268">
              <w:t>4.  Conclusion du projet et auto</w:t>
            </w:r>
            <w:r w:rsidR="00931279">
              <w:noBreakHyphen/>
            </w:r>
            <w:r w:rsidR="00B84F20">
              <w:t>évaluation finale</w:t>
            </w:r>
          </w:p>
        </w:tc>
        <w:tc>
          <w:tcPr>
            <w:tcW w:w="851" w:type="dxa"/>
            <w:tcBorders>
              <w:left w:val="single" w:sz="8" w:space="0" w:color="FFFFFF"/>
              <w:right w:val="nil"/>
            </w:tcBorders>
            <w:shd w:val="clear" w:color="auto" w:fill="D9D9D9" w:themeFill="background1" w:themeFillShade="D9"/>
          </w:tcPr>
          <w:p w:rsidR="007A54C3" w:rsidRPr="00D45268" w:rsidRDefault="007A54C3" w:rsidP="00B84F20">
            <w:pPr>
              <w:pStyle w:val="TableParagraph"/>
              <w:widowControl/>
              <w:jc w:val="center"/>
            </w:pPr>
          </w:p>
        </w:tc>
        <w:tc>
          <w:tcPr>
            <w:tcW w:w="850" w:type="dxa"/>
            <w:tcBorders>
              <w:left w:val="single" w:sz="8" w:space="0" w:color="FFFFFF"/>
              <w:right w:val="nil"/>
            </w:tcBorders>
            <w:shd w:val="clear" w:color="auto" w:fill="D9D9D9" w:themeFill="background1" w:themeFillShade="D9"/>
          </w:tcPr>
          <w:p w:rsidR="007A54C3" w:rsidRPr="00D45268" w:rsidRDefault="007A54C3" w:rsidP="00B84F20">
            <w:pPr>
              <w:pStyle w:val="TableParagraph"/>
              <w:widowControl/>
              <w:jc w:val="center"/>
            </w:pPr>
          </w:p>
        </w:tc>
        <w:tc>
          <w:tcPr>
            <w:tcW w:w="851" w:type="dxa"/>
            <w:tcBorders>
              <w:left w:val="single" w:sz="8" w:space="0" w:color="FFFFFF"/>
              <w:right w:val="nil"/>
            </w:tcBorders>
            <w:shd w:val="clear" w:color="auto" w:fill="D9D9D9" w:themeFill="background1" w:themeFillShade="D9"/>
          </w:tcPr>
          <w:p w:rsidR="007A54C3" w:rsidRPr="00D45268" w:rsidRDefault="007A54C3" w:rsidP="00B84F20">
            <w:pPr>
              <w:pStyle w:val="TableParagraph"/>
              <w:widowControl/>
              <w:jc w:val="center"/>
            </w:pPr>
          </w:p>
        </w:tc>
        <w:tc>
          <w:tcPr>
            <w:tcW w:w="850" w:type="dxa"/>
            <w:tcBorders>
              <w:left w:val="single" w:sz="8" w:space="0" w:color="FFFFFF"/>
              <w:right w:val="nil"/>
            </w:tcBorders>
            <w:shd w:val="clear" w:color="auto" w:fill="D9D9D9" w:themeFill="background1" w:themeFillShade="D9"/>
          </w:tcPr>
          <w:p w:rsidR="007A54C3" w:rsidRPr="00D45268" w:rsidRDefault="007A54C3" w:rsidP="00B84F20">
            <w:pPr>
              <w:pStyle w:val="TableParagraph"/>
              <w:widowControl/>
              <w:jc w:val="center"/>
            </w:pPr>
          </w:p>
        </w:tc>
        <w:tc>
          <w:tcPr>
            <w:tcW w:w="851" w:type="dxa"/>
            <w:tcBorders>
              <w:left w:val="single" w:sz="8" w:space="0" w:color="FFFFFF"/>
              <w:right w:val="single" w:sz="12" w:space="0" w:color="FFFFFF" w:themeColor="background1"/>
            </w:tcBorders>
            <w:shd w:val="clear" w:color="auto" w:fill="68E089"/>
          </w:tcPr>
          <w:p w:rsidR="007A54C3" w:rsidRPr="00D45268" w:rsidRDefault="007A54C3" w:rsidP="00B84F20">
            <w:pPr>
              <w:pStyle w:val="TableParagraph"/>
              <w:widowControl/>
              <w:jc w:val="center"/>
            </w:pPr>
            <w:r w:rsidRPr="00D45268">
              <w:t>X</w:t>
            </w:r>
          </w:p>
        </w:tc>
      </w:tr>
    </w:tbl>
    <w:p w:rsidR="007A54C3" w:rsidRPr="00D45268" w:rsidRDefault="007A54C3" w:rsidP="00B84F20">
      <w:pPr>
        <w:spacing w:after="220"/>
        <w:rPr>
          <w:rFonts w:eastAsia="Times New Roman"/>
          <w:b/>
          <w:bCs/>
          <w:szCs w:val="22"/>
          <w:lang w:val="fr-FR" w:eastAsia="en-US"/>
        </w:rPr>
      </w:pPr>
    </w:p>
    <w:p w:rsidR="007A54C3" w:rsidRPr="00D45268" w:rsidRDefault="007A54C3" w:rsidP="00B84F20">
      <w:pPr>
        <w:spacing w:after="220"/>
        <w:rPr>
          <w:rFonts w:eastAsia="Times New Roman"/>
          <w:b/>
          <w:bCs/>
          <w:szCs w:val="22"/>
          <w:lang w:val="fr-FR"/>
        </w:rPr>
      </w:pPr>
      <w:r w:rsidRPr="00D45268">
        <w:rPr>
          <w:b/>
          <w:lang w:val="fr-FR"/>
        </w:rPr>
        <w:t>4.</w:t>
      </w:r>
      <w:r w:rsidR="00B84F20">
        <w:rPr>
          <w:b/>
          <w:lang w:val="fr-FR"/>
        </w:rPr>
        <w:tab/>
      </w:r>
      <w:r w:rsidRPr="00D45268">
        <w:rPr>
          <w:b/>
          <w:lang w:val="fr-FR"/>
        </w:rPr>
        <w:t xml:space="preserve">Ressources totales par résultat </w:t>
      </w:r>
    </w:p>
    <w:tbl>
      <w:tblPr>
        <w:tblW w:w="9493" w:type="dxa"/>
        <w:tblLook w:val="04A0" w:firstRow="1" w:lastRow="0" w:firstColumn="1" w:lastColumn="0" w:noHBand="0" w:noVBand="1"/>
      </w:tblPr>
      <w:tblGrid>
        <w:gridCol w:w="4815"/>
        <w:gridCol w:w="1701"/>
        <w:gridCol w:w="1559"/>
        <w:gridCol w:w="1418"/>
      </w:tblGrid>
      <w:tr w:rsidR="007A54C3" w:rsidRPr="00D45268" w:rsidTr="00DF2AFA">
        <w:trPr>
          <w:trHeight w:val="705"/>
        </w:trPr>
        <w:tc>
          <w:tcPr>
            <w:tcW w:w="4815" w:type="dxa"/>
            <w:tcBorders>
              <w:top w:val="single" w:sz="4" w:space="0" w:color="BFBFBF"/>
              <w:left w:val="single" w:sz="4" w:space="0" w:color="BFBFBF"/>
              <w:bottom w:val="nil"/>
              <w:right w:val="single" w:sz="4" w:space="0" w:color="A6A6A6"/>
            </w:tcBorders>
            <w:shd w:val="clear" w:color="000000" w:fill="C7CFD8"/>
            <w:noWrap/>
            <w:vAlign w:val="bottom"/>
            <w:hideMark/>
          </w:tcPr>
          <w:p w:rsidR="007A54C3" w:rsidRPr="00D45268" w:rsidRDefault="007A54C3" w:rsidP="00B84F20">
            <w:pPr>
              <w:rPr>
                <w:rFonts w:ascii="Arial Narrow" w:eastAsia="Times New Roman" w:hAnsi="Arial Narrow"/>
                <w:i/>
                <w:iCs/>
                <w:color w:val="002839"/>
                <w:szCs w:val="22"/>
                <w:lang w:val="fr-FR"/>
              </w:rPr>
            </w:pPr>
            <w:r w:rsidRPr="00D45268">
              <w:rPr>
                <w:rFonts w:ascii="Arial Narrow" w:hAnsi="Arial Narrow"/>
                <w:i/>
                <w:color w:val="002839"/>
                <w:lang w:val="fr-FR"/>
              </w:rPr>
              <w:t>(en francs suisses)</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7A54C3" w:rsidRPr="00D45268" w:rsidRDefault="007A54C3" w:rsidP="00B84F20">
            <w:pPr>
              <w:jc w:val="center"/>
              <w:rPr>
                <w:rFonts w:ascii="Arial Narrow" w:eastAsia="Times New Roman" w:hAnsi="Arial Narrow"/>
                <w:b/>
                <w:bCs/>
                <w:color w:val="002839"/>
                <w:szCs w:val="22"/>
                <w:lang w:val="fr-FR"/>
              </w:rPr>
            </w:pPr>
            <w:r w:rsidRPr="00D45268">
              <w:rPr>
                <w:rFonts w:ascii="Arial Narrow" w:hAnsi="Arial Narrow"/>
                <w:b/>
                <w:color w:val="002839"/>
                <w:lang w:val="fr-FR"/>
              </w:rPr>
              <w:t>Année</w:t>
            </w:r>
            <w:r>
              <w:rPr>
                <w:rFonts w:ascii="Arial Narrow" w:hAnsi="Arial Narrow"/>
                <w:b/>
                <w:color w:val="002839"/>
              </w:rPr>
              <w:t> </w:t>
            </w:r>
            <w:r w:rsidRPr="00D45268">
              <w:rPr>
                <w:rFonts w:ascii="Arial Narrow" w:hAnsi="Arial Narrow"/>
                <w:b/>
                <w:color w:val="002839"/>
                <w:lang w:val="fr-FR"/>
              </w:rPr>
              <w:t>1</w:t>
            </w:r>
          </w:p>
        </w:tc>
        <w:tc>
          <w:tcPr>
            <w:tcW w:w="1418"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7A54C3" w:rsidRPr="00D45268" w:rsidRDefault="00043A1E" w:rsidP="00B84F20">
            <w:pPr>
              <w:jc w:val="center"/>
              <w:rPr>
                <w:rFonts w:ascii="Arial Narrow" w:eastAsia="Times New Roman" w:hAnsi="Arial Narrow"/>
                <w:b/>
                <w:bCs/>
                <w:color w:val="002839"/>
                <w:szCs w:val="22"/>
                <w:lang w:val="fr-FR"/>
              </w:rPr>
            </w:pPr>
            <w:r>
              <w:rPr>
                <w:rFonts w:ascii="Arial Narrow" w:hAnsi="Arial Narrow"/>
                <w:b/>
                <w:color w:val="002839"/>
                <w:lang w:val="fr-FR"/>
              </w:rPr>
              <w:t>Total</w:t>
            </w:r>
          </w:p>
        </w:tc>
      </w:tr>
      <w:tr w:rsidR="007A54C3" w:rsidRPr="00D45268" w:rsidTr="00DF2AFA">
        <w:trPr>
          <w:trHeight w:val="525"/>
        </w:trPr>
        <w:tc>
          <w:tcPr>
            <w:tcW w:w="4815" w:type="dxa"/>
            <w:tcBorders>
              <w:top w:val="nil"/>
              <w:left w:val="single" w:sz="4" w:space="0" w:color="BFBFBF"/>
              <w:bottom w:val="single" w:sz="4" w:space="0" w:color="BFBFBF"/>
              <w:right w:val="nil"/>
            </w:tcBorders>
            <w:shd w:val="clear" w:color="000000" w:fill="C7CFD8"/>
            <w:noWrap/>
            <w:vAlign w:val="bottom"/>
            <w:hideMark/>
          </w:tcPr>
          <w:p w:rsidR="007A54C3" w:rsidRPr="00D45268" w:rsidRDefault="007A54C3" w:rsidP="00B84F20">
            <w:pPr>
              <w:rPr>
                <w:rFonts w:ascii="Arial Narrow" w:eastAsia="Times New Roman" w:hAnsi="Arial Narrow"/>
                <w:b/>
                <w:bCs/>
                <w:color w:val="002839"/>
                <w:szCs w:val="22"/>
                <w:lang w:val="fr-FR"/>
              </w:rPr>
            </w:pPr>
            <w:r w:rsidRPr="00D45268">
              <w:rPr>
                <w:rFonts w:ascii="Arial Narrow" w:hAnsi="Arial Narrow"/>
                <w:b/>
                <w:color w:val="002839"/>
                <w:lang w:val="fr-FR"/>
              </w:rPr>
              <w:t>Rés</w:t>
            </w:r>
            <w:r w:rsidR="00B84F20">
              <w:rPr>
                <w:rFonts w:ascii="Arial Narrow" w:hAnsi="Arial Narrow"/>
                <w:b/>
                <w:color w:val="002839"/>
                <w:lang w:val="fr-FR"/>
              </w:rPr>
              <w:t>ultats intermédiaires du projet</w:t>
            </w:r>
          </w:p>
        </w:tc>
        <w:tc>
          <w:tcPr>
            <w:tcW w:w="1701" w:type="dxa"/>
            <w:tcBorders>
              <w:top w:val="nil"/>
              <w:left w:val="single" w:sz="4" w:space="0" w:color="A6A6A6"/>
              <w:bottom w:val="single" w:sz="4" w:space="0" w:color="BFBFBF"/>
              <w:right w:val="single" w:sz="4" w:space="0" w:color="A6A6A6"/>
            </w:tcBorders>
            <w:shd w:val="clear" w:color="000000" w:fill="C7CFD8"/>
            <w:vAlign w:val="bottom"/>
            <w:hideMark/>
          </w:tcPr>
          <w:p w:rsidR="007A54C3" w:rsidRPr="00D45268" w:rsidRDefault="00B84F20" w:rsidP="00B84F20">
            <w:pPr>
              <w:jc w:val="center"/>
              <w:rPr>
                <w:rFonts w:ascii="Arial Narrow" w:eastAsia="Times New Roman" w:hAnsi="Arial Narrow"/>
                <w:b/>
                <w:bCs/>
                <w:color w:val="002839"/>
                <w:szCs w:val="22"/>
                <w:lang w:val="fr-FR"/>
              </w:rPr>
            </w:pPr>
            <w:r>
              <w:rPr>
                <w:rFonts w:ascii="Arial Narrow" w:hAnsi="Arial Narrow"/>
                <w:b/>
                <w:color w:val="002839"/>
                <w:lang w:val="fr-FR"/>
              </w:rPr>
              <w:t>Dépenses de personnel</w:t>
            </w:r>
          </w:p>
        </w:tc>
        <w:tc>
          <w:tcPr>
            <w:tcW w:w="1559" w:type="dxa"/>
            <w:tcBorders>
              <w:top w:val="nil"/>
              <w:left w:val="nil"/>
              <w:bottom w:val="single" w:sz="4" w:space="0" w:color="BFBFBF"/>
              <w:right w:val="single" w:sz="4" w:space="0" w:color="A6A6A6"/>
            </w:tcBorders>
            <w:shd w:val="clear" w:color="000000" w:fill="C7CFD8"/>
            <w:vAlign w:val="bottom"/>
            <w:hideMark/>
          </w:tcPr>
          <w:p w:rsidR="007A54C3" w:rsidRPr="00D45268" w:rsidRDefault="00B84F20" w:rsidP="00B84F20">
            <w:pPr>
              <w:jc w:val="center"/>
              <w:rPr>
                <w:rFonts w:ascii="Arial Narrow" w:eastAsia="Times New Roman" w:hAnsi="Arial Narrow"/>
                <w:b/>
                <w:bCs/>
                <w:color w:val="002839"/>
                <w:szCs w:val="22"/>
                <w:lang w:val="fr-FR"/>
              </w:rPr>
            </w:pPr>
            <w:r>
              <w:rPr>
                <w:rFonts w:ascii="Arial Narrow" w:hAnsi="Arial Narrow"/>
                <w:b/>
                <w:color w:val="002839"/>
                <w:lang w:val="fr-FR"/>
              </w:rPr>
              <w:t>Autres dépenses</w:t>
            </w:r>
          </w:p>
        </w:tc>
        <w:tc>
          <w:tcPr>
            <w:tcW w:w="1418" w:type="dxa"/>
            <w:vMerge/>
            <w:tcBorders>
              <w:top w:val="single" w:sz="4" w:space="0" w:color="BFBFBF"/>
              <w:left w:val="nil"/>
              <w:bottom w:val="single" w:sz="4" w:space="0" w:color="BFBFBF"/>
              <w:right w:val="single" w:sz="4" w:space="0" w:color="BFBFBF"/>
            </w:tcBorders>
            <w:vAlign w:val="center"/>
            <w:hideMark/>
          </w:tcPr>
          <w:p w:rsidR="007A54C3" w:rsidRPr="00D45268" w:rsidRDefault="007A54C3" w:rsidP="00B84F20">
            <w:pPr>
              <w:rPr>
                <w:rFonts w:ascii="Arial Narrow" w:eastAsia="Times New Roman" w:hAnsi="Arial Narrow"/>
                <w:b/>
                <w:bCs/>
                <w:color w:val="002839"/>
                <w:szCs w:val="22"/>
                <w:lang w:val="fr-FR" w:eastAsia="en-US"/>
              </w:rPr>
            </w:pPr>
          </w:p>
        </w:tc>
      </w:tr>
      <w:tr w:rsidR="007A54C3" w:rsidRPr="00D45268" w:rsidTr="00DF2AFA">
        <w:trPr>
          <w:trHeight w:val="78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Supports de formation relatifs la propriété intellectuelle pour les applications mobiles</w:t>
            </w:r>
          </w:p>
        </w:tc>
        <w:tc>
          <w:tcPr>
            <w:tcW w:w="1701"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7A54C3" w:rsidRPr="00D45268" w:rsidRDefault="007A54C3" w:rsidP="00B84F20">
            <w:pPr>
              <w:jc w:val="right"/>
              <w:rPr>
                <w:rFonts w:ascii="Arial Narrow" w:eastAsia="Times New Roman" w:hAnsi="Arial Narrow"/>
                <w:color w:val="000000"/>
                <w:szCs w:val="22"/>
                <w:lang w:val="fr-FR"/>
              </w:rPr>
            </w:pPr>
            <w:r w:rsidRPr="00D45268">
              <w:rPr>
                <w:rFonts w:ascii="Arial Narrow" w:hAnsi="Arial Narrow"/>
                <w:color w:val="000000"/>
                <w:lang w:val="fr-FR"/>
              </w:rPr>
              <w:t xml:space="preserve">   40 000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jc w:val="right"/>
              <w:rPr>
                <w:rFonts w:ascii="Arial Narrow" w:eastAsia="Times New Roman" w:hAnsi="Arial Narrow"/>
                <w:color w:val="002839"/>
                <w:szCs w:val="22"/>
                <w:lang w:val="fr-FR"/>
              </w:rPr>
            </w:pPr>
            <w:r w:rsidRPr="00D45268">
              <w:rPr>
                <w:rFonts w:ascii="Arial Narrow" w:hAnsi="Arial Narrow"/>
                <w:color w:val="002839"/>
                <w:lang w:val="fr-FR"/>
              </w:rPr>
              <w:t xml:space="preserve">   40 000 </w:t>
            </w:r>
          </w:p>
        </w:tc>
      </w:tr>
      <w:tr w:rsidR="007A54C3" w:rsidRPr="00D45268" w:rsidTr="00DF2AFA">
        <w:trPr>
          <w:trHeight w:val="915"/>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Quatre instruments relatifs à la propriété intellectuelle pour les applications mobiles dans les secteurs de la musique, de l’édition, des jeux vidéo et des contenus audiovisuels</w:t>
            </w:r>
          </w:p>
        </w:tc>
        <w:tc>
          <w:tcPr>
            <w:tcW w:w="1701"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7A54C3" w:rsidRPr="00D45268" w:rsidRDefault="007A54C3" w:rsidP="00B84F20">
            <w:pPr>
              <w:jc w:val="right"/>
              <w:rPr>
                <w:rFonts w:ascii="Arial Narrow" w:eastAsia="Times New Roman" w:hAnsi="Arial Narrow"/>
                <w:color w:val="000000"/>
                <w:szCs w:val="22"/>
                <w:lang w:val="fr-FR"/>
              </w:rPr>
            </w:pPr>
            <w:r w:rsidRPr="00D45268">
              <w:rPr>
                <w:rFonts w:ascii="Arial Narrow" w:hAnsi="Arial Narrow"/>
                <w:color w:val="000000"/>
                <w:lang w:val="fr-FR"/>
              </w:rPr>
              <w:t xml:space="preserve">   60 000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jc w:val="right"/>
              <w:rPr>
                <w:rFonts w:ascii="Arial Narrow" w:eastAsia="Times New Roman" w:hAnsi="Arial Narrow"/>
                <w:color w:val="002839"/>
                <w:szCs w:val="22"/>
                <w:lang w:val="fr-FR"/>
              </w:rPr>
            </w:pPr>
            <w:r w:rsidRPr="00D45268">
              <w:rPr>
                <w:rFonts w:ascii="Arial Narrow" w:hAnsi="Arial Narrow"/>
                <w:color w:val="002839"/>
                <w:lang w:val="fr-FR"/>
              </w:rPr>
              <w:t xml:space="preserve">   60 000 </w:t>
            </w:r>
          </w:p>
        </w:tc>
      </w:tr>
      <w:tr w:rsidR="007A54C3" w:rsidRPr="00D45268" w:rsidTr="00DF2AFA">
        <w:trPr>
          <w:trHeight w:val="93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Trois événements afin de présenter les supports produits aux parties prenantes concernées dans chaque pays bénéficiaire et de recueillir leurs commentaires</w:t>
            </w:r>
          </w:p>
        </w:tc>
        <w:tc>
          <w:tcPr>
            <w:tcW w:w="1701"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559" w:type="dxa"/>
            <w:tcBorders>
              <w:top w:val="nil"/>
              <w:left w:val="nil"/>
              <w:bottom w:val="single" w:sz="4" w:space="0" w:color="BFBFBF"/>
              <w:right w:val="single" w:sz="4" w:space="0" w:color="BFBFBF"/>
            </w:tcBorders>
            <w:shd w:val="clear" w:color="auto" w:fill="auto"/>
            <w:vAlign w:val="center"/>
            <w:hideMark/>
          </w:tcPr>
          <w:p w:rsidR="007A54C3" w:rsidRPr="00D45268" w:rsidRDefault="007A54C3" w:rsidP="00B84F20">
            <w:pPr>
              <w:jc w:val="right"/>
              <w:rPr>
                <w:rFonts w:ascii="Arial Narrow" w:eastAsia="Times New Roman" w:hAnsi="Arial Narrow"/>
                <w:color w:val="000000"/>
                <w:szCs w:val="22"/>
                <w:lang w:val="fr-FR"/>
              </w:rPr>
            </w:pPr>
            <w:r w:rsidRPr="00D45268">
              <w:rPr>
                <w:rFonts w:ascii="Arial Narrow" w:hAnsi="Arial Narrow"/>
                <w:color w:val="000000"/>
                <w:lang w:val="fr-FR"/>
              </w:rPr>
              <w:t xml:space="preserve">   50 000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jc w:val="right"/>
              <w:rPr>
                <w:rFonts w:ascii="Arial Narrow" w:eastAsia="Times New Roman" w:hAnsi="Arial Narrow"/>
                <w:color w:val="002839"/>
                <w:szCs w:val="22"/>
                <w:lang w:val="fr-FR"/>
              </w:rPr>
            </w:pPr>
            <w:r w:rsidRPr="00D45268">
              <w:rPr>
                <w:rFonts w:ascii="Arial Narrow" w:hAnsi="Arial Narrow"/>
                <w:color w:val="002839"/>
                <w:lang w:val="fr-FR"/>
              </w:rPr>
              <w:t xml:space="preserve">   50 000 </w:t>
            </w:r>
          </w:p>
        </w:tc>
      </w:tr>
      <w:tr w:rsidR="007A54C3" w:rsidRPr="00D45268" w:rsidTr="00DF2AFA">
        <w:trPr>
          <w:trHeight w:val="660"/>
        </w:trPr>
        <w:tc>
          <w:tcPr>
            <w:tcW w:w="4815" w:type="dxa"/>
            <w:tcBorders>
              <w:top w:val="nil"/>
              <w:left w:val="single" w:sz="4" w:space="0" w:color="BFBFBF"/>
              <w:bottom w:val="single" w:sz="4" w:space="0" w:color="BFBFBF"/>
              <w:right w:val="single" w:sz="4" w:space="0" w:color="BFBFBF"/>
            </w:tcBorders>
            <w:shd w:val="clear" w:color="auto" w:fill="auto"/>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Conclusion du projet et auto</w:t>
            </w:r>
            <w:r w:rsidR="00931279">
              <w:rPr>
                <w:rFonts w:ascii="Arial Narrow" w:hAnsi="Arial Narrow"/>
                <w:color w:val="002839"/>
                <w:lang w:val="fr-FR"/>
              </w:rPr>
              <w:noBreakHyphen/>
            </w:r>
            <w:r w:rsidRPr="00D45268">
              <w:rPr>
                <w:rFonts w:ascii="Arial Narrow" w:hAnsi="Arial Narrow"/>
                <w:color w:val="002839"/>
                <w:lang w:val="fr-FR"/>
              </w:rPr>
              <w:t>évaluation finale</w:t>
            </w:r>
          </w:p>
        </w:tc>
        <w:tc>
          <w:tcPr>
            <w:tcW w:w="1701"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jc w:val="right"/>
              <w:rPr>
                <w:rFonts w:ascii="Arial Narrow" w:eastAsia="Times New Roman" w:hAnsi="Arial Narrow"/>
                <w:color w:val="002839"/>
                <w:szCs w:val="22"/>
                <w:lang w:val="fr-FR"/>
              </w:rPr>
            </w:pPr>
            <w:r w:rsidRPr="00D45268">
              <w:rPr>
                <w:rFonts w:ascii="Arial Narrow" w:hAnsi="Arial Narrow"/>
                <w:color w:val="002839"/>
                <w:lang w:val="fr-FR"/>
              </w:rPr>
              <w:t xml:space="preserve">                          –   </w:t>
            </w:r>
          </w:p>
        </w:tc>
        <w:tc>
          <w:tcPr>
            <w:tcW w:w="1559" w:type="dxa"/>
            <w:tcBorders>
              <w:top w:val="nil"/>
              <w:left w:val="nil"/>
              <w:bottom w:val="single" w:sz="4" w:space="0" w:color="BFBFBF"/>
              <w:right w:val="single" w:sz="4" w:space="0" w:color="BFBFBF"/>
            </w:tcBorders>
            <w:shd w:val="clear" w:color="auto" w:fill="auto"/>
            <w:vAlign w:val="center"/>
            <w:hideMark/>
          </w:tcPr>
          <w:p w:rsidR="007A54C3" w:rsidRPr="00D45268" w:rsidRDefault="007A54C3" w:rsidP="00B84F20">
            <w:pPr>
              <w:jc w:val="right"/>
              <w:rPr>
                <w:rFonts w:ascii="Arial Narrow" w:eastAsia="Times New Roman" w:hAnsi="Arial Narrow"/>
                <w:color w:val="002839"/>
                <w:szCs w:val="22"/>
                <w:lang w:val="fr-FR"/>
              </w:rPr>
            </w:pPr>
            <w:r w:rsidRPr="00D45268">
              <w:rPr>
                <w:rFonts w:ascii="Arial Narrow" w:hAnsi="Arial Narrow"/>
                <w:color w:val="002839"/>
                <w:lang w:val="fr-FR"/>
              </w:rPr>
              <w:t xml:space="preserve">                        –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 xml:space="preserve">                     –   </w:t>
            </w:r>
          </w:p>
        </w:tc>
      </w:tr>
      <w:tr w:rsidR="007A54C3" w:rsidRPr="00D45268" w:rsidTr="00DF2AFA">
        <w:trPr>
          <w:trHeight w:val="330"/>
        </w:trPr>
        <w:tc>
          <w:tcPr>
            <w:tcW w:w="4815" w:type="dxa"/>
            <w:tcBorders>
              <w:top w:val="nil"/>
              <w:left w:val="single" w:sz="4" w:space="0" w:color="BFBFBF"/>
              <w:bottom w:val="single" w:sz="4" w:space="0" w:color="BFBFBF"/>
              <w:right w:val="single" w:sz="4" w:space="0" w:color="BFBFBF"/>
            </w:tcBorders>
            <w:shd w:val="clear" w:color="000000" w:fill="EDF0F3"/>
            <w:vAlign w:val="center"/>
            <w:hideMark/>
          </w:tcPr>
          <w:p w:rsidR="007A54C3" w:rsidRPr="00D45268" w:rsidRDefault="007A54C3" w:rsidP="00B84F20">
            <w:pPr>
              <w:rPr>
                <w:rFonts w:ascii="Arial Narrow" w:eastAsia="Times New Roman" w:hAnsi="Arial Narrow"/>
                <w:b/>
                <w:bCs/>
                <w:color w:val="002839"/>
                <w:szCs w:val="22"/>
                <w:lang w:val="fr-FR"/>
              </w:rPr>
            </w:pPr>
            <w:r w:rsidRPr="00D45268">
              <w:rPr>
                <w:rFonts w:ascii="Arial Narrow" w:hAnsi="Arial Narrow"/>
                <w:b/>
                <w:color w:val="002839"/>
                <w:lang w:val="fr-FR"/>
              </w:rPr>
              <w:t xml:space="preserve">Total </w:t>
            </w:r>
          </w:p>
        </w:tc>
        <w:tc>
          <w:tcPr>
            <w:tcW w:w="1701" w:type="dxa"/>
            <w:tcBorders>
              <w:top w:val="nil"/>
              <w:left w:val="nil"/>
              <w:bottom w:val="single" w:sz="4" w:space="0" w:color="BFBFBF"/>
              <w:right w:val="single" w:sz="4" w:space="0" w:color="BFBFBF"/>
            </w:tcBorders>
            <w:shd w:val="clear" w:color="000000" w:fill="EDF0F3"/>
            <w:noWrap/>
            <w:vAlign w:val="center"/>
            <w:hideMark/>
          </w:tcPr>
          <w:p w:rsidR="007A54C3" w:rsidRPr="00D45268" w:rsidRDefault="007A54C3" w:rsidP="00B84F20">
            <w:pPr>
              <w:rPr>
                <w:rFonts w:ascii="Arial Narrow" w:eastAsia="Times New Roman" w:hAnsi="Arial Narrow"/>
                <w:b/>
                <w:bCs/>
                <w:color w:val="002839"/>
                <w:szCs w:val="22"/>
                <w:lang w:val="fr-FR"/>
              </w:rPr>
            </w:pPr>
            <w:r w:rsidRPr="00D45268">
              <w:rPr>
                <w:rFonts w:ascii="Arial Narrow" w:hAnsi="Arial Narrow"/>
                <w:b/>
                <w:color w:val="002839"/>
                <w:lang w:val="fr-FR"/>
              </w:rPr>
              <w:t xml:space="preserve">                          –   </w:t>
            </w:r>
          </w:p>
        </w:tc>
        <w:tc>
          <w:tcPr>
            <w:tcW w:w="1559" w:type="dxa"/>
            <w:tcBorders>
              <w:top w:val="nil"/>
              <w:left w:val="nil"/>
              <w:bottom w:val="single" w:sz="4" w:space="0" w:color="BFBFBF"/>
              <w:right w:val="single" w:sz="4" w:space="0" w:color="BFBFBF"/>
            </w:tcBorders>
            <w:shd w:val="clear" w:color="000000" w:fill="EDF0F3"/>
            <w:noWrap/>
            <w:vAlign w:val="center"/>
            <w:hideMark/>
          </w:tcPr>
          <w:p w:rsidR="007A54C3" w:rsidRPr="00D45268" w:rsidRDefault="007A54C3" w:rsidP="00B84F20">
            <w:pPr>
              <w:rPr>
                <w:rFonts w:ascii="Arial Narrow" w:eastAsia="Times New Roman" w:hAnsi="Arial Narrow"/>
                <w:b/>
                <w:bCs/>
                <w:color w:val="002839"/>
                <w:szCs w:val="22"/>
                <w:lang w:val="fr-FR"/>
              </w:rPr>
            </w:pPr>
            <w:r w:rsidRPr="00D45268">
              <w:rPr>
                <w:rFonts w:ascii="Arial Narrow" w:hAnsi="Arial Narrow"/>
                <w:b/>
                <w:color w:val="002839"/>
                <w:lang w:val="fr-FR"/>
              </w:rPr>
              <w:t xml:space="preserve">             150 000 </w:t>
            </w:r>
          </w:p>
        </w:tc>
        <w:tc>
          <w:tcPr>
            <w:tcW w:w="1418" w:type="dxa"/>
            <w:tcBorders>
              <w:top w:val="nil"/>
              <w:left w:val="nil"/>
              <w:bottom w:val="single" w:sz="4" w:space="0" w:color="BFBFBF"/>
              <w:right w:val="single" w:sz="4" w:space="0" w:color="BFBFBF"/>
            </w:tcBorders>
            <w:shd w:val="clear" w:color="000000" w:fill="EDF0F3"/>
            <w:noWrap/>
            <w:vAlign w:val="center"/>
            <w:hideMark/>
          </w:tcPr>
          <w:p w:rsidR="007A54C3" w:rsidRPr="00D45268" w:rsidRDefault="007A54C3" w:rsidP="00B84F20">
            <w:pPr>
              <w:rPr>
                <w:rFonts w:ascii="Arial Narrow" w:eastAsia="Times New Roman" w:hAnsi="Arial Narrow"/>
                <w:b/>
                <w:bCs/>
                <w:color w:val="002839"/>
                <w:szCs w:val="22"/>
                <w:lang w:val="fr-FR"/>
              </w:rPr>
            </w:pPr>
            <w:r w:rsidRPr="00D45268">
              <w:rPr>
                <w:rFonts w:ascii="Arial Narrow" w:hAnsi="Arial Narrow"/>
                <w:b/>
                <w:color w:val="002839"/>
                <w:lang w:val="fr-FR"/>
              </w:rPr>
              <w:t xml:space="preserve">          150 000 </w:t>
            </w:r>
          </w:p>
        </w:tc>
      </w:tr>
    </w:tbl>
    <w:p w:rsidR="007A54C3" w:rsidRPr="00D45268" w:rsidRDefault="007A54C3" w:rsidP="00B84F20">
      <w:pPr>
        <w:rPr>
          <w:rFonts w:eastAsia="Times New Roman"/>
          <w:szCs w:val="22"/>
          <w:lang w:val="fr-FR" w:eastAsia="en-US"/>
        </w:rPr>
        <w:sectPr w:rsidR="007A54C3" w:rsidRPr="00D45268" w:rsidSect="00E61FAB">
          <w:headerReference w:type="default" r:id="rId16"/>
          <w:headerReference w:type="first" r:id="rId17"/>
          <w:endnotePr>
            <w:numFmt w:val="decimal"/>
          </w:endnotePr>
          <w:pgSz w:w="11907" w:h="16840" w:code="9"/>
          <w:pgMar w:top="567" w:right="1134" w:bottom="1418" w:left="1418" w:header="510" w:footer="1021" w:gutter="0"/>
          <w:pgNumType w:start="1" w:chapStyle="1"/>
          <w:cols w:space="720"/>
          <w:titlePg/>
          <w:docGrid w:linePitch="299"/>
        </w:sectPr>
      </w:pPr>
    </w:p>
    <w:p w:rsidR="007A54C3" w:rsidRPr="00D45268" w:rsidRDefault="007A54C3" w:rsidP="00B84F20">
      <w:pPr>
        <w:rPr>
          <w:rFonts w:eastAsia="Times New Roman"/>
          <w:b/>
          <w:bCs/>
          <w:szCs w:val="22"/>
          <w:lang w:val="fr-FR"/>
        </w:rPr>
      </w:pPr>
      <w:r w:rsidRPr="00D45268">
        <w:rPr>
          <w:b/>
          <w:lang w:val="fr-FR"/>
        </w:rPr>
        <w:lastRenderedPageBreak/>
        <w:t xml:space="preserve">5. </w:t>
      </w:r>
      <w:r w:rsidR="00B84F20">
        <w:rPr>
          <w:b/>
          <w:lang w:val="fr-FR"/>
        </w:rPr>
        <w:tab/>
      </w:r>
      <w:r w:rsidRPr="00D45268">
        <w:rPr>
          <w:b/>
          <w:lang w:val="fr-FR"/>
        </w:rPr>
        <w:t>Dépenses autres que les dépenses de personnel, par catégorie de coût</w:t>
      </w:r>
    </w:p>
    <w:p w:rsidR="007A54C3" w:rsidRPr="00D45268" w:rsidRDefault="007A54C3" w:rsidP="00B84F20">
      <w:pPr>
        <w:rPr>
          <w:rFonts w:eastAsia="Times New Roman"/>
          <w:b/>
          <w:bCs/>
          <w:szCs w:val="22"/>
          <w:lang w:val="fr-FR" w:eastAsia="en-US"/>
        </w:rPr>
      </w:pPr>
    </w:p>
    <w:tbl>
      <w:tblPr>
        <w:tblW w:w="14005" w:type="dxa"/>
        <w:tblLayout w:type="fixed"/>
        <w:tblLook w:val="04A0" w:firstRow="1" w:lastRow="0" w:firstColumn="1" w:lastColumn="0" w:noHBand="0" w:noVBand="1"/>
      </w:tblPr>
      <w:tblGrid>
        <w:gridCol w:w="2689"/>
        <w:gridCol w:w="1559"/>
        <w:gridCol w:w="992"/>
        <w:gridCol w:w="1276"/>
        <w:gridCol w:w="1417"/>
        <w:gridCol w:w="1276"/>
        <w:gridCol w:w="1418"/>
        <w:gridCol w:w="992"/>
        <w:gridCol w:w="1417"/>
        <w:gridCol w:w="969"/>
      </w:tblGrid>
      <w:tr w:rsidR="007A54C3" w:rsidRPr="00D45268" w:rsidTr="00BF204D">
        <w:trPr>
          <w:trHeight w:val="705"/>
        </w:trPr>
        <w:tc>
          <w:tcPr>
            <w:tcW w:w="2689" w:type="dxa"/>
            <w:tcBorders>
              <w:top w:val="single" w:sz="4" w:space="0" w:color="BFBFBF"/>
              <w:left w:val="single" w:sz="4" w:space="0" w:color="BFBFBF"/>
              <w:bottom w:val="nil"/>
              <w:right w:val="single" w:sz="4" w:space="0" w:color="A6A6A6"/>
            </w:tcBorders>
            <w:shd w:val="clear" w:color="000000" w:fill="C7CFD8"/>
            <w:noWrap/>
            <w:vAlign w:val="bottom"/>
            <w:hideMark/>
          </w:tcPr>
          <w:p w:rsidR="007A54C3" w:rsidRPr="00D45268" w:rsidRDefault="007A54C3" w:rsidP="00B84F20">
            <w:pPr>
              <w:rPr>
                <w:rFonts w:ascii="Arial Narrow" w:eastAsia="Times New Roman" w:hAnsi="Arial Narrow"/>
                <w:i/>
                <w:iCs/>
                <w:color w:val="002839"/>
                <w:szCs w:val="22"/>
                <w:lang w:val="fr-FR"/>
              </w:rPr>
            </w:pPr>
            <w:r w:rsidRPr="00D45268">
              <w:rPr>
                <w:rFonts w:ascii="Arial Narrow" w:hAnsi="Arial Narrow"/>
                <w:i/>
                <w:color w:val="002839"/>
                <w:lang w:val="fr-FR"/>
              </w:rPr>
              <w:t>(en francs suisses)</w:t>
            </w:r>
          </w:p>
        </w:tc>
        <w:tc>
          <w:tcPr>
            <w:tcW w:w="3827" w:type="dxa"/>
            <w:gridSpan w:val="3"/>
            <w:tcBorders>
              <w:top w:val="single" w:sz="4" w:space="0" w:color="BFBFBF"/>
              <w:left w:val="nil"/>
              <w:bottom w:val="single" w:sz="4" w:space="0" w:color="A6A6A6"/>
              <w:right w:val="single" w:sz="4" w:space="0" w:color="A6A6A6"/>
            </w:tcBorders>
            <w:shd w:val="clear" w:color="000000" w:fill="C7CFD8"/>
            <w:vAlign w:val="center"/>
            <w:hideMark/>
          </w:tcPr>
          <w:p w:rsidR="007A54C3" w:rsidRPr="00D45268" w:rsidRDefault="007A54C3" w:rsidP="00B84F20">
            <w:pPr>
              <w:jc w:val="center"/>
              <w:rPr>
                <w:rFonts w:ascii="Arial Narrow" w:eastAsia="Times New Roman" w:hAnsi="Arial Narrow"/>
                <w:b/>
                <w:bCs/>
                <w:color w:val="002839"/>
                <w:szCs w:val="22"/>
                <w:lang w:val="fr-FR"/>
              </w:rPr>
            </w:pPr>
            <w:r w:rsidRPr="00D45268">
              <w:rPr>
                <w:rFonts w:ascii="Arial Narrow" w:hAnsi="Arial Narrow"/>
                <w:b/>
                <w:color w:val="002839"/>
                <w:lang w:val="fr-FR"/>
              </w:rPr>
              <w:t>Vo</w:t>
            </w:r>
            <w:r w:rsidR="00BF204D">
              <w:rPr>
                <w:rFonts w:ascii="Arial Narrow" w:hAnsi="Arial Narrow"/>
                <w:b/>
                <w:color w:val="002839"/>
                <w:lang w:val="fr-FR"/>
              </w:rPr>
              <w:t>yages, formations et indemnités</w:t>
            </w:r>
          </w:p>
        </w:tc>
        <w:tc>
          <w:tcPr>
            <w:tcW w:w="6520" w:type="dxa"/>
            <w:gridSpan w:val="5"/>
            <w:tcBorders>
              <w:top w:val="single" w:sz="4" w:space="0" w:color="BFBFBF"/>
              <w:left w:val="nil"/>
              <w:bottom w:val="single" w:sz="4" w:space="0" w:color="A6A6A6"/>
              <w:right w:val="single" w:sz="4" w:space="0" w:color="A6A6A6"/>
            </w:tcBorders>
            <w:shd w:val="clear" w:color="000000" w:fill="C7CFD8"/>
            <w:vAlign w:val="center"/>
            <w:hideMark/>
          </w:tcPr>
          <w:p w:rsidR="007A54C3" w:rsidRPr="00D45268" w:rsidRDefault="007A54C3" w:rsidP="00B84F20">
            <w:pPr>
              <w:jc w:val="center"/>
              <w:rPr>
                <w:rFonts w:ascii="Arial Narrow" w:eastAsia="Times New Roman" w:hAnsi="Arial Narrow"/>
                <w:b/>
                <w:bCs/>
                <w:color w:val="002839"/>
                <w:szCs w:val="22"/>
                <w:lang w:val="fr-FR"/>
              </w:rPr>
            </w:pPr>
            <w:r w:rsidRPr="00D45268">
              <w:rPr>
                <w:rFonts w:ascii="Arial Narrow" w:hAnsi="Arial Narrow"/>
                <w:b/>
                <w:color w:val="002839"/>
                <w:lang w:val="fr-FR"/>
              </w:rPr>
              <w:t>Services contractuels</w:t>
            </w:r>
          </w:p>
        </w:tc>
        <w:tc>
          <w:tcPr>
            <w:tcW w:w="969"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rsidR="007A54C3" w:rsidRPr="00D45268" w:rsidRDefault="007A54C3" w:rsidP="00B84F20">
            <w:pPr>
              <w:jc w:val="center"/>
              <w:rPr>
                <w:rFonts w:ascii="Arial Narrow" w:eastAsia="Times New Roman" w:hAnsi="Arial Narrow"/>
                <w:b/>
                <w:bCs/>
                <w:color w:val="002839"/>
                <w:szCs w:val="22"/>
                <w:lang w:val="fr-FR"/>
              </w:rPr>
            </w:pPr>
            <w:r w:rsidRPr="00D45268">
              <w:rPr>
                <w:rFonts w:ascii="Arial Narrow" w:hAnsi="Arial Narrow"/>
                <w:b/>
                <w:color w:val="002839"/>
                <w:lang w:val="fr-FR"/>
              </w:rPr>
              <w:t>Total</w:t>
            </w:r>
          </w:p>
        </w:tc>
      </w:tr>
      <w:tr w:rsidR="00BF204D" w:rsidRPr="00D45268" w:rsidTr="00BF204D">
        <w:trPr>
          <w:trHeight w:val="990"/>
        </w:trPr>
        <w:tc>
          <w:tcPr>
            <w:tcW w:w="2689" w:type="dxa"/>
            <w:tcBorders>
              <w:top w:val="nil"/>
              <w:left w:val="single" w:sz="4" w:space="0" w:color="BFBFBF"/>
              <w:bottom w:val="single" w:sz="4" w:space="0" w:color="BFBFBF"/>
              <w:right w:val="single" w:sz="4" w:space="0" w:color="A6A6A6"/>
            </w:tcBorders>
            <w:shd w:val="clear" w:color="000000" w:fill="C7CFD8"/>
            <w:noWrap/>
            <w:vAlign w:val="bottom"/>
            <w:hideMark/>
          </w:tcPr>
          <w:p w:rsidR="007A54C3" w:rsidRPr="00D45268" w:rsidRDefault="007A54C3" w:rsidP="00B84F20">
            <w:pPr>
              <w:rPr>
                <w:rFonts w:ascii="Arial Narrow" w:eastAsia="Times New Roman" w:hAnsi="Arial Narrow"/>
                <w:b/>
                <w:bCs/>
                <w:color w:val="002839"/>
                <w:szCs w:val="22"/>
                <w:lang w:val="fr-FR"/>
              </w:rPr>
            </w:pPr>
            <w:r w:rsidRPr="00D45268">
              <w:rPr>
                <w:rFonts w:ascii="Arial Narrow" w:hAnsi="Arial Narrow"/>
                <w:b/>
                <w:color w:val="002839"/>
                <w:lang w:val="fr-FR"/>
              </w:rPr>
              <w:t>Activités</w:t>
            </w:r>
          </w:p>
        </w:tc>
        <w:tc>
          <w:tcPr>
            <w:tcW w:w="1559" w:type="dxa"/>
            <w:tcBorders>
              <w:top w:val="nil"/>
              <w:left w:val="nil"/>
              <w:bottom w:val="single" w:sz="4" w:space="0" w:color="BFBFBF"/>
              <w:right w:val="single" w:sz="4" w:space="0" w:color="A6A6A6"/>
            </w:tcBorders>
            <w:shd w:val="clear" w:color="000000" w:fill="C7CFD8"/>
            <w:vAlign w:val="center"/>
            <w:hideMark/>
          </w:tcPr>
          <w:p w:rsidR="007A54C3" w:rsidRPr="00D45268" w:rsidRDefault="007A54C3" w:rsidP="00B84F20">
            <w:pPr>
              <w:jc w:val="center"/>
              <w:rPr>
                <w:rFonts w:ascii="Arial Narrow" w:eastAsia="Times New Roman" w:hAnsi="Arial Narrow"/>
                <w:b/>
                <w:bCs/>
                <w:color w:val="002839"/>
                <w:szCs w:val="22"/>
                <w:lang w:val="fr-FR"/>
              </w:rPr>
            </w:pPr>
            <w:r w:rsidRPr="00D45268">
              <w:rPr>
                <w:rFonts w:ascii="Arial Narrow" w:hAnsi="Arial Narrow"/>
                <w:b/>
                <w:color w:val="002839"/>
                <w:lang w:val="fr-FR"/>
              </w:rPr>
              <w:t>Missions de fonctionnaires</w:t>
            </w:r>
          </w:p>
        </w:tc>
        <w:tc>
          <w:tcPr>
            <w:tcW w:w="992" w:type="dxa"/>
            <w:tcBorders>
              <w:top w:val="nil"/>
              <w:left w:val="nil"/>
              <w:bottom w:val="single" w:sz="4" w:space="0" w:color="BFBFBF"/>
              <w:right w:val="single" w:sz="4" w:space="0" w:color="A6A6A6"/>
            </w:tcBorders>
            <w:shd w:val="clear" w:color="000000" w:fill="C7CFD8"/>
            <w:vAlign w:val="center"/>
            <w:hideMark/>
          </w:tcPr>
          <w:p w:rsidR="007A54C3" w:rsidRPr="00D45268" w:rsidRDefault="007A54C3" w:rsidP="00B84F20">
            <w:pPr>
              <w:jc w:val="center"/>
              <w:rPr>
                <w:rFonts w:ascii="Arial Narrow" w:eastAsia="Times New Roman" w:hAnsi="Arial Narrow"/>
                <w:b/>
                <w:bCs/>
                <w:color w:val="002839"/>
                <w:szCs w:val="22"/>
                <w:lang w:val="fr-FR"/>
              </w:rPr>
            </w:pPr>
            <w:r w:rsidRPr="00D45268">
              <w:rPr>
                <w:rFonts w:ascii="Arial Narrow" w:hAnsi="Arial Narrow"/>
                <w:b/>
                <w:color w:val="002839"/>
                <w:lang w:val="fr-FR"/>
              </w:rPr>
              <w:t>Voyages de tiers</w:t>
            </w:r>
          </w:p>
        </w:tc>
        <w:tc>
          <w:tcPr>
            <w:tcW w:w="1276" w:type="dxa"/>
            <w:tcBorders>
              <w:top w:val="nil"/>
              <w:left w:val="nil"/>
              <w:bottom w:val="single" w:sz="4" w:space="0" w:color="BFBFBF"/>
              <w:right w:val="single" w:sz="4" w:space="0" w:color="A6A6A6"/>
            </w:tcBorders>
            <w:shd w:val="clear" w:color="000000" w:fill="C7CFD8"/>
            <w:vAlign w:val="center"/>
            <w:hideMark/>
          </w:tcPr>
          <w:p w:rsidR="007A54C3" w:rsidRPr="00D45268" w:rsidRDefault="007A54C3" w:rsidP="00B84F20">
            <w:pPr>
              <w:jc w:val="center"/>
              <w:rPr>
                <w:rFonts w:ascii="Arial Narrow" w:eastAsia="Times New Roman" w:hAnsi="Arial Narrow"/>
                <w:b/>
                <w:bCs/>
                <w:color w:val="002839"/>
                <w:szCs w:val="22"/>
                <w:lang w:val="fr-FR"/>
              </w:rPr>
            </w:pPr>
            <w:r w:rsidRPr="00D45268">
              <w:rPr>
                <w:rFonts w:ascii="Arial Narrow" w:hAnsi="Arial Narrow"/>
                <w:b/>
                <w:color w:val="002839"/>
                <w:lang w:val="fr-FR"/>
              </w:rPr>
              <w:t>Formations et indemnités connexes</w:t>
            </w:r>
          </w:p>
        </w:tc>
        <w:tc>
          <w:tcPr>
            <w:tcW w:w="1417" w:type="dxa"/>
            <w:tcBorders>
              <w:top w:val="nil"/>
              <w:left w:val="nil"/>
              <w:bottom w:val="single" w:sz="4" w:space="0" w:color="BFBFBF"/>
              <w:right w:val="single" w:sz="4" w:space="0" w:color="A6A6A6"/>
            </w:tcBorders>
            <w:shd w:val="clear" w:color="000000" w:fill="C7CFD8"/>
            <w:noWrap/>
            <w:vAlign w:val="center"/>
            <w:hideMark/>
          </w:tcPr>
          <w:p w:rsidR="007A54C3" w:rsidRPr="00D45268" w:rsidRDefault="007A54C3" w:rsidP="00B84F20">
            <w:pPr>
              <w:jc w:val="center"/>
              <w:rPr>
                <w:rFonts w:ascii="Arial Narrow" w:eastAsia="Times New Roman" w:hAnsi="Arial Narrow"/>
                <w:b/>
                <w:bCs/>
                <w:color w:val="002839"/>
                <w:szCs w:val="22"/>
                <w:lang w:val="fr-FR"/>
              </w:rPr>
            </w:pPr>
            <w:r w:rsidRPr="00D45268">
              <w:rPr>
                <w:rFonts w:ascii="Arial Narrow" w:hAnsi="Arial Narrow"/>
                <w:b/>
                <w:color w:val="002839"/>
                <w:lang w:val="fr-FR"/>
              </w:rPr>
              <w:t>Conférences</w:t>
            </w:r>
          </w:p>
        </w:tc>
        <w:tc>
          <w:tcPr>
            <w:tcW w:w="1276" w:type="dxa"/>
            <w:tcBorders>
              <w:top w:val="nil"/>
              <w:left w:val="nil"/>
              <w:bottom w:val="single" w:sz="4" w:space="0" w:color="BFBFBF"/>
              <w:right w:val="single" w:sz="4" w:space="0" w:color="A6A6A6"/>
            </w:tcBorders>
            <w:shd w:val="clear" w:color="000000" w:fill="C7CFD8"/>
            <w:noWrap/>
            <w:vAlign w:val="center"/>
            <w:hideMark/>
          </w:tcPr>
          <w:p w:rsidR="007A54C3" w:rsidRPr="00D45268" w:rsidRDefault="00BF204D" w:rsidP="00B84F20">
            <w:pPr>
              <w:jc w:val="center"/>
              <w:rPr>
                <w:rFonts w:ascii="Arial Narrow" w:eastAsia="Times New Roman" w:hAnsi="Arial Narrow"/>
                <w:b/>
                <w:bCs/>
                <w:color w:val="002839"/>
                <w:szCs w:val="22"/>
                <w:lang w:val="fr-FR"/>
              </w:rPr>
            </w:pPr>
            <w:r>
              <w:rPr>
                <w:rFonts w:ascii="Arial Narrow" w:hAnsi="Arial Narrow"/>
                <w:b/>
                <w:color w:val="002839"/>
                <w:lang w:val="fr-FR"/>
              </w:rPr>
              <w:t>Publication</w:t>
            </w:r>
          </w:p>
        </w:tc>
        <w:tc>
          <w:tcPr>
            <w:tcW w:w="1418" w:type="dxa"/>
            <w:tcBorders>
              <w:top w:val="nil"/>
              <w:left w:val="nil"/>
              <w:bottom w:val="single" w:sz="4" w:space="0" w:color="BFBFBF"/>
              <w:right w:val="single" w:sz="4" w:space="0" w:color="A6A6A6"/>
            </w:tcBorders>
            <w:shd w:val="clear" w:color="000000" w:fill="C7CFD8"/>
            <w:vAlign w:val="center"/>
            <w:hideMark/>
          </w:tcPr>
          <w:p w:rsidR="007A54C3" w:rsidRPr="00D45268" w:rsidRDefault="007A54C3" w:rsidP="00B84F20">
            <w:pPr>
              <w:jc w:val="center"/>
              <w:rPr>
                <w:rFonts w:ascii="Arial Narrow" w:eastAsia="Times New Roman" w:hAnsi="Arial Narrow"/>
                <w:b/>
                <w:bCs/>
                <w:color w:val="002839"/>
                <w:szCs w:val="22"/>
                <w:lang w:val="fr-FR"/>
              </w:rPr>
            </w:pPr>
            <w:r w:rsidRPr="00D45268">
              <w:rPr>
                <w:rFonts w:ascii="Arial Narrow" w:hAnsi="Arial Narrow"/>
                <w:b/>
                <w:color w:val="002839"/>
                <w:lang w:val="fr-FR"/>
              </w:rPr>
              <w:t>Services contractuels de personnes</w:t>
            </w:r>
            <w:r w:rsidRPr="00D45268">
              <w:rPr>
                <w:rStyle w:val="FootnoteReference"/>
                <w:rFonts w:ascii="Arial Narrow" w:eastAsia="Times New Roman" w:hAnsi="Arial Narrow"/>
                <w:b/>
                <w:bCs/>
                <w:color w:val="002839"/>
                <w:szCs w:val="22"/>
                <w:lang w:val="fr-FR" w:eastAsia="en-US"/>
              </w:rPr>
              <w:footnoteReference w:id="4"/>
            </w:r>
          </w:p>
        </w:tc>
        <w:tc>
          <w:tcPr>
            <w:tcW w:w="992" w:type="dxa"/>
            <w:tcBorders>
              <w:top w:val="nil"/>
              <w:left w:val="nil"/>
              <w:bottom w:val="single" w:sz="4" w:space="0" w:color="BFBFBF"/>
              <w:right w:val="single" w:sz="4" w:space="0" w:color="A6A6A6"/>
            </w:tcBorders>
            <w:shd w:val="clear" w:color="000000" w:fill="C7CFD8"/>
            <w:vAlign w:val="center"/>
            <w:hideMark/>
          </w:tcPr>
          <w:p w:rsidR="007A54C3" w:rsidRPr="00D45268" w:rsidRDefault="007A54C3" w:rsidP="00B84F20">
            <w:pPr>
              <w:jc w:val="center"/>
              <w:rPr>
                <w:rFonts w:ascii="Arial Narrow" w:eastAsia="Times New Roman" w:hAnsi="Arial Narrow"/>
                <w:b/>
                <w:bCs/>
                <w:color w:val="002839"/>
                <w:szCs w:val="22"/>
                <w:lang w:val="fr-FR"/>
              </w:rPr>
            </w:pPr>
            <w:r w:rsidRPr="00D45268">
              <w:rPr>
                <w:rFonts w:ascii="Arial Narrow" w:hAnsi="Arial Narrow"/>
                <w:b/>
                <w:color w:val="002839"/>
                <w:lang w:val="fr-FR"/>
              </w:rPr>
              <w:t>Bourses de l’OMPI</w:t>
            </w:r>
          </w:p>
        </w:tc>
        <w:tc>
          <w:tcPr>
            <w:tcW w:w="1417" w:type="dxa"/>
            <w:tcBorders>
              <w:top w:val="nil"/>
              <w:left w:val="nil"/>
              <w:bottom w:val="single" w:sz="4" w:space="0" w:color="BFBFBF"/>
              <w:right w:val="nil"/>
            </w:tcBorders>
            <w:shd w:val="clear" w:color="000000" w:fill="C7CFD8"/>
            <w:vAlign w:val="center"/>
            <w:hideMark/>
          </w:tcPr>
          <w:p w:rsidR="007A54C3" w:rsidRPr="00D45268" w:rsidRDefault="007A54C3" w:rsidP="00B84F20">
            <w:pPr>
              <w:jc w:val="center"/>
              <w:rPr>
                <w:rFonts w:ascii="Arial Narrow" w:eastAsia="Times New Roman" w:hAnsi="Arial Narrow"/>
                <w:b/>
                <w:bCs/>
                <w:color w:val="002839"/>
                <w:szCs w:val="22"/>
                <w:lang w:val="fr-FR"/>
              </w:rPr>
            </w:pPr>
            <w:r w:rsidRPr="00D45268">
              <w:rPr>
                <w:rFonts w:ascii="Arial Narrow" w:hAnsi="Arial Narrow"/>
                <w:b/>
                <w:color w:val="002839"/>
                <w:lang w:val="fr-FR"/>
              </w:rPr>
              <w:t>Autres services contractuels</w:t>
            </w:r>
          </w:p>
        </w:tc>
        <w:tc>
          <w:tcPr>
            <w:tcW w:w="969" w:type="dxa"/>
            <w:vMerge/>
            <w:tcBorders>
              <w:top w:val="single" w:sz="4" w:space="0" w:color="BFBFBF"/>
              <w:left w:val="single" w:sz="4" w:space="0" w:color="A6A6A6"/>
              <w:bottom w:val="single" w:sz="4" w:space="0" w:color="BFBFBF"/>
              <w:right w:val="single" w:sz="4" w:space="0" w:color="BFBFBF"/>
            </w:tcBorders>
            <w:vAlign w:val="center"/>
            <w:hideMark/>
          </w:tcPr>
          <w:p w:rsidR="007A54C3" w:rsidRPr="00D45268" w:rsidRDefault="007A54C3" w:rsidP="00B84F20">
            <w:pPr>
              <w:rPr>
                <w:rFonts w:ascii="Arial Narrow" w:eastAsia="Times New Roman" w:hAnsi="Arial Narrow"/>
                <w:b/>
                <w:bCs/>
                <w:color w:val="002839"/>
                <w:szCs w:val="22"/>
                <w:lang w:val="fr-FR" w:eastAsia="en-US"/>
              </w:rPr>
            </w:pPr>
          </w:p>
        </w:tc>
      </w:tr>
      <w:tr w:rsidR="00BF204D" w:rsidRPr="00D45268" w:rsidTr="00BF204D">
        <w:trPr>
          <w:trHeight w:val="660"/>
        </w:trPr>
        <w:tc>
          <w:tcPr>
            <w:tcW w:w="2689" w:type="dxa"/>
            <w:tcBorders>
              <w:top w:val="nil"/>
              <w:left w:val="single" w:sz="4" w:space="0" w:color="BFBFBF"/>
              <w:bottom w:val="single" w:sz="4" w:space="0" w:color="BFBFBF"/>
              <w:right w:val="single" w:sz="4" w:space="0" w:color="BFBFBF"/>
            </w:tcBorders>
            <w:shd w:val="clear" w:color="auto" w:fill="auto"/>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Supports de formation relatifs la propriété intellectuelle pour les applications mobiles</w:t>
            </w:r>
          </w:p>
        </w:tc>
        <w:tc>
          <w:tcPr>
            <w:tcW w:w="1559"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jc w:val="right"/>
              <w:rPr>
                <w:rFonts w:ascii="Arial Narrow" w:eastAsia="Times New Roman" w:hAnsi="Arial Narrow"/>
                <w:color w:val="002839"/>
                <w:szCs w:val="22"/>
                <w:lang w:val="fr-FR"/>
              </w:rPr>
            </w:pPr>
            <w:r w:rsidRPr="00D45268">
              <w:rPr>
                <w:rFonts w:ascii="Arial Narrow" w:hAnsi="Arial Narrow"/>
                <w:color w:val="002839"/>
                <w:lang w:val="fr-FR"/>
              </w:rPr>
              <w:t xml:space="preserve">40 000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969"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 </w:t>
            </w:r>
            <w:r w:rsidR="00931279">
              <w:rPr>
                <w:rFonts w:ascii="Arial Narrow" w:hAnsi="Arial Narrow"/>
                <w:color w:val="002839"/>
                <w:lang w:val="fr-FR"/>
              </w:rPr>
              <w:noBreakHyphen/>
            </w:r>
          </w:p>
        </w:tc>
      </w:tr>
      <w:tr w:rsidR="00BF204D" w:rsidRPr="00D45268" w:rsidTr="00BF204D">
        <w:trPr>
          <w:trHeight w:val="990"/>
        </w:trPr>
        <w:tc>
          <w:tcPr>
            <w:tcW w:w="2689" w:type="dxa"/>
            <w:tcBorders>
              <w:top w:val="nil"/>
              <w:left w:val="single" w:sz="4" w:space="0" w:color="BFBFBF"/>
              <w:bottom w:val="single" w:sz="4" w:space="0" w:color="BFBFBF"/>
              <w:right w:val="single" w:sz="4" w:space="0" w:color="BFBFBF"/>
            </w:tcBorders>
            <w:shd w:val="clear" w:color="auto" w:fill="auto"/>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Quatre instruments relatifs à la propriété intellectuelle pour les applications mobiles dans les secteurs de la musique, de l’édition, des jeux vidéo et des contenus audiovisuels</w:t>
            </w:r>
          </w:p>
        </w:tc>
        <w:tc>
          <w:tcPr>
            <w:tcW w:w="1559"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jc w:val="right"/>
              <w:rPr>
                <w:rFonts w:ascii="Arial Narrow" w:eastAsia="Times New Roman" w:hAnsi="Arial Narrow"/>
                <w:color w:val="002839"/>
                <w:szCs w:val="22"/>
                <w:lang w:val="fr-FR"/>
              </w:rPr>
            </w:pPr>
            <w:r w:rsidRPr="00D45268">
              <w:rPr>
                <w:rFonts w:ascii="Arial Narrow" w:hAnsi="Arial Narrow"/>
                <w:color w:val="002839"/>
                <w:lang w:val="fr-FR"/>
              </w:rPr>
              <w:t xml:space="preserve">60 000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969"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 </w:t>
            </w:r>
            <w:r w:rsidR="00931279">
              <w:rPr>
                <w:rFonts w:ascii="Arial Narrow" w:hAnsi="Arial Narrow"/>
                <w:color w:val="002839"/>
                <w:lang w:val="fr-FR"/>
              </w:rPr>
              <w:noBreakHyphen/>
            </w:r>
          </w:p>
        </w:tc>
      </w:tr>
      <w:tr w:rsidR="00BF204D" w:rsidRPr="00D45268" w:rsidTr="00BF204D">
        <w:trPr>
          <w:trHeight w:val="990"/>
        </w:trPr>
        <w:tc>
          <w:tcPr>
            <w:tcW w:w="2689" w:type="dxa"/>
            <w:tcBorders>
              <w:top w:val="nil"/>
              <w:left w:val="single" w:sz="4" w:space="0" w:color="BFBFBF"/>
              <w:bottom w:val="single" w:sz="4" w:space="0" w:color="BFBFBF"/>
              <w:right w:val="single" w:sz="4" w:space="0" w:color="BFBFBF"/>
            </w:tcBorders>
            <w:shd w:val="clear" w:color="auto" w:fill="auto"/>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Trois événements (un par pays) afin de présenter les supports produits aux parties prenantes concernées dans chaque pays bénéficiaire et de recueillir leurs commentaires</w:t>
            </w:r>
          </w:p>
        </w:tc>
        <w:tc>
          <w:tcPr>
            <w:tcW w:w="1559"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jc w:val="right"/>
              <w:rPr>
                <w:rFonts w:ascii="Arial Narrow" w:eastAsia="Times New Roman" w:hAnsi="Arial Narrow"/>
                <w:color w:val="002839"/>
                <w:szCs w:val="22"/>
                <w:lang w:val="fr-FR"/>
              </w:rPr>
            </w:pPr>
            <w:r w:rsidRPr="00D45268">
              <w:rPr>
                <w:rFonts w:ascii="Arial Narrow" w:hAnsi="Arial Narrow"/>
                <w:color w:val="002839"/>
                <w:lang w:val="fr-FR"/>
              </w:rPr>
              <w:t xml:space="preserve">20 000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D45268" w:rsidRDefault="00BF204D" w:rsidP="00B84F20">
            <w:pPr>
              <w:jc w:val="right"/>
              <w:rPr>
                <w:rFonts w:ascii="Arial Narrow" w:eastAsia="Times New Roman" w:hAnsi="Arial Narrow"/>
                <w:color w:val="002839"/>
                <w:szCs w:val="22"/>
                <w:lang w:val="fr-FR"/>
              </w:rPr>
            </w:pPr>
            <w:r>
              <w:rPr>
                <w:rFonts w:ascii="Arial Narrow" w:hAnsi="Arial Narrow"/>
                <w:color w:val="002839"/>
                <w:lang w:val="fr-FR"/>
              </w:rPr>
              <w:t>1</w:t>
            </w:r>
            <w:r w:rsidR="007A54C3" w:rsidRPr="00D45268">
              <w:rPr>
                <w:rFonts w:ascii="Arial Narrow" w:hAnsi="Arial Narrow"/>
                <w:color w:val="002839"/>
                <w:lang w:val="fr-FR"/>
              </w:rPr>
              <w:t xml:space="preserve">2 000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jc w:val="right"/>
              <w:rPr>
                <w:rFonts w:ascii="Arial Narrow" w:eastAsia="Times New Roman" w:hAnsi="Arial Narrow"/>
                <w:color w:val="002839"/>
                <w:szCs w:val="22"/>
                <w:lang w:val="fr-FR"/>
              </w:rPr>
            </w:pPr>
            <w:r w:rsidRPr="00D45268">
              <w:rPr>
                <w:rFonts w:ascii="Arial Narrow" w:hAnsi="Arial Narrow"/>
                <w:color w:val="002839"/>
                <w:lang w:val="fr-FR"/>
              </w:rPr>
              <w:t xml:space="preserve">18 000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969"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 </w:t>
            </w:r>
            <w:r w:rsidR="00931279">
              <w:rPr>
                <w:rFonts w:ascii="Arial Narrow" w:hAnsi="Arial Narrow"/>
                <w:color w:val="002839"/>
                <w:lang w:val="fr-FR"/>
              </w:rPr>
              <w:noBreakHyphen/>
            </w:r>
          </w:p>
        </w:tc>
      </w:tr>
      <w:tr w:rsidR="00BF204D" w:rsidRPr="00D45268" w:rsidTr="00BF204D">
        <w:trPr>
          <w:trHeight w:val="660"/>
        </w:trPr>
        <w:tc>
          <w:tcPr>
            <w:tcW w:w="2689" w:type="dxa"/>
            <w:tcBorders>
              <w:top w:val="nil"/>
              <w:left w:val="single" w:sz="4" w:space="0" w:color="BFBFBF"/>
              <w:bottom w:val="single" w:sz="4" w:space="0" w:color="BFBFBF"/>
              <w:right w:val="single" w:sz="4" w:space="0" w:color="BFBFBF"/>
            </w:tcBorders>
            <w:shd w:val="clear" w:color="auto" w:fill="auto"/>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Conclusion du projet et auto</w:t>
            </w:r>
            <w:r w:rsidR="00931279">
              <w:rPr>
                <w:rFonts w:ascii="Arial Narrow" w:hAnsi="Arial Narrow"/>
                <w:color w:val="002839"/>
                <w:lang w:val="fr-FR"/>
              </w:rPr>
              <w:noBreakHyphen/>
            </w:r>
            <w:r w:rsidRPr="00D45268">
              <w:rPr>
                <w:rFonts w:ascii="Arial Narrow" w:hAnsi="Arial Narrow"/>
                <w:color w:val="002839"/>
                <w:lang w:val="fr-FR"/>
              </w:rPr>
              <w:t>évaluation finale</w:t>
            </w:r>
          </w:p>
        </w:tc>
        <w:tc>
          <w:tcPr>
            <w:tcW w:w="1559"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992"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7A54C3" w:rsidRPr="00D45268" w:rsidRDefault="00931279" w:rsidP="00B84F20">
            <w:pPr>
              <w:jc w:val="right"/>
              <w:rPr>
                <w:rFonts w:ascii="Arial Narrow" w:eastAsia="Times New Roman" w:hAnsi="Arial Narrow"/>
                <w:color w:val="002839"/>
                <w:szCs w:val="22"/>
                <w:lang w:val="fr-FR"/>
              </w:rPr>
            </w:pPr>
            <w:r>
              <w:rPr>
                <w:rFonts w:ascii="Arial Narrow" w:hAnsi="Arial Narrow"/>
                <w:color w:val="002839"/>
                <w:lang w:val="fr-FR"/>
              </w:rPr>
              <w:noBreakHyphen/>
            </w:r>
            <w:r w:rsidR="007A54C3" w:rsidRPr="00D45268">
              <w:rPr>
                <w:rFonts w:ascii="Arial Narrow" w:hAnsi="Arial Narrow"/>
                <w:color w:val="002839"/>
                <w:lang w:val="fr-FR"/>
              </w:rPr>
              <w:t> </w:t>
            </w:r>
          </w:p>
        </w:tc>
        <w:tc>
          <w:tcPr>
            <w:tcW w:w="969" w:type="dxa"/>
            <w:tcBorders>
              <w:top w:val="nil"/>
              <w:left w:val="nil"/>
              <w:bottom w:val="single" w:sz="4" w:space="0" w:color="BFBFBF"/>
              <w:right w:val="single" w:sz="4" w:space="0" w:color="BFBFBF"/>
            </w:tcBorders>
            <w:shd w:val="clear" w:color="auto" w:fill="auto"/>
            <w:noWrap/>
            <w:vAlign w:val="center"/>
            <w:hideMark/>
          </w:tcPr>
          <w:p w:rsidR="007A54C3" w:rsidRPr="00D45268" w:rsidRDefault="007A54C3" w:rsidP="00B84F20">
            <w:pPr>
              <w:rPr>
                <w:rFonts w:ascii="Arial Narrow" w:eastAsia="Times New Roman" w:hAnsi="Arial Narrow"/>
                <w:color w:val="002839"/>
                <w:szCs w:val="22"/>
                <w:lang w:val="fr-FR"/>
              </w:rPr>
            </w:pPr>
            <w:r w:rsidRPr="00D45268">
              <w:rPr>
                <w:rFonts w:ascii="Arial Narrow" w:hAnsi="Arial Narrow"/>
                <w:color w:val="002839"/>
                <w:lang w:val="fr-FR"/>
              </w:rPr>
              <w:t> </w:t>
            </w:r>
            <w:r w:rsidR="00931279">
              <w:rPr>
                <w:rFonts w:ascii="Arial Narrow" w:hAnsi="Arial Narrow"/>
                <w:color w:val="002839"/>
                <w:lang w:val="fr-FR"/>
              </w:rPr>
              <w:noBreakHyphen/>
            </w:r>
          </w:p>
        </w:tc>
      </w:tr>
      <w:tr w:rsidR="00BF204D" w:rsidRPr="00D45268" w:rsidTr="00BF204D">
        <w:trPr>
          <w:trHeight w:val="330"/>
        </w:trPr>
        <w:tc>
          <w:tcPr>
            <w:tcW w:w="2689" w:type="dxa"/>
            <w:tcBorders>
              <w:top w:val="nil"/>
              <w:left w:val="single" w:sz="4" w:space="0" w:color="BFBFBF"/>
              <w:bottom w:val="single" w:sz="4" w:space="0" w:color="BFBFBF"/>
              <w:right w:val="single" w:sz="4" w:space="0" w:color="BFBFBF"/>
            </w:tcBorders>
            <w:shd w:val="clear" w:color="000000" w:fill="EDF0F3"/>
            <w:vAlign w:val="center"/>
            <w:hideMark/>
          </w:tcPr>
          <w:p w:rsidR="007A54C3" w:rsidRPr="00D45268" w:rsidRDefault="007A54C3" w:rsidP="00B84F20">
            <w:pPr>
              <w:rPr>
                <w:rFonts w:ascii="Arial Narrow" w:eastAsia="Times New Roman" w:hAnsi="Arial Narrow"/>
                <w:b/>
                <w:bCs/>
                <w:color w:val="002839"/>
                <w:szCs w:val="22"/>
                <w:lang w:val="fr-FR"/>
              </w:rPr>
            </w:pPr>
            <w:r w:rsidRPr="00D45268">
              <w:rPr>
                <w:rFonts w:ascii="Arial Narrow" w:hAnsi="Arial Narrow"/>
                <w:b/>
                <w:color w:val="002839"/>
                <w:lang w:val="fr-FR"/>
              </w:rPr>
              <w:t xml:space="preserve">Total </w:t>
            </w:r>
          </w:p>
        </w:tc>
        <w:tc>
          <w:tcPr>
            <w:tcW w:w="1559" w:type="dxa"/>
            <w:tcBorders>
              <w:top w:val="nil"/>
              <w:left w:val="nil"/>
              <w:bottom w:val="single" w:sz="4" w:space="0" w:color="BFBFBF"/>
              <w:right w:val="single" w:sz="4" w:space="0" w:color="BFBFBF"/>
            </w:tcBorders>
            <w:shd w:val="clear" w:color="000000" w:fill="EDF0F3"/>
            <w:noWrap/>
            <w:vAlign w:val="center"/>
            <w:hideMark/>
          </w:tcPr>
          <w:p w:rsidR="007A54C3" w:rsidRPr="00D45268" w:rsidRDefault="007A54C3" w:rsidP="00B84F20">
            <w:pPr>
              <w:jc w:val="right"/>
              <w:rPr>
                <w:rFonts w:ascii="Arial Narrow" w:eastAsia="Times New Roman" w:hAnsi="Arial Narrow"/>
                <w:b/>
                <w:bCs/>
                <w:color w:val="002839"/>
                <w:szCs w:val="22"/>
                <w:lang w:val="fr-FR"/>
              </w:rPr>
            </w:pPr>
            <w:r w:rsidRPr="00D45268">
              <w:rPr>
                <w:rFonts w:ascii="Arial Narrow" w:hAnsi="Arial Narrow"/>
                <w:b/>
                <w:color w:val="002839"/>
                <w:lang w:val="fr-FR"/>
              </w:rPr>
              <w:t xml:space="preserve">20 000 </w:t>
            </w:r>
          </w:p>
        </w:tc>
        <w:tc>
          <w:tcPr>
            <w:tcW w:w="992" w:type="dxa"/>
            <w:tcBorders>
              <w:top w:val="nil"/>
              <w:left w:val="nil"/>
              <w:bottom w:val="single" w:sz="4" w:space="0" w:color="BFBFBF"/>
              <w:right w:val="single" w:sz="4" w:space="0" w:color="BFBFBF"/>
            </w:tcBorders>
            <w:shd w:val="clear" w:color="000000" w:fill="EDF0F3"/>
            <w:noWrap/>
            <w:vAlign w:val="center"/>
            <w:hideMark/>
          </w:tcPr>
          <w:p w:rsidR="007A54C3" w:rsidRPr="00D45268" w:rsidRDefault="007A54C3" w:rsidP="00BF204D">
            <w:pPr>
              <w:jc w:val="right"/>
              <w:rPr>
                <w:rFonts w:ascii="Arial Narrow" w:eastAsia="Times New Roman" w:hAnsi="Arial Narrow"/>
                <w:b/>
                <w:bCs/>
                <w:color w:val="002839"/>
                <w:szCs w:val="22"/>
                <w:lang w:val="fr-FR"/>
              </w:rPr>
            </w:pPr>
            <w:r w:rsidRPr="00D45268">
              <w:rPr>
                <w:rFonts w:ascii="Arial Narrow" w:hAnsi="Arial Narrow"/>
                <w:b/>
                <w:color w:val="002839"/>
                <w:lang w:val="fr-FR"/>
              </w:rPr>
              <w:t xml:space="preserve">– </w:t>
            </w:r>
          </w:p>
        </w:tc>
        <w:tc>
          <w:tcPr>
            <w:tcW w:w="1276" w:type="dxa"/>
            <w:tcBorders>
              <w:top w:val="nil"/>
              <w:left w:val="nil"/>
              <w:bottom w:val="single" w:sz="4" w:space="0" w:color="BFBFBF"/>
              <w:right w:val="single" w:sz="4" w:space="0" w:color="BFBFBF"/>
            </w:tcBorders>
            <w:shd w:val="clear" w:color="000000" w:fill="EDF0F3"/>
            <w:noWrap/>
            <w:vAlign w:val="center"/>
            <w:hideMark/>
          </w:tcPr>
          <w:p w:rsidR="007A54C3" w:rsidRPr="00D45268" w:rsidRDefault="007A54C3" w:rsidP="00BF204D">
            <w:pPr>
              <w:jc w:val="right"/>
              <w:rPr>
                <w:rFonts w:ascii="Arial Narrow" w:eastAsia="Times New Roman" w:hAnsi="Arial Narrow"/>
                <w:b/>
                <w:bCs/>
                <w:color w:val="002839"/>
                <w:szCs w:val="22"/>
                <w:lang w:val="fr-FR"/>
              </w:rPr>
            </w:pPr>
            <w:r w:rsidRPr="00D45268">
              <w:rPr>
                <w:rFonts w:ascii="Arial Narrow" w:hAnsi="Arial Narrow"/>
                <w:b/>
                <w:color w:val="002839"/>
                <w:lang w:val="fr-FR"/>
              </w:rPr>
              <w:t xml:space="preserve">– </w:t>
            </w:r>
          </w:p>
        </w:tc>
        <w:tc>
          <w:tcPr>
            <w:tcW w:w="1417" w:type="dxa"/>
            <w:tcBorders>
              <w:top w:val="nil"/>
              <w:left w:val="nil"/>
              <w:bottom w:val="single" w:sz="4" w:space="0" w:color="BFBFBF"/>
              <w:right w:val="single" w:sz="4" w:space="0" w:color="BFBFBF"/>
            </w:tcBorders>
            <w:shd w:val="clear" w:color="000000" w:fill="EDF0F3"/>
            <w:noWrap/>
            <w:vAlign w:val="center"/>
            <w:hideMark/>
          </w:tcPr>
          <w:p w:rsidR="007A54C3" w:rsidRPr="00D45268" w:rsidRDefault="007A54C3" w:rsidP="00B84F20">
            <w:pPr>
              <w:jc w:val="right"/>
              <w:rPr>
                <w:rFonts w:ascii="Arial Narrow" w:eastAsia="Times New Roman" w:hAnsi="Arial Narrow"/>
                <w:b/>
                <w:bCs/>
                <w:color w:val="002839"/>
                <w:szCs w:val="22"/>
                <w:lang w:val="fr-FR"/>
              </w:rPr>
            </w:pPr>
            <w:r w:rsidRPr="00D45268">
              <w:rPr>
                <w:rFonts w:ascii="Arial Narrow" w:hAnsi="Arial Narrow"/>
                <w:b/>
                <w:color w:val="002839"/>
                <w:lang w:val="fr-FR"/>
              </w:rPr>
              <w:t xml:space="preserve">12 000 </w:t>
            </w:r>
          </w:p>
        </w:tc>
        <w:tc>
          <w:tcPr>
            <w:tcW w:w="1276" w:type="dxa"/>
            <w:tcBorders>
              <w:top w:val="nil"/>
              <w:left w:val="nil"/>
              <w:bottom w:val="single" w:sz="4" w:space="0" w:color="BFBFBF"/>
              <w:right w:val="single" w:sz="4" w:space="0" w:color="BFBFBF"/>
            </w:tcBorders>
            <w:shd w:val="clear" w:color="000000" w:fill="EDF0F3"/>
            <w:noWrap/>
            <w:vAlign w:val="center"/>
            <w:hideMark/>
          </w:tcPr>
          <w:p w:rsidR="007A54C3" w:rsidRPr="00D45268" w:rsidRDefault="007A54C3" w:rsidP="00BF204D">
            <w:pPr>
              <w:jc w:val="right"/>
              <w:rPr>
                <w:rFonts w:ascii="Arial Narrow" w:eastAsia="Times New Roman" w:hAnsi="Arial Narrow"/>
                <w:b/>
                <w:bCs/>
                <w:color w:val="002839"/>
                <w:szCs w:val="22"/>
                <w:lang w:val="fr-FR"/>
              </w:rPr>
            </w:pPr>
            <w:r w:rsidRPr="00D45268">
              <w:rPr>
                <w:rFonts w:ascii="Arial Narrow" w:hAnsi="Arial Narrow"/>
                <w:b/>
                <w:color w:val="002839"/>
                <w:lang w:val="fr-FR"/>
              </w:rPr>
              <w:t xml:space="preserve">– </w:t>
            </w:r>
          </w:p>
        </w:tc>
        <w:tc>
          <w:tcPr>
            <w:tcW w:w="1418" w:type="dxa"/>
            <w:tcBorders>
              <w:top w:val="nil"/>
              <w:left w:val="nil"/>
              <w:bottom w:val="single" w:sz="4" w:space="0" w:color="BFBFBF"/>
              <w:right w:val="single" w:sz="4" w:space="0" w:color="BFBFBF"/>
            </w:tcBorders>
            <w:shd w:val="clear" w:color="000000" w:fill="EDF0F3"/>
            <w:noWrap/>
            <w:vAlign w:val="center"/>
            <w:hideMark/>
          </w:tcPr>
          <w:p w:rsidR="007A54C3" w:rsidRPr="00D45268" w:rsidRDefault="007A54C3" w:rsidP="00B84F20">
            <w:pPr>
              <w:jc w:val="right"/>
              <w:rPr>
                <w:rFonts w:ascii="Arial Narrow" w:eastAsia="Times New Roman" w:hAnsi="Arial Narrow"/>
                <w:b/>
                <w:bCs/>
                <w:color w:val="002839"/>
                <w:szCs w:val="22"/>
                <w:lang w:val="fr-FR"/>
              </w:rPr>
            </w:pPr>
            <w:r w:rsidRPr="00D45268">
              <w:rPr>
                <w:rFonts w:ascii="Arial Narrow" w:hAnsi="Arial Narrow"/>
                <w:b/>
                <w:color w:val="002839"/>
                <w:lang w:val="fr-FR"/>
              </w:rPr>
              <w:t xml:space="preserve">118 000 </w:t>
            </w:r>
          </w:p>
        </w:tc>
        <w:tc>
          <w:tcPr>
            <w:tcW w:w="992" w:type="dxa"/>
            <w:tcBorders>
              <w:top w:val="nil"/>
              <w:left w:val="nil"/>
              <w:bottom w:val="single" w:sz="4" w:space="0" w:color="BFBFBF"/>
              <w:right w:val="single" w:sz="4" w:space="0" w:color="BFBFBF"/>
            </w:tcBorders>
            <w:shd w:val="clear" w:color="000000" w:fill="EDF0F3"/>
            <w:noWrap/>
            <w:vAlign w:val="center"/>
            <w:hideMark/>
          </w:tcPr>
          <w:p w:rsidR="007A54C3" w:rsidRPr="00D45268" w:rsidRDefault="007A54C3" w:rsidP="00BF204D">
            <w:pPr>
              <w:jc w:val="right"/>
              <w:rPr>
                <w:rFonts w:ascii="Arial Narrow" w:eastAsia="Times New Roman" w:hAnsi="Arial Narrow"/>
                <w:b/>
                <w:bCs/>
                <w:color w:val="002839"/>
                <w:szCs w:val="22"/>
                <w:lang w:val="fr-FR"/>
              </w:rPr>
            </w:pPr>
            <w:r w:rsidRPr="00D45268">
              <w:rPr>
                <w:rFonts w:ascii="Arial Narrow" w:hAnsi="Arial Narrow"/>
                <w:b/>
                <w:color w:val="002839"/>
                <w:lang w:val="fr-FR"/>
              </w:rPr>
              <w:t xml:space="preserve">– </w:t>
            </w:r>
          </w:p>
        </w:tc>
        <w:tc>
          <w:tcPr>
            <w:tcW w:w="1417" w:type="dxa"/>
            <w:tcBorders>
              <w:top w:val="nil"/>
              <w:left w:val="nil"/>
              <w:bottom w:val="single" w:sz="4" w:space="0" w:color="BFBFBF"/>
              <w:right w:val="single" w:sz="4" w:space="0" w:color="BFBFBF"/>
            </w:tcBorders>
            <w:shd w:val="clear" w:color="000000" w:fill="EDF0F3"/>
            <w:noWrap/>
            <w:vAlign w:val="center"/>
            <w:hideMark/>
          </w:tcPr>
          <w:p w:rsidR="007A54C3" w:rsidRPr="00D45268" w:rsidRDefault="007A54C3" w:rsidP="00BF204D">
            <w:pPr>
              <w:jc w:val="right"/>
              <w:rPr>
                <w:rFonts w:ascii="Arial Narrow" w:eastAsia="Times New Roman" w:hAnsi="Arial Narrow"/>
                <w:b/>
                <w:bCs/>
                <w:color w:val="002839"/>
                <w:szCs w:val="22"/>
                <w:lang w:val="fr-FR"/>
              </w:rPr>
            </w:pPr>
            <w:r w:rsidRPr="00D45268">
              <w:rPr>
                <w:rFonts w:ascii="Arial Narrow" w:hAnsi="Arial Narrow"/>
                <w:b/>
                <w:color w:val="002839"/>
                <w:lang w:val="fr-FR"/>
              </w:rPr>
              <w:t xml:space="preserve">– </w:t>
            </w:r>
          </w:p>
        </w:tc>
        <w:tc>
          <w:tcPr>
            <w:tcW w:w="969" w:type="dxa"/>
            <w:tcBorders>
              <w:top w:val="nil"/>
              <w:left w:val="nil"/>
              <w:bottom w:val="single" w:sz="4" w:space="0" w:color="BFBFBF"/>
              <w:right w:val="single" w:sz="4" w:space="0" w:color="BFBFBF"/>
            </w:tcBorders>
            <w:shd w:val="clear" w:color="000000" w:fill="EDF0F3"/>
            <w:noWrap/>
            <w:vAlign w:val="center"/>
            <w:hideMark/>
          </w:tcPr>
          <w:p w:rsidR="007A54C3" w:rsidRPr="00D45268" w:rsidRDefault="007A54C3" w:rsidP="00B84F20">
            <w:pPr>
              <w:jc w:val="right"/>
              <w:rPr>
                <w:rFonts w:ascii="Arial Narrow" w:eastAsia="Times New Roman" w:hAnsi="Arial Narrow"/>
                <w:b/>
                <w:bCs/>
                <w:color w:val="002839"/>
                <w:szCs w:val="22"/>
                <w:lang w:val="fr-FR"/>
              </w:rPr>
            </w:pPr>
            <w:r w:rsidRPr="00D45268">
              <w:rPr>
                <w:rFonts w:ascii="Arial Narrow" w:hAnsi="Arial Narrow"/>
                <w:b/>
                <w:color w:val="002839"/>
                <w:lang w:val="fr-FR"/>
              </w:rPr>
              <w:t xml:space="preserve">150 000 </w:t>
            </w:r>
          </w:p>
        </w:tc>
      </w:tr>
    </w:tbl>
    <w:p w:rsidR="000F5E56" w:rsidRPr="007A54C3" w:rsidRDefault="007A54C3" w:rsidP="00BF204D">
      <w:pPr>
        <w:pStyle w:val="Endofdocument-Annex"/>
        <w:ind w:left="10069"/>
      </w:pPr>
      <w:r w:rsidRPr="00D45268">
        <w:t>[Fin de l’annexe et du document]</w:t>
      </w:r>
    </w:p>
    <w:sectPr w:rsidR="000F5E56" w:rsidRPr="007A54C3" w:rsidSect="007A54C3">
      <w:headerReference w:type="default" r:id="rId18"/>
      <w:headerReference w:type="first" r:id="rId19"/>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4C3" w:rsidRDefault="007A54C3">
      <w:r>
        <w:separator/>
      </w:r>
    </w:p>
  </w:endnote>
  <w:endnote w:type="continuationSeparator" w:id="0">
    <w:p w:rsidR="007A54C3" w:rsidRPr="009D30E6" w:rsidRDefault="007A54C3" w:rsidP="00D45252">
      <w:pPr>
        <w:rPr>
          <w:sz w:val="17"/>
          <w:szCs w:val="17"/>
        </w:rPr>
      </w:pPr>
      <w:r w:rsidRPr="009D30E6">
        <w:rPr>
          <w:sz w:val="17"/>
          <w:szCs w:val="17"/>
        </w:rPr>
        <w:separator/>
      </w:r>
    </w:p>
    <w:p w:rsidR="007A54C3" w:rsidRPr="009D30E6" w:rsidRDefault="007A54C3" w:rsidP="00D45252">
      <w:pPr>
        <w:spacing w:after="60"/>
        <w:rPr>
          <w:sz w:val="17"/>
          <w:szCs w:val="17"/>
        </w:rPr>
      </w:pPr>
      <w:r w:rsidRPr="009D30E6">
        <w:rPr>
          <w:sz w:val="17"/>
          <w:szCs w:val="17"/>
        </w:rPr>
        <w:t>[Suite de la note de la page précédente]</w:t>
      </w:r>
    </w:p>
  </w:endnote>
  <w:endnote w:type="continuationNotice" w:id="1">
    <w:p w:rsidR="007A54C3" w:rsidRPr="009D30E6" w:rsidRDefault="007A54C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6A9" w:rsidRDefault="00F10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6A9" w:rsidRDefault="00F10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6A9" w:rsidRDefault="00F10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4C3" w:rsidRDefault="007A54C3">
      <w:r>
        <w:separator/>
      </w:r>
    </w:p>
  </w:footnote>
  <w:footnote w:type="continuationSeparator" w:id="0">
    <w:p w:rsidR="007A54C3" w:rsidRDefault="007A54C3" w:rsidP="007461F1">
      <w:r>
        <w:separator/>
      </w:r>
    </w:p>
    <w:p w:rsidR="007A54C3" w:rsidRPr="009D30E6" w:rsidRDefault="007A54C3" w:rsidP="007461F1">
      <w:pPr>
        <w:spacing w:after="60"/>
        <w:rPr>
          <w:sz w:val="17"/>
          <w:szCs w:val="17"/>
        </w:rPr>
      </w:pPr>
      <w:r w:rsidRPr="009D30E6">
        <w:rPr>
          <w:sz w:val="17"/>
          <w:szCs w:val="17"/>
        </w:rPr>
        <w:t>[Suite de la note de la page précédente]</w:t>
      </w:r>
    </w:p>
  </w:footnote>
  <w:footnote w:type="continuationNotice" w:id="1">
    <w:p w:rsidR="007A54C3" w:rsidRPr="009D30E6" w:rsidRDefault="007A54C3" w:rsidP="007461F1">
      <w:pPr>
        <w:spacing w:before="60"/>
        <w:jc w:val="right"/>
        <w:rPr>
          <w:sz w:val="17"/>
          <w:szCs w:val="17"/>
        </w:rPr>
      </w:pPr>
      <w:r w:rsidRPr="009D30E6">
        <w:rPr>
          <w:sz w:val="17"/>
          <w:szCs w:val="17"/>
        </w:rPr>
        <w:t>[Suite de la note page suivante]</w:t>
      </w:r>
    </w:p>
  </w:footnote>
  <w:footnote w:id="2">
    <w:p w:rsidR="007A54C3" w:rsidRDefault="007A54C3" w:rsidP="007A54C3">
      <w:pPr>
        <w:pStyle w:val="FootnoteText"/>
      </w:pPr>
      <w:r>
        <w:rPr>
          <w:rStyle w:val="FootnoteReference"/>
        </w:rPr>
        <w:footnoteRef/>
      </w:r>
      <w:r>
        <w:t xml:space="preserve"> </w:t>
      </w:r>
      <w:r w:rsidR="00931279">
        <w:tab/>
      </w:r>
      <w:r>
        <w:t xml:space="preserve">Voir le paragraphe 4.3 du </w:t>
      </w:r>
      <w:hyperlink r:id="rId1" w:history="1">
        <w:r>
          <w:rPr>
            <w:rStyle w:val="Hyperlink"/>
          </w:rPr>
          <w:t>Résumé présenté par le président</w:t>
        </w:r>
      </w:hyperlink>
      <w:r>
        <w:t xml:space="preserve"> à la vingt</w:t>
      </w:r>
      <w:r w:rsidR="00B84F20">
        <w:noBreakHyphen/>
      </w:r>
      <w:r>
        <w:t xml:space="preserve">huitième session du CDIP.  </w:t>
      </w:r>
    </w:p>
  </w:footnote>
  <w:footnote w:id="3">
    <w:p w:rsidR="007A54C3" w:rsidRDefault="007A54C3" w:rsidP="007A54C3">
      <w:pPr>
        <w:pStyle w:val="FootnoteText"/>
      </w:pPr>
      <w:r>
        <w:rPr>
          <w:rStyle w:val="FootnoteReference"/>
        </w:rPr>
        <w:footnoteRef/>
      </w:r>
      <w:r>
        <w:t xml:space="preserve"> </w:t>
      </w:r>
      <w:r w:rsidR="00B84F20">
        <w:tab/>
      </w:r>
      <w:r>
        <w:t xml:space="preserve">Voir le paragraphe 4.3 du </w:t>
      </w:r>
      <w:hyperlink r:id="rId2" w:history="1">
        <w:r>
          <w:rPr>
            <w:rStyle w:val="Hyperlink"/>
          </w:rPr>
          <w:t>Résumé présenté par le président</w:t>
        </w:r>
      </w:hyperlink>
      <w:r>
        <w:t xml:space="preserve"> à la vingt</w:t>
      </w:r>
      <w:r w:rsidR="00B84F20">
        <w:noBreakHyphen/>
      </w:r>
      <w:r>
        <w:t>huitième session du CDIP.</w:t>
      </w:r>
    </w:p>
  </w:footnote>
  <w:footnote w:id="4">
    <w:p w:rsidR="007A54C3" w:rsidRDefault="007A54C3" w:rsidP="007A54C3">
      <w:pPr>
        <w:pStyle w:val="FootnoteText"/>
      </w:pPr>
      <w:r>
        <w:rPr>
          <w:rStyle w:val="FootnoteReference"/>
        </w:rPr>
        <w:footnoteRef/>
      </w:r>
      <w:r>
        <w:t xml:space="preserve"> </w:t>
      </w:r>
      <w:r w:rsidR="00BF204D">
        <w:tab/>
      </w:r>
      <w:r>
        <w:t xml:space="preserve">Ce coût a trait à des recrutements au titre des services contractuels de personnes, pour fournir divers résultats du projet.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6A9" w:rsidRDefault="00F10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C3" w:rsidRDefault="007A54C3" w:rsidP="000A5A02">
    <w:pPr>
      <w:jc w:val="right"/>
    </w:pPr>
    <w:r>
      <w:t>CDIP/ 29//29/7</w:t>
    </w:r>
  </w:p>
  <w:p w:rsidR="007A54C3" w:rsidRDefault="007A54C3" w:rsidP="00F27143">
    <w:pPr>
      <w:jc w:val="right"/>
    </w:pPr>
    <w:r>
      <w:t>Annexe, page 2</w:t>
    </w:r>
  </w:p>
  <w:p w:rsidR="007A54C3" w:rsidRDefault="007A54C3" w:rsidP="00477D6B">
    <w:pPr>
      <w:jc w:val="right"/>
    </w:pPr>
  </w:p>
  <w:p w:rsidR="007A54C3" w:rsidRDefault="007A54C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6A9" w:rsidRDefault="00F106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C3" w:rsidRDefault="007A54C3" w:rsidP="000A5A02">
    <w:pPr>
      <w:jc w:val="right"/>
    </w:pPr>
    <w:r>
      <w:t>CDIP/29/8</w:t>
    </w:r>
  </w:p>
  <w:p w:rsidR="007A54C3" w:rsidRDefault="00B84F20" w:rsidP="00B84F20">
    <w:pPr>
      <w:spacing w:after="240"/>
      <w:jc w:val="right"/>
    </w:pPr>
    <w:r>
      <w:t>Annexe, page </w:t>
    </w:r>
    <w:r w:rsidR="007A54C3">
      <w:rPr>
        <w:rStyle w:val="PageNumber"/>
      </w:rPr>
      <w:fldChar w:fldCharType="begin"/>
    </w:r>
    <w:r w:rsidR="007A54C3">
      <w:rPr>
        <w:rStyle w:val="PageNumber"/>
      </w:rPr>
      <w:instrText xml:space="preserve"> PAGE </w:instrText>
    </w:r>
    <w:r w:rsidR="007A54C3">
      <w:rPr>
        <w:rStyle w:val="PageNumber"/>
      </w:rPr>
      <w:fldChar w:fldCharType="separate"/>
    </w:r>
    <w:r w:rsidR="00F106A9">
      <w:rPr>
        <w:rStyle w:val="PageNumber"/>
        <w:noProof/>
      </w:rPr>
      <w:t>6</w:t>
    </w:r>
    <w:r w:rsidR="007A54C3">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4C3" w:rsidRPr="002326AB" w:rsidRDefault="007A54C3" w:rsidP="002066C3">
    <w:pPr>
      <w:jc w:val="right"/>
      <w:rPr>
        <w:caps/>
      </w:rPr>
    </w:pPr>
    <w:r>
      <w:rPr>
        <w:caps/>
      </w:rPr>
      <w:t>CDIP/29/8</w:t>
    </w:r>
  </w:p>
  <w:p w:rsidR="007A54C3" w:rsidRDefault="007A54C3" w:rsidP="00B84F20">
    <w:pPr>
      <w:pStyle w:val="Header"/>
      <w:spacing w:after="240"/>
      <w:jc w:val="right"/>
    </w:pPr>
    <w:r>
      <w:t>ANNEXE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7A54C3" w:rsidP="00477D6B">
    <w:pPr>
      <w:jc w:val="right"/>
    </w:pPr>
    <w:bookmarkStart w:id="6" w:name="Code2"/>
    <w:bookmarkEnd w:id="6"/>
    <w:r>
      <w:t>CDIP/29/8</w:t>
    </w:r>
  </w:p>
  <w:p w:rsidR="004F4E31" w:rsidRDefault="00B84F20" w:rsidP="00B84F20">
    <w:pPr>
      <w:spacing w:after="24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BF204D">
      <w:rPr>
        <w:noProof/>
      </w:rPr>
      <w:t>8</w:t>
    </w:r>
    <w:r w:rsidR="00F16975">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F20" w:rsidRPr="002326AB" w:rsidRDefault="00B84F20" w:rsidP="002066C3">
    <w:pPr>
      <w:jc w:val="right"/>
      <w:rPr>
        <w:caps/>
      </w:rPr>
    </w:pPr>
    <w:r>
      <w:rPr>
        <w:caps/>
      </w:rPr>
      <w:t>CDIP/29/8</w:t>
    </w:r>
  </w:p>
  <w:p w:rsidR="00B84F20" w:rsidRDefault="00B84F20" w:rsidP="00B84F20">
    <w:pPr>
      <w:pStyle w:val="Header"/>
      <w:spacing w:after="240"/>
      <w:jc w:val="right"/>
    </w:pPr>
    <w:r>
      <w:t>Annexe, page </w:t>
    </w:r>
    <w:r>
      <w:fldChar w:fldCharType="begin"/>
    </w:r>
    <w:r>
      <w:instrText xml:space="preserve"> PAGE   \* MERGEFORMAT </w:instrText>
    </w:r>
    <w:r>
      <w:fldChar w:fldCharType="separate"/>
    </w:r>
    <w:r w:rsidR="00F106A9">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33609D"/>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416576"/>
    <w:multiLevelType w:val="hybridMultilevel"/>
    <w:tmpl w:val="232A6420"/>
    <w:lvl w:ilvl="0" w:tplc="68ECC07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51301"/>
    <w:multiLevelType w:val="hybridMultilevel"/>
    <w:tmpl w:val="8522F848"/>
    <w:lvl w:ilvl="0" w:tplc="657E2164">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7" w15:restartNumberingAfterBreak="0">
    <w:nsid w:val="41BA4531"/>
    <w:multiLevelType w:val="hybridMultilevel"/>
    <w:tmpl w:val="232A6420"/>
    <w:lvl w:ilvl="0" w:tplc="68ECC07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FA4963"/>
    <w:multiLevelType w:val="hybridMultilevel"/>
    <w:tmpl w:val="232A6420"/>
    <w:lvl w:ilvl="0" w:tplc="68ECC07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53A56"/>
    <w:multiLevelType w:val="hybridMultilevel"/>
    <w:tmpl w:val="232A6420"/>
    <w:lvl w:ilvl="0" w:tplc="68ECC07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831C2"/>
    <w:multiLevelType w:val="hybridMultilevel"/>
    <w:tmpl w:val="5CF0FD8E"/>
    <w:lvl w:ilvl="0" w:tplc="C4629B2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66AD2"/>
    <w:multiLevelType w:val="hybridMultilevel"/>
    <w:tmpl w:val="61903218"/>
    <w:lvl w:ilvl="0" w:tplc="C4629B2C">
      <w:start w:val="1"/>
      <w:numFmt w:val="lowerRoman"/>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10"/>
  </w:num>
  <w:num w:numId="8">
    <w:abstractNumId w:val="12"/>
  </w:num>
  <w:num w:numId="9">
    <w:abstractNumId w:val="2"/>
  </w:num>
  <w:num w:numId="10">
    <w:abstractNumId w:val="13"/>
  </w:num>
  <w:num w:numId="11">
    <w:abstractNumId w:val="7"/>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C3"/>
    <w:rsid w:val="00011B7D"/>
    <w:rsid w:val="00043A1E"/>
    <w:rsid w:val="00075432"/>
    <w:rsid w:val="00081F58"/>
    <w:rsid w:val="000F5E56"/>
    <w:rsid w:val="00105B7C"/>
    <w:rsid w:val="001362EE"/>
    <w:rsid w:val="001832A6"/>
    <w:rsid w:val="00195C6E"/>
    <w:rsid w:val="001B266A"/>
    <w:rsid w:val="001D3D56"/>
    <w:rsid w:val="00240654"/>
    <w:rsid w:val="002634C4"/>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E6516"/>
    <w:rsid w:val="00605827"/>
    <w:rsid w:val="00676936"/>
    <w:rsid w:val="006B0DB5"/>
    <w:rsid w:val="006E4243"/>
    <w:rsid w:val="007461F1"/>
    <w:rsid w:val="007A54C3"/>
    <w:rsid w:val="007D6961"/>
    <w:rsid w:val="007F07CB"/>
    <w:rsid w:val="00810CEF"/>
    <w:rsid w:val="0081208D"/>
    <w:rsid w:val="00842A13"/>
    <w:rsid w:val="0087626A"/>
    <w:rsid w:val="008B2CC1"/>
    <w:rsid w:val="008E7930"/>
    <w:rsid w:val="0090731E"/>
    <w:rsid w:val="00931279"/>
    <w:rsid w:val="00966A22"/>
    <w:rsid w:val="00974CD6"/>
    <w:rsid w:val="009D30E6"/>
    <w:rsid w:val="009E3F6F"/>
    <w:rsid w:val="009F499F"/>
    <w:rsid w:val="00A02BD3"/>
    <w:rsid w:val="00AA1F20"/>
    <w:rsid w:val="00AC0AE4"/>
    <w:rsid w:val="00AD61DB"/>
    <w:rsid w:val="00B84F20"/>
    <w:rsid w:val="00B87BCF"/>
    <w:rsid w:val="00BA62D4"/>
    <w:rsid w:val="00BF204D"/>
    <w:rsid w:val="00C40E15"/>
    <w:rsid w:val="00C664C8"/>
    <w:rsid w:val="00C76A79"/>
    <w:rsid w:val="00CA15F5"/>
    <w:rsid w:val="00CF0460"/>
    <w:rsid w:val="00D45252"/>
    <w:rsid w:val="00D71B4D"/>
    <w:rsid w:val="00D75C1E"/>
    <w:rsid w:val="00D93D55"/>
    <w:rsid w:val="00DB0349"/>
    <w:rsid w:val="00DD6A16"/>
    <w:rsid w:val="00E0091A"/>
    <w:rsid w:val="00E203AA"/>
    <w:rsid w:val="00E527A5"/>
    <w:rsid w:val="00E76456"/>
    <w:rsid w:val="00EE71CB"/>
    <w:rsid w:val="00F106A9"/>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7ECCDF1-654C-4941-9E9C-F2EC22D7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931279"/>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rsid w:val="007A54C3"/>
    <w:rPr>
      <w:vertAlign w:val="superscript"/>
    </w:rPr>
  </w:style>
  <w:style w:type="character" w:customStyle="1" w:styleId="HeaderChar">
    <w:name w:val="Header Char"/>
    <w:basedOn w:val="DefaultParagraphFont"/>
    <w:link w:val="Header"/>
    <w:uiPriority w:val="99"/>
    <w:rsid w:val="007A54C3"/>
    <w:rPr>
      <w:rFonts w:ascii="Arial" w:eastAsia="SimSun" w:hAnsi="Arial" w:cs="Arial"/>
      <w:sz w:val="22"/>
      <w:lang w:eastAsia="zh-CN"/>
    </w:rPr>
  </w:style>
  <w:style w:type="character" w:styleId="Hyperlink">
    <w:name w:val="Hyperlink"/>
    <w:basedOn w:val="DefaultParagraphFont"/>
    <w:uiPriority w:val="99"/>
    <w:unhideWhenUsed/>
    <w:rsid w:val="007A54C3"/>
    <w:rPr>
      <w:color w:val="0000FF" w:themeColor="hyperlink"/>
      <w:u w:val="single"/>
    </w:rPr>
  </w:style>
  <w:style w:type="paragraph" w:customStyle="1" w:styleId="TableParagraph">
    <w:name w:val="Table Paragraph"/>
    <w:basedOn w:val="Normal"/>
    <w:uiPriority w:val="1"/>
    <w:qFormat/>
    <w:rsid w:val="007A54C3"/>
    <w:pPr>
      <w:widowControl w:val="0"/>
      <w:autoSpaceDE w:val="0"/>
      <w:autoSpaceDN w:val="0"/>
    </w:pPr>
    <w:rPr>
      <w:rFonts w:eastAsia="Arial"/>
      <w:szCs w:val="22"/>
      <w:lang w:val="fr-FR" w:eastAsia="en-US"/>
    </w:rPr>
  </w:style>
  <w:style w:type="character" w:styleId="PageNumber">
    <w:name w:val="page number"/>
    <w:basedOn w:val="DefaultParagraphFont"/>
    <w:rsid w:val="007A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wipo.int/meetings/fr/doc_details.jsp?doc_id=416005%20" TargetMode="Externa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ip-development/fr/agenda/recommendation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fr/doc_details.jsp?doc_id=573792" TargetMode="External"/><Relationship Id="rId1" Type="http://schemas.openxmlformats.org/officeDocument/2006/relationships/hyperlink" Target="https://www.wipo.int/meetings/fr/doc_details.jsp?doc_id=5737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CDIP_29 (F)</Template>
  <TotalTime>0</TotalTime>
  <Pages>8</Pages>
  <Words>2603</Words>
  <Characters>14880</Characters>
  <Application>Microsoft Office Word</Application>
  <DocSecurity>4</DocSecurity>
  <Lines>437</Lines>
  <Paragraphs>187</Paragraphs>
  <ScaleCrop>false</ScaleCrop>
  <HeadingPairs>
    <vt:vector size="2" baseType="variant">
      <vt:variant>
        <vt:lpstr>Title</vt:lpstr>
      </vt:variant>
      <vt:variant>
        <vt:i4>1</vt:i4>
      </vt:variant>
    </vt:vector>
  </HeadingPairs>
  <TitlesOfParts>
    <vt:vector size="1" baseType="lpstr">
      <vt:lpstr>CDIP/29/8</vt:lpstr>
    </vt:vector>
  </TitlesOfParts>
  <Company>WIPO</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CDIP/29/8</dc:title>
  <dc:creator>OLIVIÉ Karen</dc:creator>
  <cp:keywords>FOR OFFICIAL USE ONLY</cp:keywords>
  <cp:lastModifiedBy>ESTEVES DOS SANTOS Anabela</cp:lastModifiedBy>
  <cp:revision>2</cp:revision>
  <cp:lastPrinted>2011-05-19T12:37:00Z</cp:lastPrinted>
  <dcterms:created xsi:type="dcterms:W3CDTF">2022-09-26T08:25:00Z</dcterms:created>
  <dcterms:modified xsi:type="dcterms:W3CDTF">2022-09-26T08:25:00Z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