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A26FB" w14:textId="77777777" w:rsidR="006C33B7" w:rsidRPr="0040540C" w:rsidRDefault="006C33B7" w:rsidP="006C33B7">
      <w:pPr>
        <w:pBdr>
          <w:bottom w:val="single" w:sz="4" w:space="11" w:color="auto"/>
        </w:pBdr>
        <w:spacing w:after="120"/>
        <w:jc w:val="right"/>
      </w:pPr>
      <w:r>
        <w:rPr>
          <w:noProof/>
          <w:lang w:val="fr-CH" w:eastAsia="fr-CH"/>
        </w:rPr>
        <w:drawing>
          <wp:inline distT="0" distB="0" distL="0" distR="0" wp14:anchorId="7032F014" wp14:editId="6D312E6B">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397A8F82" w14:textId="7985E2D6" w:rsidR="006C33B7" w:rsidRDefault="006C33B7" w:rsidP="006C33B7">
      <w:pPr>
        <w:jc w:val="right"/>
        <w:rPr>
          <w:rFonts w:ascii="Arial Black" w:hAnsi="Arial Black"/>
          <w:caps/>
          <w:sz w:val="15"/>
        </w:rPr>
      </w:pPr>
      <w:r>
        <w:rPr>
          <w:rFonts w:ascii="Arial Black" w:hAnsi="Arial Black"/>
          <w:caps/>
          <w:sz w:val="15"/>
        </w:rPr>
        <w:t>CDIP/30/</w:t>
      </w:r>
      <w:bookmarkStart w:id="0" w:name="Code"/>
      <w:bookmarkEnd w:id="0"/>
      <w:r>
        <w:rPr>
          <w:rFonts w:ascii="Arial Black" w:hAnsi="Arial Black"/>
          <w:caps/>
          <w:sz w:val="15"/>
        </w:rPr>
        <w:t>4</w:t>
      </w:r>
      <w:r w:rsidR="007D5995">
        <w:rPr>
          <w:rFonts w:ascii="Arial Black" w:hAnsi="Arial Black"/>
          <w:caps/>
          <w:sz w:val="15"/>
        </w:rPr>
        <w:t> REV</w:t>
      </w:r>
    </w:p>
    <w:p w14:paraId="20789D7A" w14:textId="44BADD9E" w:rsidR="006C33B7" w:rsidRPr="0040540C" w:rsidRDefault="006C33B7" w:rsidP="006C33B7">
      <w:pPr>
        <w:jc w:val="right"/>
      </w:pPr>
      <w:r w:rsidRPr="0090731E">
        <w:rPr>
          <w:rFonts w:ascii="Arial Black" w:hAnsi="Arial Black"/>
          <w:caps/>
          <w:sz w:val="15"/>
        </w:rPr>
        <w:t>ORIGINAL</w:t>
      </w:r>
      <w:r w:rsidR="00D968EE">
        <w:rPr>
          <w:rFonts w:ascii="Arial Black" w:hAnsi="Arial Black"/>
          <w:caps/>
          <w:sz w:val="15"/>
        </w:rPr>
        <w:t> :</w:t>
      </w:r>
      <w:r>
        <w:rPr>
          <w:rFonts w:ascii="Arial Black" w:hAnsi="Arial Black"/>
          <w:caps/>
          <w:sz w:val="15"/>
        </w:rPr>
        <w:t xml:space="preserve"> </w:t>
      </w:r>
      <w:bookmarkStart w:id="1" w:name="Original"/>
      <w:r>
        <w:rPr>
          <w:rFonts w:ascii="Arial Black" w:hAnsi="Arial Black"/>
          <w:caps/>
          <w:sz w:val="15"/>
        </w:rPr>
        <w:t>anglais</w:t>
      </w:r>
    </w:p>
    <w:bookmarkEnd w:id="1"/>
    <w:p w14:paraId="4E3E07B8" w14:textId="5EF45B6F" w:rsidR="006C33B7" w:rsidRPr="0040540C" w:rsidRDefault="006C33B7" w:rsidP="006C33B7">
      <w:pPr>
        <w:spacing w:after="1200"/>
        <w:jc w:val="right"/>
      </w:pPr>
      <w:r w:rsidRPr="0090731E">
        <w:rPr>
          <w:rFonts w:ascii="Arial Black" w:hAnsi="Arial Black"/>
          <w:caps/>
          <w:sz w:val="15"/>
        </w:rPr>
        <w:t>DATE</w:t>
      </w:r>
      <w:r w:rsidR="00D968EE">
        <w:rPr>
          <w:rFonts w:ascii="Arial Black" w:hAnsi="Arial Black"/>
          <w:caps/>
          <w:sz w:val="15"/>
        </w:rPr>
        <w:t> :</w:t>
      </w:r>
      <w:r>
        <w:rPr>
          <w:rFonts w:ascii="Arial Black" w:hAnsi="Arial Black"/>
          <w:caps/>
          <w:sz w:val="15"/>
        </w:rPr>
        <w:t xml:space="preserve"> </w:t>
      </w:r>
      <w:bookmarkStart w:id="2" w:name="Date"/>
      <w:r w:rsidR="007D5995">
        <w:rPr>
          <w:rFonts w:ascii="Arial Black" w:hAnsi="Arial Black"/>
          <w:caps/>
          <w:sz w:val="15"/>
        </w:rPr>
        <w:t>28</w:t>
      </w:r>
      <w:r>
        <w:rPr>
          <w:rFonts w:ascii="Arial Black" w:hAnsi="Arial Black"/>
          <w:caps/>
          <w:sz w:val="15"/>
        </w:rPr>
        <w:t> </w:t>
      </w:r>
      <w:r w:rsidR="007D5995">
        <w:rPr>
          <w:rFonts w:ascii="Arial Black" w:hAnsi="Arial Black"/>
          <w:caps/>
          <w:sz w:val="15"/>
        </w:rPr>
        <w:t>avril</w:t>
      </w:r>
      <w:r>
        <w:rPr>
          <w:rFonts w:ascii="Arial Black" w:hAnsi="Arial Black"/>
          <w:caps/>
          <w:sz w:val="15"/>
        </w:rPr>
        <w:t> 2023</w:t>
      </w:r>
    </w:p>
    <w:bookmarkEnd w:id="2"/>
    <w:p w14:paraId="3CBAF2BD" w14:textId="77777777" w:rsidR="006C33B7" w:rsidRPr="007D5995" w:rsidRDefault="006C33B7" w:rsidP="007D5995">
      <w:pPr>
        <w:spacing w:after="600"/>
        <w:rPr>
          <w:b/>
          <w:sz w:val="28"/>
        </w:rPr>
      </w:pPr>
      <w:r w:rsidRPr="007D5995">
        <w:rPr>
          <w:b/>
          <w:sz w:val="28"/>
        </w:rPr>
        <w:t>Comité du développement et de la propriété intellectuelle (CDIP)</w:t>
      </w:r>
    </w:p>
    <w:p w14:paraId="6AFF0EC7" w14:textId="75BBE7E0" w:rsidR="006C33B7" w:rsidRDefault="006C33B7" w:rsidP="006C33B7">
      <w:pPr>
        <w:outlineLvl w:val="1"/>
        <w:rPr>
          <w:b/>
          <w:sz w:val="24"/>
          <w:szCs w:val="24"/>
        </w:rPr>
      </w:pPr>
      <w:r w:rsidRPr="00897816">
        <w:rPr>
          <w:b/>
          <w:sz w:val="24"/>
          <w:szCs w:val="24"/>
        </w:rPr>
        <w:t>Trent</w:t>
      </w:r>
      <w:r w:rsidR="00D968EE">
        <w:rPr>
          <w:b/>
          <w:sz w:val="24"/>
          <w:szCs w:val="24"/>
        </w:rPr>
        <w:t>ième session</w:t>
      </w:r>
    </w:p>
    <w:p w14:paraId="55E6EB7E" w14:textId="0E79477A" w:rsidR="006C33B7" w:rsidRPr="003845C1" w:rsidRDefault="006C33B7" w:rsidP="006C33B7">
      <w:pPr>
        <w:spacing w:after="720"/>
        <w:outlineLvl w:val="1"/>
        <w:rPr>
          <w:b/>
          <w:sz w:val="24"/>
          <w:szCs w:val="24"/>
        </w:rPr>
      </w:pPr>
      <w:r w:rsidRPr="00897816">
        <w:rPr>
          <w:b/>
          <w:sz w:val="24"/>
          <w:szCs w:val="24"/>
        </w:rPr>
        <w:t xml:space="preserve">Genève, 24 </w:t>
      </w:r>
      <w:r>
        <w:rPr>
          <w:b/>
          <w:sz w:val="24"/>
          <w:szCs w:val="24"/>
        </w:rPr>
        <w:t>–</w:t>
      </w:r>
      <w:r w:rsidRPr="00897816">
        <w:rPr>
          <w:b/>
          <w:sz w:val="24"/>
          <w:szCs w:val="24"/>
        </w:rPr>
        <w:t xml:space="preserve"> 28</w:t>
      </w:r>
      <w:r>
        <w:rPr>
          <w:b/>
          <w:sz w:val="24"/>
          <w:szCs w:val="24"/>
        </w:rPr>
        <w:t> </w:t>
      </w:r>
      <w:r w:rsidRPr="00897816">
        <w:rPr>
          <w:b/>
          <w:sz w:val="24"/>
          <w:szCs w:val="24"/>
        </w:rPr>
        <w:t>avril</w:t>
      </w:r>
      <w:r>
        <w:rPr>
          <w:b/>
          <w:sz w:val="24"/>
          <w:szCs w:val="24"/>
        </w:rPr>
        <w:t> </w:t>
      </w:r>
      <w:r w:rsidRPr="00897816">
        <w:rPr>
          <w:b/>
          <w:sz w:val="24"/>
          <w:szCs w:val="24"/>
        </w:rPr>
        <w:t>2023</w:t>
      </w:r>
    </w:p>
    <w:p w14:paraId="16E51CB7" w14:textId="3965D1B0" w:rsidR="006C33B7" w:rsidRPr="003845C1" w:rsidRDefault="006C33B7" w:rsidP="006C33B7">
      <w:pPr>
        <w:spacing w:after="360"/>
        <w:rPr>
          <w:caps/>
          <w:sz w:val="24"/>
        </w:rPr>
      </w:pPr>
      <w:bookmarkStart w:id="3" w:name="TitleOfDoc"/>
      <w:r>
        <w:rPr>
          <w:caps/>
          <w:sz w:val="24"/>
        </w:rPr>
        <w:t xml:space="preserve">Proposition de projet </w:t>
      </w:r>
      <w:r w:rsidR="007D5995">
        <w:rPr>
          <w:caps/>
          <w:sz w:val="24"/>
        </w:rPr>
        <w:t xml:space="preserve">révisée </w:t>
      </w:r>
      <w:r>
        <w:rPr>
          <w:caps/>
          <w:sz w:val="24"/>
        </w:rPr>
        <w:t>présentée par le Kenya sur l</w:t>
      </w:r>
      <w:r w:rsidR="00D968EE">
        <w:rPr>
          <w:caps/>
          <w:sz w:val="24"/>
        </w:rPr>
        <w:t>’</w:t>
      </w:r>
      <w:r>
        <w:rPr>
          <w:caps/>
          <w:sz w:val="24"/>
        </w:rPr>
        <w:t>élaboration de stratégies et d</w:t>
      </w:r>
      <w:r w:rsidR="00D968EE">
        <w:rPr>
          <w:caps/>
          <w:sz w:val="24"/>
        </w:rPr>
        <w:t>’</w:t>
      </w:r>
      <w:r>
        <w:rPr>
          <w:caps/>
          <w:sz w:val="24"/>
        </w:rPr>
        <w:t>outils pour lutter contre les atteintes en ligne au droit d</w:t>
      </w:r>
      <w:r w:rsidR="00D968EE">
        <w:rPr>
          <w:caps/>
          <w:sz w:val="24"/>
        </w:rPr>
        <w:t>’</w:t>
      </w:r>
      <w:r>
        <w:rPr>
          <w:caps/>
          <w:sz w:val="24"/>
        </w:rPr>
        <w:t>auteur sur le marché numérique africain</w:t>
      </w:r>
    </w:p>
    <w:p w14:paraId="6E8B4715" w14:textId="2A5AE1CD" w:rsidR="006C33B7" w:rsidRPr="008B2CC1" w:rsidRDefault="006C33B7" w:rsidP="006C33B7">
      <w:pPr>
        <w:spacing w:after="960"/>
        <w:rPr>
          <w:i/>
        </w:rPr>
      </w:pPr>
      <w:bookmarkStart w:id="4" w:name="Prepared"/>
      <w:bookmarkStart w:id="5" w:name="_GoBack"/>
      <w:bookmarkEnd w:id="3"/>
      <w:bookmarkEnd w:id="4"/>
      <w:bookmarkEnd w:id="5"/>
      <w:r>
        <w:rPr>
          <w:i/>
        </w:rPr>
        <w:t>établi par le Secrétariat</w:t>
      </w:r>
    </w:p>
    <w:p w14:paraId="11253B3F" w14:textId="48D6E821" w:rsidR="006C33B7" w:rsidRPr="00006DFF" w:rsidRDefault="00006DFF" w:rsidP="00006DFF">
      <w:pPr>
        <w:pStyle w:val="ONUMFS"/>
      </w:pPr>
      <w:r w:rsidRPr="00006DFF">
        <w:t>À la trentième session du Comité du développement et de la propriété intellectuelle (CDIP), le comité a examiné une proposition de projet soumise par le Conseil du droit d’auteur du Kenya (KECOBO) sur l’“Élaboration de stratégies et d’outils pour lutter contre les atteintes en ligne au droit d’auteur sur le marché numérique africain”.  La proposition de projet a été révisée au cours de la session sur la base des observations formulées par les États membres</w:t>
      </w:r>
      <w:r w:rsidR="00362D04" w:rsidRPr="00006DFF">
        <w:t>.</w:t>
      </w:r>
    </w:p>
    <w:p w14:paraId="34509C8F" w14:textId="62E3312B" w:rsidR="006C33B7" w:rsidRDefault="00C06D75" w:rsidP="00003B3A">
      <w:pPr>
        <w:pStyle w:val="ONUMFS"/>
      </w:pPr>
      <w:r w:rsidRPr="00006DFF">
        <w:t>Les annexes du présent document contiennent ladite proposition</w:t>
      </w:r>
      <w:r w:rsidR="00006DFF" w:rsidRPr="00006DFF">
        <w:t xml:space="preserve"> révisée</w:t>
      </w:r>
      <w:r>
        <w:t>.</w:t>
      </w:r>
    </w:p>
    <w:p w14:paraId="4CA6CB2C" w14:textId="74BAEDD1" w:rsidR="00C06D75" w:rsidRPr="00006DFF" w:rsidRDefault="00A37351" w:rsidP="00006DFF">
      <w:pPr>
        <w:pStyle w:val="ONUMFS"/>
        <w:tabs>
          <w:tab w:val="left" w:pos="6096"/>
        </w:tabs>
        <w:ind w:left="5533"/>
        <w:rPr>
          <w:i/>
          <w:szCs w:val="22"/>
        </w:rPr>
      </w:pPr>
      <w:r w:rsidRPr="00006DFF">
        <w:rPr>
          <w:i/>
        </w:rPr>
        <w:t>Le comité est invité à examiner les annexes du présent document.</w:t>
      </w:r>
    </w:p>
    <w:p w14:paraId="62014E80" w14:textId="0623318D" w:rsidR="0047197B" w:rsidRPr="006E16C1" w:rsidRDefault="0047197B" w:rsidP="00003B3A">
      <w:pPr>
        <w:pStyle w:val="Endofdocument-Annex"/>
        <w:spacing w:before="720"/>
      </w:pPr>
      <w:r>
        <w:t>[Les annexes suivent]</w:t>
      </w:r>
    </w:p>
    <w:p w14:paraId="438AD82F" w14:textId="3AEF3B56" w:rsidR="00C06D75" w:rsidRPr="00DC75B2" w:rsidRDefault="00C06D75" w:rsidP="00C06D75">
      <w:pPr>
        <w:spacing w:before="65"/>
        <w:ind w:left="5533"/>
        <w:sectPr w:rsidR="00C06D75" w:rsidRPr="00DC75B2" w:rsidSect="006C33B7">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pgNumType w:start="0"/>
          <w:cols w:space="720"/>
          <w:titlePg/>
          <w:docGrid w:linePitch="299"/>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position de projet"/>
      </w:tblPr>
      <w:tblGrid>
        <w:gridCol w:w="4676"/>
        <w:gridCol w:w="4676"/>
      </w:tblGrid>
      <w:tr w:rsidR="005E49F7" w:rsidRPr="00DC75B2" w14:paraId="23ED4566" w14:textId="77777777" w:rsidTr="00431941">
        <w:trPr>
          <w:trHeight w:val="253"/>
        </w:trPr>
        <w:tc>
          <w:tcPr>
            <w:tcW w:w="9352" w:type="dxa"/>
            <w:gridSpan w:val="2"/>
            <w:shd w:val="clear" w:color="auto" w:fill="00FFCC"/>
          </w:tcPr>
          <w:p w14:paraId="7CE2CD5C" w14:textId="1A13C53A" w:rsidR="005E49F7" w:rsidRPr="00003B3A" w:rsidRDefault="00BD6F7E" w:rsidP="00FD786A">
            <w:pPr>
              <w:pStyle w:val="TableParagraph"/>
              <w:spacing w:line="234" w:lineRule="exact"/>
              <w:ind w:left="103" w:right="87"/>
              <w:jc w:val="center"/>
              <w:rPr>
                <w:b/>
              </w:rPr>
            </w:pPr>
            <w:r>
              <w:rPr>
                <w:b/>
              </w:rPr>
              <w:lastRenderedPageBreak/>
              <w:t>1. </w:t>
            </w:r>
            <w:r w:rsidR="005E49F7" w:rsidRPr="00003B3A">
              <w:rPr>
                <w:b/>
              </w:rPr>
              <w:t>Code du projet</w:t>
            </w:r>
          </w:p>
        </w:tc>
      </w:tr>
      <w:tr w:rsidR="005E49F7" w:rsidRPr="00DC75B2" w14:paraId="7ADB4A73" w14:textId="77777777" w:rsidTr="00A34023">
        <w:trPr>
          <w:trHeight w:val="340"/>
        </w:trPr>
        <w:tc>
          <w:tcPr>
            <w:tcW w:w="9352" w:type="dxa"/>
            <w:gridSpan w:val="2"/>
          </w:tcPr>
          <w:p w14:paraId="608C2103" w14:textId="77777777" w:rsidR="005E49F7" w:rsidRPr="00003B3A" w:rsidRDefault="005E49F7" w:rsidP="00FD786A">
            <w:pPr>
              <w:pStyle w:val="TableParagraph"/>
              <w:spacing w:line="249" w:lineRule="exact"/>
              <w:ind w:left="110"/>
              <w:jc w:val="center"/>
            </w:pPr>
            <w:r w:rsidRPr="00003B3A">
              <w:t>[DA_4_10_11_45_01]</w:t>
            </w:r>
          </w:p>
        </w:tc>
      </w:tr>
      <w:tr w:rsidR="005E49F7" w:rsidRPr="00DC75B2" w14:paraId="0415340E" w14:textId="77777777" w:rsidTr="00431941">
        <w:trPr>
          <w:trHeight w:val="251"/>
        </w:trPr>
        <w:tc>
          <w:tcPr>
            <w:tcW w:w="9352" w:type="dxa"/>
            <w:gridSpan w:val="2"/>
            <w:shd w:val="clear" w:color="auto" w:fill="00FFCC"/>
          </w:tcPr>
          <w:p w14:paraId="49C4203A" w14:textId="7704E65F" w:rsidR="005E49F7" w:rsidRPr="00003B3A" w:rsidRDefault="005E49F7" w:rsidP="00FA496B">
            <w:pPr>
              <w:pStyle w:val="TableParagraph"/>
              <w:spacing w:line="232" w:lineRule="exact"/>
              <w:ind w:left="103" w:right="90"/>
              <w:jc w:val="center"/>
              <w:rPr>
                <w:b/>
              </w:rPr>
            </w:pPr>
            <w:r w:rsidRPr="00003B3A">
              <w:rPr>
                <w:b/>
              </w:rPr>
              <w:t>1.2 Intitulé du projet</w:t>
            </w:r>
          </w:p>
        </w:tc>
      </w:tr>
      <w:tr w:rsidR="005E49F7" w:rsidRPr="0087431C" w14:paraId="4986B97A" w14:textId="77777777" w:rsidTr="00431941">
        <w:trPr>
          <w:trHeight w:val="622"/>
        </w:trPr>
        <w:tc>
          <w:tcPr>
            <w:tcW w:w="9352" w:type="dxa"/>
            <w:gridSpan w:val="2"/>
          </w:tcPr>
          <w:p w14:paraId="3C7AAE8A" w14:textId="2E99912E" w:rsidR="005E49F7" w:rsidRPr="00003B3A" w:rsidRDefault="005E49F7" w:rsidP="00FD786A">
            <w:pPr>
              <w:pStyle w:val="TableParagraph"/>
              <w:ind w:left="110" w:right="188"/>
              <w:jc w:val="center"/>
            </w:pPr>
            <w:r w:rsidRPr="00003B3A">
              <w:t>Élaboration de stratégies et d</w:t>
            </w:r>
            <w:r w:rsidR="00D968EE" w:rsidRPr="00003B3A">
              <w:t>’</w:t>
            </w:r>
            <w:r w:rsidRPr="00003B3A">
              <w:t>outils pour lutter contre les atteintes en ligne au droit d</w:t>
            </w:r>
            <w:r w:rsidR="00D968EE" w:rsidRPr="00003B3A">
              <w:t>’</w:t>
            </w:r>
            <w:r w:rsidRPr="00003B3A">
              <w:t xml:space="preserve">auteur sur le marché numérique africain – Proposition de projet du Kenya </w:t>
            </w:r>
          </w:p>
        </w:tc>
      </w:tr>
      <w:tr w:rsidR="005E49F7" w:rsidRPr="00DC75B2" w14:paraId="4C26B8F0" w14:textId="77777777" w:rsidTr="00431941">
        <w:trPr>
          <w:trHeight w:val="252"/>
        </w:trPr>
        <w:tc>
          <w:tcPr>
            <w:tcW w:w="9352" w:type="dxa"/>
            <w:gridSpan w:val="2"/>
            <w:shd w:val="clear" w:color="auto" w:fill="00FFCC"/>
          </w:tcPr>
          <w:p w14:paraId="508652E3" w14:textId="66AE8407" w:rsidR="005E49F7" w:rsidRPr="00DC75B2" w:rsidRDefault="005E49F7" w:rsidP="009E7807">
            <w:pPr>
              <w:pStyle w:val="TableParagraph"/>
              <w:spacing w:line="232" w:lineRule="exact"/>
              <w:ind w:left="103" w:right="88"/>
              <w:jc w:val="center"/>
              <w:rPr>
                <w:b/>
              </w:rPr>
            </w:pPr>
            <w:r>
              <w:rPr>
                <w:b/>
              </w:rPr>
              <w:t>1.3</w:t>
            </w:r>
            <w:r w:rsidR="009E7807">
              <w:rPr>
                <w:b/>
              </w:rPr>
              <w:t> </w:t>
            </w:r>
            <w:hyperlink r:id="rId15" w:history="1">
              <w:r>
                <w:rPr>
                  <w:rStyle w:val="Hyperlink"/>
                  <w:b/>
                </w:rPr>
                <w:t>Recommandations du Plan d</w:t>
              </w:r>
              <w:r w:rsidR="00D968EE">
                <w:rPr>
                  <w:rStyle w:val="Hyperlink"/>
                  <w:b/>
                </w:rPr>
                <w:t>’</w:t>
              </w:r>
              <w:r>
                <w:rPr>
                  <w:rStyle w:val="Hyperlink"/>
                  <w:b/>
                </w:rPr>
                <w:t>action pour le développement</w:t>
              </w:r>
            </w:hyperlink>
          </w:p>
        </w:tc>
      </w:tr>
      <w:tr w:rsidR="005E49F7" w:rsidRPr="00DC75B2" w14:paraId="3D62244E" w14:textId="77777777" w:rsidTr="00431941">
        <w:trPr>
          <w:trHeight w:val="760"/>
        </w:trPr>
        <w:tc>
          <w:tcPr>
            <w:tcW w:w="9352" w:type="dxa"/>
            <w:gridSpan w:val="2"/>
          </w:tcPr>
          <w:p w14:paraId="0491AD4D" w14:textId="67B66182" w:rsidR="005E49F7" w:rsidRPr="00003B3A" w:rsidRDefault="005E49F7" w:rsidP="00FD786A">
            <w:pPr>
              <w:pStyle w:val="TableParagraph"/>
              <w:spacing w:line="235" w:lineRule="exact"/>
              <w:ind w:left="110"/>
            </w:pPr>
            <w:r w:rsidRPr="00003B3A">
              <w:rPr>
                <w:i/>
              </w:rPr>
              <w:t>Recommandation n° 4</w:t>
            </w:r>
            <w:r w:rsidR="00D968EE" w:rsidRPr="00003B3A">
              <w:rPr>
                <w:i/>
              </w:rPr>
              <w:t> :</w:t>
            </w:r>
            <w:r w:rsidR="00A34023">
              <w:t xml:space="preserve"> </w:t>
            </w:r>
            <w:r w:rsidRPr="00003B3A">
              <w:t>Accorder une attention particulière aux besoins des PME, des institutions chargées de la recherche scientifique et des industries culturelles et aider les États membres, à leur demande, à élaborer des stratégies nationales appropriées dans le domaine de la propriété intellectuelle.</w:t>
            </w:r>
          </w:p>
          <w:p w14:paraId="63B21BD7" w14:textId="77777777" w:rsidR="005E49F7" w:rsidRPr="00003B3A" w:rsidRDefault="005E49F7" w:rsidP="00FD786A">
            <w:pPr>
              <w:pStyle w:val="TableParagraph"/>
              <w:spacing w:line="235" w:lineRule="exact"/>
              <w:ind w:left="110"/>
            </w:pPr>
          </w:p>
          <w:p w14:paraId="42E30223" w14:textId="0181FC39" w:rsidR="005E49F7" w:rsidRPr="00003B3A" w:rsidRDefault="005E49F7" w:rsidP="00FD786A">
            <w:pPr>
              <w:pStyle w:val="TableParagraph"/>
              <w:spacing w:line="235" w:lineRule="exact"/>
              <w:ind w:left="110"/>
            </w:pPr>
            <w:r w:rsidRPr="00003B3A">
              <w:rPr>
                <w:i/>
              </w:rPr>
              <w:t>Recommandation n° 10</w:t>
            </w:r>
            <w:r w:rsidR="00D968EE" w:rsidRPr="00003B3A">
              <w:rPr>
                <w:i/>
              </w:rPr>
              <w:t> :</w:t>
            </w:r>
            <w:r w:rsidR="00A34023">
              <w:t xml:space="preserve"> </w:t>
            </w:r>
            <w:r w:rsidRPr="00003B3A">
              <w:t>Aider les États membres à développer et à améliorer les capacités institutionnelles nationales en propriété intellectuelle par le développement des infrastructures et autres moyens en vue de renforcer l</w:t>
            </w:r>
            <w:r w:rsidR="00D968EE" w:rsidRPr="00003B3A">
              <w:t>’</w:t>
            </w:r>
            <w:r w:rsidRPr="00003B3A">
              <w:t>efficacité des institutions nationales de propriété intellectuelle et de concilier protection de la propriété intellectuelle et préservation de l</w:t>
            </w:r>
            <w:r w:rsidR="00D968EE" w:rsidRPr="00003B3A">
              <w:t>’</w:t>
            </w:r>
            <w:r w:rsidRPr="00003B3A">
              <w:t xml:space="preserve">intérêt général. </w:t>
            </w:r>
            <w:r w:rsidR="001C274D">
              <w:t xml:space="preserve"> </w:t>
            </w:r>
            <w:r w:rsidRPr="00003B3A">
              <w:t>Cette assistance technique devrait également être étendue aux organisations sous</w:t>
            </w:r>
            <w:r w:rsidR="00BD6F7E">
              <w:noBreakHyphen/>
            </w:r>
            <w:r w:rsidRPr="00003B3A">
              <w:t>régionales et régionales œuvrant dans le domaine de la propriété intellectuelle.</w:t>
            </w:r>
          </w:p>
          <w:p w14:paraId="19D5DC4C" w14:textId="77777777" w:rsidR="005E49F7" w:rsidRPr="00003B3A" w:rsidRDefault="005E49F7" w:rsidP="00FD786A">
            <w:pPr>
              <w:pStyle w:val="TableParagraph"/>
              <w:spacing w:line="235" w:lineRule="exact"/>
              <w:ind w:left="110"/>
            </w:pPr>
          </w:p>
          <w:p w14:paraId="3C711272" w14:textId="74CDBE99" w:rsidR="005E49F7" w:rsidRPr="00003B3A" w:rsidRDefault="005E49F7" w:rsidP="00FD786A">
            <w:pPr>
              <w:pStyle w:val="TableParagraph"/>
              <w:spacing w:line="235" w:lineRule="exact"/>
              <w:ind w:left="110"/>
            </w:pPr>
            <w:r w:rsidRPr="00003B3A">
              <w:t>Recommandation n° 11</w:t>
            </w:r>
            <w:r w:rsidR="00D968EE" w:rsidRPr="00003B3A">
              <w:t> :</w:t>
            </w:r>
            <w:r w:rsidRPr="00003B3A">
              <w:t xml:space="preserve"> Aider les États membres à renforcer leur capacité nationale de protection des créations, innovations et inventions nationales et soutenir au besoin le développement des infrastructures scientifiques et technologiques nationales, conformément au mandat de l</w:t>
            </w:r>
            <w:r w:rsidR="00D968EE" w:rsidRPr="00003B3A">
              <w:t>’</w:t>
            </w:r>
            <w:r w:rsidRPr="00003B3A">
              <w:t>OMPI.</w:t>
            </w:r>
          </w:p>
          <w:p w14:paraId="58DD7A27" w14:textId="77777777" w:rsidR="005E49F7" w:rsidRPr="00003B3A" w:rsidRDefault="005E49F7" w:rsidP="00FD786A">
            <w:pPr>
              <w:pStyle w:val="TableParagraph"/>
              <w:spacing w:line="235" w:lineRule="exact"/>
              <w:ind w:left="110"/>
            </w:pPr>
          </w:p>
          <w:p w14:paraId="0609B49A" w14:textId="0C16F28E" w:rsidR="005E49F7" w:rsidRPr="00003B3A" w:rsidRDefault="005E49F7" w:rsidP="00A34023">
            <w:pPr>
              <w:pStyle w:val="TableParagraph"/>
              <w:spacing w:after="120" w:line="235" w:lineRule="exact"/>
              <w:ind w:left="110"/>
            </w:pPr>
            <w:r w:rsidRPr="00003B3A">
              <w:t>Recommandation n° 45</w:t>
            </w:r>
            <w:r w:rsidR="00D968EE" w:rsidRPr="00003B3A">
              <w:t> :</w:t>
            </w:r>
            <w:r w:rsidRPr="00003B3A">
              <w:t xml:space="preserve"> Replacer l</w:t>
            </w:r>
            <w:r w:rsidR="00D968EE" w:rsidRPr="00003B3A">
              <w:t>’</w:t>
            </w:r>
            <w:r w:rsidRPr="00003B3A">
              <w:t>application des droits de propriété intellectuelle dans le contexte plus large de l</w:t>
            </w:r>
            <w:r w:rsidR="00D968EE" w:rsidRPr="00003B3A">
              <w:t>’</w:t>
            </w:r>
            <w:r w:rsidRPr="00003B3A">
              <w:t>intérêt général et en particulier des préoccupations relatives au développement, étant donné que, conformément à l</w:t>
            </w:r>
            <w:r w:rsidR="00D968EE" w:rsidRPr="00003B3A">
              <w:t>’</w:t>
            </w:r>
            <w:r w:rsidRPr="00003B3A">
              <w:t>article 7 de l</w:t>
            </w:r>
            <w:r w:rsidR="00D968EE" w:rsidRPr="00003B3A">
              <w:t>’</w:t>
            </w:r>
            <w:r w:rsidRPr="00003B3A">
              <w:t>Accord sur les ADPIC, “la protection et le respect des droits de propriété intellectuelle devraient contribuer à la promotion de l</w:t>
            </w:r>
            <w:r w:rsidR="00D968EE" w:rsidRPr="00003B3A">
              <w:t>’</w:t>
            </w:r>
            <w:r w:rsidRPr="00003B3A">
              <w:t>innovation technologique et au transfert et à la diffusion de la technologie, à l</w:t>
            </w:r>
            <w:r w:rsidR="00D968EE" w:rsidRPr="00003B3A">
              <w:t>’</w:t>
            </w:r>
            <w:r w:rsidRPr="00003B3A">
              <w:t>avantage mutuel de ceux qui génèrent et de ceux qui utilisent des connaissances techniques et d</w:t>
            </w:r>
            <w:r w:rsidR="00D968EE" w:rsidRPr="00003B3A">
              <w:t>’</w:t>
            </w:r>
            <w:r w:rsidRPr="00003B3A">
              <w:t>une manière propice au bien</w:t>
            </w:r>
            <w:r w:rsidR="00BD6F7E">
              <w:noBreakHyphen/>
            </w:r>
            <w:r w:rsidRPr="00003B3A">
              <w:t>être social et économique, et à assurer un équilibre de droits et d</w:t>
            </w:r>
            <w:r w:rsidR="00D968EE" w:rsidRPr="00003B3A">
              <w:t>’</w:t>
            </w:r>
            <w:r w:rsidRPr="00003B3A">
              <w:t>obligations”.</w:t>
            </w:r>
          </w:p>
        </w:tc>
      </w:tr>
      <w:tr w:rsidR="005E49F7" w:rsidRPr="00DC75B2" w14:paraId="176A150F" w14:textId="77777777" w:rsidTr="00431941">
        <w:trPr>
          <w:trHeight w:val="251"/>
        </w:trPr>
        <w:tc>
          <w:tcPr>
            <w:tcW w:w="9352" w:type="dxa"/>
            <w:gridSpan w:val="2"/>
            <w:shd w:val="clear" w:color="auto" w:fill="00FFCC"/>
          </w:tcPr>
          <w:p w14:paraId="79178C30" w14:textId="62F879D6" w:rsidR="005E49F7" w:rsidRPr="00003B3A" w:rsidRDefault="00FA496B" w:rsidP="00FD786A">
            <w:pPr>
              <w:pStyle w:val="TableParagraph"/>
              <w:spacing w:line="232" w:lineRule="exact"/>
              <w:ind w:left="103" w:right="88"/>
              <w:jc w:val="center"/>
              <w:rPr>
                <w:b/>
              </w:rPr>
            </w:pPr>
            <w:r w:rsidRPr="00003B3A">
              <w:rPr>
                <w:b/>
              </w:rPr>
              <w:t>1.4 Durée du projet</w:t>
            </w:r>
          </w:p>
        </w:tc>
      </w:tr>
      <w:tr w:rsidR="005E49F7" w:rsidRPr="00DC75B2" w14:paraId="372377A9" w14:textId="77777777" w:rsidTr="00431941">
        <w:trPr>
          <w:trHeight w:val="251"/>
        </w:trPr>
        <w:tc>
          <w:tcPr>
            <w:tcW w:w="9352" w:type="dxa"/>
            <w:gridSpan w:val="2"/>
            <w:shd w:val="clear" w:color="auto" w:fill="auto"/>
          </w:tcPr>
          <w:p w14:paraId="0AC8098F" w14:textId="4E53A333" w:rsidR="005E49F7" w:rsidRPr="00003B3A" w:rsidRDefault="005E49F7" w:rsidP="00A34023">
            <w:pPr>
              <w:pStyle w:val="TableParagraph"/>
              <w:spacing w:after="120" w:line="232" w:lineRule="exact"/>
              <w:ind w:left="103" w:right="90"/>
              <w:jc w:val="center"/>
              <w:rPr>
                <w:b/>
              </w:rPr>
            </w:pPr>
            <w:r w:rsidRPr="00003B3A">
              <w:t>36 mois.</w:t>
            </w:r>
          </w:p>
        </w:tc>
      </w:tr>
      <w:tr w:rsidR="005E49F7" w:rsidRPr="00DC75B2" w14:paraId="62D4944E" w14:textId="77777777" w:rsidTr="00431941">
        <w:trPr>
          <w:trHeight w:val="251"/>
        </w:trPr>
        <w:tc>
          <w:tcPr>
            <w:tcW w:w="9352" w:type="dxa"/>
            <w:gridSpan w:val="2"/>
            <w:shd w:val="clear" w:color="auto" w:fill="00FFCC"/>
          </w:tcPr>
          <w:p w14:paraId="66B25786" w14:textId="77777777" w:rsidR="005E49F7" w:rsidRPr="00003B3A" w:rsidRDefault="005E49F7" w:rsidP="00FD786A">
            <w:pPr>
              <w:pStyle w:val="TableParagraph"/>
              <w:spacing w:line="232" w:lineRule="exact"/>
              <w:ind w:left="103" w:right="90"/>
              <w:jc w:val="center"/>
              <w:rPr>
                <w:b/>
              </w:rPr>
            </w:pPr>
            <w:r w:rsidRPr="00003B3A">
              <w:rPr>
                <w:b/>
              </w:rPr>
              <w:t>1.5 Budget du projet</w:t>
            </w:r>
          </w:p>
        </w:tc>
      </w:tr>
      <w:tr w:rsidR="005E49F7" w:rsidRPr="00DC75B2" w14:paraId="3F4FF066" w14:textId="77777777" w:rsidTr="00431941">
        <w:trPr>
          <w:trHeight w:val="251"/>
        </w:trPr>
        <w:tc>
          <w:tcPr>
            <w:tcW w:w="9352" w:type="dxa"/>
            <w:gridSpan w:val="2"/>
            <w:shd w:val="clear" w:color="auto" w:fill="auto"/>
          </w:tcPr>
          <w:p w14:paraId="1312478F" w14:textId="49868EBC" w:rsidR="005E49F7" w:rsidRPr="00003B3A" w:rsidRDefault="00A95DC0" w:rsidP="00A34023">
            <w:pPr>
              <w:pStyle w:val="TableParagraph"/>
              <w:spacing w:after="120" w:line="232" w:lineRule="exact"/>
              <w:ind w:left="103" w:right="90"/>
              <w:jc w:val="center"/>
              <w:rPr>
                <w:bCs/>
              </w:rPr>
            </w:pPr>
            <w:r w:rsidRPr="00003B3A">
              <w:t>501 200 francs suisses au titre des dépenses autres que les dépenses de personnel.</w:t>
            </w:r>
          </w:p>
        </w:tc>
      </w:tr>
      <w:tr w:rsidR="005E49F7" w:rsidRPr="00DC75B2" w14:paraId="680893A9" w14:textId="77777777" w:rsidTr="00431941">
        <w:trPr>
          <w:trHeight w:val="251"/>
        </w:trPr>
        <w:tc>
          <w:tcPr>
            <w:tcW w:w="9352" w:type="dxa"/>
            <w:gridSpan w:val="2"/>
            <w:shd w:val="clear" w:color="auto" w:fill="00FFCC"/>
          </w:tcPr>
          <w:p w14:paraId="78C63C69" w14:textId="03A91870" w:rsidR="005E49F7" w:rsidRPr="00DC75B2" w:rsidRDefault="005E49F7" w:rsidP="001C274D">
            <w:pPr>
              <w:pStyle w:val="TableParagraph"/>
              <w:spacing w:line="232" w:lineRule="exact"/>
              <w:ind w:left="103" w:right="90"/>
              <w:jc w:val="center"/>
              <w:rPr>
                <w:b/>
              </w:rPr>
            </w:pPr>
            <w:r w:rsidRPr="009E7807">
              <w:rPr>
                <w:b/>
              </w:rPr>
              <w:t>2.</w:t>
            </w:r>
            <w:r w:rsidR="001C274D">
              <w:rPr>
                <w:b/>
              </w:rPr>
              <w:t> </w:t>
            </w:r>
            <w:r w:rsidRPr="009E7807">
              <w:rPr>
                <w:b/>
              </w:rPr>
              <w:t>Description du projet</w:t>
            </w:r>
          </w:p>
        </w:tc>
      </w:tr>
      <w:tr w:rsidR="005E49F7" w:rsidRPr="0087431C" w14:paraId="7874B102" w14:textId="77777777" w:rsidTr="00431941">
        <w:trPr>
          <w:trHeight w:val="1070"/>
        </w:trPr>
        <w:tc>
          <w:tcPr>
            <w:tcW w:w="9352" w:type="dxa"/>
            <w:gridSpan w:val="2"/>
          </w:tcPr>
          <w:p w14:paraId="02F3B20B" w14:textId="4F8FB2D0" w:rsidR="006C33B7" w:rsidRDefault="005E49F7" w:rsidP="00CC3EC2">
            <w:pPr>
              <w:pStyle w:val="TableParagraph"/>
              <w:ind w:left="110"/>
            </w:pPr>
            <w:r>
              <w:t>Les opportunités qu</w:t>
            </w:r>
            <w:r w:rsidR="00D968EE">
              <w:t>’</w:t>
            </w:r>
            <w:r>
              <w:t xml:space="preserve">offrent les marchés numériques se sont rapidement multipliées dans les économies africaines et ont ouvert de nouvelles perspectives de croissance au commerce régional et national et aux industries </w:t>
            </w:r>
            <w:r w:rsidR="009B18C6">
              <w:t xml:space="preserve">de la création </w:t>
            </w:r>
            <w:r>
              <w:t>et manufacturières.  Selon la Commission du commerce international des États</w:t>
            </w:r>
            <w:r w:rsidR="00BD6F7E">
              <w:noBreakHyphen/>
            </w:r>
            <w:r>
              <w:t>Unis d</w:t>
            </w:r>
            <w:r w:rsidR="00D968EE">
              <w:t>’</w:t>
            </w:r>
            <w:r>
              <w:t>Amérique, “l</w:t>
            </w:r>
            <w:r w:rsidR="00D968EE">
              <w:t>’</w:t>
            </w:r>
            <w:r>
              <w:t>Afrique devrait dépasser le demi</w:t>
            </w:r>
            <w:r w:rsidR="00BD6F7E">
              <w:noBreakHyphen/>
            </w:r>
            <w:r>
              <w:t>milliard d</w:t>
            </w:r>
            <w:r w:rsidR="00D968EE">
              <w:t>’</w:t>
            </w:r>
            <w:r>
              <w:t>utilisateurs du commerce électronique d</w:t>
            </w:r>
            <w:r w:rsidR="00D968EE">
              <w:t>’</w:t>
            </w:r>
            <w:r>
              <w:t>ici à 2025, ce qui se traduira par un taux de croissance annuel composé</w:t>
            </w:r>
            <w:r w:rsidR="00006DFF">
              <w:t> </w:t>
            </w:r>
            <w:r>
              <w:t>(CAGR) constant de 17% des consommate</w:t>
            </w:r>
            <w:r w:rsidR="001C274D">
              <w:t xml:space="preserve">urs en ligne pour le marché”.  </w:t>
            </w:r>
            <w:r>
              <w:t>Les nouveaux modèles commerciaux et le comportement des consommateurs sont en train de s</w:t>
            </w:r>
            <w:r w:rsidR="00D968EE">
              <w:t>’</w:t>
            </w:r>
            <w:r>
              <w:t>adapter à l</w:t>
            </w:r>
            <w:r w:rsidR="00D968EE">
              <w:t>’</w:t>
            </w:r>
            <w:r>
              <w:t>écosystème numérique, ce qui affecte diverses parties prenantes, notamment les détenteurs de droits de propriété intellectuelle et les opérateurs de télécommunications.</w:t>
            </w:r>
          </w:p>
          <w:p w14:paraId="542684FC" w14:textId="681B8615" w:rsidR="005E49F7" w:rsidRPr="006461B5" w:rsidRDefault="005E49F7" w:rsidP="00FD786A">
            <w:pPr>
              <w:pStyle w:val="TableParagraph"/>
              <w:ind w:left="110"/>
            </w:pPr>
          </w:p>
          <w:p w14:paraId="1988936E" w14:textId="19E97915" w:rsidR="006C33B7" w:rsidRDefault="005E49F7" w:rsidP="00FD786A">
            <w:pPr>
              <w:pStyle w:val="TableParagraph"/>
              <w:ind w:left="110"/>
            </w:pPr>
            <w:r>
              <w:t xml:space="preserve">Cependant, les industries </w:t>
            </w:r>
            <w:r w:rsidR="009B18C6">
              <w:t xml:space="preserve">de la création </w:t>
            </w:r>
            <w:r>
              <w:t>dynamiques du continent, notamment la musique, le cinéma et la télévision, se heurtent à un niveau élevé d</w:t>
            </w:r>
            <w:r w:rsidR="00D968EE">
              <w:t>’</w:t>
            </w:r>
            <w:r>
              <w:t>atteintes portées au droit d</w:t>
            </w:r>
            <w:r w:rsidR="00D968EE">
              <w:t>’</w:t>
            </w:r>
            <w:r>
              <w:t>auteur, ce qui les empêche de profiter pleinement des possibilités de l</w:t>
            </w:r>
            <w:r w:rsidR="00D968EE">
              <w:t>’</w:t>
            </w:r>
            <w:r>
              <w:t>économie numérique.  Dans une situation économique aussi dynamique, la protection des droits de propriété intellectuelle dans l</w:t>
            </w:r>
            <w:r w:rsidR="00D968EE">
              <w:t>’</w:t>
            </w:r>
            <w:r>
              <w:t>environnement numérique représente un objectif politique important et un enjeu réel.  Reconnaissant l</w:t>
            </w:r>
            <w:r w:rsidR="00D968EE">
              <w:t>’</w:t>
            </w:r>
            <w:r>
              <w:t>importance de l</w:t>
            </w:r>
            <w:r w:rsidR="00D968EE">
              <w:t>’</w:t>
            </w:r>
            <w:r>
              <w:t>économie numérique, l</w:t>
            </w:r>
            <w:r w:rsidR="00D968EE">
              <w:t>’</w:t>
            </w:r>
            <w:r>
              <w:t>Union africaine a adopté en 2020 une “Stratégie de transformation numérique pour l</w:t>
            </w:r>
            <w:r w:rsidR="00D968EE">
              <w:t>’</w:t>
            </w:r>
            <w:r>
              <w:t>Afrique (2020</w:t>
            </w:r>
            <w:r w:rsidR="00BD6F7E">
              <w:noBreakHyphen/>
            </w:r>
            <w:r>
              <w:t>2030)”, dont l</w:t>
            </w:r>
            <w:r w:rsidR="00D968EE">
              <w:t>’</w:t>
            </w:r>
            <w:r>
              <w:t xml:space="preserve">objectif est de </w:t>
            </w:r>
            <w:r>
              <w:lastRenderedPageBreak/>
              <w:t>renforcer la protection des droits de propriété intellectuelle.</w:t>
            </w:r>
          </w:p>
          <w:p w14:paraId="5E35594C" w14:textId="5A01FE60" w:rsidR="00044072" w:rsidRPr="006461B5" w:rsidRDefault="00044072" w:rsidP="00FD786A">
            <w:pPr>
              <w:pStyle w:val="TableParagraph"/>
              <w:ind w:left="110"/>
            </w:pPr>
          </w:p>
          <w:p w14:paraId="7D3F177A" w14:textId="0BB8664F" w:rsidR="00AD2CBE" w:rsidRPr="006461B5" w:rsidRDefault="005E49F7" w:rsidP="00A34023">
            <w:pPr>
              <w:pStyle w:val="TableParagraph"/>
              <w:spacing w:after="120"/>
              <w:ind w:left="110" w:right="493"/>
            </w:pPr>
            <w:r>
              <w:t>Le projet vise à aider les pays bénéficiaires à lutter efficacement contre les atteintes portées au droit d</w:t>
            </w:r>
            <w:r w:rsidR="00D968EE">
              <w:t>’</w:t>
            </w:r>
            <w:r>
              <w:t>auteur en ligne, grâce à l</w:t>
            </w:r>
            <w:r w:rsidR="00D968EE">
              <w:t>’</w:t>
            </w:r>
            <w:r>
              <w:t>examen d</w:t>
            </w:r>
            <w:r w:rsidR="00D968EE">
              <w:t>’</w:t>
            </w:r>
            <w:r>
              <w:t>améliorations potentielles du cadre réglementaire, à l</w:t>
            </w:r>
            <w:r w:rsidR="00D968EE">
              <w:t>’</w:t>
            </w:r>
            <w:r>
              <w:t>échange de bonnes pratiques, l</w:t>
            </w:r>
            <w:r w:rsidR="00D968EE">
              <w:t>’</w:t>
            </w:r>
            <w:r>
              <w:t>adoption d</w:t>
            </w:r>
            <w:r w:rsidR="00D968EE">
              <w:t>’</w:t>
            </w:r>
            <w:r>
              <w:t>outils techniques rentables, la mise en place d</w:t>
            </w:r>
            <w:r w:rsidR="00D968EE">
              <w:t>’</w:t>
            </w:r>
            <w:r>
              <w:t>activités de renforcement des capacités et la fourniture d</w:t>
            </w:r>
            <w:r w:rsidR="00D968EE">
              <w:t>’</w:t>
            </w:r>
            <w:r>
              <w:t>une assistance technique personnalisée.</w:t>
            </w:r>
          </w:p>
        </w:tc>
      </w:tr>
      <w:tr w:rsidR="005E49F7" w:rsidRPr="00DC75B2" w14:paraId="2EA2335A" w14:textId="77777777" w:rsidTr="00431941">
        <w:trPr>
          <w:trHeight w:val="280"/>
        </w:trPr>
        <w:tc>
          <w:tcPr>
            <w:tcW w:w="9352" w:type="dxa"/>
            <w:gridSpan w:val="2"/>
            <w:shd w:val="clear" w:color="auto" w:fill="00FFCC"/>
          </w:tcPr>
          <w:p w14:paraId="2FB78626" w14:textId="79C488D7" w:rsidR="005E49F7" w:rsidRPr="000916C0" w:rsidRDefault="00006DFF" w:rsidP="00FD786A">
            <w:pPr>
              <w:pStyle w:val="TableParagraph"/>
              <w:ind w:left="110"/>
              <w:jc w:val="center"/>
              <w:rPr>
                <w:b/>
                <w:bCs/>
              </w:rPr>
            </w:pPr>
            <w:r>
              <w:rPr>
                <w:b/>
              </w:rPr>
              <w:lastRenderedPageBreak/>
              <w:t>2.1 Concept du projet</w:t>
            </w:r>
          </w:p>
        </w:tc>
      </w:tr>
      <w:tr w:rsidR="005E49F7" w:rsidRPr="00DC75B2" w14:paraId="50912F54" w14:textId="77777777" w:rsidTr="00431941">
        <w:trPr>
          <w:trHeight w:val="280"/>
        </w:trPr>
        <w:tc>
          <w:tcPr>
            <w:tcW w:w="9352" w:type="dxa"/>
            <w:gridSpan w:val="2"/>
            <w:shd w:val="clear" w:color="auto" w:fill="auto"/>
          </w:tcPr>
          <w:p w14:paraId="1F98CB7B" w14:textId="626301AD" w:rsidR="005E49F7" w:rsidRPr="000916C0" w:rsidRDefault="005E49F7" w:rsidP="00CC3EC2">
            <w:pPr>
              <w:pStyle w:val="TableParagraph"/>
              <w:ind w:left="110"/>
            </w:pPr>
            <w:r w:rsidRPr="000916C0">
              <w:t>Le projet sera mis en œuvre au Kenya et dans trois autres pays d</w:t>
            </w:r>
            <w:r w:rsidR="00D968EE" w:rsidRPr="000916C0">
              <w:t>’</w:t>
            </w:r>
            <w:r w:rsidRPr="000916C0">
              <w:t>Afrique.</w:t>
            </w:r>
          </w:p>
          <w:p w14:paraId="43C2E19C" w14:textId="77777777" w:rsidR="005E49F7" w:rsidRPr="000916C0" w:rsidRDefault="005E49F7" w:rsidP="00FD786A">
            <w:pPr>
              <w:pStyle w:val="TableParagraph"/>
              <w:ind w:left="110"/>
            </w:pPr>
          </w:p>
          <w:p w14:paraId="2655F2CB" w14:textId="66414ECA" w:rsidR="005E49F7" w:rsidRPr="000916C0" w:rsidRDefault="005E49F7" w:rsidP="00FD786A">
            <w:pPr>
              <w:pStyle w:val="TableParagraph"/>
              <w:ind w:left="110"/>
            </w:pPr>
            <w:r w:rsidRPr="000916C0">
              <w:t>Il comprend trois</w:t>
            </w:r>
            <w:r w:rsidR="00006DFF">
              <w:t> </w:t>
            </w:r>
            <w:r w:rsidRPr="000916C0">
              <w:t>phases</w:t>
            </w:r>
            <w:r w:rsidR="00D968EE" w:rsidRPr="000916C0">
              <w:t> :</w:t>
            </w:r>
          </w:p>
          <w:p w14:paraId="4A501669" w14:textId="77777777" w:rsidR="005E49F7" w:rsidRPr="000916C0" w:rsidRDefault="005E49F7" w:rsidP="00FD786A">
            <w:pPr>
              <w:pStyle w:val="TableParagraph"/>
              <w:ind w:left="110"/>
            </w:pPr>
          </w:p>
          <w:p w14:paraId="2A4E1BF6" w14:textId="491AC30E" w:rsidR="006C33B7" w:rsidRPr="000916C0" w:rsidRDefault="00BD6F7E" w:rsidP="00FD786A">
            <w:pPr>
              <w:pStyle w:val="TableParagraph"/>
              <w:ind w:left="110"/>
            </w:pPr>
            <w:r>
              <w:noBreakHyphen/>
            </w:r>
            <w:r w:rsidR="005E49F7" w:rsidRPr="000916C0">
              <w:tab/>
              <w:t>Phase zéro</w:t>
            </w:r>
            <w:r w:rsidR="00D968EE" w:rsidRPr="000916C0">
              <w:t> :</w:t>
            </w:r>
            <w:r w:rsidR="005E49F7" w:rsidRPr="000916C0">
              <w:t xml:space="preserve"> </w:t>
            </w:r>
            <w:r w:rsidR="00AD677D" w:rsidRPr="000916C0">
              <w:t>P</w:t>
            </w:r>
            <w:r w:rsidR="005E49F7" w:rsidRPr="000916C0">
              <w:t>réparation</w:t>
            </w:r>
            <w:r w:rsidR="00D968EE" w:rsidRPr="000916C0">
              <w:t> :</w:t>
            </w:r>
          </w:p>
          <w:p w14:paraId="146AAC63" w14:textId="6F910A89" w:rsidR="005E49F7" w:rsidRPr="000916C0" w:rsidRDefault="005E49F7" w:rsidP="00FD786A">
            <w:pPr>
              <w:pStyle w:val="TableParagraph"/>
              <w:ind w:left="110"/>
            </w:pPr>
          </w:p>
          <w:p w14:paraId="56D5FF79" w14:textId="6ED35B89" w:rsidR="006C33B7" w:rsidRPr="000916C0" w:rsidRDefault="00006DFF" w:rsidP="000916C0">
            <w:pPr>
              <w:pStyle w:val="TableParagraph"/>
              <w:numPr>
                <w:ilvl w:val="0"/>
                <w:numId w:val="1"/>
              </w:numPr>
              <w:ind w:left="1126" w:hanging="567"/>
            </w:pPr>
            <w:r>
              <w:t>i</w:t>
            </w:r>
            <w:r w:rsidR="005E49F7" w:rsidRPr="000916C0">
              <w:t>nventaire interne (par exemple, planification de la dotation budgétaire, évaluation des risques par pays bénéficiaire, identification des partenaires, autorités nationales, opérateurs de télécommunications, organisations intergouvernementales, organisations non gouvernementales</w:t>
            </w:r>
            <w:r>
              <w:t> </w:t>
            </w:r>
            <w:r w:rsidR="005E49F7" w:rsidRPr="000916C0">
              <w:t>(ONG), associations professionnelles et de consommateurs);</w:t>
            </w:r>
          </w:p>
          <w:p w14:paraId="2998B60C" w14:textId="51054B46" w:rsidR="005E49F7" w:rsidRPr="000916C0" w:rsidRDefault="00006DFF" w:rsidP="000916C0">
            <w:pPr>
              <w:pStyle w:val="TableParagraph"/>
              <w:numPr>
                <w:ilvl w:val="0"/>
                <w:numId w:val="1"/>
              </w:numPr>
              <w:ind w:left="1126" w:hanging="567"/>
            </w:pPr>
            <w:r>
              <w:t>r</w:t>
            </w:r>
            <w:r w:rsidR="005E49F7" w:rsidRPr="000916C0">
              <w:t>éunions de consultation avec différents groupes de parties prenantes;</w:t>
            </w:r>
          </w:p>
          <w:p w14:paraId="6287FCD2" w14:textId="42D34AB6" w:rsidR="006C33B7" w:rsidRPr="000916C0" w:rsidRDefault="00006DFF" w:rsidP="000916C0">
            <w:pPr>
              <w:pStyle w:val="TableParagraph"/>
              <w:numPr>
                <w:ilvl w:val="0"/>
                <w:numId w:val="1"/>
              </w:numPr>
              <w:ind w:left="1126" w:hanging="567"/>
            </w:pPr>
            <w:r>
              <w:t>i</w:t>
            </w:r>
            <w:r w:rsidR="005E49F7" w:rsidRPr="000916C0">
              <w:t>dentifier et nommer les consultants/experts en sécurité;</w:t>
            </w:r>
          </w:p>
          <w:p w14:paraId="592A6FFB" w14:textId="67CFA59B" w:rsidR="006C33B7" w:rsidRPr="000916C0" w:rsidRDefault="00006DFF" w:rsidP="000916C0">
            <w:pPr>
              <w:pStyle w:val="TableParagraph"/>
              <w:numPr>
                <w:ilvl w:val="0"/>
                <w:numId w:val="1"/>
              </w:numPr>
              <w:ind w:left="1126" w:hanging="567"/>
            </w:pPr>
            <w:r>
              <w:t>é</w:t>
            </w:r>
            <w:r w:rsidR="005E49F7" w:rsidRPr="000916C0">
              <w:t>laboration des plans de projet par pays.</w:t>
            </w:r>
          </w:p>
          <w:p w14:paraId="04413FEC" w14:textId="15FAFF8D" w:rsidR="005E49F7" w:rsidRPr="000916C0" w:rsidRDefault="005E49F7" w:rsidP="00FD786A">
            <w:pPr>
              <w:pStyle w:val="TableParagraph"/>
              <w:ind w:left="110"/>
            </w:pPr>
          </w:p>
          <w:p w14:paraId="563DE898" w14:textId="4E8123E1" w:rsidR="005E49F7" w:rsidRPr="000916C0" w:rsidRDefault="00BD6F7E" w:rsidP="00FD786A">
            <w:pPr>
              <w:pStyle w:val="TableParagraph"/>
              <w:ind w:left="110"/>
            </w:pPr>
            <w:r>
              <w:noBreakHyphen/>
            </w:r>
            <w:r w:rsidR="005E49F7" w:rsidRPr="000916C0">
              <w:tab/>
              <w:t>Phase 1</w:t>
            </w:r>
            <w:r w:rsidR="00D968EE" w:rsidRPr="000916C0">
              <w:t> :</w:t>
            </w:r>
            <w:r w:rsidR="005E49F7" w:rsidRPr="000916C0">
              <w:t xml:space="preserve"> Mise en œuvre</w:t>
            </w:r>
          </w:p>
          <w:p w14:paraId="20110156" w14:textId="77777777" w:rsidR="005E49F7" w:rsidRPr="000916C0" w:rsidRDefault="005E49F7" w:rsidP="00FD786A">
            <w:pPr>
              <w:pStyle w:val="TableParagraph"/>
              <w:ind w:left="110"/>
            </w:pPr>
          </w:p>
          <w:p w14:paraId="476D0C38" w14:textId="6D537B01" w:rsidR="005E49F7" w:rsidRPr="000916C0" w:rsidRDefault="005E49F7" w:rsidP="00FD786A">
            <w:pPr>
              <w:pStyle w:val="TableParagraph"/>
              <w:ind w:left="110"/>
              <w:rPr>
                <w:b/>
                <w:bCs/>
              </w:rPr>
            </w:pPr>
            <w:r w:rsidRPr="000916C0">
              <w:rPr>
                <w:b/>
              </w:rPr>
              <w:t>Première partie</w:t>
            </w:r>
            <w:r w:rsidR="00D968EE" w:rsidRPr="000916C0">
              <w:rPr>
                <w:b/>
              </w:rPr>
              <w:t> :</w:t>
            </w:r>
          </w:p>
          <w:p w14:paraId="3D7AA13A" w14:textId="77777777" w:rsidR="005E49F7" w:rsidRPr="000916C0" w:rsidRDefault="005E49F7" w:rsidP="00FD786A">
            <w:pPr>
              <w:pStyle w:val="TableParagraph"/>
              <w:ind w:left="110"/>
            </w:pPr>
          </w:p>
          <w:p w14:paraId="24880297" w14:textId="13609EB1" w:rsidR="005E49F7" w:rsidRPr="000916C0" w:rsidRDefault="005E49F7" w:rsidP="000916C0">
            <w:pPr>
              <w:pStyle w:val="TableParagraph"/>
              <w:tabs>
                <w:tab w:val="left" w:pos="559"/>
              </w:tabs>
              <w:ind w:left="110"/>
            </w:pPr>
            <w:r w:rsidRPr="000916C0">
              <w:t>i)</w:t>
            </w:r>
            <w:r w:rsidRPr="000916C0">
              <w:tab/>
              <w:t>“Cartographie”</w:t>
            </w:r>
          </w:p>
          <w:p w14:paraId="10D83080" w14:textId="77777777" w:rsidR="005E49F7" w:rsidRPr="000916C0" w:rsidRDefault="005E49F7" w:rsidP="00FD786A">
            <w:pPr>
              <w:pStyle w:val="TableParagraph"/>
              <w:ind w:left="110"/>
            </w:pPr>
          </w:p>
          <w:p w14:paraId="7A5E70A2" w14:textId="30CEB5D7" w:rsidR="006C33B7" w:rsidRPr="000916C0" w:rsidRDefault="005E49F7" w:rsidP="00FD786A">
            <w:pPr>
              <w:pStyle w:val="TableParagraph"/>
              <w:ind w:left="110"/>
            </w:pPr>
            <w:r w:rsidRPr="000916C0">
              <w:t>Mener une étude visant à évaluer la situation de l</w:t>
            </w:r>
            <w:r w:rsidR="00D968EE" w:rsidRPr="000916C0">
              <w:t>’</w:t>
            </w:r>
            <w:r w:rsidRPr="000916C0">
              <w:t>application du droit d</w:t>
            </w:r>
            <w:r w:rsidR="00D968EE" w:rsidRPr="000916C0">
              <w:t>’</w:t>
            </w:r>
            <w:r w:rsidRPr="000916C0">
              <w:t>auteur et la nature des répercussions des atteintes portées à la propriété intellectuelle en ligne dans les pays bénéficiaires.  L</w:t>
            </w:r>
            <w:r w:rsidR="00D968EE" w:rsidRPr="000916C0">
              <w:t>’</w:t>
            </w:r>
            <w:r w:rsidRPr="000916C0">
              <w:t>étude portera également sur le cadre réglementaire des télécommunications, le rôle des fournisseurs d</w:t>
            </w:r>
            <w:r w:rsidR="00D968EE" w:rsidRPr="000916C0">
              <w:t>’</w:t>
            </w:r>
            <w:r w:rsidRPr="000916C0">
              <w:t xml:space="preserve">accès à Internet et des prestataires de services de paiement, ainsi que sur le comportement des consommateurs </w:t>
            </w:r>
            <w:r w:rsidR="00644A8C" w:rsidRPr="000916C0">
              <w:t xml:space="preserve">face au </w:t>
            </w:r>
            <w:r w:rsidRPr="000916C0">
              <w:t>piratage en ligne.</w:t>
            </w:r>
          </w:p>
          <w:p w14:paraId="59E42CC1" w14:textId="6AB69AD3" w:rsidR="005E49F7" w:rsidRPr="000916C0" w:rsidRDefault="005E49F7" w:rsidP="00FD786A">
            <w:pPr>
              <w:pStyle w:val="TableParagraph"/>
              <w:ind w:left="110"/>
            </w:pPr>
          </w:p>
          <w:p w14:paraId="2195C7B9" w14:textId="21F27762" w:rsidR="005E49F7" w:rsidRPr="000916C0" w:rsidRDefault="005E49F7" w:rsidP="000916C0">
            <w:pPr>
              <w:pStyle w:val="TableParagraph"/>
              <w:tabs>
                <w:tab w:val="left" w:pos="570"/>
              </w:tabs>
              <w:ind w:left="110"/>
            </w:pPr>
            <w:r w:rsidRPr="000916C0">
              <w:t>ii)</w:t>
            </w:r>
            <w:r w:rsidRPr="000916C0">
              <w:tab/>
              <w:t>“Partage d</w:t>
            </w:r>
            <w:r w:rsidR="00D968EE" w:rsidRPr="000916C0">
              <w:t>’</w:t>
            </w:r>
            <w:r w:rsidRPr="000916C0">
              <w:t>informations et collaboration”</w:t>
            </w:r>
          </w:p>
          <w:p w14:paraId="0A1BD55C" w14:textId="77777777" w:rsidR="005E49F7" w:rsidRPr="000916C0" w:rsidRDefault="005E49F7" w:rsidP="00FD786A">
            <w:pPr>
              <w:pStyle w:val="TableParagraph"/>
              <w:ind w:left="110"/>
            </w:pPr>
          </w:p>
          <w:p w14:paraId="68D4D308" w14:textId="0C270ECA" w:rsidR="005E49F7" w:rsidRPr="000916C0" w:rsidRDefault="005E49F7" w:rsidP="00FD786A">
            <w:pPr>
              <w:pStyle w:val="TableParagraph"/>
              <w:ind w:left="110"/>
            </w:pPr>
            <w:r w:rsidRPr="000916C0">
              <w:t>En prenant l</w:t>
            </w:r>
            <w:r w:rsidR="00D968EE" w:rsidRPr="000916C0">
              <w:t>’</w:t>
            </w:r>
            <w:r w:rsidRPr="000916C0">
              <w:t>étude comme point de départ, organiser des tables rondes, des conférences et des ateliers au niveau national afin d</w:t>
            </w:r>
            <w:r w:rsidR="00D968EE" w:rsidRPr="000916C0">
              <w:t>’</w:t>
            </w:r>
            <w:r w:rsidRPr="000916C0">
              <w:t>examiner les conclusions de l</w:t>
            </w:r>
            <w:r w:rsidR="00D968EE" w:rsidRPr="000916C0">
              <w:t>’</w:t>
            </w:r>
            <w:r w:rsidRPr="000916C0">
              <w:t>étude et d</w:t>
            </w:r>
            <w:r w:rsidR="00D968EE" w:rsidRPr="000916C0">
              <w:t>’</w:t>
            </w:r>
            <w:r w:rsidRPr="000916C0">
              <w:t>identifier plus précisément les besoins et les lacunes, faciliter le dialogue entre les parties prenantes, partager les données d</w:t>
            </w:r>
            <w:r w:rsidR="00D968EE" w:rsidRPr="000916C0">
              <w:t>’</w:t>
            </w:r>
            <w:r w:rsidRPr="000916C0">
              <w:t>expérience et les bonnes pratiques concernant le renforcement du respect du droit d</w:t>
            </w:r>
            <w:r w:rsidR="00D968EE" w:rsidRPr="000916C0">
              <w:t>’</w:t>
            </w:r>
            <w:r w:rsidRPr="000916C0">
              <w:t>auteur, et identifier les besoins des pays participants en matière de renforcement des capacités et d</w:t>
            </w:r>
            <w:r w:rsidR="00D968EE" w:rsidRPr="000916C0">
              <w:t>’</w:t>
            </w:r>
            <w:r w:rsidRPr="000916C0">
              <w:t>assistance technique en vue d</w:t>
            </w:r>
            <w:r w:rsidR="00D968EE" w:rsidRPr="000916C0">
              <w:t>’</w:t>
            </w:r>
            <w:r w:rsidRPr="000916C0">
              <w:t>améliorer l</w:t>
            </w:r>
            <w:r w:rsidR="00D968EE" w:rsidRPr="000916C0">
              <w:t>’</w:t>
            </w:r>
            <w:r w:rsidRPr="000916C0">
              <w:t>application en ligne du droit d</w:t>
            </w:r>
            <w:r w:rsidR="00D968EE" w:rsidRPr="000916C0">
              <w:t>’</w:t>
            </w:r>
            <w:r w:rsidRPr="000916C0">
              <w:t>auteur.</w:t>
            </w:r>
          </w:p>
          <w:p w14:paraId="47B0C4FB" w14:textId="77777777" w:rsidR="005E49F7" w:rsidRPr="000916C0" w:rsidRDefault="005E49F7" w:rsidP="00FD786A">
            <w:pPr>
              <w:pStyle w:val="TableParagraph"/>
              <w:ind w:left="110"/>
            </w:pPr>
          </w:p>
          <w:p w14:paraId="63819A50" w14:textId="2F06CF2A" w:rsidR="005E49F7" w:rsidRPr="000916C0" w:rsidRDefault="005E49F7" w:rsidP="000916C0">
            <w:pPr>
              <w:pStyle w:val="TableParagraph"/>
              <w:tabs>
                <w:tab w:val="left" w:pos="585"/>
              </w:tabs>
              <w:ind w:left="110"/>
            </w:pPr>
            <w:r w:rsidRPr="000916C0">
              <w:t>iii)</w:t>
            </w:r>
            <w:r w:rsidRPr="000916C0">
              <w:tab/>
              <w:t>“Mise en œuvre du renforcement des capacités et de l</w:t>
            </w:r>
            <w:r w:rsidR="00D968EE" w:rsidRPr="000916C0">
              <w:t>’</w:t>
            </w:r>
            <w:r w:rsidRPr="000916C0">
              <w:t>assistance technique”</w:t>
            </w:r>
          </w:p>
          <w:p w14:paraId="7E09D3B0" w14:textId="77777777" w:rsidR="005E49F7" w:rsidRPr="000916C0" w:rsidRDefault="005E49F7" w:rsidP="00FD786A">
            <w:pPr>
              <w:pStyle w:val="TableParagraph"/>
              <w:ind w:left="110"/>
            </w:pPr>
          </w:p>
          <w:p w14:paraId="5A0B04F7" w14:textId="1E3FB072" w:rsidR="005E49F7" w:rsidRPr="000916C0" w:rsidRDefault="005E49F7" w:rsidP="00FD786A">
            <w:pPr>
              <w:pStyle w:val="TableParagraph"/>
              <w:ind w:left="110"/>
            </w:pPr>
            <w:r w:rsidRPr="000916C0">
              <w:t>Organiser et mener des activités personnalisées de renforcement des capacités et cibler l</w:t>
            </w:r>
            <w:r w:rsidR="00D968EE" w:rsidRPr="000916C0">
              <w:t>’</w:t>
            </w:r>
            <w:r w:rsidRPr="000916C0">
              <w:t>assistance technique en fonction des besoins des parties prenantes et dans le cadre législatif des pays bénéficiaires;  encourager la création d</w:t>
            </w:r>
            <w:r w:rsidR="00D968EE" w:rsidRPr="000916C0">
              <w:t>’</w:t>
            </w:r>
            <w:r w:rsidRPr="000916C0">
              <w:t>outils techniques; faciliter, lorsqu</w:t>
            </w:r>
            <w:r w:rsidR="00D968EE" w:rsidRPr="000916C0">
              <w:t>’</w:t>
            </w:r>
            <w:r w:rsidR="00644A8C" w:rsidRPr="000916C0">
              <w:t xml:space="preserve">il existe un </w:t>
            </w:r>
            <w:r w:rsidRPr="000916C0">
              <w:t>consensu</w:t>
            </w:r>
            <w:r w:rsidR="00644A8C" w:rsidRPr="000916C0">
              <w:t>s</w:t>
            </w:r>
            <w:r w:rsidRPr="000916C0">
              <w:t>, la conclusion d</w:t>
            </w:r>
            <w:r w:rsidR="00D968EE" w:rsidRPr="000916C0">
              <w:t>’</w:t>
            </w:r>
            <w:r w:rsidRPr="000916C0">
              <w:t>accords volontaires de coopération entre les parties.</w:t>
            </w:r>
          </w:p>
          <w:p w14:paraId="73CA65A6" w14:textId="77777777" w:rsidR="005E49F7" w:rsidRPr="000916C0" w:rsidRDefault="005E49F7" w:rsidP="00FD786A">
            <w:pPr>
              <w:pStyle w:val="TableParagraph"/>
              <w:ind w:left="110"/>
            </w:pPr>
          </w:p>
          <w:p w14:paraId="21C414AE" w14:textId="7267CC1F" w:rsidR="006C33B7" w:rsidRPr="000916C0" w:rsidRDefault="00006DFF" w:rsidP="00A34023">
            <w:pPr>
              <w:pStyle w:val="TableParagraph"/>
              <w:keepNext/>
              <w:ind w:left="110"/>
              <w:rPr>
                <w:b/>
              </w:rPr>
            </w:pPr>
            <w:r>
              <w:rPr>
                <w:b/>
              </w:rPr>
              <w:lastRenderedPageBreak/>
              <w:t>Deuxième </w:t>
            </w:r>
            <w:r w:rsidR="005E49F7" w:rsidRPr="000916C0">
              <w:rPr>
                <w:b/>
              </w:rPr>
              <w:t>partie</w:t>
            </w:r>
            <w:r w:rsidR="00D968EE" w:rsidRPr="000916C0">
              <w:rPr>
                <w:b/>
              </w:rPr>
              <w:t> :</w:t>
            </w:r>
          </w:p>
          <w:p w14:paraId="458C3D5B" w14:textId="4C16CD05" w:rsidR="005E49F7" w:rsidRPr="000916C0" w:rsidRDefault="005E49F7" w:rsidP="00A34023">
            <w:pPr>
              <w:pStyle w:val="TableParagraph"/>
              <w:keepNext/>
              <w:ind w:left="110"/>
            </w:pPr>
          </w:p>
          <w:p w14:paraId="6F5265D3" w14:textId="421F7C54" w:rsidR="006C33B7" w:rsidRPr="000916C0" w:rsidRDefault="005E49F7" w:rsidP="00FD786A">
            <w:pPr>
              <w:pStyle w:val="TableParagraph"/>
              <w:ind w:left="110"/>
            </w:pPr>
            <w:r w:rsidRPr="000916C0">
              <w:t>La deuxième</w:t>
            </w:r>
            <w:r w:rsidR="00006DFF">
              <w:t> </w:t>
            </w:r>
            <w:r w:rsidRPr="000916C0">
              <w:t>phase de la mise en œuvre du projet visera à permettre aux pays bénéficiaires de mettre en place des mécanismes d</w:t>
            </w:r>
            <w:r w:rsidR="00D968EE" w:rsidRPr="000916C0">
              <w:t>’</w:t>
            </w:r>
            <w:r w:rsidRPr="000916C0">
              <w:t>application ou de perfectionner les mécanismes existants, selon le cas, afin d</w:t>
            </w:r>
            <w:r w:rsidR="00D968EE" w:rsidRPr="000916C0">
              <w:t>’</w:t>
            </w:r>
            <w:r w:rsidRPr="000916C0">
              <w:t>améliorer l</w:t>
            </w:r>
            <w:r w:rsidR="00D968EE" w:rsidRPr="000916C0">
              <w:t>’</w:t>
            </w:r>
            <w:r w:rsidRPr="000916C0">
              <w:t>application du droit d</w:t>
            </w:r>
            <w:r w:rsidR="00D968EE" w:rsidRPr="000916C0">
              <w:t>’</w:t>
            </w:r>
            <w:r w:rsidRPr="000916C0">
              <w:t>auteur en ligne, et de doter les fonctionnaires en charge de l</w:t>
            </w:r>
            <w:r w:rsidR="00D968EE" w:rsidRPr="000916C0">
              <w:t>’</w:t>
            </w:r>
            <w:r w:rsidRPr="000916C0">
              <w:t>application du droit d</w:t>
            </w:r>
            <w:r w:rsidR="00D968EE" w:rsidRPr="000916C0">
              <w:t>’</w:t>
            </w:r>
            <w:r w:rsidRPr="000916C0">
              <w:t>auteur des compétences et de la compréhension nécessaires pour atteindre leur objectif, en se concentrant plus particulièrement sur les actions proposées suivantes</w:t>
            </w:r>
            <w:r w:rsidR="00D968EE" w:rsidRPr="000916C0">
              <w:t> :</w:t>
            </w:r>
          </w:p>
          <w:p w14:paraId="4A59C7C2" w14:textId="7A5A2535" w:rsidR="008755FC" w:rsidRPr="000916C0" w:rsidRDefault="008755FC" w:rsidP="00FD786A">
            <w:pPr>
              <w:pStyle w:val="TableParagraph"/>
              <w:ind w:left="110"/>
            </w:pPr>
          </w:p>
          <w:p w14:paraId="0780EF92" w14:textId="356296A5" w:rsidR="005E49F7" w:rsidRPr="000916C0" w:rsidRDefault="005E49F7" w:rsidP="000916C0">
            <w:pPr>
              <w:pStyle w:val="TableParagraph"/>
              <w:tabs>
                <w:tab w:val="left" w:pos="570"/>
              </w:tabs>
              <w:ind w:left="110"/>
            </w:pPr>
            <w:r w:rsidRPr="000916C0">
              <w:t>i)</w:t>
            </w:r>
            <w:r w:rsidRPr="000916C0">
              <w:tab/>
              <w:t>identification des outils et de l</w:t>
            </w:r>
            <w:r w:rsidR="00D968EE" w:rsidRPr="000916C0">
              <w:t>’</w:t>
            </w:r>
            <w:r w:rsidRPr="000916C0">
              <w:t>infrastructure appropriés de lutte contre le piratage et adoption de directives techniques;</w:t>
            </w:r>
          </w:p>
          <w:p w14:paraId="4DD504BD" w14:textId="77777777" w:rsidR="00CC3EC2" w:rsidRPr="000916C0" w:rsidRDefault="00CC3EC2" w:rsidP="000916C0">
            <w:pPr>
              <w:pStyle w:val="TableParagraph"/>
              <w:tabs>
                <w:tab w:val="left" w:pos="570"/>
              </w:tabs>
              <w:ind w:left="110"/>
            </w:pPr>
          </w:p>
          <w:p w14:paraId="5B251AD6" w14:textId="3F3EEC7E" w:rsidR="006C33B7" w:rsidRPr="000916C0" w:rsidRDefault="005E49F7" w:rsidP="000916C0">
            <w:pPr>
              <w:pStyle w:val="TableParagraph"/>
              <w:tabs>
                <w:tab w:val="left" w:pos="570"/>
              </w:tabs>
              <w:ind w:left="110"/>
            </w:pPr>
            <w:r w:rsidRPr="000916C0">
              <w:t>ii)</w:t>
            </w:r>
            <w:r w:rsidRPr="000916C0">
              <w:tab/>
              <w:t xml:space="preserve">adoption de mesures volontaires et </w:t>
            </w:r>
            <w:r w:rsidR="00006DFF">
              <w:t>d’outils appropriés de lutte contre le piratage;</w:t>
            </w:r>
          </w:p>
          <w:p w14:paraId="517F4A39" w14:textId="1413EAD8" w:rsidR="008755FC" w:rsidRPr="000916C0" w:rsidRDefault="008755FC" w:rsidP="000916C0">
            <w:pPr>
              <w:pStyle w:val="TableParagraph"/>
              <w:tabs>
                <w:tab w:val="left" w:pos="570"/>
              </w:tabs>
              <w:ind w:left="110"/>
            </w:pPr>
          </w:p>
          <w:p w14:paraId="7CB077A2" w14:textId="05E7119C" w:rsidR="005E49F7" w:rsidRPr="000916C0" w:rsidRDefault="005E49F7" w:rsidP="000916C0">
            <w:pPr>
              <w:pStyle w:val="TableParagraph"/>
              <w:tabs>
                <w:tab w:val="left" w:pos="570"/>
              </w:tabs>
              <w:ind w:left="110"/>
            </w:pPr>
            <w:r w:rsidRPr="000916C0">
              <w:t>iii)</w:t>
            </w:r>
            <w:r w:rsidRPr="000916C0">
              <w:tab/>
              <w:t>création de matériel de formation, de directives et d</w:t>
            </w:r>
            <w:r w:rsidR="00D968EE" w:rsidRPr="000916C0">
              <w:t>’</w:t>
            </w:r>
            <w:r w:rsidRPr="000916C0">
              <w:t>outils à l</w:t>
            </w:r>
            <w:r w:rsidR="00D968EE" w:rsidRPr="000916C0">
              <w:t>’</w:t>
            </w:r>
            <w:r w:rsidRPr="000916C0">
              <w:t>intention des fonctionnaires et des opérateurs;</w:t>
            </w:r>
          </w:p>
          <w:p w14:paraId="49864F39" w14:textId="77777777" w:rsidR="008755FC" w:rsidRPr="000916C0" w:rsidRDefault="008755FC" w:rsidP="000916C0">
            <w:pPr>
              <w:pStyle w:val="TableParagraph"/>
              <w:tabs>
                <w:tab w:val="left" w:pos="570"/>
              </w:tabs>
              <w:ind w:left="110"/>
            </w:pPr>
          </w:p>
          <w:p w14:paraId="18EA79AA" w14:textId="77777777" w:rsidR="005E49F7" w:rsidRPr="000916C0" w:rsidRDefault="005E49F7" w:rsidP="000916C0">
            <w:pPr>
              <w:pStyle w:val="TableParagraph"/>
              <w:tabs>
                <w:tab w:val="left" w:pos="570"/>
              </w:tabs>
              <w:ind w:left="110"/>
            </w:pPr>
            <w:r w:rsidRPr="000916C0">
              <w:t>iv)</w:t>
            </w:r>
            <w:r w:rsidRPr="000916C0">
              <w:tab/>
              <w:t>renforcement régulier des capacités des fonctionnaires concernés.</w:t>
            </w:r>
          </w:p>
          <w:p w14:paraId="764A3350" w14:textId="77777777" w:rsidR="005E49F7" w:rsidRPr="000916C0" w:rsidRDefault="005E49F7" w:rsidP="00FD786A">
            <w:pPr>
              <w:pStyle w:val="TableParagraph"/>
              <w:ind w:left="110"/>
            </w:pPr>
          </w:p>
          <w:p w14:paraId="179F8BFC" w14:textId="7BA9C91E" w:rsidR="005E49F7" w:rsidRPr="000916C0" w:rsidRDefault="00BD6F7E" w:rsidP="00FD786A">
            <w:pPr>
              <w:pStyle w:val="TableParagraph"/>
              <w:ind w:left="110"/>
            </w:pPr>
            <w:r>
              <w:noBreakHyphen/>
            </w:r>
            <w:r w:rsidR="005E49F7" w:rsidRPr="000916C0">
              <w:tab/>
              <w:t>Phase 2</w:t>
            </w:r>
            <w:r w:rsidR="00D968EE" w:rsidRPr="000916C0">
              <w:t> :</w:t>
            </w:r>
            <w:r w:rsidR="005E49F7" w:rsidRPr="000916C0">
              <w:t xml:space="preserve"> </w:t>
            </w:r>
            <w:r w:rsidR="007C7E83" w:rsidRPr="000916C0">
              <w:t xml:space="preserve">conclusion </w:t>
            </w:r>
            <w:r w:rsidR="005E49F7" w:rsidRPr="000916C0">
              <w:t>et évaluation du projet</w:t>
            </w:r>
          </w:p>
          <w:p w14:paraId="5ECA0934" w14:textId="77777777" w:rsidR="005E49F7" w:rsidRPr="000916C0" w:rsidRDefault="005E49F7" w:rsidP="00FD786A">
            <w:pPr>
              <w:pStyle w:val="TableParagraph"/>
              <w:ind w:left="110"/>
            </w:pPr>
          </w:p>
          <w:p w14:paraId="30DFD8E5" w14:textId="6D748660" w:rsidR="006C33B7" w:rsidRPr="000916C0" w:rsidRDefault="005E49F7" w:rsidP="00FD786A">
            <w:pPr>
              <w:pStyle w:val="TableParagraph"/>
              <w:ind w:left="110"/>
            </w:pPr>
            <w:r w:rsidRPr="000916C0">
              <w:t>Les principales parties prenantes pertinentes identifiées pour ce projet sont les suivantes</w:t>
            </w:r>
            <w:r w:rsidR="00D968EE" w:rsidRPr="000916C0">
              <w:t> :</w:t>
            </w:r>
          </w:p>
          <w:p w14:paraId="4FED0998" w14:textId="47194E5B" w:rsidR="005E49F7" w:rsidRPr="000916C0" w:rsidRDefault="005E49F7" w:rsidP="00FD786A">
            <w:pPr>
              <w:pStyle w:val="TableParagraph"/>
              <w:ind w:left="110"/>
            </w:pPr>
          </w:p>
          <w:p w14:paraId="5395EDA0" w14:textId="108AFBBA" w:rsidR="005E49F7" w:rsidRPr="000916C0" w:rsidRDefault="00006DFF" w:rsidP="000916C0">
            <w:pPr>
              <w:pStyle w:val="TableParagraph"/>
              <w:numPr>
                <w:ilvl w:val="0"/>
                <w:numId w:val="3"/>
              </w:numPr>
              <w:spacing w:line="242" w:lineRule="auto"/>
              <w:ind w:left="1126" w:hanging="567"/>
            </w:pPr>
            <w:r>
              <w:t>o</w:t>
            </w:r>
            <w:r w:rsidR="005E49F7" w:rsidRPr="000916C0">
              <w:t>ffices de propriété intellectuelle (offices de propriété industrielle et offices du droit d</w:t>
            </w:r>
            <w:r w:rsidR="00D968EE" w:rsidRPr="000916C0">
              <w:t>’</w:t>
            </w:r>
            <w:r w:rsidR="005E49F7" w:rsidRPr="000916C0">
              <w:t>auteur)</w:t>
            </w:r>
            <w:r>
              <w:t>;</w:t>
            </w:r>
          </w:p>
          <w:p w14:paraId="39C9F20F" w14:textId="36AA8DB9" w:rsidR="005E49F7" w:rsidRPr="000916C0" w:rsidRDefault="00006DFF" w:rsidP="000916C0">
            <w:pPr>
              <w:pStyle w:val="TableParagraph"/>
              <w:numPr>
                <w:ilvl w:val="0"/>
                <w:numId w:val="3"/>
              </w:numPr>
              <w:spacing w:line="242" w:lineRule="auto"/>
              <w:ind w:left="1126" w:hanging="567"/>
            </w:pPr>
            <w:r>
              <w:t>i</w:t>
            </w:r>
            <w:r w:rsidR="005E49F7" w:rsidRPr="000916C0">
              <w:t>nstitutions de télécommunications</w:t>
            </w:r>
            <w:r>
              <w:t>;</w:t>
            </w:r>
          </w:p>
          <w:p w14:paraId="1358089C" w14:textId="29F2DC9F" w:rsidR="005E49F7" w:rsidRPr="000916C0" w:rsidRDefault="00006DFF" w:rsidP="000916C0">
            <w:pPr>
              <w:pStyle w:val="TableParagraph"/>
              <w:numPr>
                <w:ilvl w:val="0"/>
                <w:numId w:val="3"/>
              </w:numPr>
              <w:spacing w:line="242" w:lineRule="auto"/>
              <w:ind w:left="1126" w:hanging="567"/>
            </w:pPr>
            <w:r>
              <w:t>a</w:t>
            </w:r>
            <w:r w:rsidR="005E49F7" w:rsidRPr="000916C0">
              <w:t>dministrations nationales des douanes</w:t>
            </w:r>
            <w:r>
              <w:t>;</w:t>
            </w:r>
          </w:p>
          <w:p w14:paraId="334F1660" w14:textId="2F479683" w:rsidR="005E49F7" w:rsidRPr="000916C0" w:rsidRDefault="00006DFF" w:rsidP="000916C0">
            <w:pPr>
              <w:pStyle w:val="TableParagraph"/>
              <w:numPr>
                <w:ilvl w:val="0"/>
                <w:numId w:val="3"/>
              </w:numPr>
              <w:spacing w:line="242" w:lineRule="auto"/>
              <w:ind w:left="1126" w:hanging="567"/>
            </w:pPr>
            <w:r>
              <w:t>a</w:t>
            </w:r>
            <w:r w:rsidR="005E49F7" w:rsidRPr="000916C0">
              <w:t>utorités nationales chargées de l</w:t>
            </w:r>
            <w:r w:rsidR="00D968EE" w:rsidRPr="000916C0">
              <w:t>’</w:t>
            </w:r>
            <w:r w:rsidR="005E49F7" w:rsidRPr="000916C0">
              <w:t>application de la loi</w:t>
            </w:r>
            <w:r>
              <w:t>;</w:t>
            </w:r>
          </w:p>
          <w:p w14:paraId="41E008B7" w14:textId="06813FCE" w:rsidR="006C33B7" w:rsidRPr="000916C0" w:rsidRDefault="00006DFF" w:rsidP="000916C0">
            <w:pPr>
              <w:pStyle w:val="TableParagraph"/>
              <w:numPr>
                <w:ilvl w:val="0"/>
                <w:numId w:val="3"/>
              </w:numPr>
              <w:spacing w:line="242" w:lineRule="auto"/>
              <w:ind w:left="1126" w:hanging="567"/>
            </w:pPr>
            <w:r>
              <w:t>i</w:t>
            </w:r>
            <w:r w:rsidR="005E49F7" w:rsidRPr="000916C0">
              <w:t>ndustries de la création</w:t>
            </w:r>
            <w:r>
              <w:t>;</w:t>
            </w:r>
          </w:p>
          <w:p w14:paraId="119F5A72" w14:textId="0AC09D84" w:rsidR="005E49F7" w:rsidRPr="000916C0" w:rsidRDefault="00006DFF" w:rsidP="000916C0">
            <w:pPr>
              <w:pStyle w:val="TableParagraph"/>
              <w:numPr>
                <w:ilvl w:val="0"/>
                <w:numId w:val="3"/>
              </w:numPr>
              <w:spacing w:line="242" w:lineRule="auto"/>
              <w:ind w:left="1126" w:hanging="567"/>
            </w:pPr>
            <w:r>
              <w:t>p</w:t>
            </w:r>
            <w:r w:rsidR="005E49F7" w:rsidRPr="000916C0">
              <w:t>rofessionnels du droit</w:t>
            </w:r>
            <w:r>
              <w:t>;</w:t>
            </w:r>
          </w:p>
          <w:p w14:paraId="295D7F63" w14:textId="1231A2A1" w:rsidR="005E49F7" w:rsidRPr="000916C0" w:rsidRDefault="005E49F7" w:rsidP="000916C0">
            <w:pPr>
              <w:pStyle w:val="TableParagraph"/>
              <w:numPr>
                <w:ilvl w:val="0"/>
                <w:numId w:val="3"/>
              </w:numPr>
              <w:spacing w:line="242" w:lineRule="auto"/>
              <w:ind w:left="1126" w:hanging="567"/>
            </w:pPr>
            <w:r w:rsidRPr="000916C0">
              <w:t>Union internationale des télécommunications</w:t>
            </w:r>
            <w:r w:rsidR="00006DFF">
              <w:t> </w:t>
            </w:r>
            <w:r w:rsidRPr="000916C0">
              <w:t>(UIT)</w:t>
            </w:r>
            <w:r w:rsidR="00006DFF">
              <w:t>;</w:t>
            </w:r>
          </w:p>
          <w:p w14:paraId="02ECC6BF" w14:textId="2E1AEEAD" w:rsidR="005E49F7" w:rsidRPr="000916C0" w:rsidRDefault="00006DFF" w:rsidP="00A34023">
            <w:pPr>
              <w:pStyle w:val="TableParagraph"/>
              <w:numPr>
                <w:ilvl w:val="0"/>
                <w:numId w:val="3"/>
              </w:numPr>
              <w:spacing w:after="120" w:line="242" w:lineRule="auto"/>
              <w:ind w:left="1126" w:hanging="567"/>
            </w:pPr>
            <w:r>
              <w:t>i</w:t>
            </w:r>
            <w:r w:rsidR="00DC75B2" w:rsidRPr="000916C0">
              <w:t>ndustries de la publicité</w:t>
            </w:r>
            <w:r>
              <w:t>.</w:t>
            </w:r>
          </w:p>
        </w:tc>
      </w:tr>
      <w:tr w:rsidR="005E49F7" w:rsidRPr="00DC75B2" w14:paraId="3E49EFFB" w14:textId="77777777" w:rsidTr="00431941">
        <w:trPr>
          <w:trHeight w:val="280"/>
        </w:trPr>
        <w:tc>
          <w:tcPr>
            <w:tcW w:w="9352" w:type="dxa"/>
            <w:gridSpan w:val="2"/>
            <w:shd w:val="clear" w:color="auto" w:fill="00FFCC"/>
          </w:tcPr>
          <w:p w14:paraId="6CD18E38" w14:textId="7A5B9501" w:rsidR="005E49F7" w:rsidRPr="000916C0" w:rsidDel="00821A8E" w:rsidRDefault="009E7807" w:rsidP="00FD786A">
            <w:pPr>
              <w:pStyle w:val="TableParagraph"/>
              <w:ind w:left="110"/>
              <w:jc w:val="center"/>
              <w:rPr>
                <w:b/>
                <w:bCs/>
              </w:rPr>
            </w:pPr>
            <w:r>
              <w:rPr>
                <w:b/>
              </w:rPr>
              <w:lastRenderedPageBreak/>
              <w:t>2.2</w:t>
            </w:r>
            <w:r w:rsidR="005E49F7" w:rsidRPr="000916C0">
              <w:rPr>
                <w:b/>
              </w:rPr>
              <w:t> Objectifs, résultats et réalisations du projet</w:t>
            </w:r>
          </w:p>
        </w:tc>
      </w:tr>
      <w:tr w:rsidR="005E49F7" w:rsidRPr="0087431C" w14:paraId="6DB13456" w14:textId="77777777" w:rsidTr="00431941">
        <w:trPr>
          <w:trHeight w:val="280"/>
        </w:trPr>
        <w:tc>
          <w:tcPr>
            <w:tcW w:w="9352" w:type="dxa"/>
            <w:gridSpan w:val="2"/>
            <w:shd w:val="clear" w:color="auto" w:fill="auto"/>
          </w:tcPr>
          <w:p w14:paraId="06ED53FF" w14:textId="7709B101" w:rsidR="006C33B7" w:rsidRPr="000916C0" w:rsidRDefault="005E49F7" w:rsidP="00A37351">
            <w:pPr>
              <w:pStyle w:val="TableParagraph"/>
              <w:ind w:left="110" w:right="493"/>
            </w:pPr>
            <w:r w:rsidRPr="000916C0">
              <w:t xml:space="preserve">Le projet a pour </w:t>
            </w:r>
            <w:r w:rsidRPr="000916C0">
              <w:rPr>
                <w:b/>
                <w:bCs/>
              </w:rPr>
              <w:t>objectif général</w:t>
            </w:r>
            <w:r w:rsidRPr="000916C0">
              <w:t xml:space="preserve"> d</w:t>
            </w:r>
            <w:r w:rsidR="00D968EE" w:rsidRPr="000916C0">
              <w:t>’</w:t>
            </w:r>
            <w:r w:rsidRPr="000916C0">
              <w:t>aider les pays bénéficiaires à lutter efficacement contre les atteintes portées au droit d</w:t>
            </w:r>
            <w:r w:rsidR="00D968EE" w:rsidRPr="000916C0">
              <w:t>’</w:t>
            </w:r>
            <w:r w:rsidRPr="000916C0">
              <w:t>auteur en ligne.</w:t>
            </w:r>
          </w:p>
          <w:p w14:paraId="358850EB" w14:textId="4ABB1A50" w:rsidR="005E49F7" w:rsidRPr="000916C0" w:rsidRDefault="005E49F7" w:rsidP="00FD786A">
            <w:pPr>
              <w:pStyle w:val="TableParagraph"/>
              <w:ind w:left="110" w:right="493"/>
            </w:pPr>
          </w:p>
          <w:p w14:paraId="1D038D11" w14:textId="0E0DCCD1" w:rsidR="006C33B7" w:rsidRPr="000916C0" w:rsidRDefault="005E49F7" w:rsidP="00CC3EC2">
            <w:pPr>
              <w:pStyle w:val="TableParagraph"/>
              <w:ind w:left="110" w:right="493"/>
            </w:pPr>
            <w:r w:rsidRPr="000916C0">
              <w:t xml:space="preserve">Les </w:t>
            </w:r>
            <w:r w:rsidRPr="000916C0">
              <w:rPr>
                <w:b/>
              </w:rPr>
              <w:t>résultats</w:t>
            </w:r>
            <w:r w:rsidRPr="000916C0">
              <w:t xml:space="preserve"> visés par le projet consistent à</w:t>
            </w:r>
            <w:r w:rsidR="00D968EE" w:rsidRPr="000916C0">
              <w:t> :</w:t>
            </w:r>
            <w:r w:rsidR="000916C0" w:rsidRPr="000916C0">
              <w:t xml:space="preserve"> </w:t>
            </w:r>
            <w:r w:rsidRPr="000916C0">
              <w:t>i) renforcer les cadres législatifs ou infrastructurels afin de mieux lutter contre les atteintes portées au droit d</w:t>
            </w:r>
            <w:r w:rsidR="00D968EE" w:rsidRPr="000916C0">
              <w:t>’</w:t>
            </w:r>
            <w:r w:rsidRPr="000916C0">
              <w:t>auteur en ligne, et ii) améliorer les compétences et les connaissances des offices de propriété intellectuelle, des agences de télécommunications, des services chargés de l</w:t>
            </w:r>
            <w:r w:rsidR="00D968EE" w:rsidRPr="000916C0">
              <w:t>’</w:t>
            </w:r>
            <w:r w:rsidRPr="000916C0">
              <w:t>application du droit et d</w:t>
            </w:r>
            <w:r w:rsidR="00D968EE" w:rsidRPr="000916C0">
              <w:t>’</w:t>
            </w:r>
            <w:r w:rsidRPr="000916C0">
              <w:t>autres fonctionnaires en ce qui concerne la protection du droit d</w:t>
            </w:r>
            <w:r w:rsidR="00D968EE" w:rsidRPr="000916C0">
              <w:t>’</w:t>
            </w:r>
            <w:r w:rsidRPr="000916C0">
              <w:t>auteur dans l</w:t>
            </w:r>
            <w:r w:rsidR="00D968EE" w:rsidRPr="000916C0">
              <w:t>’</w:t>
            </w:r>
            <w:r w:rsidRPr="000916C0">
              <w:t>environnement numérique.</w:t>
            </w:r>
          </w:p>
          <w:p w14:paraId="560A305F" w14:textId="59BC0473" w:rsidR="005E49F7" w:rsidRPr="000916C0" w:rsidRDefault="005E49F7" w:rsidP="00FD786A">
            <w:pPr>
              <w:pStyle w:val="TableParagraph"/>
            </w:pPr>
          </w:p>
          <w:p w14:paraId="4DBE46E6" w14:textId="4D32FF30" w:rsidR="006C33B7" w:rsidRPr="000916C0" w:rsidRDefault="005E49F7" w:rsidP="00A37351">
            <w:pPr>
              <w:pStyle w:val="TableParagraph"/>
              <w:ind w:left="110" w:right="493"/>
            </w:pPr>
            <w:r w:rsidRPr="000916C0">
              <w:t xml:space="preserve">Pour ce faire, le projet visera à produire les </w:t>
            </w:r>
            <w:r w:rsidRPr="000916C0">
              <w:rPr>
                <w:b/>
                <w:bCs/>
              </w:rPr>
              <w:t>résultats</w:t>
            </w:r>
            <w:r w:rsidRPr="000916C0">
              <w:t xml:space="preserve"> suivants</w:t>
            </w:r>
            <w:r w:rsidR="00D968EE" w:rsidRPr="000916C0">
              <w:t> :</w:t>
            </w:r>
          </w:p>
          <w:p w14:paraId="5DB8EFF3" w14:textId="2C477E1F" w:rsidR="005E49F7" w:rsidRPr="000916C0" w:rsidRDefault="005E49F7" w:rsidP="00FD786A">
            <w:pPr>
              <w:pStyle w:val="TableParagraph"/>
            </w:pPr>
          </w:p>
          <w:p w14:paraId="0286EDD4" w14:textId="6E7033DA" w:rsidR="006C33B7" w:rsidRPr="000916C0" w:rsidRDefault="00BD6F7E" w:rsidP="000916C0">
            <w:pPr>
              <w:pStyle w:val="TableParagraph"/>
              <w:tabs>
                <w:tab w:val="left" w:pos="559"/>
              </w:tabs>
              <w:ind w:left="110" w:right="493"/>
            </w:pPr>
            <w:r>
              <w:noBreakHyphen/>
            </w:r>
            <w:r w:rsidR="005E49F7" w:rsidRPr="000916C0">
              <w:tab/>
              <w:t>étude sur la situation en matière d</w:t>
            </w:r>
            <w:r w:rsidR="00D968EE" w:rsidRPr="000916C0">
              <w:t>’</w:t>
            </w:r>
            <w:r w:rsidR="005E49F7" w:rsidRPr="000916C0">
              <w:t>application des droits de propriété intellectuelle et sur les répercussions des atteintes à la propriété intellectuelle en ligne dans les économies numériques nationales des pays participants;</w:t>
            </w:r>
          </w:p>
          <w:p w14:paraId="3F983ED3" w14:textId="398370B0" w:rsidR="005E49F7" w:rsidRPr="000916C0" w:rsidRDefault="005E49F7" w:rsidP="000916C0">
            <w:pPr>
              <w:pStyle w:val="TableParagraph"/>
              <w:tabs>
                <w:tab w:val="left" w:pos="559"/>
              </w:tabs>
            </w:pPr>
          </w:p>
          <w:p w14:paraId="4EAEF799" w14:textId="59D47063" w:rsidR="005E49F7" w:rsidRPr="000916C0" w:rsidRDefault="00BD6F7E" w:rsidP="000916C0">
            <w:pPr>
              <w:pStyle w:val="TableParagraph"/>
              <w:tabs>
                <w:tab w:val="left" w:pos="559"/>
              </w:tabs>
              <w:ind w:left="110" w:right="493"/>
            </w:pPr>
            <w:r>
              <w:noBreakHyphen/>
            </w:r>
            <w:r w:rsidR="005E49F7" w:rsidRPr="000916C0">
              <w:tab/>
              <w:t>compilation des améliorations potentielles des cadres juridiques et réglementaires dans les pays bénéficiaires, notamment du système des noms de domaine national</w:t>
            </w:r>
            <w:r w:rsidR="00006DFF">
              <w:t> </w:t>
            </w:r>
            <w:r w:rsidR="005E49F7" w:rsidRPr="000916C0">
              <w:t>(DNS), et des accords volontaires potentiels entre gouvernements des pays bénéficiaires et parties prenantes pour lutter contre les atteintes au droit d</w:t>
            </w:r>
            <w:r w:rsidR="00D968EE" w:rsidRPr="000916C0">
              <w:t>’</w:t>
            </w:r>
            <w:r w:rsidR="005E49F7" w:rsidRPr="000916C0">
              <w:t xml:space="preserve">auteur en </w:t>
            </w:r>
            <w:r w:rsidR="005E49F7" w:rsidRPr="000916C0">
              <w:lastRenderedPageBreak/>
              <w:t>ligne;</w:t>
            </w:r>
          </w:p>
          <w:p w14:paraId="295D8558" w14:textId="77777777" w:rsidR="005E49F7" w:rsidRPr="000916C0" w:rsidRDefault="005E49F7" w:rsidP="000916C0">
            <w:pPr>
              <w:pStyle w:val="TableParagraph"/>
              <w:tabs>
                <w:tab w:val="left" w:pos="559"/>
              </w:tabs>
            </w:pPr>
          </w:p>
          <w:p w14:paraId="03D155DE" w14:textId="7E2ED953" w:rsidR="005E49F7" w:rsidRPr="000916C0" w:rsidRDefault="00BD6F7E" w:rsidP="000916C0">
            <w:pPr>
              <w:pStyle w:val="TableParagraph"/>
              <w:tabs>
                <w:tab w:val="left" w:pos="559"/>
              </w:tabs>
              <w:ind w:left="110" w:right="493"/>
            </w:pPr>
            <w:r>
              <w:noBreakHyphen/>
            </w:r>
            <w:r w:rsidR="005E49F7" w:rsidRPr="000916C0">
              <w:tab/>
              <w:t xml:space="preserve">directives techniques visant à permettre aux régulateurs du secteur des télécommunications de mieux prendre en </w:t>
            </w:r>
            <w:r w:rsidR="00D72303" w:rsidRPr="000916C0">
              <w:t xml:space="preserve">considération </w:t>
            </w:r>
            <w:r w:rsidR="005E49F7" w:rsidRPr="000916C0">
              <w:t>les questions de droit d</w:t>
            </w:r>
            <w:r w:rsidR="00D968EE" w:rsidRPr="000916C0">
              <w:t>’</w:t>
            </w:r>
            <w:r w:rsidR="005E49F7" w:rsidRPr="000916C0">
              <w:t xml:space="preserve">auteur, notamment </w:t>
            </w:r>
            <w:r w:rsidR="000775F9">
              <w:t>des</w:t>
            </w:r>
            <w:r w:rsidR="005E49F7" w:rsidRPr="000916C0">
              <w:t xml:space="preserve"> mesures techniques pour empêcher les atteintes portées au droit d</w:t>
            </w:r>
            <w:r w:rsidR="00D968EE" w:rsidRPr="000916C0">
              <w:t>’</w:t>
            </w:r>
            <w:r w:rsidR="005E49F7" w:rsidRPr="000916C0">
              <w:t>auteur en ligne;</w:t>
            </w:r>
          </w:p>
          <w:p w14:paraId="10D7D169" w14:textId="77777777" w:rsidR="005E49F7" w:rsidRPr="000916C0" w:rsidRDefault="005E49F7" w:rsidP="000916C0">
            <w:pPr>
              <w:pStyle w:val="TableParagraph"/>
              <w:tabs>
                <w:tab w:val="left" w:pos="559"/>
              </w:tabs>
            </w:pPr>
          </w:p>
          <w:p w14:paraId="2B260C43" w14:textId="48EFF180" w:rsidR="00AD2CBE" w:rsidRPr="000916C0" w:rsidDel="00821A8E" w:rsidRDefault="00BD6F7E" w:rsidP="00A34023">
            <w:pPr>
              <w:pStyle w:val="TableParagraph"/>
              <w:tabs>
                <w:tab w:val="left" w:pos="559"/>
              </w:tabs>
              <w:spacing w:after="120"/>
              <w:ind w:left="110" w:right="493"/>
            </w:pPr>
            <w:r>
              <w:noBreakHyphen/>
            </w:r>
            <w:r w:rsidR="005E49F7" w:rsidRPr="000916C0">
              <w:tab/>
              <w:t>matériel de formation et un renforcement des capacités des responsables des télécommunications et des fonctionnaires des offices de propriété intellectuelle, ainsi que d</w:t>
            </w:r>
            <w:r w:rsidR="00D968EE" w:rsidRPr="000916C0">
              <w:t>’</w:t>
            </w:r>
            <w:r w:rsidR="005E49F7" w:rsidRPr="000916C0">
              <w:t>autres parties prenantes concernées, afin de lutter contre les atteintes au droit d</w:t>
            </w:r>
            <w:r w:rsidR="00D968EE" w:rsidRPr="000916C0">
              <w:t>’</w:t>
            </w:r>
            <w:r w:rsidR="005E49F7" w:rsidRPr="000916C0">
              <w:t>auteur en ligne et d</w:t>
            </w:r>
            <w:r w:rsidR="00D968EE" w:rsidRPr="000916C0">
              <w:t>’</w:t>
            </w:r>
            <w:r w:rsidR="005E49F7" w:rsidRPr="000916C0">
              <w:t>améliorer la compréhension et la connaissance de l</w:t>
            </w:r>
            <w:r w:rsidR="00D968EE" w:rsidRPr="000916C0">
              <w:t>’</w:t>
            </w:r>
            <w:r w:rsidR="005E49F7" w:rsidRPr="000916C0">
              <w:t xml:space="preserve">écosystème numérique et de </w:t>
            </w:r>
            <w:r w:rsidR="000F0B05" w:rsidRPr="000916C0">
              <w:t xml:space="preserve">sensibiliser à </w:t>
            </w:r>
            <w:r w:rsidR="005E49F7" w:rsidRPr="000916C0">
              <w:t>l</w:t>
            </w:r>
            <w:r w:rsidR="00D968EE" w:rsidRPr="000916C0">
              <w:t>’</w:t>
            </w:r>
            <w:r w:rsidR="005E49F7" w:rsidRPr="000916C0">
              <w:t>importance d</w:t>
            </w:r>
            <w:r w:rsidR="00D968EE" w:rsidRPr="000916C0">
              <w:t>’</w:t>
            </w:r>
            <w:r w:rsidR="005E49F7" w:rsidRPr="000916C0">
              <w:t>instaurer le respect de la propriété intellectuelle dans l</w:t>
            </w:r>
            <w:r w:rsidR="00D968EE" w:rsidRPr="000916C0">
              <w:t>’</w:t>
            </w:r>
            <w:r w:rsidR="005E49F7" w:rsidRPr="000916C0">
              <w:t>environnement numérique.</w:t>
            </w:r>
          </w:p>
        </w:tc>
      </w:tr>
      <w:tr w:rsidR="005E49F7" w:rsidRPr="00DC75B2" w14:paraId="0B3E8C45" w14:textId="77777777" w:rsidTr="00431941">
        <w:trPr>
          <w:trHeight w:val="280"/>
        </w:trPr>
        <w:tc>
          <w:tcPr>
            <w:tcW w:w="9352" w:type="dxa"/>
            <w:gridSpan w:val="2"/>
            <w:shd w:val="clear" w:color="auto" w:fill="00FFCC"/>
          </w:tcPr>
          <w:p w14:paraId="4231CAD1" w14:textId="2C8200A7" w:rsidR="005E49F7" w:rsidRPr="00DC75B2" w:rsidRDefault="005E49F7" w:rsidP="00FD786A">
            <w:pPr>
              <w:pStyle w:val="TableParagraph"/>
              <w:ind w:left="110"/>
              <w:jc w:val="center"/>
              <w:rPr>
                <w:b/>
                <w:bCs/>
              </w:rPr>
            </w:pPr>
            <w:r w:rsidRPr="000916C0">
              <w:rPr>
                <w:b/>
              </w:rPr>
              <w:lastRenderedPageBreak/>
              <w:t>2.3 Strat</w:t>
            </w:r>
            <w:r w:rsidR="006450DB">
              <w:rPr>
                <w:b/>
              </w:rPr>
              <w:t>égie de mise en œuvre du projet</w:t>
            </w:r>
          </w:p>
        </w:tc>
      </w:tr>
      <w:tr w:rsidR="005E49F7" w:rsidRPr="0087431C" w14:paraId="54644F4D" w14:textId="77777777" w:rsidTr="00431941">
        <w:trPr>
          <w:trHeight w:val="280"/>
        </w:trPr>
        <w:tc>
          <w:tcPr>
            <w:tcW w:w="9352" w:type="dxa"/>
            <w:gridSpan w:val="2"/>
            <w:shd w:val="clear" w:color="auto" w:fill="auto"/>
          </w:tcPr>
          <w:p w14:paraId="7997EC75" w14:textId="2CFCCB92" w:rsidR="005E49F7" w:rsidRPr="00A37351" w:rsidRDefault="005E49F7" w:rsidP="00FD786A">
            <w:pPr>
              <w:pStyle w:val="TableParagraph"/>
              <w:ind w:left="110"/>
            </w:pPr>
            <w:r>
              <w:t>Le projet sera mis en œuvre en s</w:t>
            </w:r>
            <w:r w:rsidR="00D968EE">
              <w:t>’</w:t>
            </w:r>
            <w:r>
              <w:t xml:space="preserve">appuyant sur les </w:t>
            </w:r>
            <w:r>
              <w:rPr>
                <w:b/>
                <w:bCs/>
              </w:rPr>
              <w:t>activités</w:t>
            </w:r>
            <w:r>
              <w:t xml:space="preserve"> suivantes</w:t>
            </w:r>
            <w:r w:rsidR="00D968EE">
              <w:t> :</w:t>
            </w:r>
          </w:p>
          <w:p w14:paraId="545749F3" w14:textId="77777777" w:rsidR="005E49F7" w:rsidRPr="006461B5" w:rsidRDefault="005E49F7" w:rsidP="00FD786A">
            <w:pPr>
              <w:pStyle w:val="TableParagraph"/>
              <w:ind w:left="110"/>
            </w:pPr>
          </w:p>
          <w:p w14:paraId="33BCDC73" w14:textId="3879014F" w:rsidR="005E49F7" w:rsidRPr="00A37351" w:rsidRDefault="00E32FF5" w:rsidP="00FD786A">
            <w:pPr>
              <w:pStyle w:val="TableParagraph"/>
              <w:ind w:left="110"/>
            </w:pPr>
            <w:r>
              <w:t>É</w:t>
            </w:r>
            <w:r w:rsidR="005E49F7">
              <w:t>laboration d</w:t>
            </w:r>
            <w:r w:rsidR="00D968EE">
              <w:t>’</w:t>
            </w:r>
            <w:r w:rsidR="005E49F7">
              <w:t>une étude portant sur la situation en matière d</w:t>
            </w:r>
            <w:r w:rsidR="00D968EE">
              <w:t>’</w:t>
            </w:r>
            <w:r w:rsidR="005E49F7">
              <w:t>application des droits de propriété intellectuelle et sur les répercussions des atteintes à la propriété intellectuelle en ligne dans les économies numériques nationales des pays participants.  Cette étude fournira une cartographie détaillée de l</w:t>
            </w:r>
            <w:r w:rsidR="00D968EE">
              <w:t>’</w:t>
            </w:r>
            <w:r w:rsidR="005E49F7">
              <w:t>écosystème numérique et se concentra sur les points suivants</w:t>
            </w:r>
            <w:r w:rsidR="00D968EE">
              <w:t> :</w:t>
            </w:r>
          </w:p>
          <w:p w14:paraId="6F61F434" w14:textId="77777777" w:rsidR="005E49F7" w:rsidRPr="006461B5" w:rsidRDefault="005E49F7" w:rsidP="00FD786A">
            <w:pPr>
              <w:pStyle w:val="TableParagraph"/>
              <w:ind w:left="110"/>
            </w:pPr>
          </w:p>
          <w:p w14:paraId="1BE25339" w14:textId="6DE22BEC" w:rsidR="005E49F7" w:rsidRPr="00A37351" w:rsidRDefault="00BD6F7E" w:rsidP="000916C0">
            <w:pPr>
              <w:pStyle w:val="TableParagraph"/>
              <w:tabs>
                <w:tab w:val="left" w:pos="585"/>
              </w:tabs>
              <w:ind w:left="110"/>
            </w:pPr>
            <w:r>
              <w:noBreakHyphen/>
            </w:r>
            <w:r w:rsidR="005E49F7">
              <w:tab/>
              <w:t>évaluation des systèmes juridiques, des services et infrastructures de propriété intellectuelle nationaux</w:t>
            </w:r>
            <w:r w:rsidR="000775F9">
              <w:t xml:space="preserve"> au regard des atteintes au droit d’auteur en ligne</w:t>
            </w:r>
            <w:r w:rsidR="005E49F7">
              <w:t>;</w:t>
            </w:r>
          </w:p>
          <w:p w14:paraId="549F6D93" w14:textId="77777777" w:rsidR="005E49F7" w:rsidRPr="006461B5" w:rsidRDefault="005E49F7" w:rsidP="000916C0">
            <w:pPr>
              <w:pStyle w:val="TableParagraph"/>
              <w:tabs>
                <w:tab w:val="left" w:pos="585"/>
              </w:tabs>
              <w:ind w:left="110"/>
            </w:pPr>
          </w:p>
          <w:p w14:paraId="033B7F44" w14:textId="7ECF35C3" w:rsidR="005E49F7" w:rsidRPr="00A37351" w:rsidRDefault="00BD6F7E" w:rsidP="000916C0">
            <w:pPr>
              <w:pStyle w:val="TableParagraph"/>
              <w:tabs>
                <w:tab w:val="left" w:pos="585"/>
              </w:tabs>
              <w:ind w:left="110"/>
            </w:pPr>
            <w:r>
              <w:noBreakHyphen/>
            </w:r>
            <w:r w:rsidR="007645F4">
              <w:tab/>
              <w:t>cadres réglementaires des télécommunications (</w:t>
            </w:r>
            <w:r w:rsidR="00D968EE">
              <w:t>y compris</w:t>
            </w:r>
            <w:r w:rsidR="007645F4">
              <w:t xml:space="preserve"> le rôle des fournisseurs d</w:t>
            </w:r>
            <w:r w:rsidR="00D968EE">
              <w:t>’</w:t>
            </w:r>
            <w:r w:rsidR="007645F4">
              <w:t>accès à Internet et des prestataires de services de paiement);</w:t>
            </w:r>
          </w:p>
          <w:p w14:paraId="1C8E0588" w14:textId="77777777" w:rsidR="005E49F7" w:rsidRPr="006461B5" w:rsidRDefault="005E49F7" w:rsidP="000916C0">
            <w:pPr>
              <w:pStyle w:val="TableParagraph"/>
              <w:tabs>
                <w:tab w:val="left" w:pos="585"/>
              </w:tabs>
              <w:ind w:left="110"/>
            </w:pPr>
          </w:p>
          <w:p w14:paraId="0F77043C" w14:textId="522E7B04" w:rsidR="005E49F7" w:rsidRPr="00A37351" w:rsidRDefault="00BD6F7E" w:rsidP="000916C0">
            <w:pPr>
              <w:pStyle w:val="TableParagraph"/>
              <w:tabs>
                <w:tab w:val="left" w:pos="585"/>
              </w:tabs>
              <w:ind w:left="110"/>
            </w:pPr>
            <w:r>
              <w:noBreakHyphen/>
            </w:r>
            <w:r w:rsidR="005E49F7">
              <w:tab/>
              <w:t xml:space="preserve">identification des domaines prioritaires à </w:t>
            </w:r>
            <w:r w:rsidR="00A34023">
              <w:t>considérer</w:t>
            </w:r>
            <w:r w:rsidR="005E49F7">
              <w:t xml:space="preserve"> dans la mise en œuvre du projet.</w:t>
            </w:r>
          </w:p>
          <w:p w14:paraId="63EA2366" w14:textId="77777777" w:rsidR="005E49F7" w:rsidRPr="006461B5" w:rsidRDefault="005E49F7" w:rsidP="00FD786A">
            <w:pPr>
              <w:pStyle w:val="TableParagraph"/>
              <w:ind w:left="110"/>
            </w:pPr>
          </w:p>
          <w:p w14:paraId="285CE356" w14:textId="5AAAD429" w:rsidR="005E49F7" w:rsidRPr="00A37351" w:rsidRDefault="005E49F7" w:rsidP="00FD786A">
            <w:pPr>
              <w:pStyle w:val="TableParagraph"/>
              <w:ind w:left="110"/>
            </w:pPr>
            <w:r>
              <w:t>Une fois l</w:t>
            </w:r>
            <w:r w:rsidR="00D968EE">
              <w:t>’</w:t>
            </w:r>
            <w:r>
              <w:t>étude finalisée, le projet mettra en œuvre les activités suivantes</w:t>
            </w:r>
            <w:r w:rsidR="00D968EE">
              <w:t> :</w:t>
            </w:r>
          </w:p>
          <w:p w14:paraId="0E8A2792" w14:textId="77777777" w:rsidR="005E49F7" w:rsidRPr="006461B5" w:rsidRDefault="005E49F7" w:rsidP="00FD786A">
            <w:pPr>
              <w:pStyle w:val="TableParagraph"/>
            </w:pPr>
          </w:p>
          <w:p w14:paraId="651CD0E5" w14:textId="4845E08A" w:rsidR="005E49F7" w:rsidRPr="00DC75B2" w:rsidRDefault="00EE7E57" w:rsidP="000916C0">
            <w:pPr>
              <w:pStyle w:val="TableParagraph"/>
              <w:numPr>
                <w:ilvl w:val="0"/>
                <w:numId w:val="4"/>
              </w:numPr>
              <w:ind w:left="1126" w:hanging="567"/>
            </w:pPr>
            <w:r>
              <w:t>o</w:t>
            </w:r>
            <w:r w:rsidR="005E49F7">
              <w:t>rganisation d</w:t>
            </w:r>
            <w:r w:rsidR="00D968EE">
              <w:t>’</w:t>
            </w:r>
            <w:r w:rsidR="005E49F7">
              <w:t>une réunion de consultation avec les pays bénéficiaires pour lancer un dialogue intersectoriel public/privé.  Cette réunion aura pour but d</w:t>
            </w:r>
            <w:r w:rsidR="00D968EE">
              <w:t>’</w:t>
            </w:r>
            <w:r w:rsidR="005E49F7">
              <w:t>évaluer les besoins à la lumière de l</w:t>
            </w:r>
            <w:r w:rsidR="00D968EE">
              <w:t>’</w:t>
            </w:r>
            <w:r w:rsidR="005E49F7">
              <w:t>étude.  Elle permettra d</w:t>
            </w:r>
            <w:r w:rsidR="00D968EE">
              <w:t>’</w:t>
            </w:r>
            <w:r w:rsidR="005E49F7">
              <w:t>établir une feuille de route et un calendrier pour les futures réunions de consultation afin d</w:t>
            </w:r>
            <w:r w:rsidR="00D968EE">
              <w:t>’</w:t>
            </w:r>
            <w:r w:rsidR="005E49F7">
              <w:t>évaluer l</w:t>
            </w:r>
            <w:r w:rsidR="00D968EE">
              <w:t>’</w:t>
            </w:r>
            <w:r w:rsidR="005E49F7">
              <w:t>avancement du projet.  Des réunions périodiques avec les parties prenantes seront organisées</w:t>
            </w:r>
            <w:r>
              <w:t>;</w:t>
            </w:r>
          </w:p>
          <w:p w14:paraId="1D86DEA0" w14:textId="77777777" w:rsidR="005E49F7" w:rsidRPr="00DC75B2" w:rsidRDefault="005E49F7" w:rsidP="000916C0">
            <w:pPr>
              <w:pStyle w:val="TableParagraph"/>
              <w:ind w:left="1126" w:hanging="567"/>
            </w:pPr>
          </w:p>
          <w:p w14:paraId="5A175626" w14:textId="50AEBF14" w:rsidR="005E49F7" w:rsidRPr="00A37351" w:rsidRDefault="00EE7E57" w:rsidP="000916C0">
            <w:pPr>
              <w:pStyle w:val="TableParagraph"/>
              <w:numPr>
                <w:ilvl w:val="0"/>
                <w:numId w:val="4"/>
              </w:numPr>
              <w:ind w:left="1126" w:hanging="567"/>
            </w:pPr>
            <w:r>
              <w:t>f</w:t>
            </w:r>
            <w:r w:rsidR="005E49F7">
              <w:t>acilitation d</w:t>
            </w:r>
            <w:r w:rsidR="00D968EE">
              <w:t>’</w:t>
            </w:r>
            <w:r w:rsidR="005E49F7">
              <w:t>un dialogue entre les parties prenantes concernées, en vue d</w:t>
            </w:r>
            <w:r w:rsidR="00D968EE">
              <w:t>’</w:t>
            </w:r>
            <w:r w:rsidR="005E49F7">
              <w:t>identifier les lacunes des dispositions techniques et juridiques en vigueur et les mesures volontaires possibles pour réduire les atteintes au droit d</w:t>
            </w:r>
            <w:r w:rsidR="00D968EE">
              <w:t>’</w:t>
            </w:r>
            <w:r>
              <w:t>auteur en ligne;</w:t>
            </w:r>
          </w:p>
          <w:p w14:paraId="4C50C838" w14:textId="77777777" w:rsidR="005E49F7" w:rsidRPr="006461B5" w:rsidRDefault="005E49F7" w:rsidP="000916C0">
            <w:pPr>
              <w:pStyle w:val="TableParagraph"/>
              <w:ind w:left="1126" w:hanging="567"/>
            </w:pPr>
          </w:p>
          <w:p w14:paraId="65CC5FC7" w14:textId="6F3BA330" w:rsidR="006C33B7" w:rsidRDefault="00EE7E57" w:rsidP="000916C0">
            <w:pPr>
              <w:pStyle w:val="TableParagraph"/>
              <w:numPr>
                <w:ilvl w:val="0"/>
                <w:numId w:val="4"/>
              </w:numPr>
              <w:ind w:left="1126" w:hanging="567"/>
            </w:pPr>
            <w:r>
              <w:t>d</w:t>
            </w:r>
            <w:r w:rsidR="005E49F7">
              <w:t>ans le cadre du dialogue avec les parties prenantes, élaboration de spécifications pour les dispositions juridiques et techniques qui faciliteraient la mise en œuvre d</w:t>
            </w:r>
            <w:r>
              <w:t xml:space="preserve">e </w:t>
            </w:r>
            <w:r w:rsidR="005E49F7">
              <w:t>mesures techniques visant à prévenir les atteintes au droit d</w:t>
            </w:r>
            <w:r w:rsidR="00D968EE">
              <w:t>’</w:t>
            </w:r>
            <w:r>
              <w:t>auteur en ligne;</w:t>
            </w:r>
          </w:p>
          <w:p w14:paraId="6202D480" w14:textId="7C7669F9" w:rsidR="005E49F7" w:rsidRPr="006461B5" w:rsidRDefault="005E49F7" w:rsidP="000916C0">
            <w:pPr>
              <w:pStyle w:val="TableParagraph"/>
              <w:ind w:left="1126" w:hanging="567"/>
            </w:pPr>
          </w:p>
          <w:p w14:paraId="219F1FF9" w14:textId="2F103E96" w:rsidR="005E49F7" w:rsidRPr="00A37351" w:rsidRDefault="00EE7E57" w:rsidP="000916C0">
            <w:pPr>
              <w:pStyle w:val="TableParagraph"/>
              <w:numPr>
                <w:ilvl w:val="0"/>
                <w:numId w:val="4"/>
              </w:numPr>
              <w:ind w:left="1126" w:hanging="567"/>
            </w:pPr>
            <w:r>
              <w:t>é</w:t>
            </w:r>
            <w:r w:rsidR="005E49F7">
              <w:t>laboration et réalisation d</w:t>
            </w:r>
            <w:r w:rsidR="00D968EE">
              <w:t>’</w:t>
            </w:r>
            <w:r w:rsidR="005E49F7">
              <w:t>un certain nombre d</w:t>
            </w:r>
            <w:r w:rsidR="00D968EE">
              <w:t>’</w:t>
            </w:r>
            <w:r w:rsidR="005E49F7">
              <w:t>activités de renforcement des capacités afin de fournir des informations et des conseils d</w:t>
            </w:r>
            <w:r w:rsidR="00D968EE">
              <w:t>’</w:t>
            </w:r>
            <w:r w:rsidR="005E49F7">
              <w:t>experts sur la nature du piratage numérique, les modèles commerciaux des opérateurs illégaux et les méthodes efficaces pour faire cesser et prévenir les atteintes au droit d</w:t>
            </w:r>
            <w:r w:rsidR="00D968EE">
              <w:t>’</w:t>
            </w:r>
            <w:r>
              <w:t>auteur en ligne;</w:t>
            </w:r>
          </w:p>
          <w:p w14:paraId="709A5564" w14:textId="77777777" w:rsidR="005E49F7" w:rsidRPr="006461B5" w:rsidRDefault="005E49F7" w:rsidP="000916C0">
            <w:pPr>
              <w:pStyle w:val="TableParagraph"/>
              <w:ind w:left="1126" w:hanging="567"/>
            </w:pPr>
          </w:p>
          <w:p w14:paraId="6BCAD789" w14:textId="35E5A5ED" w:rsidR="005E49F7" w:rsidRPr="00A37351" w:rsidRDefault="00EE7E57" w:rsidP="000916C0">
            <w:pPr>
              <w:pStyle w:val="TableParagraph"/>
              <w:numPr>
                <w:ilvl w:val="0"/>
                <w:numId w:val="4"/>
              </w:numPr>
              <w:ind w:left="1126" w:hanging="567"/>
            </w:pPr>
            <w:r>
              <w:t>à</w:t>
            </w:r>
            <w:r w:rsidR="005E49F7">
              <w:t xml:space="preserve"> la fin de la mise en œuvre du projet, du matériel de promotion des </w:t>
            </w:r>
            <w:r w:rsidR="00916E34">
              <w:t xml:space="preserve">résultats </w:t>
            </w:r>
            <w:r w:rsidR="005E49F7">
              <w:t>du projet (tel que des vidéos ou des brochures) sera élaboré afin de mieux faire connaître les résultats positifs du projet.</w:t>
            </w:r>
          </w:p>
          <w:p w14:paraId="5FBB867F" w14:textId="77777777" w:rsidR="005E49F7" w:rsidRPr="006461B5" w:rsidRDefault="005E49F7" w:rsidP="00FD786A">
            <w:pPr>
              <w:pStyle w:val="TableParagraph"/>
              <w:ind w:left="110"/>
            </w:pPr>
          </w:p>
          <w:p w14:paraId="4BBE08CC" w14:textId="54D24188" w:rsidR="005E49F7" w:rsidRPr="006461B5" w:rsidRDefault="005E49F7" w:rsidP="00EE7E57">
            <w:pPr>
              <w:pStyle w:val="TableParagraph"/>
              <w:spacing w:after="120"/>
              <w:ind w:left="110"/>
            </w:pPr>
            <w:r>
              <w:t>Tout en mettant en œuvre la stratégie susmentionnée, l</w:t>
            </w:r>
            <w:r w:rsidR="00D968EE">
              <w:t>’</w:t>
            </w:r>
            <w:r>
              <w:t>OMPI assurera la liaison et la coopération avec l</w:t>
            </w:r>
            <w:r w:rsidR="00D968EE">
              <w:t>’</w:t>
            </w:r>
            <w:r>
              <w:t>Union internationale des télécommunications</w:t>
            </w:r>
            <w:r w:rsidR="00EE7E57">
              <w:t> </w:t>
            </w:r>
            <w:r>
              <w:t>(UIT) dans la mesure du possible.  Une coopération sera en particulier recherchée avec le Groupe 11</w:t>
            </w:r>
            <w:r w:rsidR="00D968EE">
              <w:t> :</w:t>
            </w:r>
            <w:r>
              <w:t xml:space="preserve"> Exigences de signalisation, protocoles, spécifications de test et lutte contre la contrefaçon des dispositifs de télécommunication/TIC.</w:t>
            </w:r>
          </w:p>
        </w:tc>
      </w:tr>
      <w:tr w:rsidR="005E49F7" w:rsidRPr="00DC75B2" w14:paraId="56D43872" w14:textId="77777777" w:rsidTr="00431941">
        <w:trPr>
          <w:trHeight w:val="280"/>
        </w:trPr>
        <w:tc>
          <w:tcPr>
            <w:tcW w:w="9352" w:type="dxa"/>
            <w:gridSpan w:val="2"/>
            <w:shd w:val="clear" w:color="auto" w:fill="00FFCC"/>
          </w:tcPr>
          <w:p w14:paraId="27432AF8" w14:textId="77777777" w:rsidR="005E49F7" w:rsidRPr="000916C0" w:rsidRDefault="005E49F7" w:rsidP="00FD786A">
            <w:pPr>
              <w:pStyle w:val="TableParagraph"/>
              <w:ind w:left="110"/>
              <w:jc w:val="center"/>
              <w:rPr>
                <w:b/>
                <w:bCs/>
              </w:rPr>
            </w:pPr>
            <w:r w:rsidRPr="000916C0">
              <w:rPr>
                <w:b/>
              </w:rPr>
              <w:lastRenderedPageBreak/>
              <w:t>2.4 Indicateurs du projet</w:t>
            </w:r>
          </w:p>
        </w:tc>
      </w:tr>
      <w:tr w:rsidR="005E49F7" w:rsidRPr="0087431C" w14:paraId="008A06B2" w14:textId="77777777" w:rsidTr="00431941">
        <w:trPr>
          <w:trHeight w:val="1183"/>
        </w:trPr>
        <w:tc>
          <w:tcPr>
            <w:tcW w:w="4676" w:type="dxa"/>
            <w:shd w:val="clear" w:color="auto" w:fill="FFFFFF" w:themeFill="background1"/>
          </w:tcPr>
          <w:p w14:paraId="26864AC7" w14:textId="77777777" w:rsidR="005E49F7" w:rsidRPr="000916C0" w:rsidRDefault="005E49F7" w:rsidP="00FD786A">
            <w:pPr>
              <w:pStyle w:val="TableParagraph"/>
              <w:ind w:left="110"/>
              <w:jc w:val="center"/>
            </w:pPr>
            <w:r w:rsidRPr="000916C0">
              <w:rPr>
                <w:u w:val="single"/>
              </w:rPr>
              <w:t>Objectif du projet</w:t>
            </w:r>
          </w:p>
          <w:p w14:paraId="08EF7436" w14:textId="77777777" w:rsidR="005E49F7" w:rsidRPr="000916C0" w:rsidRDefault="005E49F7" w:rsidP="00FD786A">
            <w:pPr>
              <w:pStyle w:val="TableParagraph"/>
              <w:ind w:left="110"/>
            </w:pPr>
          </w:p>
          <w:p w14:paraId="600D2166" w14:textId="0467C713" w:rsidR="005E49F7" w:rsidRPr="000916C0" w:rsidRDefault="005E49F7" w:rsidP="00EE7E57">
            <w:pPr>
              <w:pStyle w:val="TableParagraph"/>
              <w:ind w:left="110"/>
            </w:pPr>
            <w:r w:rsidRPr="000916C0">
              <w:t>Lutter efficacement contre les atteintes aux droits d</w:t>
            </w:r>
            <w:r w:rsidR="00D968EE" w:rsidRPr="000916C0">
              <w:t>’</w:t>
            </w:r>
            <w:r w:rsidRPr="000916C0">
              <w:t>auteur en ligne.</w:t>
            </w:r>
          </w:p>
        </w:tc>
        <w:tc>
          <w:tcPr>
            <w:tcW w:w="4676" w:type="dxa"/>
            <w:shd w:val="clear" w:color="auto" w:fill="FFFFFF" w:themeFill="background1"/>
          </w:tcPr>
          <w:p w14:paraId="72C72C1B" w14:textId="419413EC" w:rsidR="005E49F7" w:rsidRPr="000916C0" w:rsidRDefault="005E49F7" w:rsidP="00FD786A">
            <w:pPr>
              <w:pStyle w:val="TableParagraph"/>
              <w:ind w:left="110"/>
              <w:jc w:val="center"/>
              <w:rPr>
                <w:u w:val="single"/>
              </w:rPr>
            </w:pPr>
            <w:r w:rsidRPr="000916C0">
              <w:rPr>
                <w:u w:val="single"/>
              </w:rPr>
              <w:t>Indicateur de l</w:t>
            </w:r>
            <w:r w:rsidR="00D968EE" w:rsidRPr="000916C0">
              <w:rPr>
                <w:u w:val="single"/>
              </w:rPr>
              <w:t>’</w:t>
            </w:r>
            <w:r w:rsidRPr="000916C0">
              <w:rPr>
                <w:u w:val="single"/>
              </w:rPr>
              <w:t>objectif</w:t>
            </w:r>
          </w:p>
          <w:p w14:paraId="5DF3F0C8" w14:textId="77777777" w:rsidR="005E49F7" w:rsidRPr="000916C0" w:rsidRDefault="005E49F7" w:rsidP="00FD786A">
            <w:pPr>
              <w:pStyle w:val="TableParagraph"/>
              <w:ind w:left="110"/>
            </w:pPr>
          </w:p>
          <w:p w14:paraId="4454B3FF" w14:textId="6DD2A468" w:rsidR="005E49F7" w:rsidRPr="000916C0" w:rsidRDefault="005E49F7" w:rsidP="00DC75B2">
            <w:pPr>
              <w:pStyle w:val="TableParagraph"/>
              <w:ind w:left="110"/>
            </w:pPr>
            <w:r w:rsidRPr="000916C0">
              <w:t>Une augmentation de 30% du nombre de mesures d</w:t>
            </w:r>
            <w:r w:rsidR="00D968EE" w:rsidRPr="000916C0">
              <w:t>’</w:t>
            </w:r>
            <w:r w:rsidRPr="000916C0">
              <w:t>application du droit adoptées par les pouvoirs publics dans les pays bénéficiaires.</w:t>
            </w:r>
            <w:r w:rsidR="00DC75B2" w:rsidRPr="000916C0">
              <w:rPr>
                <w:rStyle w:val="FootnoteReference"/>
              </w:rPr>
              <w:footnoteReference w:id="1"/>
            </w:r>
          </w:p>
        </w:tc>
      </w:tr>
      <w:tr w:rsidR="005E49F7" w:rsidRPr="0087431C" w14:paraId="699A7896" w14:textId="77777777" w:rsidTr="00431941">
        <w:trPr>
          <w:trHeight w:val="613"/>
        </w:trPr>
        <w:tc>
          <w:tcPr>
            <w:tcW w:w="4676" w:type="dxa"/>
            <w:shd w:val="clear" w:color="auto" w:fill="FFFFFF" w:themeFill="background1"/>
          </w:tcPr>
          <w:p w14:paraId="4A2F91F6" w14:textId="77777777" w:rsidR="005E49F7" w:rsidRPr="000916C0" w:rsidRDefault="005E49F7" w:rsidP="00FD786A">
            <w:pPr>
              <w:pStyle w:val="TableParagraph"/>
              <w:ind w:left="110"/>
              <w:jc w:val="center"/>
              <w:rPr>
                <w:u w:val="single"/>
              </w:rPr>
            </w:pPr>
            <w:r w:rsidRPr="000916C0">
              <w:rPr>
                <w:u w:val="single"/>
              </w:rPr>
              <w:t>Résultats du projet</w:t>
            </w:r>
          </w:p>
          <w:p w14:paraId="1DFF6628" w14:textId="77777777" w:rsidR="005E49F7" w:rsidRPr="000916C0" w:rsidRDefault="005E49F7" w:rsidP="00FD786A">
            <w:pPr>
              <w:pStyle w:val="TableParagraph"/>
              <w:ind w:left="110"/>
            </w:pPr>
          </w:p>
          <w:p w14:paraId="71BEE8DB" w14:textId="0FC64251" w:rsidR="005E49F7" w:rsidRPr="000916C0" w:rsidRDefault="005E49F7" w:rsidP="007645F4">
            <w:pPr>
              <w:pStyle w:val="TableParagraph"/>
              <w:ind w:left="110"/>
            </w:pPr>
            <w:r w:rsidRPr="000916C0">
              <w:t>Amélioration des cadres législatifs ou infrastructurels pour mieux lutter contre les atteintes portées aux droits d</w:t>
            </w:r>
            <w:r w:rsidR="00D968EE" w:rsidRPr="000916C0">
              <w:t>’</w:t>
            </w:r>
            <w:r w:rsidRPr="000916C0">
              <w:t>auteur en ligne.</w:t>
            </w:r>
          </w:p>
        </w:tc>
        <w:tc>
          <w:tcPr>
            <w:tcW w:w="4676" w:type="dxa"/>
            <w:shd w:val="clear" w:color="auto" w:fill="FFFFFF" w:themeFill="background1"/>
          </w:tcPr>
          <w:p w14:paraId="43F8072E" w14:textId="77777777" w:rsidR="005E49F7" w:rsidRPr="000916C0" w:rsidRDefault="005E49F7" w:rsidP="00FD786A">
            <w:pPr>
              <w:pStyle w:val="TableParagraph"/>
              <w:ind w:left="110"/>
              <w:jc w:val="center"/>
              <w:rPr>
                <w:u w:val="single"/>
              </w:rPr>
            </w:pPr>
            <w:r w:rsidRPr="000916C0">
              <w:rPr>
                <w:u w:val="single"/>
              </w:rPr>
              <w:t>Indicateurs de réussite</w:t>
            </w:r>
          </w:p>
          <w:p w14:paraId="1D383FA9" w14:textId="77777777" w:rsidR="005E49F7" w:rsidRPr="000916C0" w:rsidRDefault="005E49F7" w:rsidP="00EE7E57">
            <w:pPr>
              <w:pStyle w:val="TableParagraph"/>
              <w:ind w:left="110"/>
              <w:rPr>
                <w:u w:val="single"/>
              </w:rPr>
            </w:pPr>
          </w:p>
          <w:p w14:paraId="1A37CC04" w14:textId="39F8A78A" w:rsidR="005E49F7" w:rsidRPr="000916C0" w:rsidRDefault="005E49F7" w:rsidP="00DC75B2">
            <w:pPr>
              <w:pStyle w:val="TableParagraph"/>
              <w:ind w:left="110"/>
            </w:pPr>
            <w:r w:rsidRPr="000916C0">
              <w:t>Dispositions législatives ou infrastructurelles identifiées, jugées appropriées pour améliorer le respect du droit d</w:t>
            </w:r>
            <w:r w:rsidR="00D968EE" w:rsidRPr="000916C0">
              <w:t>’</w:t>
            </w:r>
            <w:r w:rsidRPr="000916C0">
              <w:t>auteur en ligne; et suggestions de modifications des législati</w:t>
            </w:r>
            <w:r w:rsidR="00EE7E57">
              <w:t>ons proposées en conséquence.</w:t>
            </w:r>
          </w:p>
        </w:tc>
      </w:tr>
      <w:tr w:rsidR="005E49F7" w:rsidRPr="0087431C" w14:paraId="45AB8F1F" w14:textId="77777777" w:rsidTr="00431941">
        <w:trPr>
          <w:trHeight w:val="613"/>
        </w:trPr>
        <w:tc>
          <w:tcPr>
            <w:tcW w:w="4676" w:type="dxa"/>
            <w:shd w:val="clear" w:color="auto" w:fill="FFFFFF" w:themeFill="background1"/>
          </w:tcPr>
          <w:p w14:paraId="6611091A" w14:textId="639F94FE" w:rsidR="005E49F7" w:rsidRPr="00A37351" w:rsidRDefault="005E49F7" w:rsidP="00FD786A">
            <w:pPr>
              <w:pStyle w:val="TableParagraph"/>
              <w:ind w:left="110"/>
            </w:pPr>
            <w:r>
              <w:t>Amélioration des compétences et des connaissances des offices de propriété intellectuelle, des agences de télécommunications, des services chargés de l</w:t>
            </w:r>
            <w:r w:rsidR="00D968EE">
              <w:t>’</w:t>
            </w:r>
            <w:r>
              <w:t>application du droit et d</w:t>
            </w:r>
            <w:r w:rsidR="00D968EE">
              <w:t>’</w:t>
            </w:r>
            <w:r>
              <w:t>autres fonctionnaires en ce qui concerne la protection du droit d</w:t>
            </w:r>
            <w:r w:rsidR="00D968EE">
              <w:t>’</w:t>
            </w:r>
            <w:r>
              <w:t>auteur dans l</w:t>
            </w:r>
            <w:r w:rsidR="00D968EE">
              <w:t>’</w:t>
            </w:r>
            <w:r>
              <w:t>environnement numérique.</w:t>
            </w:r>
          </w:p>
        </w:tc>
        <w:tc>
          <w:tcPr>
            <w:tcW w:w="4676" w:type="dxa"/>
            <w:shd w:val="clear" w:color="auto" w:fill="FFFFFF" w:themeFill="background1"/>
          </w:tcPr>
          <w:p w14:paraId="5DA2B2A0" w14:textId="1AB75DB6" w:rsidR="005E49F7" w:rsidRPr="00A37351" w:rsidRDefault="005E49F7" w:rsidP="00431941">
            <w:pPr>
              <w:pStyle w:val="TableParagraph"/>
              <w:ind w:left="110"/>
            </w:pPr>
            <w:r>
              <w:t>Au moins 50% des parties prenantes concernées (offices de propriété intellectuelle, agences de télécommunications, fonctionnaires chargés de l</w:t>
            </w:r>
            <w:r w:rsidR="00D968EE">
              <w:t>’</w:t>
            </w:r>
            <w:r>
              <w:t xml:space="preserve">application du droit et autres fonctionnaires) dans les pays bénéficiaires </w:t>
            </w:r>
            <w:r w:rsidR="00FC5425">
              <w:t xml:space="preserve">font </w:t>
            </w:r>
            <w:r>
              <w:t>part d</w:t>
            </w:r>
            <w:r w:rsidR="00D968EE">
              <w:t>’</w:t>
            </w:r>
            <w:r>
              <w:t>une amélioration de leurs compétences et de leurs connaissances en matière de protection du droit d</w:t>
            </w:r>
            <w:r w:rsidR="00D968EE">
              <w:t>’</w:t>
            </w:r>
            <w:r>
              <w:t>auteur dans l</w:t>
            </w:r>
            <w:r w:rsidR="00D968EE">
              <w:t>’</w:t>
            </w:r>
            <w:r>
              <w:t>environnement numérique.</w:t>
            </w:r>
            <w:r w:rsidR="00DC75B2">
              <w:rPr>
                <w:rStyle w:val="FootnoteReference"/>
              </w:rPr>
              <w:footnoteReference w:id="2"/>
            </w:r>
          </w:p>
        </w:tc>
      </w:tr>
      <w:tr w:rsidR="005E49F7" w:rsidRPr="0087431C" w14:paraId="2C666B0F" w14:textId="77777777" w:rsidTr="00431941">
        <w:trPr>
          <w:trHeight w:val="613"/>
        </w:trPr>
        <w:tc>
          <w:tcPr>
            <w:tcW w:w="4676" w:type="dxa"/>
            <w:shd w:val="clear" w:color="auto" w:fill="FFFFFF" w:themeFill="background1"/>
          </w:tcPr>
          <w:p w14:paraId="619E80C9" w14:textId="77777777" w:rsidR="005E49F7" w:rsidRPr="000916C0" w:rsidRDefault="005E49F7" w:rsidP="00FD786A">
            <w:pPr>
              <w:pStyle w:val="TableParagraph"/>
              <w:ind w:left="110"/>
              <w:jc w:val="center"/>
              <w:rPr>
                <w:u w:val="single"/>
              </w:rPr>
            </w:pPr>
            <w:r w:rsidRPr="000916C0">
              <w:rPr>
                <w:u w:val="single"/>
              </w:rPr>
              <w:t>Résultats escomptés du projet</w:t>
            </w:r>
          </w:p>
          <w:p w14:paraId="18BF87C6" w14:textId="77777777" w:rsidR="005E49F7" w:rsidRPr="000916C0" w:rsidRDefault="005E49F7" w:rsidP="00EE7E57">
            <w:pPr>
              <w:pStyle w:val="TableParagraph"/>
              <w:ind w:left="110"/>
              <w:rPr>
                <w:u w:val="single"/>
              </w:rPr>
            </w:pPr>
          </w:p>
          <w:p w14:paraId="06C867DD" w14:textId="0F7E9B9F" w:rsidR="005E49F7" w:rsidRPr="000916C0" w:rsidRDefault="005E49F7" w:rsidP="00FD786A">
            <w:pPr>
              <w:pStyle w:val="TableParagraph"/>
              <w:ind w:left="110"/>
            </w:pPr>
            <w:r w:rsidRPr="000916C0">
              <w:t>Une étude sur la situation en matière d</w:t>
            </w:r>
            <w:r w:rsidR="00D968EE" w:rsidRPr="000916C0">
              <w:t>’</w:t>
            </w:r>
            <w:r w:rsidRPr="000916C0">
              <w:t>application des droits de propriété intellectuelle et sur les répercussions des atteintes à la propriété intellectuelle en ligne dans les économies numériques nationales des pays participants.</w:t>
            </w:r>
          </w:p>
        </w:tc>
        <w:tc>
          <w:tcPr>
            <w:tcW w:w="4676" w:type="dxa"/>
            <w:shd w:val="clear" w:color="auto" w:fill="FFFFFF" w:themeFill="background1"/>
          </w:tcPr>
          <w:p w14:paraId="51452DD9" w14:textId="77777777" w:rsidR="005E49F7" w:rsidRPr="000916C0" w:rsidRDefault="005E49F7" w:rsidP="00FD786A">
            <w:pPr>
              <w:pStyle w:val="TableParagraph"/>
              <w:ind w:left="110"/>
              <w:jc w:val="center"/>
              <w:rPr>
                <w:u w:val="single"/>
              </w:rPr>
            </w:pPr>
            <w:r w:rsidRPr="000916C0">
              <w:rPr>
                <w:u w:val="single"/>
              </w:rPr>
              <w:t>Indicateurs de réussite</w:t>
            </w:r>
          </w:p>
          <w:p w14:paraId="65FCD03F" w14:textId="77777777" w:rsidR="005E49F7" w:rsidRPr="000916C0" w:rsidRDefault="005E49F7" w:rsidP="00EE7E57">
            <w:pPr>
              <w:pStyle w:val="TableParagraph"/>
              <w:ind w:left="110"/>
              <w:rPr>
                <w:u w:val="single"/>
              </w:rPr>
            </w:pPr>
          </w:p>
          <w:p w14:paraId="2ECDE8BD" w14:textId="3F19EA74" w:rsidR="005E49F7" w:rsidRPr="000916C0" w:rsidRDefault="005E49F7" w:rsidP="00FD786A">
            <w:pPr>
              <w:pStyle w:val="TableParagraph"/>
              <w:ind w:left="110"/>
            </w:pPr>
            <w:r w:rsidRPr="000916C0">
              <w:t>Étude l</w:t>
            </w:r>
            <w:r w:rsidR="00EE7E57">
              <w:t>ivrée dans les délais convenus.</w:t>
            </w:r>
          </w:p>
        </w:tc>
      </w:tr>
      <w:tr w:rsidR="005E49F7" w:rsidRPr="0087431C" w14:paraId="252208A1" w14:textId="77777777" w:rsidTr="00431941">
        <w:trPr>
          <w:trHeight w:val="613"/>
        </w:trPr>
        <w:tc>
          <w:tcPr>
            <w:tcW w:w="4676" w:type="dxa"/>
            <w:shd w:val="clear" w:color="auto" w:fill="FFFFFF" w:themeFill="background1"/>
          </w:tcPr>
          <w:p w14:paraId="7025F477" w14:textId="4BAEDAAA" w:rsidR="005E49F7" w:rsidRPr="00A37351" w:rsidRDefault="005E49F7" w:rsidP="00EE7E57">
            <w:pPr>
              <w:pStyle w:val="TableParagraph"/>
              <w:ind w:left="110" w:right="493"/>
            </w:pPr>
            <w:r>
              <w:t xml:space="preserve">Une compilation des améliorations potentielles des cadres juridiques et réglementaires dans les pays bénéficiaires, </w:t>
            </w:r>
            <w:r w:rsidR="00D968EE">
              <w:t>y compris</w:t>
            </w:r>
            <w:r>
              <w:t xml:space="preserve"> le système des noms de domaine national</w:t>
            </w:r>
            <w:r w:rsidR="00EE7E57">
              <w:t> </w:t>
            </w:r>
            <w:r>
              <w:t>(DNS), et des accords volontaires potentiels entre les gouvernements dans chacun des pays bénéficiaires et les parties prenantes pour lutter contre les atteintes au droit d</w:t>
            </w:r>
            <w:r w:rsidR="00D968EE">
              <w:t>’</w:t>
            </w:r>
            <w:r>
              <w:t>auteur en ligne.</w:t>
            </w:r>
          </w:p>
        </w:tc>
        <w:tc>
          <w:tcPr>
            <w:tcW w:w="4676" w:type="dxa"/>
            <w:shd w:val="clear" w:color="auto" w:fill="FFFFFF" w:themeFill="background1"/>
          </w:tcPr>
          <w:p w14:paraId="7B206726" w14:textId="16BC1E62" w:rsidR="005E49F7" w:rsidRPr="00A37351" w:rsidRDefault="005E49F7" w:rsidP="001C274D">
            <w:pPr>
              <w:pStyle w:val="TableParagraph"/>
              <w:ind w:left="110"/>
            </w:pPr>
            <w:r>
              <w:t>Quatre</w:t>
            </w:r>
            <w:r w:rsidR="001C274D">
              <w:t> </w:t>
            </w:r>
            <w:r>
              <w:t>compilations (une dans chaque pays bénéficiaire) des améliorations potentielles des cadres juridiques et réglementaires et d</w:t>
            </w:r>
            <w:r w:rsidR="00E82E3C">
              <w:t xml:space="preserve">es </w:t>
            </w:r>
            <w:r>
              <w:t>accords volontaires potentiels entre les gouvernements des pays bénéficiaires et les parties prenantes pour lutter contre les atteintes au droit d</w:t>
            </w:r>
            <w:r w:rsidR="00D968EE">
              <w:t>’</w:t>
            </w:r>
            <w:r>
              <w:t>auteur en ligne, livré</w:t>
            </w:r>
            <w:r w:rsidR="00E82E3C">
              <w:t>e</w:t>
            </w:r>
            <w:r w:rsidR="00EE7E57">
              <w:t>s dans les délais convenus.</w:t>
            </w:r>
          </w:p>
        </w:tc>
      </w:tr>
      <w:tr w:rsidR="005E49F7" w:rsidRPr="0087431C" w14:paraId="7481472A" w14:textId="77777777" w:rsidTr="00431941">
        <w:trPr>
          <w:trHeight w:val="613"/>
        </w:trPr>
        <w:tc>
          <w:tcPr>
            <w:tcW w:w="4676" w:type="dxa"/>
            <w:shd w:val="clear" w:color="auto" w:fill="FFFFFF" w:themeFill="background1"/>
          </w:tcPr>
          <w:p w14:paraId="30B82B0E" w14:textId="4B995AC6" w:rsidR="005E49F7" w:rsidRPr="00A37351" w:rsidRDefault="005E49F7" w:rsidP="00431941">
            <w:pPr>
              <w:pStyle w:val="TableParagraph"/>
              <w:ind w:left="110"/>
            </w:pPr>
            <w:r>
              <w:lastRenderedPageBreak/>
              <w:t>Des directives techniques visant à permettre aux régulateurs du secteur des télécommunications de mieux prendre en considération les questions de droit d</w:t>
            </w:r>
            <w:r w:rsidR="00D968EE">
              <w:t>’</w:t>
            </w:r>
            <w:r>
              <w:t>auteur, notamment la possibilité de bloquer des sites et d</w:t>
            </w:r>
            <w:r w:rsidR="00D968EE">
              <w:t>’</w:t>
            </w:r>
            <w:r>
              <w:t>autres mesures techniques pour empêcher les atteintes au droit d</w:t>
            </w:r>
            <w:r w:rsidR="00D968EE">
              <w:t>’</w:t>
            </w:r>
            <w:r>
              <w:t>auteur en ligne.</w:t>
            </w:r>
          </w:p>
        </w:tc>
        <w:tc>
          <w:tcPr>
            <w:tcW w:w="4676" w:type="dxa"/>
            <w:shd w:val="clear" w:color="auto" w:fill="FFFFFF" w:themeFill="background1"/>
          </w:tcPr>
          <w:p w14:paraId="24588F61" w14:textId="30A7CA38" w:rsidR="005E49F7" w:rsidRPr="00A37351" w:rsidRDefault="005E49F7" w:rsidP="00FD786A">
            <w:pPr>
              <w:pStyle w:val="TableParagraph"/>
              <w:ind w:left="110"/>
            </w:pPr>
            <w:r>
              <w:t>Une boîte à outils fournissant des directives techniques aux régulateurs du secteur des télécommunications, élaborée et pu</w:t>
            </w:r>
            <w:r w:rsidR="00EE7E57">
              <w:t>bliée dans les délais convenus.</w:t>
            </w:r>
          </w:p>
        </w:tc>
      </w:tr>
      <w:tr w:rsidR="005E49F7" w:rsidRPr="0087431C" w14:paraId="7A201182" w14:textId="77777777" w:rsidTr="00431941">
        <w:trPr>
          <w:trHeight w:val="613"/>
        </w:trPr>
        <w:tc>
          <w:tcPr>
            <w:tcW w:w="4676" w:type="dxa"/>
            <w:shd w:val="clear" w:color="auto" w:fill="FFFFFF" w:themeFill="background1"/>
          </w:tcPr>
          <w:p w14:paraId="1E9408AD" w14:textId="5C57BF9D" w:rsidR="005E49F7" w:rsidRPr="00A37351" w:rsidRDefault="005E49F7" w:rsidP="009B18C6">
            <w:pPr>
              <w:pStyle w:val="TableParagraph"/>
              <w:spacing w:after="100"/>
              <w:ind w:left="110"/>
            </w:pPr>
            <w:r>
              <w:t xml:space="preserve">Du matériel de formation et un renforcement des capacités des responsables des télécommunications et des fonctionnaires des offices de propriété intellectuelle, des industries </w:t>
            </w:r>
            <w:r w:rsidR="009B18C6">
              <w:t xml:space="preserve">de la création </w:t>
            </w:r>
            <w:r>
              <w:t xml:space="preserve">et des professionnels du droit afin de lutter contre les atteintes </w:t>
            </w:r>
            <w:r w:rsidR="009B1E72">
              <w:t xml:space="preserve">portées </w:t>
            </w:r>
            <w:r>
              <w:t>au droit d</w:t>
            </w:r>
            <w:r w:rsidR="00D968EE">
              <w:t>’</w:t>
            </w:r>
            <w:r>
              <w:t>auteur en ligne et une meilleure compréhension et connaissance de l</w:t>
            </w:r>
            <w:r w:rsidR="00D968EE">
              <w:t>’</w:t>
            </w:r>
            <w:r>
              <w:t>écosystème numérique et de l</w:t>
            </w:r>
            <w:r w:rsidR="00D968EE">
              <w:t>’</w:t>
            </w:r>
            <w:r>
              <w:t>importance d</w:t>
            </w:r>
            <w:r w:rsidR="00D968EE">
              <w:t>’</w:t>
            </w:r>
            <w:r>
              <w:t>instaurer le respect de la propriété intellectuelle dans l</w:t>
            </w:r>
            <w:r w:rsidR="00D968EE">
              <w:t>’</w:t>
            </w:r>
            <w:r>
              <w:t>environnement numérique.</w:t>
            </w:r>
          </w:p>
        </w:tc>
        <w:tc>
          <w:tcPr>
            <w:tcW w:w="4676" w:type="dxa"/>
            <w:shd w:val="clear" w:color="auto" w:fill="FFFFFF" w:themeFill="background1"/>
          </w:tcPr>
          <w:p w14:paraId="301D9669" w14:textId="3C7D64FD" w:rsidR="005E49F7" w:rsidRPr="00A37351" w:rsidRDefault="005E49F7" w:rsidP="00FD786A">
            <w:pPr>
              <w:pStyle w:val="TableParagraph"/>
              <w:ind w:left="110"/>
            </w:pPr>
            <w:r>
              <w:t>Matériel de formation élaboré et formations à l</w:t>
            </w:r>
            <w:r w:rsidR="00D968EE">
              <w:t>’</w:t>
            </w:r>
            <w:r>
              <w:t xml:space="preserve">intention des parties prenantes identifiées dans chacun des pays bénéficiaires mises en </w:t>
            </w:r>
            <w:r w:rsidR="00EE7E57">
              <w:t>place dans les délais convenus.</w:t>
            </w:r>
          </w:p>
        </w:tc>
      </w:tr>
      <w:tr w:rsidR="005E49F7" w:rsidRPr="00DC75B2" w14:paraId="05B5A36C" w14:textId="77777777" w:rsidTr="00431941">
        <w:trPr>
          <w:trHeight w:val="280"/>
        </w:trPr>
        <w:tc>
          <w:tcPr>
            <w:tcW w:w="9352" w:type="dxa"/>
            <w:gridSpan w:val="2"/>
            <w:shd w:val="clear" w:color="auto" w:fill="00FFCC"/>
          </w:tcPr>
          <w:p w14:paraId="3B4CA07D" w14:textId="77777777" w:rsidR="005E49F7" w:rsidRPr="000916C0" w:rsidRDefault="005E49F7" w:rsidP="00FD786A">
            <w:pPr>
              <w:pStyle w:val="TableParagraph"/>
              <w:ind w:left="110"/>
              <w:jc w:val="center"/>
              <w:rPr>
                <w:b/>
                <w:bCs/>
              </w:rPr>
            </w:pPr>
            <w:r w:rsidRPr="000916C0">
              <w:rPr>
                <w:b/>
              </w:rPr>
              <w:t>2.5 Stratégie de pérennisation</w:t>
            </w:r>
          </w:p>
        </w:tc>
      </w:tr>
      <w:tr w:rsidR="005E49F7" w:rsidRPr="00DC75B2" w14:paraId="7757EA83" w14:textId="77777777" w:rsidTr="00431941">
        <w:trPr>
          <w:trHeight w:val="370"/>
        </w:trPr>
        <w:tc>
          <w:tcPr>
            <w:tcW w:w="9352" w:type="dxa"/>
            <w:gridSpan w:val="2"/>
          </w:tcPr>
          <w:p w14:paraId="7DAD5B37" w14:textId="0108B237" w:rsidR="006C33B7" w:rsidRPr="000916C0" w:rsidRDefault="005E49F7" w:rsidP="00FD786A">
            <w:pPr>
              <w:pStyle w:val="TableParagraph"/>
              <w:ind w:left="110"/>
            </w:pPr>
            <w:r w:rsidRPr="000916C0">
              <w:t>Afin de pérenniser les résultats du projet, tous les supports et outils mis au point dans le cadre du projet seront mis à disposition en ligne.  Ils seront également présentés aux autres États membres à l</w:t>
            </w:r>
            <w:r w:rsidR="00D968EE" w:rsidRPr="000916C0">
              <w:t>’</w:t>
            </w:r>
            <w:r w:rsidRPr="000916C0">
              <w:t>occasion de réunions du CDIP et de séances d</w:t>
            </w:r>
            <w:r w:rsidR="00D968EE" w:rsidRPr="000916C0">
              <w:t>’</w:t>
            </w:r>
            <w:r w:rsidRPr="000916C0">
              <w:t>information.</w:t>
            </w:r>
          </w:p>
          <w:p w14:paraId="6D99AA25" w14:textId="0D5E81FC" w:rsidR="005E49F7" w:rsidRPr="000916C0" w:rsidRDefault="005E49F7" w:rsidP="00FD786A">
            <w:pPr>
              <w:pStyle w:val="TableParagraph"/>
              <w:ind w:left="110"/>
            </w:pPr>
          </w:p>
          <w:p w14:paraId="74848BF5" w14:textId="0EA0556A" w:rsidR="006C33B7" w:rsidRPr="000916C0" w:rsidRDefault="005E49F7" w:rsidP="00DC75B2">
            <w:pPr>
              <w:pStyle w:val="TableParagraph"/>
              <w:ind w:left="110"/>
            </w:pPr>
            <w:r w:rsidRPr="000916C0">
              <w:t>Les États membres bénéficiaires seront également vivement encouragés à mettre ces produits à disposition en vue de leur utilisation par le public, et à élargir le réseau de collaboration mis en place.  Le matériel de formation élaboré et utilisé dans les activités de renforcement des capacités sera partagé avec les parties prenantes pertinentes, afin de leur permettre de le personnaliser, selon les besoins, et de l</w:t>
            </w:r>
            <w:r w:rsidR="00D968EE" w:rsidRPr="000916C0">
              <w:t>’</w:t>
            </w:r>
            <w:r w:rsidRPr="000916C0">
              <w:t>utiliser à l</w:t>
            </w:r>
            <w:r w:rsidR="00D968EE" w:rsidRPr="000916C0">
              <w:t>’</w:t>
            </w:r>
            <w:r w:rsidRPr="000916C0">
              <w:t>avenir.</w:t>
            </w:r>
          </w:p>
          <w:p w14:paraId="0411CE48" w14:textId="727458EE" w:rsidR="005E49F7" w:rsidRPr="000916C0" w:rsidRDefault="005E49F7" w:rsidP="00FD786A">
            <w:pPr>
              <w:pStyle w:val="TableParagraph"/>
              <w:ind w:left="110"/>
            </w:pPr>
          </w:p>
          <w:p w14:paraId="3A234D44" w14:textId="5EE1E385" w:rsidR="0047197B" w:rsidRPr="000916C0" w:rsidRDefault="005E49F7" w:rsidP="00A34023">
            <w:pPr>
              <w:pStyle w:val="TableParagraph"/>
              <w:spacing w:after="120"/>
              <w:ind w:left="110"/>
            </w:pPr>
            <w:r w:rsidRPr="000916C0">
              <w:t>Des mises à jour sur la stratégie de pérennisation seront communiquées à mesure de la mise en œuvre du projet.</w:t>
            </w:r>
          </w:p>
        </w:tc>
      </w:tr>
      <w:tr w:rsidR="005E49F7" w:rsidRPr="00DC75B2" w14:paraId="0063CC89" w14:textId="77777777" w:rsidTr="00431941">
        <w:trPr>
          <w:trHeight w:val="253"/>
        </w:trPr>
        <w:tc>
          <w:tcPr>
            <w:tcW w:w="9352" w:type="dxa"/>
            <w:gridSpan w:val="2"/>
            <w:shd w:val="clear" w:color="auto" w:fill="00FFCC"/>
          </w:tcPr>
          <w:p w14:paraId="02CCA85E" w14:textId="77777777" w:rsidR="005E49F7" w:rsidRPr="000916C0" w:rsidRDefault="005E49F7" w:rsidP="00FD786A">
            <w:pPr>
              <w:pStyle w:val="TableParagraph"/>
              <w:spacing w:line="234" w:lineRule="exact"/>
              <w:ind w:left="102" w:right="90"/>
              <w:jc w:val="center"/>
              <w:rPr>
                <w:b/>
              </w:rPr>
            </w:pPr>
            <w:r w:rsidRPr="000916C0">
              <w:rPr>
                <w:b/>
              </w:rPr>
              <w:t>2.6 Critères de sélection des pays pilotes/bénéficiaires</w:t>
            </w:r>
          </w:p>
        </w:tc>
      </w:tr>
      <w:tr w:rsidR="005E49F7" w:rsidRPr="00DC75B2" w14:paraId="7C858E43" w14:textId="77777777" w:rsidTr="00431941">
        <w:trPr>
          <w:trHeight w:val="253"/>
        </w:trPr>
        <w:tc>
          <w:tcPr>
            <w:tcW w:w="9352" w:type="dxa"/>
            <w:gridSpan w:val="2"/>
            <w:shd w:val="clear" w:color="auto" w:fill="FFFFFF" w:themeFill="background1"/>
          </w:tcPr>
          <w:p w14:paraId="0FAA4199" w14:textId="0658DDD2" w:rsidR="005E49F7" w:rsidRPr="000916C0" w:rsidRDefault="005E49F7" w:rsidP="00DC75B2">
            <w:pPr>
              <w:pStyle w:val="TableParagraph"/>
              <w:ind w:left="110"/>
            </w:pPr>
            <w:r w:rsidRPr="000916C0">
              <w:t>Le projet sera mis en œuvre au Kenya et dans trois</w:t>
            </w:r>
            <w:r w:rsidR="001C274D">
              <w:t> </w:t>
            </w:r>
            <w:r w:rsidRPr="000916C0">
              <w:t>autres pays d</w:t>
            </w:r>
            <w:r w:rsidR="00D968EE" w:rsidRPr="000916C0">
              <w:t>’</w:t>
            </w:r>
            <w:r w:rsidRPr="000916C0">
              <w:t>Afrique.  La sélection des pays sera fondée sur les critères suivants</w:t>
            </w:r>
            <w:r w:rsidR="00D968EE" w:rsidRPr="000916C0">
              <w:t> :</w:t>
            </w:r>
          </w:p>
          <w:p w14:paraId="11A339EF" w14:textId="77777777" w:rsidR="005E49F7" w:rsidRPr="000916C0" w:rsidRDefault="005E49F7" w:rsidP="00FD786A">
            <w:pPr>
              <w:pStyle w:val="TableParagraph"/>
              <w:spacing w:line="234" w:lineRule="exact"/>
              <w:ind w:left="102" w:right="90"/>
            </w:pPr>
          </w:p>
          <w:p w14:paraId="3DF2479D" w14:textId="09AA2360" w:rsidR="005E49F7" w:rsidRPr="000916C0" w:rsidRDefault="00AB1736" w:rsidP="000916C0">
            <w:pPr>
              <w:pStyle w:val="TableParagraph"/>
              <w:numPr>
                <w:ilvl w:val="0"/>
                <w:numId w:val="2"/>
              </w:numPr>
              <w:spacing w:line="234" w:lineRule="exact"/>
              <w:ind w:left="1126" w:right="90" w:hanging="567"/>
            </w:pPr>
            <w:r w:rsidRPr="000916C0">
              <w:t xml:space="preserve">une </w:t>
            </w:r>
            <w:r w:rsidR="005E49F7" w:rsidRPr="000916C0">
              <w:t>expression d</w:t>
            </w:r>
            <w:r w:rsidR="00D968EE" w:rsidRPr="000916C0">
              <w:t>’</w:t>
            </w:r>
            <w:r w:rsidR="005E49F7" w:rsidRPr="000916C0">
              <w:t>intérêt de la part des autorités pertinentes chargées de la propriété intellectuelle;</w:t>
            </w:r>
          </w:p>
          <w:p w14:paraId="12B217F2" w14:textId="679CCD10" w:rsidR="005E49F7" w:rsidRPr="000916C0" w:rsidRDefault="00AB1736" w:rsidP="000916C0">
            <w:pPr>
              <w:pStyle w:val="TableParagraph"/>
              <w:numPr>
                <w:ilvl w:val="0"/>
                <w:numId w:val="2"/>
              </w:numPr>
              <w:spacing w:line="234" w:lineRule="exact"/>
              <w:ind w:left="1126" w:right="90" w:hanging="567"/>
            </w:pPr>
            <w:r w:rsidRPr="000916C0">
              <w:t xml:space="preserve">une </w:t>
            </w:r>
            <w:r w:rsidR="005E49F7" w:rsidRPr="000916C0">
              <w:t>volonté affirmée de la part du gouvernement d</w:t>
            </w:r>
            <w:r w:rsidR="00D968EE" w:rsidRPr="000916C0">
              <w:t>’</w:t>
            </w:r>
            <w:r w:rsidR="005E49F7" w:rsidRPr="000916C0">
              <w:t>améliorer l</w:t>
            </w:r>
            <w:r w:rsidR="00D968EE" w:rsidRPr="000916C0">
              <w:t>’</w:t>
            </w:r>
            <w:r w:rsidR="005E49F7" w:rsidRPr="000916C0">
              <w:t>efficacité de l</w:t>
            </w:r>
            <w:r w:rsidR="00D968EE" w:rsidRPr="000916C0">
              <w:t>’</w:t>
            </w:r>
            <w:r w:rsidR="005E49F7" w:rsidRPr="000916C0">
              <w:t>application du droit d</w:t>
            </w:r>
            <w:r w:rsidR="00D968EE" w:rsidRPr="000916C0">
              <w:t>’</w:t>
            </w:r>
            <w:r w:rsidR="005E49F7" w:rsidRPr="000916C0">
              <w:t>auteur en ligne;</w:t>
            </w:r>
          </w:p>
          <w:p w14:paraId="678E718D" w14:textId="02A817DD" w:rsidR="006C33B7" w:rsidRPr="000916C0" w:rsidRDefault="005E49F7" w:rsidP="000916C0">
            <w:pPr>
              <w:pStyle w:val="TableParagraph"/>
              <w:numPr>
                <w:ilvl w:val="0"/>
                <w:numId w:val="2"/>
              </w:numPr>
              <w:spacing w:line="234" w:lineRule="exact"/>
              <w:ind w:left="1126" w:right="90" w:hanging="567"/>
            </w:pPr>
            <w:r w:rsidRPr="000916C0">
              <w:t>ratification du Traité de l</w:t>
            </w:r>
            <w:r w:rsidR="00D968EE" w:rsidRPr="000916C0">
              <w:t>’</w:t>
            </w:r>
            <w:r w:rsidRPr="000916C0">
              <w:t>OMPI sur le droit d</w:t>
            </w:r>
            <w:r w:rsidR="00D968EE" w:rsidRPr="000916C0">
              <w:t>’</w:t>
            </w:r>
            <w:r w:rsidRPr="000916C0">
              <w:t>auteur (1996);  et</w:t>
            </w:r>
          </w:p>
          <w:p w14:paraId="151358D6" w14:textId="1BFA2C9E" w:rsidR="005E49F7" w:rsidRPr="000916C0" w:rsidRDefault="005E49F7" w:rsidP="000916C0">
            <w:pPr>
              <w:pStyle w:val="TableParagraph"/>
              <w:numPr>
                <w:ilvl w:val="0"/>
                <w:numId w:val="2"/>
              </w:numPr>
              <w:spacing w:line="234" w:lineRule="exact"/>
              <w:ind w:left="1126" w:right="90" w:hanging="567"/>
            </w:pPr>
            <w:r w:rsidRPr="000916C0">
              <w:t>engagement du pays à allouer les ressources organisationnelles et humaines nécessaires à une mise en œuvre efficace du projet.</w:t>
            </w:r>
          </w:p>
          <w:p w14:paraId="2243C10B" w14:textId="77777777" w:rsidR="005E49F7" w:rsidRPr="000916C0" w:rsidRDefault="005E49F7" w:rsidP="00FD786A">
            <w:pPr>
              <w:pStyle w:val="TableParagraph"/>
              <w:spacing w:line="234" w:lineRule="exact"/>
              <w:ind w:left="102" w:right="90"/>
            </w:pPr>
          </w:p>
          <w:p w14:paraId="1C51786C" w14:textId="6CF24054" w:rsidR="00431941" w:rsidRPr="000916C0" w:rsidRDefault="005E49F7" w:rsidP="00A34023">
            <w:pPr>
              <w:pStyle w:val="TableParagraph"/>
              <w:spacing w:after="120"/>
              <w:ind w:left="110"/>
            </w:pPr>
            <w:r w:rsidRPr="000916C0">
              <w:t>Les États membres souhaitant participer au projet doivent adresser leur déclaration d</w:t>
            </w:r>
            <w:r w:rsidR="00D968EE" w:rsidRPr="000916C0">
              <w:t>’</w:t>
            </w:r>
            <w:r w:rsidRPr="000916C0">
              <w:t>intérêt au Secrétariat au moyen du formulaire contenu dans l</w:t>
            </w:r>
            <w:r w:rsidR="00D968EE" w:rsidRPr="000916C0">
              <w:t>’</w:t>
            </w:r>
            <w:r w:rsidRPr="000916C0">
              <w:t>annexe II du présent document.  Dans cette déclaration, ils doivent mentionner l</w:t>
            </w:r>
            <w:r w:rsidR="00D968EE" w:rsidRPr="000916C0">
              <w:t>’</w:t>
            </w:r>
            <w:r w:rsidRPr="000916C0">
              <w:t>institution chargée de la gestion du projet et désigner une personne responsable du suivi de la mise en œuvre dans leur pays (par exemple, un coordonnateur national).</w:t>
            </w:r>
          </w:p>
        </w:tc>
      </w:tr>
      <w:tr w:rsidR="005E49F7" w:rsidRPr="00DC75B2" w14:paraId="2FCE3950" w14:textId="77777777" w:rsidTr="00431941">
        <w:trPr>
          <w:trHeight w:val="253"/>
        </w:trPr>
        <w:tc>
          <w:tcPr>
            <w:tcW w:w="9352" w:type="dxa"/>
            <w:gridSpan w:val="2"/>
            <w:shd w:val="clear" w:color="auto" w:fill="00FFCC"/>
          </w:tcPr>
          <w:p w14:paraId="2AAFA809" w14:textId="77777777" w:rsidR="005E49F7" w:rsidRPr="000916C0" w:rsidRDefault="005E49F7" w:rsidP="00FD786A">
            <w:pPr>
              <w:pStyle w:val="TableParagraph"/>
              <w:spacing w:line="234" w:lineRule="exact"/>
              <w:ind w:left="102" w:right="90"/>
              <w:jc w:val="center"/>
              <w:rPr>
                <w:b/>
              </w:rPr>
            </w:pPr>
            <w:r w:rsidRPr="000916C0">
              <w:rPr>
                <w:b/>
              </w:rPr>
              <w:t>2.7 Entité organisationnelle de mise en œuvre</w:t>
            </w:r>
          </w:p>
        </w:tc>
      </w:tr>
      <w:tr w:rsidR="005E49F7" w:rsidRPr="00DC75B2" w14:paraId="1C4EBE48" w14:textId="77777777" w:rsidTr="00431941">
        <w:trPr>
          <w:trHeight w:val="562"/>
        </w:trPr>
        <w:tc>
          <w:tcPr>
            <w:tcW w:w="9352" w:type="dxa"/>
            <w:gridSpan w:val="2"/>
          </w:tcPr>
          <w:p w14:paraId="6FAEB47B" w14:textId="77777777" w:rsidR="005E49F7" w:rsidRPr="000916C0" w:rsidRDefault="005E49F7" w:rsidP="00A34023">
            <w:pPr>
              <w:pStyle w:val="TableParagraph"/>
              <w:spacing w:after="120"/>
              <w:ind w:left="110" w:right="614"/>
            </w:pPr>
            <w:r w:rsidRPr="000916C0">
              <w:t>Division de la promotion du respect de la propriété intellectuelle, Secteur des enjeux et des partenariats mondiaux</w:t>
            </w:r>
          </w:p>
        </w:tc>
      </w:tr>
      <w:tr w:rsidR="005E49F7" w:rsidRPr="00DC75B2" w14:paraId="1222F82D" w14:textId="77777777" w:rsidTr="00431941">
        <w:trPr>
          <w:trHeight w:val="254"/>
        </w:trPr>
        <w:tc>
          <w:tcPr>
            <w:tcW w:w="9352" w:type="dxa"/>
            <w:gridSpan w:val="2"/>
            <w:shd w:val="clear" w:color="auto" w:fill="00FFCC"/>
          </w:tcPr>
          <w:p w14:paraId="13E6A3B4" w14:textId="72D4396F" w:rsidR="005E49F7" w:rsidRPr="000916C0" w:rsidRDefault="005E49F7" w:rsidP="00A34023">
            <w:pPr>
              <w:pStyle w:val="TableParagraph"/>
              <w:keepNext/>
              <w:spacing w:line="234" w:lineRule="exact"/>
              <w:ind w:left="102" w:right="90"/>
              <w:jc w:val="center"/>
              <w:rPr>
                <w:b/>
              </w:rPr>
            </w:pPr>
            <w:r w:rsidRPr="000916C0">
              <w:rPr>
                <w:b/>
              </w:rPr>
              <w:lastRenderedPageBreak/>
              <w:t>2.8 Liens avec d</w:t>
            </w:r>
            <w:r w:rsidR="00D968EE" w:rsidRPr="000916C0">
              <w:rPr>
                <w:b/>
              </w:rPr>
              <w:t>’</w:t>
            </w:r>
            <w:r w:rsidRPr="000916C0">
              <w:rPr>
                <w:b/>
              </w:rPr>
              <w:t>autres entités organisationnelles</w:t>
            </w:r>
          </w:p>
        </w:tc>
      </w:tr>
      <w:tr w:rsidR="005E49F7" w:rsidRPr="00DC75B2" w14:paraId="3782A5F0" w14:textId="77777777" w:rsidTr="00431941">
        <w:trPr>
          <w:trHeight w:val="620"/>
        </w:trPr>
        <w:tc>
          <w:tcPr>
            <w:tcW w:w="9352" w:type="dxa"/>
            <w:gridSpan w:val="2"/>
          </w:tcPr>
          <w:p w14:paraId="62978A45" w14:textId="39058373" w:rsidR="005E49F7" w:rsidRPr="000916C0" w:rsidRDefault="005E49F7" w:rsidP="00FD786A">
            <w:pPr>
              <w:pStyle w:val="TableParagraph"/>
              <w:spacing w:line="250" w:lineRule="exact"/>
              <w:ind w:left="110"/>
            </w:pPr>
            <w:r w:rsidRPr="000916C0">
              <w:t>Secteur du droit d</w:t>
            </w:r>
            <w:r w:rsidR="00D968EE" w:rsidRPr="000916C0">
              <w:t>’</w:t>
            </w:r>
            <w:r w:rsidRPr="000916C0">
              <w:t>auteur et des industries de la création</w:t>
            </w:r>
          </w:p>
          <w:p w14:paraId="28A405E3" w14:textId="67740618" w:rsidR="005E49F7" w:rsidRPr="000916C0" w:rsidRDefault="005E49F7" w:rsidP="00A34023">
            <w:pPr>
              <w:pStyle w:val="TableParagraph"/>
              <w:spacing w:after="120" w:line="250" w:lineRule="exact"/>
              <w:ind w:left="110"/>
            </w:pPr>
            <w:r w:rsidRPr="000916C0">
              <w:t>Secteur du développement régional et national</w:t>
            </w:r>
          </w:p>
        </w:tc>
      </w:tr>
      <w:tr w:rsidR="005E49F7" w:rsidRPr="00DC75B2" w14:paraId="5FAD12C8" w14:textId="77777777" w:rsidTr="00431941">
        <w:trPr>
          <w:trHeight w:val="361"/>
        </w:trPr>
        <w:tc>
          <w:tcPr>
            <w:tcW w:w="9352" w:type="dxa"/>
            <w:gridSpan w:val="2"/>
            <w:shd w:val="clear" w:color="auto" w:fill="00FFCC"/>
          </w:tcPr>
          <w:p w14:paraId="2A24C52D" w14:textId="1120C0E7" w:rsidR="005E49F7" w:rsidRPr="000916C0" w:rsidRDefault="005E49F7" w:rsidP="00FD786A">
            <w:pPr>
              <w:pStyle w:val="TableParagraph"/>
              <w:spacing w:line="250" w:lineRule="exact"/>
              <w:ind w:left="110"/>
              <w:jc w:val="center"/>
            </w:pPr>
            <w:r w:rsidRPr="000916C0">
              <w:rPr>
                <w:b/>
              </w:rPr>
              <w:t>2.9 Liens avec d</w:t>
            </w:r>
            <w:r w:rsidR="00D968EE" w:rsidRPr="000916C0">
              <w:rPr>
                <w:b/>
              </w:rPr>
              <w:t>’</w:t>
            </w:r>
            <w:r w:rsidRPr="000916C0">
              <w:rPr>
                <w:b/>
              </w:rPr>
              <w:t>autres projets du Plan d</w:t>
            </w:r>
            <w:r w:rsidR="00D968EE" w:rsidRPr="000916C0">
              <w:rPr>
                <w:b/>
              </w:rPr>
              <w:t>’</w:t>
            </w:r>
            <w:r w:rsidRPr="000916C0">
              <w:rPr>
                <w:b/>
              </w:rPr>
              <w:t>action pour le développement</w:t>
            </w:r>
          </w:p>
        </w:tc>
      </w:tr>
      <w:tr w:rsidR="005E49F7" w:rsidRPr="00DC75B2" w14:paraId="3A1A316B" w14:textId="77777777" w:rsidTr="00431941">
        <w:trPr>
          <w:trHeight w:val="568"/>
        </w:trPr>
        <w:tc>
          <w:tcPr>
            <w:tcW w:w="9352" w:type="dxa"/>
            <w:gridSpan w:val="2"/>
          </w:tcPr>
          <w:p w14:paraId="2454736B" w14:textId="609B4EF1" w:rsidR="006C33B7" w:rsidRPr="000916C0" w:rsidRDefault="005E49F7" w:rsidP="00FD786A">
            <w:pPr>
              <w:pStyle w:val="TableParagraph"/>
              <w:spacing w:before="1" w:line="239" w:lineRule="exact"/>
              <w:ind w:left="110"/>
            </w:pPr>
            <w:r w:rsidRPr="000916C0">
              <w:t>Projet relatif à la Coopération avec les instituts de formation judiciaire des pays en développement et des pays les moins avancés dans le domaine du développement et de l</w:t>
            </w:r>
            <w:r w:rsidR="00D968EE" w:rsidRPr="000916C0">
              <w:t>’</w:t>
            </w:r>
            <w:r w:rsidRPr="000916C0">
              <w:t>enseignement et de la formation professionnelle en matière de droits de propriété intellectuelle (DA_3_10_45_01);  et</w:t>
            </w:r>
          </w:p>
          <w:p w14:paraId="2AC4A641" w14:textId="2F6A83F1" w:rsidR="005E49F7" w:rsidRPr="000916C0" w:rsidRDefault="005E49F7" w:rsidP="00FD786A">
            <w:pPr>
              <w:pStyle w:val="TableParagraph"/>
              <w:spacing w:before="1" w:line="239" w:lineRule="exact"/>
              <w:ind w:left="110"/>
            </w:pPr>
          </w:p>
          <w:p w14:paraId="6869B38E" w14:textId="032CA19C" w:rsidR="005E49F7" w:rsidRPr="000916C0" w:rsidRDefault="005E49F7" w:rsidP="00A34023">
            <w:pPr>
              <w:pStyle w:val="TableParagraph"/>
              <w:spacing w:before="1" w:after="120" w:line="239" w:lineRule="exact"/>
              <w:ind w:left="110"/>
            </w:pPr>
            <w:r w:rsidRPr="000916C0">
              <w:t>Projet sur le droit d</w:t>
            </w:r>
            <w:r w:rsidR="00D968EE" w:rsidRPr="000916C0">
              <w:t>’</w:t>
            </w:r>
            <w:r w:rsidRPr="000916C0">
              <w:t>auteur et la diffusion de contenu dans l</w:t>
            </w:r>
            <w:r w:rsidR="00D968EE" w:rsidRPr="000916C0">
              <w:t>’</w:t>
            </w:r>
            <w:r w:rsidRPr="000916C0">
              <w:t>environnement numérique (DA_1_3_4_10_11_16_25_35_01).</w:t>
            </w:r>
          </w:p>
        </w:tc>
      </w:tr>
      <w:tr w:rsidR="005E49F7" w:rsidRPr="00DC75B2" w14:paraId="3F8B6656" w14:textId="77777777" w:rsidTr="00431941">
        <w:trPr>
          <w:trHeight w:val="406"/>
        </w:trPr>
        <w:tc>
          <w:tcPr>
            <w:tcW w:w="9352" w:type="dxa"/>
            <w:gridSpan w:val="2"/>
            <w:shd w:val="clear" w:color="auto" w:fill="00FFCC"/>
          </w:tcPr>
          <w:p w14:paraId="19E69FC1" w14:textId="4927AC8C" w:rsidR="005E49F7" w:rsidRPr="000916C0" w:rsidRDefault="005E49F7" w:rsidP="00FD786A">
            <w:pPr>
              <w:pStyle w:val="TableParagraph"/>
              <w:spacing w:line="246" w:lineRule="exact"/>
              <w:ind w:left="110"/>
              <w:jc w:val="center"/>
            </w:pPr>
            <w:r w:rsidRPr="000916C0">
              <w:rPr>
                <w:b/>
              </w:rPr>
              <w:t>2.10 Contribution aux résultats escomptés dans le Programme et le budget de l</w:t>
            </w:r>
            <w:r w:rsidR="00D968EE" w:rsidRPr="000916C0">
              <w:rPr>
                <w:b/>
              </w:rPr>
              <w:t>’</w:t>
            </w:r>
            <w:r w:rsidRPr="000916C0">
              <w:rPr>
                <w:b/>
              </w:rPr>
              <w:t>OMPI</w:t>
            </w:r>
          </w:p>
        </w:tc>
      </w:tr>
      <w:tr w:rsidR="005E49F7" w:rsidRPr="00DC75B2" w14:paraId="4C02E78C" w14:textId="77777777" w:rsidTr="00431941">
        <w:trPr>
          <w:trHeight w:val="451"/>
        </w:trPr>
        <w:tc>
          <w:tcPr>
            <w:tcW w:w="9352" w:type="dxa"/>
            <w:gridSpan w:val="2"/>
          </w:tcPr>
          <w:p w14:paraId="61E1C60F" w14:textId="79372F22" w:rsidR="005E49F7" w:rsidRPr="000916C0" w:rsidRDefault="005E49F7" w:rsidP="00FD786A">
            <w:pPr>
              <w:pStyle w:val="TableParagraph"/>
              <w:spacing w:line="246" w:lineRule="exact"/>
              <w:ind w:left="110"/>
            </w:pPr>
            <w:r w:rsidRPr="000916C0">
              <w:t>Le projet contribue à atteindre les résultats escomptés suivants</w:t>
            </w:r>
            <w:r w:rsidR="00D968EE" w:rsidRPr="000916C0">
              <w:t> :</w:t>
            </w:r>
          </w:p>
          <w:p w14:paraId="2D781EF8" w14:textId="77777777" w:rsidR="005E49F7" w:rsidRPr="000916C0" w:rsidRDefault="005E49F7" w:rsidP="00FD786A">
            <w:pPr>
              <w:pStyle w:val="TableParagraph"/>
            </w:pPr>
          </w:p>
          <w:p w14:paraId="5AF7ED80" w14:textId="0B832503" w:rsidR="006C33B7" w:rsidRPr="000916C0" w:rsidRDefault="005E49F7" w:rsidP="00FD786A">
            <w:pPr>
              <w:pStyle w:val="TableParagraph"/>
              <w:spacing w:line="246" w:lineRule="exact"/>
              <w:ind w:left="110"/>
            </w:pPr>
            <w:r w:rsidRPr="000916C0">
              <w:t>2.3</w:t>
            </w:r>
            <w:r w:rsidR="001C274D">
              <w:t> </w:t>
            </w:r>
            <w:r w:rsidRPr="000916C0">
              <w:t>Dialogue et coopération au niveau international en matière de promotion du respect de la propriété intellectuelle</w:t>
            </w:r>
          </w:p>
          <w:p w14:paraId="27949D6D" w14:textId="042D5A90" w:rsidR="005E49F7" w:rsidRPr="000916C0" w:rsidRDefault="005E49F7" w:rsidP="00FD786A">
            <w:pPr>
              <w:pStyle w:val="TableParagraph"/>
            </w:pPr>
          </w:p>
          <w:p w14:paraId="008BF869" w14:textId="79BD6BF1" w:rsidR="006C33B7" w:rsidRPr="000916C0" w:rsidRDefault="005E49F7" w:rsidP="00FD786A">
            <w:pPr>
              <w:pStyle w:val="TableParagraph"/>
              <w:spacing w:line="246" w:lineRule="exact"/>
              <w:ind w:left="110"/>
            </w:pPr>
            <w:r w:rsidRPr="000916C0">
              <w:t>4.2 Mise en place d</w:t>
            </w:r>
            <w:r w:rsidR="00D968EE" w:rsidRPr="000916C0">
              <w:t>’</w:t>
            </w:r>
            <w:r w:rsidRPr="000916C0">
              <w:t>écosystèmes équilibrés et efficaces en matière de propriété intellectuelle, d</w:t>
            </w:r>
            <w:r w:rsidR="00D968EE" w:rsidRPr="000916C0">
              <w:t>’</w:t>
            </w:r>
            <w:r w:rsidRPr="000916C0">
              <w:t>innovation et de création dans les États membres.</w:t>
            </w:r>
          </w:p>
          <w:p w14:paraId="370DC096" w14:textId="745F2143" w:rsidR="005E49F7" w:rsidRPr="000916C0" w:rsidRDefault="005E49F7" w:rsidP="00FD786A">
            <w:pPr>
              <w:pStyle w:val="TableParagraph"/>
              <w:spacing w:line="246" w:lineRule="exact"/>
              <w:ind w:left="110"/>
            </w:pPr>
          </w:p>
          <w:p w14:paraId="54D35F7B" w14:textId="7DC9985E" w:rsidR="005E49F7" w:rsidRPr="000916C0" w:rsidRDefault="005E49F7" w:rsidP="00A34023">
            <w:pPr>
              <w:pStyle w:val="TableParagraph"/>
              <w:spacing w:after="120" w:line="246" w:lineRule="exact"/>
              <w:ind w:left="110"/>
              <w:rPr>
                <w:b/>
              </w:rPr>
            </w:pPr>
            <w:r w:rsidRPr="000916C0">
              <w:t>4.3 Mise en valeur des connaissances et des compétences en matière de propriété intellectuelle dans tous les États membres.</w:t>
            </w:r>
          </w:p>
        </w:tc>
      </w:tr>
      <w:tr w:rsidR="005E49F7" w:rsidRPr="00DC75B2" w14:paraId="2620FA32" w14:textId="77777777" w:rsidTr="00431941">
        <w:trPr>
          <w:trHeight w:val="352"/>
        </w:trPr>
        <w:tc>
          <w:tcPr>
            <w:tcW w:w="9352" w:type="dxa"/>
            <w:gridSpan w:val="2"/>
            <w:shd w:val="clear" w:color="auto" w:fill="00FFCC"/>
          </w:tcPr>
          <w:p w14:paraId="2679B4FC" w14:textId="77777777" w:rsidR="005E49F7" w:rsidRPr="000916C0" w:rsidRDefault="005E49F7" w:rsidP="00FD786A">
            <w:pPr>
              <w:pStyle w:val="TableParagraph"/>
              <w:ind w:left="110" w:right="77"/>
              <w:jc w:val="center"/>
              <w:rPr>
                <w:b/>
              </w:rPr>
            </w:pPr>
            <w:r w:rsidRPr="000916C0">
              <w:rPr>
                <w:b/>
              </w:rPr>
              <w:t>2.11 Risques et stratégies atténuation</w:t>
            </w:r>
          </w:p>
        </w:tc>
      </w:tr>
      <w:tr w:rsidR="005E49F7" w:rsidRPr="0087431C" w14:paraId="57B1E1D8" w14:textId="77777777" w:rsidTr="00431941">
        <w:trPr>
          <w:trHeight w:val="424"/>
        </w:trPr>
        <w:tc>
          <w:tcPr>
            <w:tcW w:w="9352" w:type="dxa"/>
            <w:gridSpan w:val="2"/>
            <w:shd w:val="clear" w:color="auto" w:fill="FFFFFF" w:themeFill="background1"/>
          </w:tcPr>
          <w:p w14:paraId="798069F7" w14:textId="0732BEDE" w:rsidR="006C33B7" w:rsidRPr="000916C0" w:rsidRDefault="005E49F7" w:rsidP="00FD786A">
            <w:pPr>
              <w:pStyle w:val="TableParagraph"/>
              <w:ind w:left="110" w:right="77"/>
            </w:pPr>
            <w:r w:rsidRPr="000916C0">
              <w:t>Risque n° 1</w:t>
            </w:r>
            <w:r w:rsidR="00D968EE" w:rsidRPr="000916C0">
              <w:t> :</w:t>
            </w:r>
            <w:r w:rsidRPr="000916C0">
              <w:t xml:space="preserve"> </w:t>
            </w:r>
            <w:r w:rsidR="00AB1736" w:rsidRPr="000916C0">
              <w:t>l</w:t>
            </w:r>
            <w:r w:rsidRPr="000916C0">
              <w:t xml:space="preserve">e succès du projet repose sur une coopération efficace entre les parties prenantes qui peuvent avoir des points de vue et des positions </w:t>
            </w:r>
            <w:r w:rsidR="00AB1736" w:rsidRPr="000916C0">
              <w:t xml:space="preserve">potentiellement </w:t>
            </w:r>
            <w:r w:rsidRPr="000916C0">
              <w:t>divergents en ce qui concerne l</w:t>
            </w:r>
            <w:r w:rsidR="00D968EE" w:rsidRPr="000916C0">
              <w:t>’</w:t>
            </w:r>
            <w:r w:rsidRPr="000916C0">
              <w:t>objet du projet.</w:t>
            </w:r>
          </w:p>
          <w:p w14:paraId="413A051A" w14:textId="14C58B5F" w:rsidR="005E49F7" w:rsidRPr="000916C0" w:rsidRDefault="005E49F7" w:rsidP="00FD786A">
            <w:pPr>
              <w:pStyle w:val="TableParagraph"/>
              <w:ind w:left="110" w:right="77"/>
            </w:pPr>
          </w:p>
          <w:p w14:paraId="72AB001A" w14:textId="217B6623" w:rsidR="006C33B7" w:rsidRPr="000916C0" w:rsidRDefault="005E49F7" w:rsidP="00FD786A">
            <w:pPr>
              <w:pStyle w:val="TableParagraph"/>
              <w:ind w:left="110" w:right="77"/>
            </w:pPr>
            <w:r w:rsidRPr="000916C0">
              <w:t>Mesure d</w:t>
            </w:r>
            <w:r w:rsidR="00D968EE" w:rsidRPr="000916C0">
              <w:t>’</w:t>
            </w:r>
            <w:r w:rsidRPr="000916C0">
              <w:t>atténuation n° 1</w:t>
            </w:r>
            <w:r w:rsidR="00D968EE" w:rsidRPr="000916C0">
              <w:t> :</w:t>
            </w:r>
            <w:r w:rsidRPr="000916C0">
              <w:t xml:space="preserve"> </w:t>
            </w:r>
            <w:r w:rsidR="00AB1736" w:rsidRPr="000916C0">
              <w:t>e</w:t>
            </w:r>
            <w:r w:rsidRPr="000916C0">
              <w:t>ntreprendre des consultations approfondies avec toutes les parties prenantes concernées, dès le début de la mise en œuvre du projet.  Organiser des séances de partage et s</w:t>
            </w:r>
            <w:r w:rsidR="00D968EE" w:rsidRPr="000916C0">
              <w:t>’</w:t>
            </w:r>
            <w:r w:rsidRPr="000916C0">
              <w:t xml:space="preserve">assurer que les positions de chacun sont prises en </w:t>
            </w:r>
            <w:r w:rsidR="00AB1736" w:rsidRPr="000916C0">
              <w:t xml:space="preserve">considération </w:t>
            </w:r>
            <w:r w:rsidRPr="000916C0">
              <w:t>dans le processus de mise en œuvre du projet.</w:t>
            </w:r>
          </w:p>
          <w:p w14:paraId="32648219" w14:textId="4E6E25BF" w:rsidR="005E49F7" w:rsidRPr="000916C0" w:rsidRDefault="005E49F7" w:rsidP="00FD786A">
            <w:pPr>
              <w:pStyle w:val="TableParagraph"/>
              <w:ind w:left="110" w:right="77"/>
            </w:pPr>
          </w:p>
          <w:p w14:paraId="388A0EA3" w14:textId="1979A0AE" w:rsidR="006C33B7" w:rsidRPr="000916C0" w:rsidRDefault="005E49F7" w:rsidP="00FD786A">
            <w:pPr>
              <w:pStyle w:val="TableParagraph"/>
              <w:ind w:left="110" w:right="77"/>
            </w:pPr>
            <w:r w:rsidRPr="000916C0">
              <w:t>Risque n° 2</w:t>
            </w:r>
            <w:r w:rsidR="00D968EE" w:rsidRPr="000916C0">
              <w:t> :</w:t>
            </w:r>
            <w:r w:rsidRPr="000916C0">
              <w:t xml:space="preserve"> </w:t>
            </w:r>
            <w:r w:rsidR="00AB1736" w:rsidRPr="000916C0">
              <w:t>l</w:t>
            </w:r>
            <w:r w:rsidRPr="000916C0">
              <w:t>es conditions dans un pays sélectionné peuvent entraver la mise en œuvre du projet en raison du manque de données sur la situation en matière d</w:t>
            </w:r>
            <w:r w:rsidR="00D968EE" w:rsidRPr="000916C0">
              <w:t>’</w:t>
            </w:r>
            <w:r w:rsidRPr="000916C0">
              <w:t>application des droits de propriété intellectuelle et sur les répercussions des atteintes portées à la propriété intellectuelle en ligne dans les économies numériques nationales des pays participants.</w:t>
            </w:r>
          </w:p>
          <w:p w14:paraId="2AD38C16" w14:textId="252FDEFB" w:rsidR="005E49F7" w:rsidRPr="000916C0" w:rsidRDefault="005E49F7" w:rsidP="00FD786A">
            <w:pPr>
              <w:pStyle w:val="TableParagraph"/>
              <w:ind w:left="110" w:right="77"/>
            </w:pPr>
          </w:p>
          <w:p w14:paraId="10B1FEEA" w14:textId="692DD258" w:rsidR="005E49F7" w:rsidRPr="000916C0" w:rsidRDefault="005E49F7" w:rsidP="00FD786A">
            <w:pPr>
              <w:pStyle w:val="TableParagraph"/>
              <w:ind w:left="110" w:right="77"/>
            </w:pPr>
            <w:r w:rsidRPr="000916C0">
              <w:t>Mesure d</w:t>
            </w:r>
            <w:r w:rsidR="00D968EE" w:rsidRPr="000916C0">
              <w:t>’</w:t>
            </w:r>
            <w:r w:rsidRPr="000916C0">
              <w:t>atténuation n° 2</w:t>
            </w:r>
            <w:r w:rsidR="00D968EE" w:rsidRPr="000916C0">
              <w:t> :</w:t>
            </w:r>
            <w:r w:rsidRPr="000916C0">
              <w:t xml:space="preserve"> </w:t>
            </w:r>
            <w:r w:rsidR="00AB1736" w:rsidRPr="000916C0">
              <w:t>r</w:t>
            </w:r>
            <w:r w:rsidRPr="000916C0">
              <w:t>echercher la collaboration et une implication plus forte des gouvernement</w:t>
            </w:r>
            <w:r w:rsidR="00AB1736" w:rsidRPr="000916C0">
              <w:t>s</w:t>
            </w:r>
            <w:r w:rsidRPr="000916C0">
              <w:t xml:space="preserve"> locaux et des principales parties prenantes afin de recueillir les informations pertinentes.</w:t>
            </w:r>
          </w:p>
          <w:p w14:paraId="178CFF19" w14:textId="77777777" w:rsidR="005E49F7" w:rsidRPr="000916C0" w:rsidRDefault="005E49F7" w:rsidP="00FD786A">
            <w:pPr>
              <w:pStyle w:val="TableParagraph"/>
              <w:ind w:left="110" w:right="77"/>
            </w:pPr>
          </w:p>
          <w:p w14:paraId="17231C61" w14:textId="775AD4ED" w:rsidR="005E49F7" w:rsidRPr="000916C0" w:rsidRDefault="005E49F7" w:rsidP="00FD786A">
            <w:pPr>
              <w:pStyle w:val="TableParagraph"/>
              <w:ind w:left="110" w:right="77"/>
            </w:pPr>
            <w:r w:rsidRPr="000916C0">
              <w:t>Risque n° 3</w:t>
            </w:r>
            <w:r w:rsidR="00D968EE" w:rsidRPr="000916C0">
              <w:t> :</w:t>
            </w:r>
            <w:r w:rsidRPr="000916C0">
              <w:t xml:space="preserve"> </w:t>
            </w:r>
            <w:r w:rsidR="00AB1736" w:rsidRPr="000916C0">
              <w:t>d</w:t>
            </w:r>
            <w:r w:rsidRPr="000916C0">
              <w:t>ifférents niveaux de connaissances techniques de la propriété intellectuelle parmi les parties prenantes concernant l</w:t>
            </w:r>
            <w:r w:rsidR="00D968EE" w:rsidRPr="000916C0">
              <w:t>’</w:t>
            </w:r>
            <w:r w:rsidRPr="000916C0">
              <w:t>écosystème numérique et l</w:t>
            </w:r>
            <w:r w:rsidR="00D968EE" w:rsidRPr="000916C0">
              <w:t>’</w:t>
            </w:r>
            <w:r w:rsidRPr="000916C0">
              <w:t>importance de renforcer le respect de la propriété intellectuelle dans l</w:t>
            </w:r>
            <w:r w:rsidR="00D968EE" w:rsidRPr="000916C0">
              <w:t>’</w:t>
            </w:r>
            <w:r w:rsidRPr="000916C0">
              <w:t>environnement numérique.</w:t>
            </w:r>
          </w:p>
          <w:p w14:paraId="390474DA" w14:textId="77777777" w:rsidR="005E49F7" w:rsidRPr="000916C0" w:rsidRDefault="005E49F7" w:rsidP="00FD786A">
            <w:pPr>
              <w:pStyle w:val="TableParagraph"/>
              <w:ind w:left="110" w:right="77"/>
            </w:pPr>
          </w:p>
          <w:p w14:paraId="7B03B133" w14:textId="1AE83AFC" w:rsidR="0047197B" w:rsidRPr="000916C0" w:rsidRDefault="005E49F7" w:rsidP="00A34023">
            <w:pPr>
              <w:pStyle w:val="TableParagraph"/>
              <w:spacing w:after="120"/>
              <w:ind w:left="110" w:right="77"/>
              <w:rPr>
                <w:b/>
              </w:rPr>
            </w:pPr>
            <w:r w:rsidRPr="000916C0">
              <w:t>Mesure d</w:t>
            </w:r>
            <w:r w:rsidR="00D968EE" w:rsidRPr="000916C0">
              <w:t>’</w:t>
            </w:r>
            <w:r w:rsidRPr="000916C0">
              <w:t>atténuation n° 3</w:t>
            </w:r>
            <w:r w:rsidR="00D968EE" w:rsidRPr="000916C0">
              <w:t> :</w:t>
            </w:r>
            <w:r w:rsidRPr="000916C0">
              <w:t xml:space="preserve"> </w:t>
            </w:r>
            <w:r w:rsidR="00AB1736" w:rsidRPr="000916C0">
              <w:t>m</w:t>
            </w:r>
            <w:r w:rsidRPr="000916C0">
              <w:t>ener une évaluation du niveau de compréhension et des besoins de toutes les parties prenantes et personnaliser le matériel de formation et les contenus en conséquence.</w:t>
            </w:r>
          </w:p>
        </w:tc>
      </w:tr>
    </w:tbl>
    <w:p w14:paraId="5E320019" w14:textId="77777777" w:rsidR="005E49F7" w:rsidRPr="006461B5" w:rsidRDefault="005E49F7" w:rsidP="005E49F7">
      <w:pPr>
        <w:pStyle w:val="BodyText"/>
        <w:spacing w:before="7"/>
        <w:sectPr w:rsidR="005E49F7" w:rsidRPr="006461B5" w:rsidSect="006C33B7">
          <w:headerReference w:type="even" r:id="rId16"/>
          <w:headerReference w:type="default" r:id="rId17"/>
          <w:footerReference w:type="even" r:id="rId18"/>
          <w:footerReference w:type="default" r:id="rId19"/>
          <w:headerReference w:type="first" r:id="rId20"/>
          <w:footerReference w:type="first" r:id="rId21"/>
          <w:pgSz w:w="11907" w:h="16840" w:code="9"/>
          <w:pgMar w:top="567" w:right="1134" w:bottom="1418" w:left="1418" w:header="510" w:footer="1021" w:gutter="0"/>
          <w:cols w:space="720"/>
          <w:titlePg/>
          <w:docGrid w:linePitch="299"/>
        </w:sectPr>
      </w:pPr>
    </w:p>
    <w:p w14:paraId="3F3A96C0" w14:textId="0DD9C734" w:rsidR="005E49F7" w:rsidRPr="00DC75B2" w:rsidRDefault="005E49F7" w:rsidP="005E49F7">
      <w:pPr>
        <w:pStyle w:val="TableParagraph"/>
        <w:spacing w:line="268" w:lineRule="exact"/>
        <w:ind w:left="98"/>
        <w:rPr>
          <w:b/>
        </w:rPr>
      </w:pPr>
      <w:r>
        <w:rPr>
          <w:b/>
        </w:rPr>
        <w:lastRenderedPageBreak/>
        <w:t>3</w:t>
      </w:r>
      <w:r w:rsidRPr="00F05995">
        <w:rPr>
          <w:b/>
        </w:rPr>
        <w:t xml:space="preserve">. </w:t>
      </w:r>
      <w:r w:rsidR="001C274D" w:rsidRPr="001C274D">
        <w:rPr>
          <w:b/>
          <w:caps/>
        </w:rPr>
        <w:t>Calendrier provisoire de mise en œuvre</w:t>
      </w:r>
    </w:p>
    <w:p w14:paraId="73D6DB57" w14:textId="77777777" w:rsidR="005E49F7" w:rsidRPr="00DC75B2" w:rsidRDefault="005E49F7" w:rsidP="005E49F7"/>
    <w:tbl>
      <w:tblPr>
        <w:tblpPr w:leftFromText="180" w:rightFromText="180" w:vertAnchor="text" w:tblpY="1"/>
        <w:tblOverlap w:val="never"/>
        <w:tblW w:w="13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Caption w:val="CALENDRIER PROVISOIRE DE MISE EN ŒUVRE"/>
        <w:tblDescription w:val="Résultats attendus"/>
      </w:tblPr>
      <w:tblGrid>
        <w:gridCol w:w="6195"/>
        <w:gridCol w:w="540"/>
        <w:gridCol w:w="630"/>
        <w:gridCol w:w="540"/>
        <w:gridCol w:w="585"/>
        <w:gridCol w:w="585"/>
        <w:gridCol w:w="630"/>
        <w:gridCol w:w="540"/>
        <w:gridCol w:w="523"/>
        <w:gridCol w:w="647"/>
        <w:gridCol w:w="630"/>
        <w:gridCol w:w="540"/>
        <w:gridCol w:w="540"/>
      </w:tblGrid>
      <w:tr w:rsidR="005E49F7" w:rsidRPr="00DC75B2" w14:paraId="74545CB3" w14:textId="77777777" w:rsidTr="00FD786A">
        <w:trPr>
          <w:trHeight w:val="277"/>
          <w:tblHeader/>
        </w:trPr>
        <w:tc>
          <w:tcPr>
            <w:tcW w:w="6195" w:type="dxa"/>
            <w:vMerge w:val="restart"/>
            <w:shd w:val="clear" w:color="auto" w:fill="auto"/>
          </w:tcPr>
          <w:p w14:paraId="14A98255" w14:textId="77777777" w:rsidR="005E49F7" w:rsidRPr="00F05995" w:rsidRDefault="005E49F7" w:rsidP="00FD786A"/>
          <w:p w14:paraId="45F9B5BE" w14:textId="07D0B803" w:rsidR="005E49F7" w:rsidRPr="00F05995" w:rsidRDefault="001C274D" w:rsidP="00FD786A">
            <w:pPr>
              <w:rPr>
                <w:b/>
                <w:bCs/>
              </w:rPr>
            </w:pPr>
            <w:r>
              <w:rPr>
                <w:b/>
              </w:rPr>
              <w:t>Résultats attendus</w:t>
            </w:r>
          </w:p>
        </w:tc>
        <w:tc>
          <w:tcPr>
            <w:tcW w:w="6930" w:type="dxa"/>
            <w:gridSpan w:val="12"/>
          </w:tcPr>
          <w:p w14:paraId="17BE2313" w14:textId="77777777" w:rsidR="005E49F7" w:rsidRPr="007B4077" w:rsidRDefault="005E49F7" w:rsidP="00FD786A">
            <w:pPr>
              <w:jc w:val="center"/>
              <w:rPr>
                <w:b/>
                <w:bCs/>
              </w:rPr>
            </w:pPr>
            <w:r w:rsidRPr="007B4077">
              <w:rPr>
                <w:b/>
              </w:rPr>
              <w:t>Trimestres</w:t>
            </w:r>
          </w:p>
        </w:tc>
      </w:tr>
      <w:tr w:rsidR="005E49F7" w:rsidRPr="00DC75B2" w14:paraId="74CBE82E" w14:textId="77777777" w:rsidTr="00FD786A">
        <w:trPr>
          <w:trHeight w:val="277"/>
          <w:tblHeader/>
        </w:trPr>
        <w:tc>
          <w:tcPr>
            <w:tcW w:w="6195" w:type="dxa"/>
            <w:vMerge/>
            <w:shd w:val="clear" w:color="auto" w:fill="auto"/>
          </w:tcPr>
          <w:p w14:paraId="63754632" w14:textId="77777777" w:rsidR="005E49F7" w:rsidRPr="00F05995" w:rsidRDefault="005E49F7" w:rsidP="00FD786A"/>
        </w:tc>
        <w:tc>
          <w:tcPr>
            <w:tcW w:w="2295" w:type="dxa"/>
            <w:gridSpan w:val="4"/>
          </w:tcPr>
          <w:p w14:paraId="2512E015" w14:textId="77777777" w:rsidR="005E49F7" w:rsidRPr="00DC75B2" w:rsidRDefault="005E49F7" w:rsidP="00FD786A">
            <w:pPr>
              <w:jc w:val="center"/>
              <w:rPr>
                <w:b/>
                <w:bCs/>
              </w:rPr>
            </w:pPr>
            <w:r>
              <w:rPr>
                <w:b/>
              </w:rPr>
              <w:t>2024</w:t>
            </w:r>
          </w:p>
        </w:tc>
        <w:tc>
          <w:tcPr>
            <w:tcW w:w="2278" w:type="dxa"/>
            <w:gridSpan w:val="4"/>
          </w:tcPr>
          <w:p w14:paraId="602B3907" w14:textId="77777777" w:rsidR="005E49F7" w:rsidRPr="007B4077" w:rsidRDefault="005E49F7" w:rsidP="00FD786A">
            <w:pPr>
              <w:jc w:val="center"/>
              <w:rPr>
                <w:b/>
                <w:bCs/>
              </w:rPr>
            </w:pPr>
            <w:r w:rsidRPr="007B4077">
              <w:rPr>
                <w:b/>
              </w:rPr>
              <w:t>2025</w:t>
            </w:r>
          </w:p>
        </w:tc>
        <w:tc>
          <w:tcPr>
            <w:tcW w:w="2357" w:type="dxa"/>
            <w:gridSpan w:val="4"/>
          </w:tcPr>
          <w:p w14:paraId="7537B29B" w14:textId="77777777" w:rsidR="005E49F7" w:rsidRPr="007B4077" w:rsidRDefault="005E49F7" w:rsidP="00FD786A">
            <w:pPr>
              <w:jc w:val="center"/>
              <w:rPr>
                <w:b/>
                <w:bCs/>
              </w:rPr>
            </w:pPr>
            <w:r w:rsidRPr="007B4077">
              <w:rPr>
                <w:b/>
              </w:rPr>
              <w:t>2026</w:t>
            </w:r>
          </w:p>
        </w:tc>
      </w:tr>
      <w:tr w:rsidR="005E49F7" w:rsidRPr="00DC75B2" w14:paraId="3201CF1E" w14:textId="77777777" w:rsidTr="00FD786A">
        <w:trPr>
          <w:trHeight w:val="283"/>
          <w:tblHeader/>
        </w:trPr>
        <w:tc>
          <w:tcPr>
            <w:tcW w:w="6195" w:type="dxa"/>
            <w:vMerge/>
            <w:shd w:val="clear" w:color="auto" w:fill="auto"/>
          </w:tcPr>
          <w:p w14:paraId="4D9720ED" w14:textId="77777777" w:rsidR="005E49F7" w:rsidRPr="00F05995" w:rsidRDefault="005E49F7" w:rsidP="00FD786A"/>
        </w:tc>
        <w:tc>
          <w:tcPr>
            <w:tcW w:w="540" w:type="dxa"/>
            <w:shd w:val="clear" w:color="auto" w:fill="DEEAF6" w:themeFill="accent1" w:themeFillTint="33"/>
          </w:tcPr>
          <w:p w14:paraId="39D6F373" w14:textId="77777777" w:rsidR="005E49F7" w:rsidRPr="007B4077" w:rsidRDefault="005E49F7" w:rsidP="00FD786A">
            <w:r w:rsidRPr="007B4077">
              <w:t>1</w:t>
            </w:r>
            <w:r w:rsidRPr="007B4077">
              <w:rPr>
                <w:vertAlign w:val="superscript"/>
              </w:rPr>
              <w:t>er</w:t>
            </w:r>
          </w:p>
        </w:tc>
        <w:tc>
          <w:tcPr>
            <w:tcW w:w="630" w:type="dxa"/>
            <w:shd w:val="clear" w:color="auto" w:fill="DEEAF6" w:themeFill="accent1" w:themeFillTint="33"/>
          </w:tcPr>
          <w:p w14:paraId="064643F8" w14:textId="77777777" w:rsidR="005E49F7" w:rsidRPr="007B4077" w:rsidRDefault="005E49F7" w:rsidP="00FD786A">
            <w:r w:rsidRPr="007B4077">
              <w:t>2</w:t>
            </w:r>
            <w:r w:rsidRPr="007B4077">
              <w:rPr>
                <w:vertAlign w:val="superscript"/>
              </w:rPr>
              <w:t>e</w:t>
            </w:r>
          </w:p>
        </w:tc>
        <w:tc>
          <w:tcPr>
            <w:tcW w:w="540" w:type="dxa"/>
            <w:shd w:val="clear" w:color="auto" w:fill="DEEAF6" w:themeFill="accent1" w:themeFillTint="33"/>
          </w:tcPr>
          <w:p w14:paraId="50AA359E" w14:textId="77777777" w:rsidR="005E49F7" w:rsidRPr="007B4077" w:rsidRDefault="005E49F7" w:rsidP="00FD786A">
            <w:r w:rsidRPr="007B4077">
              <w:t>3</w:t>
            </w:r>
            <w:r w:rsidRPr="007B4077">
              <w:rPr>
                <w:vertAlign w:val="superscript"/>
              </w:rPr>
              <w:t>e</w:t>
            </w:r>
          </w:p>
        </w:tc>
        <w:tc>
          <w:tcPr>
            <w:tcW w:w="585" w:type="dxa"/>
            <w:shd w:val="clear" w:color="auto" w:fill="DEEAF6" w:themeFill="accent1" w:themeFillTint="33"/>
          </w:tcPr>
          <w:p w14:paraId="2CD7D4E7" w14:textId="77777777" w:rsidR="005E49F7" w:rsidRPr="007B4077" w:rsidRDefault="005E49F7" w:rsidP="00FD786A">
            <w:r w:rsidRPr="007B4077">
              <w:t>4</w:t>
            </w:r>
            <w:r w:rsidRPr="007B4077">
              <w:rPr>
                <w:vertAlign w:val="superscript"/>
              </w:rPr>
              <w:t>e</w:t>
            </w:r>
          </w:p>
        </w:tc>
        <w:tc>
          <w:tcPr>
            <w:tcW w:w="585" w:type="dxa"/>
            <w:shd w:val="clear" w:color="auto" w:fill="auto"/>
          </w:tcPr>
          <w:p w14:paraId="6F0F67F9" w14:textId="77777777" w:rsidR="005E49F7" w:rsidRPr="007B4077" w:rsidRDefault="005E49F7" w:rsidP="00FD786A">
            <w:r w:rsidRPr="007B4077">
              <w:t>1</w:t>
            </w:r>
            <w:r w:rsidRPr="007B4077">
              <w:rPr>
                <w:vertAlign w:val="superscript"/>
              </w:rPr>
              <w:t>er</w:t>
            </w:r>
          </w:p>
        </w:tc>
        <w:tc>
          <w:tcPr>
            <w:tcW w:w="630" w:type="dxa"/>
            <w:shd w:val="clear" w:color="auto" w:fill="auto"/>
          </w:tcPr>
          <w:p w14:paraId="3D14B54A" w14:textId="77777777" w:rsidR="005E49F7" w:rsidRPr="007B4077" w:rsidRDefault="005E49F7" w:rsidP="00FD786A">
            <w:r w:rsidRPr="007B4077">
              <w:t>2</w:t>
            </w:r>
            <w:r w:rsidRPr="007B4077">
              <w:rPr>
                <w:vertAlign w:val="superscript"/>
              </w:rPr>
              <w:t>e</w:t>
            </w:r>
          </w:p>
        </w:tc>
        <w:tc>
          <w:tcPr>
            <w:tcW w:w="540" w:type="dxa"/>
            <w:shd w:val="clear" w:color="auto" w:fill="auto"/>
          </w:tcPr>
          <w:p w14:paraId="5E7BBF35" w14:textId="77777777" w:rsidR="005E49F7" w:rsidRPr="007B4077" w:rsidRDefault="005E49F7" w:rsidP="00FD786A">
            <w:r w:rsidRPr="007B4077">
              <w:t>3</w:t>
            </w:r>
            <w:r w:rsidRPr="007B4077">
              <w:rPr>
                <w:vertAlign w:val="superscript"/>
              </w:rPr>
              <w:t>e</w:t>
            </w:r>
          </w:p>
        </w:tc>
        <w:tc>
          <w:tcPr>
            <w:tcW w:w="523" w:type="dxa"/>
            <w:shd w:val="clear" w:color="auto" w:fill="auto"/>
          </w:tcPr>
          <w:p w14:paraId="4C63409A" w14:textId="77777777" w:rsidR="005E49F7" w:rsidRPr="007B4077" w:rsidRDefault="005E49F7" w:rsidP="00FD786A">
            <w:r w:rsidRPr="007B4077">
              <w:t>4</w:t>
            </w:r>
            <w:r w:rsidRPr="007B4077">
              <w:rPr>
                <w:vertAlign w:val="superscript"/>
              </w:rPr>
              <w:t>e</w:t>
            </w:r>
          </w:p>
        </w:tc>
        <w:tc>
          <w:tcPr>
            <w:tcW w:w="647" w:type="dxa"/>
            <w:shd w:val="clear" w:color="auto" w:fill="DEEAF6" w:themeFill="accent1" w:themeFillTint="33"/>
          </w:tcPr>
          <w:p w14:paraId="16B22073" w14:textId="77777777" w:rsidR="005E49F7" w:rsidRPr="007B4077" w:rsidRDefault="005E49F7" w:rsidP="00FD786A">
            <w:r w:rsidRPr="007B4077">
              <w:t>1</w:t>
            </w:r>
            <w:r w:rsidRPr="007B4077">
              <w:rPr>
                <w:vertAlign w:val="superscript"/>
              </w:rPr>
              <w:t>er</w:t>
            </w:r>
          </w:p>
        </w:tc>
        <w:tc>
          <w:tcPr>
            <w:tcW w:w="630" w:type="dxa"/>
            <w:shd w:val="clear" w:color="auto" w:fill="DEEAF6" w:themeFill="accent1" w:themeFillTint="33"/>
          </w:tcPr>
          <w:p w14:paraId="4A93A0B6" w14:textId="77777777" w:rsidR="005E49F7" w:rsidRPr="007B4077" w:rsidRDefault="005E49F7" w:rsidP="00FD786A">
            <w:r w:rsidRPr="007B4077">
              <w:t>2</w:t>
            </w:r>
            <w:r w:rsidRPr="007B4077">
              <w:rPr>
                <w:vertAlign w:val="superscript"/>
              </w:rPr>
              <w:t>e</w:t>
            </w:r>
          </w:p>
        </w:tc>
        <w:tc>
          <w:tcPr>
            <w:tcW w:w="540" w:type="dxa"/>
            <w:shd w:val="clear" w:color="auto" w:fill="DEEAF6" w:themeFill="accent1" w:themeFillTint="33"/>
          </w:tcPr>
          <w:p w14:paraId="1C894428" w14:textId="77777777" w:rsidR="005E49F7" w:rsidRPr="007B4077" w:rsidRDefault="005E49F7" w:rsidP="00FD786A">
            <w:r w:rsidRPr="007B4077">
              <w:t>3</w:t>
            </w:r>
            <w:r w:rsidRPr="007B4077">
              <w:rPr>
                <w:vertAlign w:val="superscript"/>
              </w:rPr>
              <w:t>e</w:t>
            </w:r>
          </w:p>
        </w:tc>
        <w:tc>
          <w:tcPr>
            <w:tcW w:w="540" w:type="dxa"/>
            <w:shd w:val="clear" w:color="auto" w:fill="DEEAF6" w:themeFill="accent1" w:themeFillTint="33"/>
          </w:tcPr>
          <w:p w14:paraId="5908646F" w14:textId="77777777" w:rsidR="005E49F7" w:rsidRPr="007B4077" w:rsidRDefault="005E49F7" w:rsidP="00FD786A">
            <w:r w:rsidRPr="007B4077">
              <w:t>4</w:t>
            </w:r>
            <w:r w:rsidRPr="007B4077">
              <w:rPr>
                <w:vertAlign w:val="superscript"/>
              </w:rPr>
              <w:t>e</w:t>
            </w:r>
          </w:p>
        </w:tc>
      </w:tr>
      <w:tr w:rsidR="005E49F7" w:rsidRPr="00DC75B2" w14:paraId="22C98AB8" w14:textId="77777777" w:rsidTr="00FD786A">
        <w:trPr>
          <w:trHeight w:val="283"/>
        </w:trPr>
        <w:tc>
          <w:tcPr>
            <w:tcW w:w="6195" w:type="dxa"/>
            <w:shd w:val="clear" w:color="auto" w:fill="auto"/>
          </w:tcPr>
          <w:p w14:paraId="0A736EBE" w14:textId="4FAE097F" w:rsidR="005E49F7" w:rsidRPr="00F05995" w:rsidRDefault="005E49F7" w:rsidP="00FD786A">
            <w:r w:rsidRPr="00F05995">
              <w:t>Activités préalables à la mise en œuvre du projet</w:t>
            </w:r>
            <w:r w:rsidR="00D968EE" w:rsidRPr="00F05995">
              <w:t> :</w:t>
            </w:r>
          </w:p>
          <w:p w14:paraId="096C3562" w14:textId="77777777" w:rsidR="005E49F7" w:rsidRPr="00F05995" w:rsidRDefault="005E49F7" w:rsidP="00FD786A">
            <w:r w:rsidRPr="00F05995">
              <w:t>– Sélection des pays bénéficiaires</w:t>
            </w:r>
            <w:r w:rsidRPr="00F05995">
              <w:rPr>
                <w:rStyle w:val="FootnoteReference"/>
              </w:rPr>
              <w:footnoteReference w:id="3"/>
            </w:r>
          </w:p>
          <w:p w14:paraId="1748B996" w14:textId="77777777" w:rsidR="005E49F7" w:rsidRPr="00F05995" w:rsidRDefault="005E49F7" w:rsidP="00FD786A">
            <w:r w:rsidRPr="00F05995">
              <w:t>– Désignation des coordonnateurs nationaux</w:t>
            </w:r>
          </w:p>
          <w:p w14:paraId="5C045FD2" w14:textId="17940A15" w:rsidR="005E49F7" w:rsidRPr="00F05995" w:rsidRDefault="005E49F7" w:rsidP="00FD786A">
            <w:r w:rsidRPr="00F05995">
              <w:t>– Engagement d</w:t>
            </w:r>
            <w:r w:rsidR="00D968EE" w:rsidRPr="00F05995">
              <w:t>’</w:t>
            </w:r>
            <w:r w:rsidRPr="00F05995">
              <w:t>un boursier</w:t>
            </w:r>
          </w:p>
        </w:tc>
        <w:tc>
          <w:tcPr>
            <w:tcW w:w="540" w:type="dxa"/>
            <w:shd w:val="clear" w:color="auto" w:fill="DEEAF6" w:themeFill="accent1" w:themeFillTint="33"/>
          </w:tcPr>
          <w:p w14:paraId="2EDCDB33" w14:textId="77777777" w:rsidR="005E49F7" w:rsidRPr="00DC75B2" w:rsidRDefault="005E49F7" w:rsidP="00FF7AF6"/>
        </w:tc>
        <w:tc>
          <w:tcPr>
            <w:tcW w:w="630" w:type="dxa"/>
            <w:shd w:val="clear" w:color="auto" w:fill="DEEAF6" w:themeFill="accent1" w:themeFillTint="33"/>
          </w:tcPr>
          <w:p w14:paraId="69D1FA2F" w14:textId="77777777" w:rsidR="005E49F7" w:rsidRPr="00DC75B2" w:rsidRDefault="005E49F7" w:rsidP="00FF7AF6"/>
        </w:tc>
        <w:tc>
          <w:tcPr>
            <w:tcW w:w="540" w:type="dxa"/>
            <w:shd w:val="clear" w:color="auto" w:fill="DEEAF6" w:themeFill="accent1" w:themeFillTint="33"/>
          </w:tcPr>
          <w:p w14:paraId="3777C1EE" w14:textId="77777777" w:rsidR="005E49F7" w:rsidRPr="00DC75B2" w:rsidRDefault="005E49F7" w:rsidP="00FF7AF6"/>
        </w:tc>
        <w:tc>
          <w:tcPr>
            <w:tcW w:w="585" w:type="dxa"/>
            <w:shd w:val="clear" w:color="auto" w:fill="DEEAF6" w:themeFill="accent1" w:themeFillTint="33"/>
          </w:tcPr>
          <w:p w14:paraId="08578DAC" w14:textId="77777777" w:rsidR="005E49F7" w:rsidRPr="00DC75B2" w:rsidRDefault="005E49F7" w:rsidP="00FF7AF6"/>
        </w:tc>
        <w:tc>
          <w:tcPr>
            <w:tcW w:w="585" w:type="dxa"/>
            <w:shd w:val="clear" w:color="auto" w:fill="auto"/>
          </w:tcPr>
          <w:p w14:paraId="21E2BA88" w14:textId="77777777" w:rsidR="005E49F7" w:rsidRPr="007B4077" w:rsidRDefault="005E49F7" w:rsidP="00FF7AF6"/>
        </w:tc>
        <w:tc>
          <w:tcPr>
            <w:tcW w:w="630" w:type="dxa"/>
            <w:shd w:val="clear" w:color="auto" w:fill="auto"/>
          </w:tcPr>
          <w:p w14:paraId="121AABFB" w14:textId="77777777" w:rsidR="005E49F7" w:rsidRPr="007B4077" w:rsidRDefault="005E49F7" w:rsidP="00FF7AF6"/>
        </w:tc>
        <w:tc>
          <w:tcPr>
            <w:tcW w:w="540" w:type="dxa"/>
            <w:shd w:val="clear" w:color="auto" w:fill="auto"/>
          </w:tcPr>
          <w:p w14:paraId="244474FB" w14:textId="77777777" w:rsidR="005E49F7" w:rsidRPr="007B4077" w:rsidRDefault="005E49F7" w:rsidP="00FF7AF6"/>
        </w:tc>
        <w:tc>
          <w:tcPr>
            <w:tcW w:w="523" w:type="dxa"/>
            <w:shd w:val="clear" w:color="auto" w:fill="auto"/>
          </w:tcPr>
          <w:p w14:paraId="71488EE2" w14:textId="77777777" w:rsidR="005E49F7" w:rsidRPr="007B4077" w:rsidRDefault="005E49F7" w:rsidP="00FF7AF6"/>
        </w:tc>
        <w:tc>
          <w:tcPr>
            <w:tcW w:w="647" w:type="dxa"/>
            <w:shd w:val="clear" w:color="auto" w:fill="DEEAF6" w:themeFill="accent1" w:themeFillTint="33"/>
          </w:tcPr>
          <w:p w14:paraId="079E5BCE" w14:textId="77777777" w:rsidR="005E49F7" w:rsidRPr="007B4077" w:rsidRDefault="005E49F7" w:rsidP="00FF7AF6"/>
        </w:tc>
        <w:tc>
          <w:tcPr>
            <w:tcW w:w="630" w:type="dxa"/>
            <w:shd w:val="clear" w:color="auto" w:fill="DEEAF6" w:themeFill="accent1" w:themeFillTint="33"/>
          </w:tcPr>
          <w:p w14:paraId="6134B04C" w14:textId="77777777" w:rsidR="005E49F7" w:rsidRPr="00DC75B2" w:rsidRDefault="005E49F7" w:rsidP="00FF7AF6"/>
        </w:tc>
        <w:tc>
          <w:tcPr>
            <w:tcW w:w="540" w:type="dxa"/>
            <w:shd w:val="clear" w:color="auto" w:fill="DEEAF6" w:themeFill="accent1" w:themeFillTint="33"/>
          </w:tcPr>
          <w:p w14:paraId="3D5C31DF" w14:textId="77777777" w:rsidR="005E49F7" w:rsidRPr="00DC75B2" w:rsidRDefault="005E49F7" w:rsidP="00FF7AF6"/>
        </w:tc>
        <w:tc>
          <w:tcPr>
            <w:tcW w:w="540" w:type="dxa"/>
            <w:shd w:val="clear" w:color="auto" w:fill="DEEAF6" w:themeFill="accent1" w:themeFillTint="33"/>
          </w:tcPr>
          <w:p w14:paraId="14F1FED2" w14:textId="77777777" w:rsidR="005E49F7" w:rsidRPr="00DC75B2" w:rsidRDefault="005E49F7" w:rsidP="00FF7AF6"/>
        </w:tc>
      </w:tr>
      <w:tr w:rsidR="005E49F7" w:rsidRPr="00DC75B2" w14:paraId="5BACFB3C" w14:textId="77777777" w:rsidTr="00FD786A">
        <w:trPr>
          <w:trHeight w:val="283"/>
        </w:trPr>
        <w:tc>
          <w:tcPr>
            <w:tcW w:w="6195" w:type="dxa"/>
            <w:shd w:val="clear" w:color="auto" w:fill="auto"/>
          </w:tcPr>
          <w:p w14:paraId="28DB72D0" w14:textId="108976C2" w:rsidR="005E49F7" w:rsidRPr="00F05995" w:rsidRDefault="005E49F7" w:rsidP="00360AB1">
            <w:r w:rsidRPr="00F05995">
              <w:t>Évaluation des infrastructures et des systèmes juridiques de propriété intellectuelle nationaux;  cadres réglementaires des télécommunications (</w:t>
            </w:r>
            <w:r w:rsidR="00D968EE" w:rsidRPr="00F05995">
              <w:t>y compris</w:t>
            </w:r>
            <w:r w:rsidRPr="00F05995">
              <w:t xml:space="preserve"> le rôle des fournisseurs d</w:t>
            </w:r>
            <w:r w:rsidR="00D968EE" w:rsidRPr="00F05995">
              <w:t>’</w:t>
            </w:r>
            <w:r w:rsidRPr="00F05995">
              <w:t>accès Internet et des prestataires de services de paiement);  et identification des domaines prioritaires à prendre en considération dans la mise en œuvre du projet.</w:t>
            </w:r>
          </w:p>
        </w:tc>
        <w:tc>
          <w:tcPr>
            <w:tcW w:w="540" w:type="dxa"/>
            <w:shd w:val="clear" w:color="auto" w:fill="DEEAF6" w:themeFill="accent1" w:themeFillTint="33"/>
          </w:tcPr>
          <w:p w14:paraId="05D0515C" w14:textId="38A93749" w:rsidR="005E49F7" w:rsidRPr="00DC75B2" w:rsidRDefault="00DC75B2" w:rsidP="00FF7AF6">
            <w:pPr>
              <w:jc w:val="center"/>
            </w:pPr>
            <w:r>
              <w:t>X</w:t>
            </w:r>
          </w:p>
        </w:tc>
        <w:tc>
          <w:tcPr>
            <w:tcW w:w="630" w:type="dxa"/>
            <w:shd w:val="clear" w:color="auto" w:fill="DEEAF6" w:themeFill="accent1" w:themeFillTint="33"/>
          </w:tcPr>
          <w:p w14:paraId="23CDE7F4" w14:textId="068F3A31" w:rsidR="005E49F7" w:rsidRPr="00DC75B2" w:rsidRDefault="00DC75B2" w:rsidP="000755DF">
            <w:pPr>
              <w:jc w:val="center"/>
            </w:pPr>
            <w:r>
              <w:t>X</w:t>
            </w:r>
          </w:p>
        </w:tc>
        <w:tc>
          <w:tcPr>
            <w:tcW w:w="540" w:type="dxa"/>
            <w:shd w:val="clear" w:color="auto" w:fill="DEEAF6" w:themeFill="accent1" w:themeFillTint="33"/>
          </w:tcPr>
          <w:p w14:paraId="2D483197" w14:textId="6D680D95" w:rsidR="005E49F7" w:rsidRPr="00DC75B2" w:rsidRDefault="005E49F7" w:rsidP="000755DF">
            <w:pPr>
              <w:jc w:val="center"/>
            </w:pPr>
          </w:p>
        </w:tc>
        <w:tc>
          <w:tcPr>
            <w:tcW w:w="585" w:type="dxa"/>
            <w:shd w:val="clear" w:color="auto" w:fill="DEEAF6" w:themeFill="accent1" w:themeFillTint="33"/>
          </w:tcPr>
          <w:p w14:paraId="45A33F4D" w14:textId="77777777" w:rsidR="005E49F7" w:rsidRPr="00DC75B2" w:rsidRDefault="005E49F7" w:rsidP="000755DF">
            <w:pPr>
              <w:jc w:val="center"/>
            </w:pPr>
          </w:p>
        </w:tc>
        <w:tc>
          <w:tcPr>
            <w:tcW w:w="585" w:type="dxa"/>
            <w:shd w:val="clear" w:color="auto" w:fill="auto"/>
          </w:tcPr>
          <w:p w14:paraId="22C057D3" w14:textId="77777777" w:rsidR="005E49F7" w:rsidRPr="00DC75B2" w:rsidRDefault="005E49F7" w:rsidP="000755DF">
            <w:pPr>
              <w:jc w:val="center"/>
            </w:pPr>
          </w:p>
        </w:tc>
        <w:tc>
          <w:tcPr>
            <w:tcW w:w="630" w:type="dxa"/>
            <w:shd w:val="clear" w:color="auto" w:fill="auto"/>
          </w:tcPr>
          <w:p w14:paraId="47F5EDE1" w14:textId="77777777" w:rsidR="005E49F7" w:rsidRPr="00DC75B2" w:rsidRDefault="005E49F7" w:rsidP="000755DF">
            <w:pPr>
              <w:jc w:val="center"/>
            </w:pPr>
          </w:p>
        </w:tc>
        <w:tc>
          <w:tcPr>
            <w:tcW w:w="540" w:type="dxa"/>
            <w:shd w:val="clear" w:color="auto" w:fill="auto"/>
          </w:tcPr>
          <w:p w14:paraId="40B39B5E" w14:textId="77777777" w:rsidR="005E49F7" w:rsidRPr="00DC75B2" w:rsidRDefault="005E49F7" w:rsidP="000755DF">
            <w:pPr>
              <w:jc w:val="center"/>
            </w:pPr>
          </w:p>
        </w:tc>
        <w:tc>
          <w:tcPr>
            <w:tcW w:w="523" w:type="dxa"/>
            <w:shd w:val="clear" w:color="auto" w:fill="auto"/>
          </w:tcPr>
          <w:p w14:paraId="455C3BB1" w14:textId="77777777" w:rsidR="005E49F7" w:rsidRPr="00DC75B2" w:rsidRDefault="005E49F7" w:rsidP="000755DF">
            <w:pPr>
              <w:jc w:val="center"/>
            </w:pPr>
          </w:p>
        </w:tc>
        <w:tc>
          <w:tcPr>
            <w:tcW w:w="647" w:type="dxa"/>
            <w:shd w:val="clear" w:color="auto" w:fill="DEEAF6" w:themeFill="accent1" w:themeFillTint="33"/>
          </w:tcPr>
          <w:p w14:paraId="7E6AC745" w14:textId="77777777" w:rsidR="005E49F7" w:rsidRPr="00DC75B2" w:rsidRDefault="005E49F7" w:rsidP="000755DF">
            <w:pPr>
              <w:jc w:val="center"/>
            </w:pPr>
          </w:p>
        </w:tc>
        <w:tc>
          <w:tcPr>
            <w:tcW w:w="630" w:type="dxa"/>
            <w:shd w:val="clear" w:color="auto" w:fill="DEEAF6" w:themeFill="accent1" w:themeFillTint="33"/>
          </w:tcPr>
          <w:p w14:paraId="616B9754" w14:textId="77777777" w:rsidR="005E49F7" w:rsidRPr="00DC75B2" w:rsidRDefault="005E49F7" w:rsidP="000755DF">
            <w:pPr>
              <w:jc w:val="center"/>
            </w:pPr>
          </w:p>
        </w:tc>
        <w:tc>
          <w:tcPr>
            <w:tcW w:w="540" w:type="dxa"/>
            <w:shd w:val="clear" w:color="auto" w:fill="DEEAF6" w:themeFill="accent1" w:themeFillTint="33"/>
          </w:tcPr>
          <w:p w14:paraId="779955B1" w14:textId="77777777" w:rsidR="005E49F7" w:rsidRPr="00DC75B2" w:rsidRDefault="005E49F7" w:rsidP="000755DF">
            <w:pPr>
              <w:jc w:val="center"/>
            </w:pPr>
          </w:p>
        </w:tc>
        <w:tc>
          <w:tcPr>
            <w:tcW w:w="540" w:type="dxa"/>
            <w:shd w:val="clear" w:color="auto" w:fill="DEEAF6" w:themeFill="accent1" w:themeFillTint="33"/>
          </w:tcPr>
          <w:p w14:paraId="507961E2" w14:textId="77777777" w:rsidR="005E49F7" w:rsidRPr="00DC75B2" w:rsidRDefault="005E49F7" w:rsidP="000755DF">
            <w:pPr>
              <w:jc w:val="center"/>
            </w:pPr>
          </w:p>
        </w:tc>
      </w:tr>
      <w:tr w:rsidR="005E49F7" w:rsidRPr="00DC75B2" w14:paraId="34F7ED42" w14:textId="77777777" w:rsidTr="000755DF">
        <w:trPr>
          <w:trHeight w:val="288"/>
        </w:trPr>
        <w:tc>
          <w:tcPr>
            <w:tcW w:w="6195" w:type="dxa"/>
            <w:shd w:val="clear" w:color="auto" w:fill="auto"/>
          </w:tcPr>
          <w:p w14:paraId="162F085D" w14:textId="77777777" w:rsidR="005E49F7" w:rsidRPr="00F05995" w:rsidRDefault="005E49F7" w:rsidP="00FD786A">
            <w:r w:rsidRPr="00F05995">
              <w:t>Approbation des plans de projet par pays</w:t>
            </w:r>
          </w:p>
        </w:tc>
        <w:tc>
          <w:tcPr>
            <w:tcW w:w="540" w:type="dxa"/>
            <w:shd w:val="clear" w:color="auto" w:fill="DEEAF6" w:themeFill="accent1" w:themeFillTint="33"/>
          </w:tcPr>
          <w:p w14:paraId="256089EA" w14:textId="77777777" w:rsidR="005E49F7" w:rsidRPr="00DC75B2" w:rsidRDefault="005E49F7" w:rsidP="00FF7AF6">
            <w:pPr>
              <w:jc w:val="center"/>
            </w:pPr>
          </w:p>
        </w:tc>
        <w:tc>
          <w:tcPr>
            <w:tcW w:w="630" w:type="dxa"/>
            <w:shd w:val="clear" w:color="auto" w:fill="DEEAF6" w:themeFill="accent1" w:themeFillTint="33"/>
          </w:tcPr>
          <w:p w14:paraId="03979D58" w14:textId="1E5D7191" w:rsidR="005E49F7" w:rsidRPr="00DC75B2" w:rsidRDefault="00DC75B2" w:rsidP="00FF7AF6">
            <w:pPr>
              <w:jc w:val="center"/>
            </w:pPr>
            <w:r>
              <w:t>X</w:t>
            </w:r>
          </w:p>
        </w:tc>
        <w:tc>
          <w:tcPr>
            <w:tcW w:w="540" w:type="dxa"/>
            <w:shd w:val="clear" w:color="auto" w:fill="DEEAF6" w:themeFill="accent1" w:themeFillTint="33"/>
          </w:tcPr>
          <w:p w14:paraId="6A7BE972" w14:textId="77777777" w:rsidR="005E49F7" w:rsidRPr="00DC75B2" w:rsidRDefault="005E49F7" w:rsidP="00FF7AF6">
            <w:pPr>
              <w:jc w:val="center"/>
            </w:pPr>
            <w:r>
              <w:t>X</w:t>
            </w:r>
          </w:p>
        </w:tc>
        <w:tc>
          <w:tcPr>
            <w:tcW w:w="585" w:type="dxa"/>
            <w:shd w:val="clear" w:color="auto" w:fill="DEEAF6" w:themeFill="accent1" w:themeFillTint="33"/>
          </w:tcPr>
          <w:p w14:paraId="2EB7A843" w14:textId="77777777" w:rsidR="005E49F7" w:rsidRPr="00DC75B2" w:rsidRDefault="005E49F7" w:rsidP="00FF7AF6">
            <w:pPr>
              <w:jc w:val="center"/>
            </w:pPr>
          </w:p>
        </w:tc>
        <w:tc>
          <w:tcPr>
            <w:tcW w:w="585" w:type="dxa"/>
            <w:shd w:val="clear" w:color="auto" w:fill="auto"/>
          </w:tcPr>
          <w:p w14:paraId="56BED0C1" w14:textId="77777777" w:rsidR="005E49F7" w:rsidRPr="00DC75B2" w:rsidRDefault="005E49F7" w:rsidP="00FF7AF6">
            <w:pPr>
              <w:jc w:val="center"/>
            </w:pPr>
          </w:p>
        </w:tc>
        <w:tc>
          <w:tcPr>
            <w:tcW w:w="630" w:type="dxa"/>
            <w:shd w:val="clear" w:color="auto" w:fill="auto"/>
          </w:tcPr>
          <w:p w14:paraId="715B61B7" w14:textId="77777777" w:rsidR="005E49F7" w:rsidRPr="00DC75B2" w:rsidRDefault="005E49F7" w:rsidP="00FF7AF6">
            <w:pPr>
              <w:jc w:val="center"/>
            </w:pPr>
          </w:p>
        </w:tc>
        <w:tc>
          <w:tcPr>
            <w:tcW w:w="540" w:type="dxa"/>
            <w:shd w:val="clear" w:color="auto" w:fill="auto"/>
          </w:tcPr>
          <w:p w14:paraId="59C08F02" w14:textId="77777777" w:rsidR="005E49F7" w:rsidRPr="00DC75B2" w:rsidRDefault="005E49F7" w:rsidP="00FF7AF6">
            <w:pPr>
              <w:jc w:val="center"/>
            </w:pPr>
          </w:p>
        </w:tc>
        <w:tc>
          <w:tcPr>
            <w:tcW w:w="523" w:type="dxa"/>
            <w:shd w:val="clear" w:color="auto" w:fill="auto"/>
          </w:tcPr>
          <w:p w14:paraId="4B3B1E5C" w14:textId="77777777" w:rsidR="005E49F7" w:rsidRPr="00DC75B2" w:rsidRDefault="005E49F7" w:rsidP="00FF7AF6">
            <w:pPr>
              <w:jc w:val="center"/>
            </w:pPr>
          </w:p>
        </w:tc>
        <w:tc>
          <w:tcPr>
            <w:tcW w:w="647" w:type="dxa"/>
            <w:shd w:val="clear" w:color="auto" w:fill="DEEAF6" w:themeFill="accent1" w:themeFillTint="33"/>
          </w:tcPr>
          <w:p w14:paraId="36089912" w14:textId="77777777" w:rsidR="005E49F7" w:rsidRPr="00DC75B2" w:rsidRDefault="005E49F7" w:rsidP="00FF7AF6">
            <w:pPr>
              <w:jc w:val="center"/>
            </w:pPr>
          </w:p>
        </w:tc>
        <w:tc>
          <w:tcPr>
            <w:tcW w:w="630" w:type="dxa"/>
            <w:shd w:val="clear" w:color="auto" w:fill="DEEAF6" w:themeFill="accent1" w:themeFillTint="33"/>
          </w:tcPr>
          <w:p w14:paraId="02E525BA" w14:textId="77777777" w:rsidR="005E49F7" w:rsidRPr="00DC75B2" w:rsidRDefault="005E49F7" w:rsidP="00FF7AF6">
            <w:pPr>
              <w:jc w:val="center"/>
            </w:pPr>
          </w:p>
        </w:tc>
        <w:tc>
          <w:tcPr>
            <w:tcW w:w="540" w:type="dxa"/>
            <w:shd w:val="clear" w:color="auto" w:fill="DEEAF6" w:themeFill="accent1" w:themeFillTint="33"/>
          </w:tcPr>
          <w:p w14:paraId="2BE51069" w14:textId="77777777" w:rsidR="005E49F7" w:rsidRPr="00DC75B2" w:rsidRDefault="005E49F7" w:rsidP="00FF7AF6">
            <w:pPr>
              <w:jc w:val="center"/>
            </w:pPr>
          </w:p>
        </w:tc>
        <w:tc>
          <w:tcPr>
            <w:tcW w:w="540" w:type="dxa"/>
            <w:shd w:val="clear" w:color="auto" w:fill="DEEAF6" w:themeFill="accent1" w:themeFillTint="33"/>
          </w:tcPr>
          <w:p w14:paraId="0DB35CB3" w14:textId="77777777" w:rsidR="005E49F7" w:rsidRPr="00DC75B2" w:rsidRDefault="005E49F7" w:rsidP="00FF7AF6">
            <w:pPr>
              <w:jc w:val="center"/>
            </w:pPr>
          </w:p>
        </w:tc>
      </w:tr>
      <w:tr w:rsidR="005E49F7" w:rsidRPr="00DC75B2" w14:paraId="329615F9" w14:textId="77777777" w:rsidTr="00FD786A">
        <w:trPr>
          <w:trHeight w:val="283"/>
        </w:trPr>
        <w:tc>
          <w:tcPr>
            <w:tcW w:w="6195" w:type="dxa"/>
            <w:shd w:val="clear" w:color="auto" w:fill="auto"/>
          </w:tcPr>
          <w:p w14:paraId="2655D997" w14:textId="2E515D32" w:rsidR="005E49F7" w:rsidRPr="00DC75B2" w:rsidRDefault="005E49F7" w:rsidP="00FD786A">
            <w:r>
              <w:t>Élaboration de l</w:t>
            </w:r>
            <w:r w:rsidR="00D968EE">
              <w:t>’</w:t>
            </w:r>
            <w:r>
              <w:t>étude</w:t>
            </w:r>
          </w:p>
        </w:tc>
        <w:tc>
          <w:tcPr>
            <w:tcW w:w="540" w:type="dxa"/>
            <w:shd w:val="clear" w:color="auto" w:fill="DEEAF6" w:themeFill="accent1" w:themeFillTint="33"/>
          </w:tcPr>
          <w:p w14:paraId="46893CD0" w14:textId="77777777" w:rsidR="005E49F7" w:rsidRPr="00DC75B2" w:rsidRDefault="005E49F7" w:rsidP="00FF7AF6">
            <w:pPr>
              <w:jc w:val="center"/>
            </w:pPr>
          </w:p>
        </w:tc>
        <w:tc>
          <w:tcPr>
            <w:tcW w:w="630" w:type="dxa"/>
            <w:shd w:val="clear" w:color="auto" w:fill="DEEAF6" w:themeFill="accent1" w:themeFillTint="33"/>
          </w:tcPr>
          <w:p w14:paraId="19EED1EE" w14:textId="77777777" w:rsidR="005E49F7" w:rsidRPr="00DC75B2" w:rsidRDefault="005E49F7" w:rsidP="00FF7AF6">
            <w:pPr>
              <w:jc w:val="center"/>
            </w:pPr>
          </w:p>
        </w:tc>
        <w:tc>
          <w:tcPr>
            <w:tcW w:w="540" w:type="dxa"/>
            <w:shd w:val="clear" w:color="auto" w:fill="DEEAF6" w:themeFill="accent1" w:themeFillTint="33"/>
          </w:tcPr>
          <w:p w14:paraId="79F84D2E" w14:textId="77777777" w:rsidR="005E49F7" w:rsidRPr="00DC75B2" w:rsidRDefault="005E49F7" w:rsidP="00FF7AF6">
            <w:pPr>
              <w:jc w:val="center"/>
            </w:pPr>
            <w:r>
              <w:t>X</w:t>
            </w:r>
          </w:p>
        </w:tc>
        <w:tc>
          <w:tcPr>
            <w:tcW w:w="585" w:type="dxa"/>
            <w:shd w:val="clear" w:color="auto" w:fill="DEEAF6" w:themeFill="accent1" w:themeFillTint="33"/>
          </w:tcPr>
          <w:p w14:paraId="45B5E6FB" w14:textId="77777777" w:rsidR="005E49F7" w:rsidRPr="00DC75B2" w:rsidRDefault="005E49F7" w:rsidP="00FF7AF6">
            <w:pPr>
              <w:jc w:val="center"/>
            </w:pPr>
            <w:r>
              <w:t>X</w:t>
            </w:r>
          </w:p>
        </w:tc>
        <w:tc>
          <w:tcPr>
            <w:tcW w:w="585" w:type="dxa"/>
            <w:shd w:val="clear" w:color="auto" w:fill="auto"/>
          </w:tcPr>
          <w:p w14:paraId="6E6AFC07" w14:textId="77777777" w:rsidR="005E49F7" w:rsidRPr="00DC75B2" w:rsidRDefault="005E49F7" w:rsidP="00FF7AF6">
            <w:pPr>
              <w:jc w:val="center"/>
            </w:pPr>
            <w:r>
              <w:t>X</w:t>
            </w:r>
          </w:p>
        </w:tc>
        <w:tc>
          <w:tcPr>
            <w:tcW w:w="630" w:type="dxa"/>
            <w:shd w:val="clear" w:color="auto" w:fill="auto"/>
          </w:tcPr>
          <w:p w14:paraId="19539860" w14:textId="77777777" w:rsidR="005E49F7" w:rsidRPr="00DC75B2" w:rsidRDefault="005E49F7" w:rsidP="00FF7AF6">
            <w:pPr>
              <w:jc w:val="center"/>
            </w:pPr>
          </w:p>
        </w:tc>
        <w:tc>
          <w:tcPr>
            <w:tcW w:w="540" w:type="dxa"/>
            <w:shd w:val="clear" w:color="auto" w:fill="auto"/>
          </w:tcPr>
          <w:p w14:paraId="370949DB" w14:textId="77777777" w:rsidR="005E49F7" w:rsidRPr="00DC75B2" w:rsidRDefault="005E49F7" w:rsidP="00FF7AF6">
            <w:pPr>
              <w:jc w:val="center"/>
            </w:pPr>
          </w:p>
        </w:tc>
        <w:tc>
          <w:tcPr>
            <w:tcW w:w="523" w:type="dxa"/>
            <w:shd w:val="clear" w:color="auto" w:fill="auto"/>
          </w:tcPr>
          <w:p w14:paraId="7A632C20" w14:textId="77777777" w:rsidR="005E49F7" w:rsidRPr="00DC75B2" w:rsidRDefault="005E49F7" w:rsidP="00FF7AF6">
            <w:pPr>
              <w:jc w:val="center"/>
            </w:pPr>
          </w:p>
        </w:tc>
        <w:tc>
          <w:tcPr>
            <w:tcW w:w="647" w:type="dxa"/>
            <w:shd w:val="clear" w:color="auto" w:fill="DEEAF6" w:themeFill="accent1" w:themeFillTint="33"/>
          </w:tcPr>
          <w:p w14:paraId="49A0B219" w14:textId="77777777" w:rsidR="005E49F7" w:rsidRPr="00DC75B2" w:rsidRDefault="005E49F7" w:rsidP="00FF7AF6">
            <w:pPr>
              <w:jc w:val="center"/>
            </w:pPr>
          </w:p>
        </w:tc>
        <w:tc>
          <w:tcPr>
            <w:tcW w:w="630" w:type="dxa"/>
            <w:shd w:val="clear" w:color="auto" w:fill="DEEAF6" w:themeFill="accent1" w:themeFillTint="33"/>
          </w:tcPr>
          <w:p w14:paraId="34DD4745" w14:textId="77777777" w:rsidR="005E49F7" w:rsidRPr="00DC75B2" w:rsidRDefault="005E49F7" w:rsidP="00FF7AF6">
            <w:pPr>
              <w:jc w:val="center"/>
            </w:pPr>
          </w:p>
        </w:tc>
        <w:tc>
          <w:tcPr>
            <w:tcW w:w="540" w:type="dxa"/>
            <w:shd w:val="clear" w:color="auto" w:fill="DEEAF6" w:themeFill="accent1" w:themeFillTint="33"/>
          </w:tcPr>
          <w:p w14:paraId="2803E1E8" w14:textId="77777777" w:rsidR="005E49F7" w:rsidRPr="00DC75B2" w:rsidRDefault="005E49F7" w:rsidP="00FF7AF6">
            <w:pPr>
              <w:jc w:val="center"/>
            </w:pPr>
          </w:p>
        </w:tc>
        <w:tc>
          <w:tcPr>
            <w:tcW w:w="540" w:type="dxa"/>
            <w:shd w:val="clear" w:color="auto" w:fill="DEEAF6" w:themeFill="accent1" w:themeFillTint="33"/>
          </w:tcPr>
          <w:p w14:paraId="37FE51D4" w14:textId="77777777" w:rsidR="005E49F7" w:rsidRPr="00DC75B2" w:rsidRDefault="005E49F7" w:rsidP="00FF7AF6">
            <w:pPr>
              <w:jc w:val="center"/>
            </w:pPr>
          </w:p>
        </w:tc>
      </w:tr>
      <w:tr w:rsidR="005E49F7" w:rsidRPr="00DC75B2" w14:paraId="2362C807" w14:textId="77777777" w:rsidTr="00FD786A">
        <w:trPr>
          <w:trHeight w:val="629"/>
        </w:trPr>
        <w:tc>
          <w:tcPr>
            <w:tcW w:w="6195" w:type="dxa"/>
            <w:shd w:val="clear" w:color="auto" w:fill="auto"/>
          </w:tcPr>
          <w:p w14:paraId="42D5B0C6" w14:textId="77777777" w:rsidR="005E49F7" w:rsidRPr="00A37351" w:rsidRDefault="005E49F7" w:rsidP="00FD786A">
            <w:pPr>
              <w:pStyle w:val="TableParagraph"/>
            </w:pPr>
            <w:r>
              <w:t>Organisation de réunions de consultation avec les pays bénéficiaires pour lancer un dialogue intersectoriel public/privé</w:t>
            </w:r>
          </w:p>
        </w:tc>
        <w:tc>
          <w:tcPr>
            <w:tcW w:w="540" w:type="dxa"/>
            <w:shd w:val="clear" w:color="auto" w:fill="DEEAF6" w:themeFill="accent1" w:themeFillTint="33"/>
          </w:tcPr>
          <w:p w14:paraId="1AEB6211" w14:textId="77777777" w:rsidR="005E49F7" w:rsidRPr="006461B5" w:rsidRDefault="005E49F7" w:rsidP="00FF7AF6">
            <w:pPr>
              <w:jc w:val="center"/>
            </w:pPr>
          </w:p>
        </w:tc>
        <w:tc>
          <w:tcPr>
            <w:tcW w:w="630" w:type="dxa"/>
            <w:shd w:val="clear" w:color="auto" w:fill="DEEAF6" w:themeFill="accent1" w:themeFillTint="33"/>
          </w:tcPr>
          <w:p w14:paraId="531DDA40" w14:textId="77777777" w:rsidR="005E49F7" w:rsidRPr="00DC75B2" w:rsidRDefault="005E49F7" w:rsidP="00FF7AF6">
            <w:pPr>
              <w:jc w:val="center"/>
            </w:pPr>
            <w:r>
              <w:t>X</w:t>
            </w:r>
          </w:p>
        </w:tc>
        <w:tc>
          <w:tcPr>
            <w:tcW w:w="540" w:type="dxa"/>
            <w:shd w:val="clear" w:color="auto" w:fill="DEEAF6" w:themeFill="accent1" w:themeFillTint="33"/>
          </w:tcPr>
          <w:p w14:paraId="3B4AAC4E" w14:textId="77777777" w:rsidR="005E49F7" w:rsidRPr="00DC75B2" w:rsidRDefault="005E49F7" w:rsidP="00FF7AF6">
            <w:pPr>
              <w:jc w:val="center"/>
            </w:pPr>
          </w:p>
        </w:tc>
        <w:tc>
          <w:tcPr>
            <w:tcW w:w="585" w:type="dxa"/>
            <w:shd w:val="clear" w:color="auto" w:fill="DEEAF6" w:themeFill="accent1" w:themeFillTint="33"/>
          </w:tcPr>
          <w:p w14:paraId="3AC10B1F" w14:textId="77777777" w:rsidR="005E49F7" w:rsidRPr="00DC75B2" w:rsidRDefault="005E49F7" w:rsidP="00FF7AF6">
            <w:pPr>
              <w:jc w:val="center"/>
            </w:pPr>
            <w:r>
              <w:t>X</w:t>
            </w:r>
          </w:p>
        </w:tc>
        <w:tc>
          <w:tcPr>
            <w:tcW w:w="585" w:type="dxa"/>
            <w:shd w:val="clear" w:color="auto" w:fill="auto"/>
          </w:tcPr>
          <w:p w14:paraId="1AD4757D" w14:textId="77777777" w:rsidR="005E49F7" w:rsidRPr="00DC75B2" w:rsidRDefault="005E49F7" w:rsidP="00FF7AF6">
            <w:pPr>
              <w:jc w:val="center"/>
            </w:pPr>
          </w:p>
        </w:tc>
        <w:tc>
          <w:tcPr>
            <w:tcW w:w="630" w:type="dxa"/>
            <w:shd w:val="clear" w:color="auto" w:fill="auto"/>
          </w:tcPr>
          <w:p w14:paraId="63ABEBFD" w14:textId="77777777" w:rsidR="005E49F7" w:rsidRPr="00DC75B2" w:rsidRDefault="005E49F7" w:rsidP="00FF7AF6">
            <w:pPr>
              <w:jc w:val="center"/>
            </w:pPr>
          </w:p>
        </w:tc>
        <w:tc>
          <w:tcPr>
            <w:tcW w:w="540" w:type="dxa"/>
            <w:shd w:val="clear" w:color="auto" w:fill="auto"/>
          </w:tcPr>
          <w:p w14:paraId="55892FDC" w14:textId="77777777" w:rsidR="005E49F7" w:rsidRPr="00DC75B2" w:rsidRDefault="005E49F7" w:rsidP="00FF7AF6">
            <w:pPr>
              <w:jc w:val="center"/>
            </w:pPr>
          </w:p>
        </w:tc>
        <w:tc>
          <w:tcPr>
            <w:tcW w:w="523" w:type="dxa"/>
            <w:shd w:val="clear" w:color="auto" w:fill="auto"/>
          </w:tcPr>
          <w:p w14:paraId="0AFDFACB" w14:textId="77777777" w:rsidR="005E49F7" w:rsidRPr="00DC75B2" w:rsidRDefault="005E49F7" w:rsidP="00FF7AF6">
            <w:pPr>
              <w:jc w:val="center"/>
            </w:pPr>
          </w:p>
        </w:tc>
        <w:tc>
          <w:tcPr>
            <w:tcW w:w="647" w:type="dxa"/>
            <w:shd w:val="clear" w:color="auto" w:fill="DEEAF6" w:themeFill="accent1" w:themeFillTint="33"/>
          </w:tcPr>
          <w:p w14:paraId="4C8AF87D" w14:textId="77777777" w:rsidR="005E49F7" w:rsidRPr="00DC75B2" w:rsidRDefault="005E49F7" w:rsidP="00FF7AF6">
            <w:pPr>
              <w:jc w:val="center"/>
            </w:pPr>
          </w:p>
        </w:tc>
        <w:tc>
          <w:tcPr>
            <w:tcW w:w="630" w:type="dxa"/>
            <w:shd w:val="clear" w:color="auto" w:fill="DEEAF6" w:themeFill="accent1" w:themeFillTint="33"/>
          </w:tcPr>
          <w:p w14:paraId="0A6BBCD6" w14:textId="77777777" w:rsidR="005E49F7" w:rsidRPr="00DC75B2" w:rsidRDefault="005E49F7" w:rsidP="00FF7AF6">
            <w:pPr>
              <w:jc w:val="center"/>
            </w:pPr>
          </w:p>
        </w:tc>
        <w:tc>
          <w:tcPr>
            <w:tcW w:w="540" w:type="dxa"/>
            <w:shd w:val="clear" w:color="auto" w:fill="DEEAF6" w:themeFill="accent1" w:themeFillTint="33"/>
          </w:tcPr>
          <w:p w14:paraId="62382705" w14:textId="77777777" w:rsidR="005E49F7" w:rsidRPr="00DC75B2" w:rsidRDefault="005E49F7" w:rsidP="00FF7AF6">
            <w:pPr>
              <w:jc w:val="center"/>
            </w:pPr>
          </w:p>
        </w:tc>
        <w:tc>
          <w:tcPr>
            <w:tcW w:w="540" w:type="dxa"/>
            <w:shd w:val="clear" w:color="auto" w:fill="DEEAF6" w:themeFill="accent1" w:themeFillTint="33"/>
          </w:tcPr>
          <w:p w14:paraId="1F3DDD62" w14:textId="77777777" w:rsidR="005E49F7" w:rsidRPr="00DC75B2" w:rsidRDefault="005E49F7" w:rsidP="00FF7AF6">
            <w:pPr>
              <w:jc w:val="center"/>
            </w:pPr>
          </w:p>
        </w:tc>
      </w:tr>
      <w:tr w:rsidR="005E49F7" w:rsidRPr="00DC75B2" w14:paraId="3DECB743" w14:textId="77777777" w:rsidTr="00FD786A">
        <w:trPr>
          <w:trHeight w:val="629"/>
        </w:trPr>
        <w:tc>
          <w:tcPr>
            <w:tcW w:w="6195" w:type="dxa"/>
            <w:shd w:val="clear" w:color="auto" w:fill="auto"/>
          </w:tcPr>
          <w:p w14:paraId="1FA07CB4" w14:textId="2726C1D3" w:rsidR="005E49F7" w:rsidRPr="00A37351" w:rsidRDefault="005E49F7" w:rsidP="00FD786A">
            <w:pPr>
              <w:pStyle w:val="TableParagraph"/>
            </w:pPr>
            <w:r>
              <w:t xml:space="preserve">Livraison de 4 compilations (une dans chaque pays) des améliorations potentielles des cadres juridiques et réglementaires </w:t>
            </w:r>
          </w:p>
        </w:tc>
        <w:tc>
          <w:tcPr>
            <w:tcW w:w="540" w:type="dxa"/>
            <w:shd w:val="clear" w:color="auto" w:fill="DEEAF6" w:themeFill="accent1" w:themeFillTint="33"/>
          </w:tcPr>
          <w:p w14:paraId="6ADCB5CB" w14:textId="77777777" w:rsidR="005E49F7" w:rsidRPr="006461B5" w:rsidRDefault="005E49F7" w:rsidP="00FF7AF6">
            <w:pPr>
              <w:jc w:val="center"/>
            </w:pPr>
          </w:p>
        </w:tc>
        <w:tc>
          <w:tcPr>
            <w:tcW w:w="630" w:type="dxa"/>
            <w:shd w:val="clear" w:color="auto" w:fill="DEEAF6" w:themeFill="accent1" w:themeFillTint="33"/>
          </w:tcPr>
          <w:p w14:paraId="303713A0" w14:textId="77777777" w:rsidR="005E49F7" w:rsidRPr="006461B5" w:rsidRDefault="005E49F7" w:rsidP="00FF7AF6">
            <w:pPr>
              <w:jc w:val="center"/>
            </w:pPr>
          </w:p>
        </w:tc>
        <w:tc>
          <w:tcPr>
            <w:tcW w:w="540" w:type="dxa"/>
            <w:shd w:val="clear" w:color="auto" w:fill="DEEAF6" w:themeFill="accent1" w:themeFillTint="33"/>
          </w:tcPr>
          <w:p w14:paraId="4BF8A3BC" w14:textId="77777777" w:rsidR="005E49F7" w:rsidRPr="006461B5" w:rsidRDefault="005E49F7" w:rsidP="00FF7AF6">
            <w:pPr>
              <w:jc w:val="center"/>
            </w:pPr>
          </w:p>
        </w:tc>
        <w:tc>
          <w:tcPr>
            <w:tcW w:w="585" w:type="dxa"/>
            <w:shd w:val="clear" w:color="auto" w:fill="DEEAF6" w:themeFill="accent1" w:themeFillTint="33"/>
          </w:tcPr>
          <w:p w14:paraId="1CAE4F7F" w14:textId="77777777" w:rsidR="005E49F7" w:rsidRPr="006461B5" w:rsidRDefault="005E49F7" w:rsidP="00FF7AF6">
            <w:pPr>
              <w:jc w:val="center"/>
            </w:pPr>
          </w:p>
        </w:tc>
        <w:tc>
          <w:tcPr>
            <w:tcW w:w="585" w:type="dxa"/>
            <w:shd w:val="clear" w:color="auto" w:fill="auto"/>
          </w:tcPr>
          <w:p w14:paraId="662C79B3" w14:textId="77777777" w:rsidR="005E49F7" w:rsidRPr="006461B5" w:rsidRDefault="005E49F7" w:rsidP="00FF7AF6">
            <w:pPr>
              <w:jc w:val="center"/>
            </w:pPr>
          </w:p>
        </w:tc>
        <w:tc>
          <w:tcPr>
            <w:tcW w:w="630" w:type="dxa"/>
            <w:shd w:val="clear" w:color="auto" w:fill="auto"/>
          </w:tcPr>
          <w:p w14:paraId="5345BB91" w14:textId="77777777" w:rsidR="005E49F7" w:rsidRPr="00DC75B2" w:rsidRDefault="005E49F7" w:rsidP="00FF7AF6">
            <w:pPr>
              <w:jc w:val="center"/>
            </w:pPr>
            <w:r>
              <w:t>X</w:t>
            </w:r>
          </w:p>
        </w:tc>
        <w:tc>
          <w:tcPr>
            <w:tcW w:w="540" w:type="dxa"/>
            <w:shd w:val="clear" w:color="auto" w:fill="auto"/>
          </w:tcPr>
          <w:p w14:paraId="353986F6" w14:textId="77777777" w:rsidR="005E49F7" w:rsidRPr="00DC75B2" w:rsidRDefault="005E49F7" w:rsidP="00FF7AF6">
            <w:pPr>
              <w:jc w:val="center"/>
            </w:pPr>
            <w:r>
              <w:t>X</w:t>
            </w:r>
          </w:p>
        </w:tc>
        <w:tc>
          <w:tcPr>
            <w:tcW w:w="523" w:type="dxa"/>
            <w:shd w:val="clear" w:color="auto" w:fill="auto"/>
          </w:tcPr>
          <w:p w14:paraId="7AFB6AAC" w14:textId="77777777" w:rsidR="005E49F7" w:rsidRPr="00DC75B2" w:rsidRDefault="005E49F7" w:rsidP="00FF7AF6">
            <w:pPr>
              <w:jc w:val="center"/>
            </w:pPr>
          </w:p>
        </w:tc>
        <w:tc>
          <w:tcPr>
            <w:tcW w:w="647" w:type="dxa"/>
            <w:shd w:val="clear" w:color="auto" w:fill="DEEAF6" w:themeFill="accent1" w:themeFillTint="33"/>
          </w:tcPr>
          <w:p w14:paraId="1A384A7D" w14:textId="77777777" w:rsidR="005E49F7" w:rsidRPr="00DC75B2" w:rsidRDefault="005E49F7" w:rsidP="00FF7AF6">
            <w:pPr>
              <w:jc w:val="center"/>
            </w:pPr>
          </w:p>
        </w:tc>
        <w:tc>
          <w:tcPr>
            <w:tcW w:w="630" w:type="dxa"/>
            <w:shd w:val="clear" w:color="auto" w:fill="DEEAF6" w:themeFill="accent1" w:themeFillTint="33"/>
          </w:tcPr>
          <w:p w14:paraId="7C8E5694" w14:textId="77777777" w:rsidR="005E49F7" w:rsidRPr="00DC75B2" w:rsidRDefault="005E49F7" w:rsidP="00FF7AF6">
            <w:pPr>
              <w:jc w:val="center"/>
            </w:pPr>
          </w:p>
        </w:tc>
        <w:tc>
          <w:tcPr>
            <w:tcW w:w="540" w:type="dxa"/>
            <w:shd w:val="clear" w:color="auto" w:fill="DEEAF6" w:themeFill="accent1" w:themeFillTint="33"/>
          </w:tcPr>
          <w:p w14:paraId="7B9C5C4E" w14:textId="77777777" w:rsidR="005E49F7" w:rsidRPr="00DC75B2" w:rsidRDefault="005E49F7" w:rsidP="00FF7AF6">
            <w:pPr>
              <w:jc w:val="center"/>
            </w:pPr>
          </w:p>
        </w:tc>
        <w:tc>
          <w:tcPr>
            <w:tcW w:w="540" w:type="dxa"/>
            <w:shd w:val="clear" w:color="auto" w:fill="DEEAF6" w:themeFill="accent1" w:themeFillTint="33"/>
          </w:tcPr>
          <w:p w14:paraId="388E15F2" w14:textId="77777777" w:rsidR="005E49F7" w:rsidRPr="00DC75B2" w:rsidRDefault="005E49F7" w:rsidP="00FF7AF6">
            <w:pPr>
              <w:jc w:val="center"/>
            </w:pPr>
          </w:p>
        </w:tc>
      </w:tr>
      <w:tr w:rsidR="005E49F7" w:rsidRPr="00DC75B2" w14:paraId="0F5F0E3A" w14:textId="77777777" w:rsidTr="00FD786A">
        <w:trPr>
          <w:trHeight w:val="459"/>
        </w:trPr>
        <w:tc>
          <w:tcPr>
            <w:tcW w:w="6195" w:type="dxa"/>
            <w:shd w:val="clear" w:color="auto" w:fill="auto"/>
          </w:tcPr>
          <w:p w14:paraId="3D3F50B8" w14:textId="4F902DB4" w:rsidR="005E49F7" w:rsidRPr="00A37351" w:rsidRDefault="005E49F7" w:rsidP="00FD786A">
            <w:pPr>
              <w:pStyle w:val="TableParagraph"/>
            </w:pPr>
            <w:r>
              <w:t>Livraison d</w:t>
            </w:r>
            <w:r w:rsidR="00D968EE">
              <w:t>’</w:t>
            </w:r>
            <w:r>
              <w:t>une boîte à outils comportant des directives techniques afin de permettre aux régulateurs du secteur des télécommunications de mieux prendre en considération les questions de droit d</w:t>
            </w:r>
            <w:r w:rsidR="00D968EE">
              <w:t>’</w:t>
            </w:r>
            <w:r>
              <w:t xml:space="preserve">auteur </w:t>
            </w:r>
          </w:p>
        </w:tc>
        <w:tc>
          <w:tcPr>
            <w:tcW w:w="540" w:type="dxa"/>
            <w:shd w:val="clear" w:color="auto" w:fill="DEEAF6" w:themeFill="accent1" w:themeFillTint="33"/>
          </w:tcPr>
          <w:p w14:paraId="41087258" w14:textId="77777777" w:rsidR="005E49F7" w:rsidRPr="006461B5" w:rsidRDefault="005E49F7" w:rsidP="00FF7AF6">
            <w:pPr>
              <w:jc w:val="center"/>
            </w:pPr>
          </w:p>
        </w:tc>
        <w:tc>
          <w:tcPr>
            <w:tcW w:w="630" w:type="dxa"/>
            <w:shd w:val="clear" w:color="auto" w:fill="DEEAF6" w:themeFill="accent1" w:themeFillTint="33"/>
          </w:tcPr>
          <w:p w14:paraId="7C176917" w14:textId="77777777" w:rsidR="005E49F7" w:rsidRPr="006461B5" w:rsidRDefault="005E49F7" w:rsidP="00FF7AF6">
            <w:pPr>
              <w:jc w:val="center"/>
            </w:pPr>
          </w:p>
        </w:tc>
        <w:tc>
          <w:tcPr>
            <w:tcW w:w="540" w:type="dxa"/>
            <w:shd w:val="clear" w:color="auto" w:fill="DEEAF6" w:themeFill="accent1" w:themeFillTint="33"/>
          </w:tcPr>
          <w:p w14:paraId="2927905E" w14:textId="77777777" w:rsidR="005E49F7" w:rsidRPr="006461B5" w:rsidRDefault="005E49F7" w:rsidP="00FF7AF6">
            <w:pPr>
              <w:jc w:val="center"/>
            </w:pPr>
          </w:p>
        </w:tc>
        <w:tc>
          <w:tcPr>
            <w:tcW w:w="585" w:type="dxa"/>
            <w:shd w:val="clear" w:color="auto" w:fill="DEEAF6" w:themeFill="accent1" w:themeFillTint="33"/>
          </w:tcPr>
          <w:p w14:paraId="6DDA271C" w14:textId="77777777" w:rsidR="005E49F7" w:rsidRPr="006461B5" w:rsidRDefault="005E49F7" w:rsidP="00FF7AF6">
            <w:pPr>
              <w:jc w:val="center"/>
            </w:pPr>
          </w:p>
        </w:tc>
        <w:tc>
          <w:tcPr>
            <w:tcW w:w="585" w:type="dxa"/>
            <w:shd w:val="clear" w:color="auto" w:fill="auto"/>
          </w:tcPr>
          <w:p w14:paraId="651B4984" w14:textId="77777777" w:rsidR="005E49F7" w:rsidRPr="006461B5" w:rsidRDefault="005E49F7" w:rsidP="00FF7AF6">
            <w:pPr>
              <w:jc w:val="center"/>
            </w:pPr>
          </w:p>
        </w:tc>
        <w:tc>
          <w:tcPr>
            <w:tcW w:w="630" w:type="dxa"/>
            <w:shd w:val="clear" w:color="auto" w:fill="auto"/>
          </w:tcPr>
          <w:p w14:paraId="62E03FF7" w14:textId="77777777" w:rsidR="005E49F7" w:rsidRPr="006461B5" w:rsidRDefault="005E49F7" w:rsidP="00FF7AF6">
            <w:pPr>
              <w:jc w:val="center"/>
            </w:pPr>
          </w:p>
        </w:tc>
        <w:tc>
          <w:tcPr>
            <w:tcW w:w="540" w:type="dxa"/>
            <w:shd w:val="clear" w:color="auto" w:fill="auto"/>
          </w:tcPr>
          <w:p w14:paraId="5002DFF7" w14:textId="77777777" w:rsidR="005E49F7" w:rsidRPr="00DC75B2" w:rsidRDefault="005E49F7" w:rsidP="00FF7AF6">
            <w:pPr>
              <w:jc w:val="center"/>
            </w:pPr>
            <w:r>
              <w:t>X</w:t>
            </w:r>
          </w:p>
        </w:tc>
        <w:tc>
          <w:tcPr>
            <w:tcW w:w="523" w:type="dxa"/>
            <w:shd w:val="clear" w:color="auto" w:fill="auto"/>
          </w:tcPr>
          <w:p w14:paraId="1956DC87" w14:textId="77777777" w:rsidR="005E49F7" w:rsidRPr="00DC75B2" w:rsidRDefault="005E49F7" w:rsidP="00FF7AF6">
            <w:pPr>
              <w:jc w:val="center"/>
            </w:pPr>
            <w:r>
              <w:t>X</w:t>
            </w:r>
          </w:p>
        </w:tc>
        <w:tc>
          <w:tcPr>
            <w:tcW w:w="647" w:type="dxa"/>
            <w:shd w:val="clear" w:color="auto" w:fill="DEEAF6" w:themeFill="accent1" w:themeFillTint="33"/>
          </w:tcPr>
          <w:p w14:paraId="3456D9B2" w14:textId="77777777" w:rsidR="005E49F7" w:rsidRPr="00DC75B2" w:rsidRDefault="005E49F7" w:rsidP="00FF7AF6">
            <w:pPr>
              <w:jc w:val="center"/>
            </w:pPr>
            <w:r>
              <w:t>X</w:t>
            </w:r>
          </w:p>
        </w:tc>
        <w:tc>
          <w:tcPr>
            <w:tcW w:w="630" w:type="dxa"/>
            <w:shd w:val="clear" w:color="auto" w:fill="DEEAF6" w:themeFill="accent1" w:themeFillTint="33"/>
          </w:tcPr>
          <w:p w14:paraId="02EA536A" w14:textId="77777777" w:rsidR="005E49F7" w:rsidRPr="00DC75B2" w:rsidRDefault="005E49F7" w:rsidP="00FF7AF6">
            <w:pPr>
              <w:jc w:val="center"/>
            </w:pPr>
          </w:p>
        </w:tc>
        <w:tc>
          <w:tcPr>
            <w:tcW w:w="540" w:type="dxa"/>
            <w:shd w:val="clear" w:color="auto" w:fill="DEEAF6" w:themeFill="accent1" w:themeFillTint="33"/>
          </w:tcPr>
          <w:p w14:paraId="728EC380" w14:textId="77777777" w:rsidR="005E49F7" w:rsidRPr="00DC75B2" w:rsidRDefault="005E49F7" w:rsidP="00FF7AF6">
            <w:pPr>
              <w:jc w:val="center"/>
            </w:pPr>
          </w:p>
        </w:tc>
        <w:tc>
          <w:tcPr>
            <w:tcW w:w="540" w:type="dxa"/>
            <w:shd w:val="clear" w:color="auto" w:fill="DEEAF6" w:themeFill="accent1" w:themeFillTint="33"/>
          </w:tcPr>
          <w:p w14:paraId="69EEF5F8" w14:textId="77777777" w:rsidR="005E49F7" w:rsidRPr="00DC75B2" w:rsidRDefault="005E49F7" w:rsidP="00FF7AF6">
            <w:pPr>
              <w:jc w:val="center"/>
            </w:pPr>
          </w:p>
        </w:tc>
      </w:tr>
      <w:tr w:rsidR="005E49F7" w:rsidRPr="00DC75B2" w14:paraId="44EE6D0E" w14:textId="77777777" w:rsidTr="00FD786A">
        <w:trPr>
          <w:trHeight w:val="459"/>
        </w:trPr>
        <w:tc>
          <w:tcPr>
            <w:tcW w:w="6195" w:type="dxa"/>
            <w:shd w:val="clear" w:color="auto" w:fill="auto"/>
          </w:tcPr>
          <w:p w14:paraId="4CB18676" w14:textId="6111A529" w:rsidR="005E49F7" w:rsidRPr="00A37351" w:rsidRDefault="005E49F7" w:rsidP="00FD786A">
            <w:pPr>
              <w:pStyle w:val="TableParagraph"/>
            </w:pPr>
            <w:r>
              <w:t>Élaboration et mise en place de formations et d</w:t>
            </w:r>
            <w:r w:rsidR="00D968EE">
              <w:t>’</w:t>
            </w:r>
            <w:r>
              <w:t>activités de renforcement des capacités</w:t>
            </w:r>
          </w:p>
        </w:tc>
        <w:tc>
          <w:tcPr>
            <w:tcW w:w="540" w:type="dxa"/>
            <w:shd w:val="clear" w:color="auto" w:fill="DEEAF6" w:themeFill="accent1" w:themeFillTint="33"/>
          </w:tcPr>
          <w:p w14:paraId="518029F8" w14:textId="77777777" w:rsidR="005E49F7" w:rsidRPr="006461B5" w:rsidRDefault="005E49F7" w:rsidP="00FF7AF6">
            <w:pPr>
              <w:jc w:val="center"/>
            </w:pPr>
          </w:p>
        </w:tc>
        <w:tc>
          <w:tcPr>
            <w:tcW w:w="630" w:type="dxa"/>
            <w:shd w:val="clear" w:color="auto" w:fill="DEEAF6" w:themeFill="accent1" w:themeFillTint="33"/>
          </w:tcPr>
          <w:p w14:paraId="3CD6E569" w14:textId="77777777" w:rsidR="005E49F7" w:rsidRPr="006461B5" w:rsidRDefault="005E49F7" w:rsidP="00FF7AF6">
            <w:pPr>
              <w:jc w:val="center"/>
            </w:pPr>
          </w:p>
        </w:tc>
        <w:tc>
          <w:tcPr>
            <w:tcW w:w="540" w:type="dxa"/>
            <w:shd w:val="clear" w:color="auto" w:fill="DEEAF6" w:themeFill="accent1" w:themeFillTint="33"/>
          </w:tcPr>
          <w:p w14:paraId="1B2BD094" w14:textId="77777777" w:rsidR="005E49F7" w:rsidRPr="006461B5" w:rsidRDefault="005E49F7" w:rsidP="00FF7AF6">
            <w:pPr>
              <w:jc w:val="center"/>
            </w:pPr>
          </w:p>
        </w:tc>
        <w:tc>
          <w:tcPr>
            <w:tcW w:w="585" w:type="dxa"/>
            <w:shd w:val="clear" w:color="auto" w:fill="DEEAF6" w:themeFill="accent1" w:themeFillTint="33"/>
          </w:tcPr>
          <w:p w14:paraId="7AED72A9" w14:textId="77777777" w:rsidR="005E49F7" w:rsidRPr="006461B5" w:rsidRDefault="005E49F7" w:rsidP="00FF7AF6">
            <w:pPr>
              <w:jc w:val="center"/>
            </w:pPr>
          </w:p>
        </w:tc>
        <w:tc>
          <w:tcPr>
            <w:tcW w:w="585" w:type="dxa"/>
            <w:shd w:val="clear" w:color="auto" w:fill="auto"/>
          </w:tcPr>
          <w:p w14:paraId="0254C6BE" w14:textId="77777777" w:rsidR="005E49F7" w:rsidRPr="006461B5" w:rsidRDefault="005E49F7" w:rsidP="00FF7AF6">
            <w:pPr>
              <w:jc w:val="center"/>
            </w:pPr>
          </w:p>
        </w:tc>
        <w:tc>
          <w:tcPr>
            <w:tcW w:w="630" w:type="dxa"/>
            <w:shd w:val="clear" w:color="auto" w:fill="auto"/>
          </w:tcPr>
          <w:p w14:paraId="0959188E" w14:textId="77777777" w:rsidR="005E49F7" w:rsidRPr="006461B5" w:rsidRDefault="005E49F7" w:rsidP="00FF7AF6">
            <w:pPr>
              <w:jc w:val="center"/>
            </w:pPr>
          </w:p>
        </w:tc>
        <w:tc>
          <w:tcPr>
            <w:tcW w:w="540" w:type="dxa"/>
            <w:shd w:val="clear" w:color="auto" w:fill="auto"/>
          </w:tcPr>
          <w:p w14:paraId="3A0FB58A" w14:textId="77777777" w:rsidR="005E49F7" w:rsidRPr="006461B5" w:rsidRDefault="005E49F7" w:rsidP="00FF7AF6">
            <w:pPr>
              <w:jc w:val="center"/>
            </w:pPr>
          </w:p>
        </w:tc>
        <w:tc>
          <w:tcPr>
            <w:tcW w:w="523" w:type="dxa"/>
            <w:shd w:val="clear" w:color="auto" w:fill="auto"/>
          </w:tcPr>
          <w:p w14:paraId="07B43137" w14:textId="77777777" w:rsidR="005E49F7" w:rsidRPr="006461B5" w:rsidRDefault="005E49F7" w:rsidP="00FF7AF6">
            <w:pPr>
              <w:jc w:val="center"/>
            </w:pPr>
          </w:p>
        </w:tc>
        <w:tc>
          <w:tcPr>
            <w:tcW w:w="647" w:type="dxa"/>
            <w:shd w:val="clear" w:color="auto" w:fill="DEEAF6" w:themeFill="accent1" w:themeFillTint="33"/>
          </w:tcPr>
          <w:p w14:paraId="26D0B71D" w14:textId="77777777" w:rsidR="005E49F7" w:rsidRPr="00DC75B2" w:rsidRDefault="005E49F7" w:rsidP="00FF7AF6">
            <w:pPr>
              <w:jc w:val="center"/>
            </w:pPr>
            <w:r>
              <w:t>X</w:t>
            </w:r>
          </w:p>
        </w:tc>
        <w:tc>
          <w:tcPr>
            <w:tcW w:w="630" w:type="dxa"/>
            <w:shd w:val="clear" w:color="auto" w:fill="DEEAF6" w:themeFill="accent1" w:themeFillTint="33"/>
          </w:tcPr>
          <w:p w14:paraId="300DACDA" w14:textId="77777777" w:rsidR="005E49F7" w:rsidRPr="00DC75B2" w:rsidRDefault="005E49F7" w:rsidP="00FF7AF6">
            <w:pPr>
              <w:jc w:val="center"/>
            </w:pPr>
            <w:r>
              <w:t>X</w:t>
            </w:r>
          </w:p>
        </w:tc>
        <w:tc>
          <w:tcPr>
            <w:tcW w:w="540" w:type="dxa"/>
            <w:shd w:val="clear" w:color="auto" w:fill="DEEAF6" w:themeFill="accent1" w:themeFillTint="33"/>
          </w:tcPr>
          <w:p w14:paraId="17ACEE74" w14:textId="77777777" w:rsidR="005E49F7" w:rsidRPr="00DC75B2" w:rsidRDefault="005E49F7" w:rsidP="00FF7AF6">
            <w:pPr>
              <w:jc w:val="center"/>
            </w:pPr>
            <w:r>
              <w:t>X</w:t>
            </w:r>
          </w:p>
        </w:tc>
        <w:tc>
          <w:tcPr>
            <w:tcW w:w="540" w:type="dxa"/>
            <w:shd w:val="clear" w:color="auto" w:fill="DEEAF6" w:themeFill="accent1" w:themeFillTint="33"/>
          </w:tcPr>
          <w:p w14:paraId="6044A803" w14:textId="77777777" w:rsidR="005E49F7" w:rsidRPr="00DC75B2" w:rsidRDefault="005E49F7" w:rsidP="00FF7AF6">
            <w:pPr>
              <w:jc w:val="center"/>
            </w:pPr>
          </w:p>
        </w:tc>
      </w:tr>
      <w:tr w:rsidR="005E49F7" w:rsidRPr="00DC75B2" w14:paraId="5B8436DD" w14:textId="77777777" w:rsidTr="00FD786A">
        <w:trPr>
          <w:trHeight w:val="459"/>
        </w:trPr>
        <w:tc>
          <w:tcPr>
            <w:tcW w:w="6195" w:type="dxa"/>
            <w:shd w:val="clear" w:color="auto" w:fill="auto"/>
          </w:tcPr>
          <w:p w14:paraId="09DA967E" w14:textId="77777777" w:rsidR="005E49F7" w:rsidRPr="00A37351" w:rsidRDefault="005E49F7" w:rsidP="00FD786A">
            <w:pPr>
              <w:pStyle w:val="TableParagraph"/>
            </w:pPr>
            <w:r>
              <w:t>Matériel de promotion et diffusion des résultats des projets</w:t>
            </w:r>
          </w:p>
        </w:tc>
        <w:tc>
          <w:tcPr>
            <w:tcW w:w="540" w:type="dxa"/>
            <w:shd w:val="clear" w:color="auto" w:fill="DEEAF6" w:themeFill="accent1" w:themeFillTint="33"/>
          </w:tcPr>
          <w:p w14:paraId="21CC2289" w14:textId="77777777" w:rsidR="005E49F7" w:rsidRPr="006461B5" w:rsidRDefault="005E49F7" w:rsidP="00FF7AF6">
            <w:pPr>
              <w:jc w:val="center"/>
            </w:pPr>
          </w:p>
        </w:tc>
        <w:tc>
          <w:tcPr>
            <w:tcW w:w="630" w:type="dxa"/>
            <w:shd w:val="clear" w:color="auto" w:fill="DEEAF6" w:themeFill="accent1" w:themeFillTint="33"/>
          </w:tcPr>
          <w:p w14:paraId="2F55B58A" w14:textId="77777777" w:rsidR="005E49F7" w:rsidRPr="006461B5" w:rsidRDefault="005E49F7" w:rsidP="00FF7AF6">
            <w:pPr>
              <w:jc w:val="center"/>
            </w:pPr>
          </w:p>
        </w:tc>
        <w:tc>
          <w:tcPr>
            <w:tcW w:w="540" w:type="dxa"/>
            <w:shd w:val="clear" w:color="auto" w:fill="DEEAF6" w:themeFill="accent1" w:themeFillTint="33"/>
          </w:tcPr>
          <w:p w14:paraId="06224BD3" w14:textId="77777777" w:rsidR="005E49F7" w:rsidRPr="006461B5" w:rsidRDefault="005E49F7" w:rsidP="00FF7AF6">
            <w:pPr>
              <w:jc w:val="center"/>
            </w:pPr>
          </w:p>
        </w:tc>
        <w:tc>
          <w:tcPr>
            <w:tcW w:w="585" w:type="dxa"/>
            <w:shd w:val="clear" w:color="auto" w:fill="DEEAF6" w:themeFill="accent1" w:themeFillTint="33"/>
          </w:tcPr>
          <w:p w14:paraId="6CC38536" w14:textId="77777777" w:rsidR="005E49F7" w:rsidRPr="006461B5" w:rsidRDefault="005E49F7" w:rsidP="00FF7AF6">
            <w:pPr>
              <w:jc w:val="center"/>
            </w:pPr>
          </w:p>
        </w:tc>
        <w:tc>
          <w:tcPr>
            <w:tcW w:w="585" w:type="dxa"/>
            <w:shd w:val="clear" w:color="auto" w:fill="auto"/>
          </w:tcPr>
          <w:p w14:paraId="23DA653A" w14:textId="77777777" w:rsidR="005E49F7" w:rsidRPr="006461B5" w:rsidRDefault="005E49F7" w:rsidP="00FF7AF6">
            <w:pPr>
              <w:jc w:val="center"/>
            </w:pPr>
          </w:p>
        </w:tc>
        <w:tc>
          <w:tcPr>
            <w:tcW w:w="630" w:type="dxa"/>
            <w:shd w:val="clear" w:color="auto" w:fill="auto"/>
          </w:tcPr>
          <w:p w14:paraId="0C6A183F" w14:textId="77777777" w:rsidR="005E49F7" w:rsidRPr="006461B5" w:rsidRDefault="005E49F7" w:rsidP="00FF7AF6">
            <w:pPr>
              <w:jc w:val="center"/>
            </w:pPr>
          </w:p>
        </w:tc>
        <w:tc>
          <w:tcPr>
            <w:tcW w:w="540" w:type="dxa"/>
            <w:shd w:val="clear" w:color="auto" w:fill="auto"/>
          </w:tcPr>
          <w:p w14:paraId="5D30E8E0" w14:textId="77777777" w:rsidR="005E49F7" w:rsidRPr="006461B5" w:rsidRDefault="005E49F7" w:rsidP="00FF7AF6">
            <w:pPr>
              <w:jc w:val="center"/>
            </w:pPr>
          </w:p>
        </w:tc>
        <w:tc>
          <w:tcPr>
            <w:tcW w:w="523" w:type="dxa"/>
            <w:shd w:val="clear" w:color="auto" w:fill="auto"/>
          </w:tcPr>
          <w:p w14:paraId="3862B7DC" w14:textId="77777777" w:rsidR="005E49F7" w:rsidRPr="006461B5" w:rsidRDefault="005E49F7" w:rsidP="00FF7AF6">
            <w:pPr>
              <w:jc w:val="center"/>
            </w:pPr>
          </w:p>
        </w:tc>
        <w:tc>
          <w:tcPr>
            <w:tcW w:w="647" w:type="dxa"/>
            <w:shd w:val="clear" w:color="auto" w:fill="DEEAF6" w:themeFill="accent1" w:themeFillTint="33"/>
          </w:tcPr>
          <w:p w14:paraId="3E344EA2" w14:textId="77777777" w:rsidR="005E49F7" w:rsidRPr="006461B5" w:rsidRDefault="005E49F7" w:rsidP="00FF7AF6">
            <w:pPr>
              <w:jc w:val="center"/>
            </w:pPr>
          </w:p>
        </w:tc>
        <w:tc>
          <w:tcPr>
            <w:tcW w:w="630" w:type="dxa"/>
            <w:shd w:val="clear" w:color="auto" w:fill="DEEAF6" w:themeFill="accent1" w:themeFillTint="33"/>
          </w:tcPr>
          <w:p w14:paraId="77B98347" w14:textId="77777777" w:rsidR="005E49F7" w:rsidRPr="00DC75B2" w:rsidRDefault="005E49F7" w:rsidP="00FF7AF6">
            <w:pPr>
              <w:jc w:val="center"/>
            </w:pPr>
            <w:r>
              <w:t>X</w:t>
            </w:r>
          </w:p>
        </w:tc>
        <w:tc>
          <w:tcPr>
            <w:tcW w:w="540" w:type="dxa"/>
            <w:shd w:val="clear" w:color="auto" w:fill="DEEAF6" w:themeFill="accent1" w:themeFillTint="33"/>
          </w:tcPr>
          <w:p w14:paraId="22EE203F" w14:textId="77777777" w:rsidR="005E49F7" w:rsidRPr="00DC75B2" w:rsidRDefault="005E49F7" w:rsidP="00FF7AF6">
            <w:pPr>
              <w:jc w:val="center"/>
            </w:pPr>
            <w:r>
              <w:t>X</w:t>
            </w:r>
          </w:p>
        </w:tc>
        <w:tc>
          <w:tcPr>
            <w:tcW w:w="540" w:type="dxa"/>
            <w:shd w:val="clear" w:color="auto" w:fill="DEEAF6" w:themeFill="accent1" w:themeFillTint="33"/>
          </w:tcPr>
          <w:p w14:paraId="2457E8A1" w14:textId="77777777" w:rsidR="005E49F7" w:rsidRPr="00DC75B2" w:rsidRDefault="005E49F7" w:rsidP="00FF7AF6">
            <w:pPr>
              <w:jc w:val="center"/>
            </w:pPr>
            <w:r>
              <w:t>X</w:t>
            </w:r>
          </w:p>
        </w:tc>
      </w:tr>
      <w:tr w:rsidR="005E49F7" w:rsidRPr="00DC75B2" w14:paraId="746DB5B1" w14:textId="77777777" w:rsidTr="00FD786A">
        <w:trPr>
          <w:trHeight w:val="259"/>
        </w:trPr>
        <w:tc>
          <w:tcPr>
            <w:tcW w:w="6195" w:type="dxa"/>
            <w:shd w:val="clear" w:color="auto" w:fill="auto"/>
          </w:tcPr>
          <w:p w14:paraId="7A3995F9" w14:textId="77777777" w:rsidR="005E49F7" w:rsidRPr="00DC75B2" w:rsidRDefault="005E49F7" w:rsidP="00FD786A">
            <w:pPr>
              <w:pStyle w:val="TableParagraph"/>
            </w:pPr>
            <w:r w:rsidRPr="007B4077">
              <w:t>Évaluation du projet</w:t>
            </w:r>
          </w:p>
        </w:tc>
        <w:tc>
          <w:tcPr>
            <w:tcW w:w="540" w:type="dxa"/>
            <w:shd w:val="clear" w:color="auto" w:fill="DEEAF6" w:themeFill="accent1" w:themeFillTint="33"/>
          </w:tcPr>
          <w:p w14:paraId="0E3B5B8F" w14:textId="77777777" w:rsidR="005E49F7" w:rsidRPr="00DC75B2" w:rsidRDefault="005E49F7" w:rsidP="00FF7AF6">
            <w:pPr>
              <w:jc w:val="center"/>
            </w:pPr>
          </w:p>
        </w:tc>
        <w:tc>
          <w:tcPr>
            <w:tcW w:w="630" w:type="dxa"/>
            <w:shd w:val="clear" w:color="auto" w:fill="DEEAF6" w:themeFill="accent1" w:themeFillTint="33"/>
          </w:tcPr>
          <w:p w14:paraId="16343838" w14:textId="77777777" w:rsidR="005E49F7" w:rsidRPr="00DC75B2" w:rsidRDefault="005E49F7" w:rsidP="00FF7AF6">
            <w:pPr>
              <w:jc w:val="center"/>
            </w:pPr>
          </w:p>
        </w:tc>
        <w:tc>
          <w:tcPr>
            <w:tcW w:w="540" w:type="dxa"/>
            <w:shd w:val="clear" w:color="auto" w:fill="DEEAF6" w:themeFill="accent1" w:themeFillTint="33"/>
          </w:tcPr>
          <w:p w14:paraId="6C5D89D1" w14:textId="77777777" w:rsidR="005E49F7" w:rsidRPr="00DC75B2" w:rsidRDefault="005E49F7" w:rsidP="00FF7AF6">
            <w:pPr>
              <w:jc w:val="center"/>
            </w:pPr>
          </w:p>
        </w:tc>
        <w:tc>
          <w:tcPr>
            <w:tcW w:w="585" w:type="dxa"/>
            <w:shd w:val="clear" w:color="auto" w:fill="DEEAF6" w:themeFill="accent1" w:themeFillTint="33"/>
          </w:tcPr>
          <w:p w14:paraId="5B7D1015" w14:textId="77777777" w:rsidR="005E49F7" w:rsidRPr="00DC75B2" w:rsidRDefault="005E49F7" w:rsidP="00FF7AF6">
            <w:pPr>
              <w:jc w:val="center"/>
            </w:pPr>
          </w:p>
        </w:tc>
        <w:tc>
          <w:tcPr>
            <w:tcW w:w="585" w:type="dxa"/>
            <w:shd w:val="clear" w:color="auto" w:fill="auto"/>
          </w:tcPr>
          <w:p w14:paraId="67DEEAE4" w14:textId="77777777" w:rsidR="005E49F7" w:rsidRPr="00DC75B2" w:rsidRDefault="005E49F7" w:rsidP="00FF7AF6">
            <w:pPr>
              <w:jc w:val="center"/>
            </w:pPr>
          </w:p>
        </w:tc>
        <w:tc>
          <w:tcPr>
            <w:tcW w:w="630" w:type="dxa"/>
            <w:shd w:val="clear" w:color="auto" w:fill="auto"/>
          </w:tcPr>
          <w:p w14:paraId="6DE610EE" w14:textId="77777777" w:rsidR="005E49F7" w:rsidRPr="00DC75B2" w:rsidRDefault="005E49F7" w:rsidP="00FF7AF6">
            <w:pPr>
              <w:jc w:val="center"/>
            </w:pPr>
          </w:p>
        </w:tc>
        <w:tc>
          <w:tcPr>
            <w:tcW w:w="540" w:type="dxa"/>
            <w:shd w:val="clear" w:color="auto" w:fill="auto"/>
          </w:tcPr>
          <w:p w14:paraId="2E246E14" w14:textId="77777777" w:rsidR="005E49F7" w:rsidRPr="00DC75B2" w:rsidRDefault="005E49F7" w:rsidP="00FF7AF6">
            <w:pPr>
              <w:jc w:val="center"/>
            </w:pPr>
          </w:p>
        </w:tc>
        <w:tc>
          <w:tcPr>
            <w:tcW w:w="523" w:type="dxa"/>
            <w:shd w:val="clear" w:color="auto" w:fill="auto"/>
          </w:tcPr>
          <w:p w14:paraId="469FB33B" w14:textId="77777777" w:rsidR="005E49F7" w:rsidRPr="00DC75B2" w:rsidRDefault="005E49F7" w:rsidP="00FF7AF6">
            <w:pPr>
              <w:jc w:val="center"/>
            </w:pPr>
          </w:p>
        </w:tc>
        <w:tc>
          <w:tcPr>
            <w:tcW w:w="647" w:type="dxa"/>
            <w:shd w:val="clear" w:color="auto" w:fill="DEEAF6" w:themeFill="accent1" w:themeFillTint="33"/>
          </w:tcPr>
          <w:p w14:paraId="77ABC096" w14:textId="77777777" w:rsidR="005E49F7" w:rsidRPr="00DC75B2" w:rsidRDefault="005E49F7" w:rsidP="00FF7AF6">
            <w:pPr>
              <w:jc w:val="center"/>
            </w:pPr>
          </w:p>
        </w:tc>
        <w:tc>
          <w:tcPr>
            <w:tcW w:w="630" w:type="dxa"/>
            <w:shd w:val="clear" w:color="auto" w:fill="DEEAF6" w:themeFill="accent1" w:themeFillTint="33"/>
          </w:tcPr>
          <w:p w14:paraId="130838C0" w14:textId="77777777" w:rsidR="005E49F7" w:rsidRPr="00DC75B2" w:rsidRDefault="005E49F7" w:rsidP="00FF7AF6">
            <w:pPr>
              <w:jc w:val="center"/>
            </w:pPr>
          </w:p>
        </w:tc>
        <w:tc>
          <w:tcPr>
            <w:tcW w:w="540" w:type="dxa"/>
            <w:shd w:val="clear" w:color="auto" w:fill="DEEAF6" w:themeFill="accent1" w:themeFillTint="33"/>
          </w:tcPr>
          <w:p w14:paraId="3D75D3C6" w14:textId="77777777" w:rsidR="005E49F7" w:rsidRPr="00DC75B2" w:rsidRDefault="005E49F7" w:rsidP="00FF7AF6">
            <w:pPr>
              <w:jc w:val="center"/>
            </w:pPr>
          </w:p>
        </w:tc>
        <w:tc>
          <w:tcPr>
            <w:tcW w:w="540" w:type="dxa"/>
            <w:shd w:val="clear" w:color="auto" w:fill="DEEAF6" w:themeFill="accent1" w:themeFillTint="33"/>
          </w:tcPr>
          <w:p w14:paraId="6C4A2B58" w14:textId="77777777" w:rsidR="005E49F7" w:rsidRPr="00DC75B2" w:rsidRDefault="005E49F7" w:rsidP="00FF7AF6">
            <w:pPr>
              <w:jc w:val="center"/>
            </w:pPr>
            <w:r>
              <w:t>X</w:t>
            </w:r>
          </w:p>
        </w:tc>
      </w:tr>
    </w:tbl>
    <w:p w14:paraId="4977B7A9" w14:textId="77777777" w:rsidR="006C33B7" w:rsidRDefault="006C33B7" w:rsidP="005E49F7">
      <w:pPr>
        <w:rPr>
          <w:b/>
        </w:rPr>
      </w:pPr>
    </w:p>
    <w:p w14:paraId="4A51EF8A" w14:textId="77777777" w:rsidR="005E49F7" w:rsidRPr="00DC75B2" w:rsidRDefault="005E49F7" w:rsidP="005E49F7">
      <w:pPr>
        <w:rPr>
          <w:b/>
          <w:bCs/>
        </w:rPr>
      </w:pPr>
    </w:p>
    <w:p w14:paraId="445F6C48" w14:textId="77777777" w:rsidR="005E49F7" w:rsidRPr="00DC75B2" w:rsidRDefault="005E49F7" w:rsidP="005E49F7">
      <w:pPr>
        <w:rPr>
          <w:b/>
          <w:bCs/>
        </w:rPr>
      </w:pPr>
    </w:p>
    <w:p w14:paraId="1BC9D642" w14:textId="77777777" w:rsidR="005E49F7" w:rsidRPr="00DC75B2" w:rsidRDefault="005E49F7" w:rsidP="005E49F7">
      <w:pPr>
        <w:rPr>
          <w:b/>
          <w:bCs/>
        </w:rPr>
      </w:pPr>
    </w:p>
    <w:p w14:paraId="292D5C1F" w14:textId="77777777" w:rsidR="005E49F7" w:rsidRPr="00DC75B2" w:rsidRDefault="005E49F7" w:rsidP="005E49F7">
      <w:pPr>
        <w:rPr>
          <w:b/>
          <w:bCs/>
        </w:rPr>
      </w:pPr>
    </w:p>
    <w:p w14:paraId="4C33E94D" w14:textId="77777777" w:rsidR="005E49F7" w:rsidRPr="00DC75B2" w:rsidRDefault="005E49F7" w:rsidP="005E49F7">
      <w:pPr>
        <w:rPr>
          <w:b/>
          <w:bCs/>
        </w:rPr>
      </w:pPr>
    </w:p>
    <w:p w14:paraId="7E8A1938" w14:textId="77777777" w:rsidR="005E49F7" w:rsidRPr="00DC75B2" w:rsidRDefault="005E49F7" w:rsidP="005E49F7">
      <w:pPr>
        <w:rPr>
          <w:b/>
          <w:bCs/>
        </w:rPr>
      </w:pPr>
    </w:p>
    <w:p w14:paraId="12F668EA" w14:textId="77777777" w:rsidR="005E49F7" w:rsidRPr="00DC75B2" w:rsidRDefault="005E49F7" w:rsidP="005E49F7">
      <w:pPr>
        <w:rPr>
          <w:b/>
          <w:bCs/>
        </w:rPr>
      </w:pPr>
    </w:p>
    <w:p w14:paraId="12239E52" w14:textId="77777777" w:rsidR="005E49F7" w:rsidRPr="00DC75B2" w:rsidRDefault="005E49F7" w:rsidP="005E49F7">
      <w:pPr>
        <w:rPr>
          <w:b/>
          <w:bCs/>
        </w:rPr>
      </w:pPr>
    </w:p>
    <w:p w14:paraId="7B7D63F0" w14:textId="77777777" w:rsidR="005E49F7" w:rsidRPr="00DC75B2" w:rsidRDefault="005E49F7" w:rsidP="005E49F7">
      <w:pPr>
        <w:rPr>
          <w:b/>
          <w:bCs/>
        </w:rPr>
      </w:pPr>
    </w:p>
    <w:p w14:paraId="146FD837" w14:textId="77777777" w:rsidR="005E49F7" w:rsidRPr="00DC75B2" w:rsidRDefault="005E49F7" w:rsidP="005E49F7">
      <w:pPr>
        <w:rPr>
          <w:b/>
          <w:bCs/>
        </w:rPr>
      </w:pPr>
    </w:p>
    <w:p w14:paraId="21C66A5C" w14:textId="77777777" w:rsidR="005E49F7" w:rsidRPr="00DC75B2" w:rsidRDefault="005E49F7" w:rsidP="005E49F7">
      <w:pPr>
        <w:rPr>
          <w:b/>
          <w:bCs/>
        </w:rPr>
      </w:pPr>
    </w:p>
    <w:p w14:paraId="53EAFD9F" w14:textId="77777777" w:rsidR="005E49F7" w:rsidRPr="00DC75B2" w:rsidRDefault="005E49F7" w:rsidP="005E49F7">
      <w:pPr>
        <w:rPr>
          <w:b/>
          <w:bCs/>
        </w:rPr>
      </w:pPr>
    </w:p>
    <w:p w14:paraId="7910B16C" w14:textId="77777777" w:rsidR="005E49F7" w:rsidRPr="00DC75B2" w:rsidRDefault="005E49F7" w:rsidP="005E49F7">
      <w:pPr>
        <w:rPr>
          <w:b/>
          <w:bCs/>
        </w:rPr>
      </w:pPr>
    </w:p>
    <w:p w14:paraId="10737552" w14:textId="77777777" w:rsidR="005E49F7" w:rsidRPr="00DC75B2" w:rsidRDefault="005E49F7" w:rsidP="005E49F7">
      <w:pPr>
        <w:rPr>
          <w:b/>
          <w:bCs/>
        </w:rPr>
      </w:pPr>
    </w:p>
    <w:p w14:paraId="386892A5" w14:textId="77777777" w:rsidR="005E49F7" w:rsidRPr="00DC75B2" w:rsidRDefault="005E49F7" w:rsidP="005E49F7">
      <w:pPr>
        <w:rPr>
          <w:b/>
          <w:bCs/>
        </w:rPr>
      </w:pPr>
    </w:p>
    <w:p w14:paraId="1ECEA533" w14:textId="77777777" w:rsidR="005E49F7" w:rsidRPr="00DC75B2" w:rsidRDefault="005E49F7" w:rsidP="005E49F7">
      <w:pPr>
        <w:rPr>
          <w:b/>
          <w:bCs/>
        </w:rPr>
      </w:pPr>
    </w:p>
    <w:p w14:paraId="78A46686" w14:textId="77777777" w:rsidR="005E49F7" w:rsidRPr="00DC75B2" w:rsidRDefault="005E49F7" w:rsidP="005E49F7">
      <w:pPr>
        <w:rPr>
          <w:b/>
          <w:bCs/>
        </w:rPr>
      </w:pPr>
    </w:p>
    <w:p w14:paraId="55FE0A14" w14:textId="77777777" w:rsidR="005E49F7" w:rsidRPr="00DC75B2" w:rsidRDefault="005E49F7" w:rsidP="005E49F7">
      <w:pPr>
        <w:rPr>
          <w:b/>
          <w:bCs/>
        </w:rPr>
      </w:pPr>
    </w:p>
    <w:p w14:paraId="0DD59495" w14:textId="77777777" w:rsidR="005E49F7" w:rsidRPr="00DC75B2" w:rsidRDefault="005E49F7" w:rsidP="005E49F7">
      <w:pPr>
        <w:rPr>
          <w:b/>
          <w:bCs/>
        </w:rPr>
      </w:pPr>
    </w:p>
    <w:p w14:paraId="55B1E082" w14:textId="77777777" w:rsidR="005E49F7" w:rsidRPr="00DC75B2" w:rsidRDefault="005E49F7" w:rsidP="005E49F7">
      <w:pPr>
        <w:rPr>
          <w:b/>
          <w:bCs/>
        </w:rPr>
      </w:pPr>
    </w:p>
    <w:p w14:paraId="23FEC6E7" w14:textId="77777777" w:rsidR="005E49F7" w:rsidRPr="00DC75B2" w:rsidRDefault="005E49F7" w:rsidP="005E49F7">
      <w:pPr>
        <w:rPr>
          <w:b/>
          <w:bCs/>
        </w:rPr>
      </w:pPr>
    </w:p>
    <w:p w14:paraId="00214013" w14:textId="77777777" w:rsidR="005E49F7" w:rsidRPr="00DC75B2" w:rsidRDefault="005E49F7" w:rsidP="005E49F7">
      <w:pPr>
        <w:rPr>
          <w:b/>
          <w:bCs/>
        </w:rPr>
      </w:pPr>
    </w:p>
    <w:p w14:paraId="16A3B634" w14:textId="77777777" w:rsidR="005E49F7" w:rsidRPr="00DC75B2" w:rsidRDefault="005E49F7" w:rsidP="005E49F7">
      <w:pPr>
        <w:rPr>
          <w:b/>
          <w:bCs/>
        </w:rPr>
      </w:pPr>
    </w:p>
    <w:p w14:paraId="21919D32" w14:textId="77777777" w:rsidR="005E49F7" w:rsidRPr="00DC75B2" w:rsidRDefault="005E49F7" w:rsidP="005E49F7">
      <w:pPr>
        <w:rPr>
          <w:b/>
          <w:bCs/>
        </w:rPr>
      </w:pPr>
    </w:p>
    <w:p w14:paraId="6A4840C3" w14:textId="77777777" w:rsidR="005E49F7" w:rsidRPr="00DC75B2" w:rsidRDefault="005E49F7" w:rsidP="005E49F7">
      <w:pPr>
        <w:rPr>
          <w:b/>
          <w:bCs/>
        </w:rPr>
      </w:pPr>
    </w:p>
    <w:p w14:paraId="70E974B2" w14:textId="77777777" w:rsidR="005E49F7" w:rsidRPr="00DC75B2" w:rsidRDefault="005E49F7" w:rsidP="005E49F7">
      <w:pPr>
        <w:rPr>
          <w:b/>
          <w:bCs/>
        </w:rPr>
      </w:pPr>
    </w:p>
    <w:p w14:paraId="472EB42B" w14:textId="77777777" w:rsidR="005E49F7" w:rsidRPr="00DC75B2" w:rsidRDefault="005E49F7" w:rsidP="005E49F7">
      <w:pPr>
        <w:rPr>
          <w:b/>
          <w:bCs/>
        </w:rPr>
      </w:pPr>
    </w:p>
    <w:p w14:paraId="65C2B7DA" w14:textId="014F76A8" w:rsidR="005E49F7" w:rsidRPr="00DC75B2" w:rsidRDefault="005E49F7" w:rsidP="005E49F7">
      <w:pPr>
        <w:widowControl/>
        <w:autoSpaceDE/>
        <w:autoSpaceDN/>
        <w:rPr>
          <w:b/>
          <w:bCs/>
        </w:rPr>
      </w:pPr>
    </w:p>
    <w:p w14:paraId="52832C00" w14:textId="46AE945D" w:rsidR="000755DF" w:rsidRPr="00DC75B2" w:rsidRDefault="000755DF" w:rsidP="005E49F7">
      <w:pPr>
        <w:widowControl/>
        <w:autoSpaceDE/>
        <w:autoSpaceDN/>
        <w:rPr>
          <w:b/>
          <w:bCs/>
        </w:rPr>
      </w:pPr>
      <w:r>
        <w:br w:type="page"/>
      </w:r>
    </w:p>
    <w:p w14:paraId="327E9917" w14:textId="77777777" w:rsidR="000755DF" w:rsidRPr="00DC75B2" w:rsidRDefault="000755DF" w:rsidP="005E49F7">
      <w:pPr>
        <w:widowControl/>
        <w:autoSpaceDE/>
        <w:autoSpaceDN/>
        <w:rPr>
          <w:b/>
          <w:bCs/>
        </w:rPr>
        <w:sectPr w:rsidR="000755DF" w:rsidRPr="00DC75B2" w:rsidSect="00D968EE">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1418" w:right="567" w:bottom="1134" w:left="1418" w:header="510" w:footer="1021" w:gutter="0"/>
          <w:cols w:space="720"/>
          <w:titlePg/>
          <w:docGrid w:linePitch="299"/>
        </w:sectPr>
      </w:pPr>
    </w:p>
    <w:p w14:paraId="7A14050D" w14:textId="0D6B5CC9" w:rsidR="005E49F7" w:rsidRPr="007B4077" w:rsidRDefault="005E49F7" w:rsidP="005E49F7">
      <w:pPr>
        <w:pStyle w:val="TableParagraph"/>
        <w:spacing w:line="268" w:lineRule="exact"/>
        <w:ind w:left="98"/>
        <w:rPr>
          <w:b/>
        </w:rPr>
      </w:pPr>
      <w:r w:rsidRPr="007B4077">
        <w:rPr>
          <w:b/>
        </w:rPr>
        <w:lastRenderedPageBreak/>
        <w:t xml:space="preserve">4. </w:t>
      </w:r>
      <w:r w:rsidR="001C274D" w:rsidRPr="001C274D">
        <w:rPr>
          <w:b/>
          <w:caps/>
        </w:rPr>
        <w:t>Budget du projet par résultat</w:t>
      </w:r>
      <w:r w:rsidRPr="00DC75B2">
        <w:fldChar w:fldCharType="begin"/>
      </w:r>
      <w:r w:rsidRPr="007B4077">
        <w:instrText xml:space="preserve"> LINK Excel.Sheet.12 "C:\\Users\\cerbari\\Desktop\\DA Project Proposal_ Budget Template.xlsx" "DA by Output!R7C2:R15C9" \a \f 4 \h </w:instrText>
      </w:r>
      <w:r w:rsidR="0033539D" w:rsidRPr="007B4077">
        <w:instrText xml:space="preserve"> \* MERGEFORMAT </w:instrText>
      </w:r>
      <w:r w:rsidRPr="00DC75B2">
        <w:fldChar w:fldCharType="separate"/>
      </w:r>
    </w:p>
    <w:p w14:paraId="5993A78A" w14:textId="77777777" w:rsidR="000755DF" w:rsidRPr="00DC75B2" w:rsidRDefault="005E49F7" w:rsidP="000755DF">
      <w:pPr>
        <w:pStyle w:val="TableParagraph"/>
        <w:ind w:left="98"/>
        <w:rPr>
          <w:b/>
        </w:rPr>
      </w:pPr>
      <w:r w:rsidRPr="00DC75B2">
        <w:rPr>
          <w:b/>
        </w:rPr>
        <w:fldChar w:fldCharType="end"/>
      </w:r>
    </w:p>
    <w:tbl>
      <w:tblPr>
        <w:tblW w:w="14670" w:type="dxa"/>
        <w:tblInd w:w="-95" w:type="dxa"/>
        <w:tblCellMar>
          <w:left w:w="70" w:type="dxa"/>
          <w:right w:w="70" w:type="dxa"/>
        </w:tblCellMar>
        <w:tblLook w:val="04A0" w:firstRow="1" w:lastRow="0" w:firstColumn="1" w:lastColumn="0" w:noHBand="0" w:noVBand="1"/>
        <w:tblCaption w:val="Budget du projet par résultat"/>
      </w:tblPr>
      <w:tblGrid>
        <w:gridCol w:w="4201"/>
        <w:gridCol w:w="1276"/>
        <w:gridCol w:w="1578"/>
        <w:gridCol w:w="1700"/>
        <w:gridCol w:w="1500"/>
        <w:gridCol w:w="1520"/>
        <w:gridCol w:w="1520"/>
        <w:gridCol w:w="1375"/>
      </w:tblGrid>
      <w:tr w:rsidR="000755DF" w:rsidRPr="00DC75B2" w14:paraId="73C70C46" w14:textId="77777777" w:rsidTr="006450DB">
        <w:trPr>
          <w:trHeight w:val="442"/>
        </w:trPr>
        <w:tc>
          <w:tcPr>
            <w:tcW w:w="4201" w:type="dxa"/>
            <w:tcBorders>
              <w:top w:val="single" w:sz="4" w:space="0" w:color="BFBFBF"/>
              <w:left w:val="single" w:sz="4" w:space="0" w:color="BFBFBF"/>
              <w:bottom w:val="nil"/>
              <w:right w:val="single" w:sz="4" w:space="0" w:color="A6A6A6"/>
            </w:tcBorders>
            <w:shd w:val="clear" w:color="000000" w:fill="C7CFD8"/>
            <w:noWrap/>
            <w:vAlign w:val="bottom"/>
            <w:hideMark/>
          </w:tcPr>
          <w:p w14:paraId="108F422F" w14:textId="77777777" w:rsidR="000755DF" w:rsidRPr="007B4077" w:rsidRDefault="000755DF" w:rsidP="000755DF">
            <w:pPr>
              <w:widowControl/>
              <w:autoSpaceDE/>
              <w:autoSpaceDN/>
              <w:rPr>
                <w:rFonts w:ascii="Arial Narrow" w:eastAsia="Times New Roman" w:hAnsi="Arial Narrow"/>
                <w:i/>
                <w:iCs/>
              </w:rPr>
            </w:pPr>
            <w:r w:rsidRPr="007B4077">
              <w:rPr>
                <w:rFonts w:ascii="Arial Narrow" w:hAnsi="Arial Narrow"/>
                <w:i/>
              </w:rPr>
              <w:t>(en francs suisses)</w:t>
            </w:r>
          </w:p>
        </w:tc>
        <w:tc>
          <w:tcPr>
            <w:tcW w:w="2854"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62EAD1E0" w14:textId="77777777" w:rsidR="000755DF" w:rsidRPr="007B4077" w:rsidRDefault="000755DF" w:rsidP="000755DF">
            <w:pPr>
              <w:widowControl/>
              <w:autoSpaceDE/>
              <w:autoSpaceDN/>
              <w:jc w:val="center"/>
              <w:rPr>
                <w:rFonts w:ascii="Arial Narrow" w:eastAsia="Times New Roman" w:hAnsi="Arial Narrow"/>
                <w:b/>
                <w:bCs/>
              </w:rPr>
            </w:pPr>
            <w:r w:rsidRPr="007B4077">
              <w:rPr>
                <w:rFonts w:ascii="Arial Narrow" w:hAnsi="Arial Narrow"/>
                <w:b/>
              </w:rPr>
              <w:t>2024</w:t>
            </w:r>
          </w:p>
        </w:tc>
        <w:tc>
          <w:tcPr>
            <w:tcW w:w="320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65825F2E" w14:textId="77777777" w:rsidR="000755DF" w:rsidRPr="007B4077" w:rsidRDefault="000755DF" w:rsidP="000755DF">
            <w:pPr>
              <w:widowControl/>
              <w:autoSpaceDE/>
              <w:autoSpaceDN/>
              <w:jc w:val="center"/>
              <w:rPr>
                <w:rFonts w:ascii="Arial Narrow" w:eastAsia="Times New Roman" w:hAnsi="Arial Narrow"/>
                <w:b/>
                <w:bCs/>
              </w:rPr>
            </w:pPr>
            <w:r w:rsidRPr="007B4077">
              <w:rPr>
                <w:rFonts w:ascii="Arial Narrow" w:hAnsi="Arial Narrow"/>
                <w:b/>
              </w:rPr>
              <w:t>2025</w:t>
            </w:r>
          </w:p>
        </w:tc>
        <w:tc>
          <w:tcPr>
            <w:tcW w:w="304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558A5BA0" w14:textId="77777777" w:rsidR="000755DF" w:rsidRPr="007B4077" w:rsidRDefault="000755DF" w:rsidP="000755DF">
            <w:pPr>
              <w:widowControl/>
              <w:autoSpaceDE/>
              <w:autoSpaceDN/>
              <w:jc w:val="center"/>
              <w:rPr>
                <w:rFonts w:ascii="Arial Narrow" w:eastAsia="Times New Roman" w:hAnsi="Arial Narrow"/>
                <w:b/>
                <w:bCs/>
              </w:rPr>
            </w:pPr>
            <w:r w:rsidRPr="007B4077">
              <w:rPr>
                <w:rFonts w:ascii="Arial Narrow" w:hAnsi="Arial Narrow"/>
                <w:b/>
              </w:rPr>
              <w:t>2026</w:t>
            </w:r>
          </w:p>
        </w:tc>
        <w:tc>
          <w:tcPr>
            <w:tcW w:w="1375" w:type="dxa"/>
            <w:vMerge w:val="restart"/>
            <w:tcBorders>
              <w:top w:val="single" w:sz="4" w:space="0" w:color="BFBFBF"/>
              <w:left w:val="nil"/>
              <w:bottom w:val="single" w:sz="4" w:space="0" w:color="BFBFBF"/>
              <w:right w:val="single" w:sz="4" w:space="0" w:color="BFBFBF"/>
            </w:tcBorders>
            <w:shd w:val="clear" w:color="000000" w:fill="C7CFD8"/>
            <w:vAlign w:val="center"/>
            <w:hideMark/>
          </w:tcPr>
          <w:p w14:paraId="37E9E2E4" w14:textId="77777777" w:rsidR="000755DF" w:rsidRPr="007B4077" w:rsidRDefault="000755DF" w:rsidP="000755DF">
            <w:pPr>
              <w:widowControl/>
              <w:autoSpaceDE/>
              <w:autoSpaceDN/>
              <w:jc w:val="center"/>
              <w:rPr>
                <w:rFonts w:ascii="Arial Narrow" w:eastAsia="Times New Roman" w:hAnsi="Arial Narrow"/>
                <w:b/>
                <w:bCs/>
              </w:rPr>
            </w:pPr>
            <w:r w:rsidRPr="007B4077">
              <w:rPr>
                <w:rFonts w:ascii="Arial Narrow" w:hAnsi="Arial Narrow"/>
                <w:b/>
              </w:rPr>
              <w:t>Total</w:t>
            </w:r>
          </w:p>
        </w:tc>
      </w:tr>
      <w:tr w:rsidR="000755DF" w:rsidRPr="00DC75B2" w14:paraId="68BCE807" w14:textId="77777777" w:rsidTr="006450DB">
        <w:trPr>
          <w:trHeight w:val="442"/>
        </w:trPr>
        <w:tc>
          <w:tcPr>
            <w:tcW w:w="4201" w:type="dxa"/>
            <w:tcBorders>
              <w:top w:val="nil"/>
              <w:left w:val="single" w:sz="4" w:space="0" w:color="BFBFBF"/>
              <w:bottom w:val="single" w:sz="4" w:space="0" w:color="BFBFBF"/>
              <w:right w:val="nil"/>
            </w:tcBorders>
            <w:shd w:val="clear" w:color="000000" w:fill="C7CFD8"/>
            <w:noWrap/>
            <w:vAlign w:val="bottom"/>
            <w:hideMark/>
          </w:tcPr>
          <w:p w14:paraId="240AB1EB" w14:textId="2C896EB3" w:rsidR="000755DF" w:rsidRPr="007B4077" w:rsidRDefault="001C274D" w:rsidP="000755DF">
            <w:pPr>
              <w:widowControl/>
              <w:autoSpaceDE/>
              <w:autoSpaceDN/>
              <w:rPr>
                <w:rFonts w:ascii="Arial Narrow" w:eastAsia="Times New Roman" w:hAnsi="Arial Narrow"/>
                <w:b/>
                <w:bCs/>
              </w:rPr>
            </w:pPr>
            <w:r>
              <w:rPr>
                <w:rFonts w:ascii="Arial Narrow" w:hAnsi="Arial Narrow"/>
                <w:b/>
              </w:rPr>
              <w:t>Résultats du projet</w:t>
            </w:r>
          </w:p>
        </w:tc>
        <w:tc>
          <w:tcPr>
            <w:tcW w:w="1276" w:type="dxa"/>
            <w:tcBorders>
              <w:top w:val="nil"/>
              <w:left w:val="single" w:sz="4" w:space="0" w:color="A6A6A6"/>
              <w:bottom w:val="single" w:sz="4" w:space="0" w:color="BFBFBF"/>
              <w:right w:val="single" w:sz="4" w:space="0" w:color="A6A6A6"/>
            </w:tcBorders>
            <w:shd w:val="clear" w:color="000000" w:fill="C7CFD8"/>
            <w:vAlign w:val="bottom"/>
            <w:hideMark/>
          </w:tcPr>
          <w:p w14:paraId="49585239" w14:textId="2732BF56" w:rsidR="000755DF" w:rsidRPr="007B4077" w:rsidRDefault="001C274D" w:rsidP="000755DF">
            <w:pPr>
              <w:widowControl/>
              <w:autoSpaceDE/>
              <w:autoSpaceDN/>
              <w:jc w:val="center"/>
              <w:rPr>
                <w:rFonts w:ascii="Arial Narrow" w:eastAsia="Times New Roman" w:hAnsi="Arial Narrow"/>
                <w:b/>
                <w:bCs/>
              </w:rPr>
            </w:pPr>
            <w:r>
              <w:rPr>
                <w:rFonts w:ascii="Arial Narrow" w:hAnsi="Arial Narrow"/>
                <w:b/>
              </w:rPr>
              <w:t>Dépenses de personnel</w:t>
            </w:r>
          </w:p>
        </w:tc>
        <w:tc>
          <w:tcPr>
            <w:tcW w:w="1578" w:type="dxa"/>
            <w:tcBorders>
              <w:top w:val="nil"/>
              <w:left w:val="nil"/>
              <w:bottom w:val="single" w:sz="4" w:space="0" w:color="BFBFBF"/>
              <w:right w:val="single" w:sz="4" w:space="0" w:color="A6A6A6"/>
            </w:tcBorders>
            <w:shd w:val="clear" w:color="000000" w:fill="C7CFD8"/>
            <w:vAlign w:val="bottom"/>
            <w:hideMark/>
          </w:tcPr>
          <w:p w14:paraId="5C5723FB" w14:textId="5E6C8CA5" w:rsidR="000755DF" w:rsidRPr="007B4077" w:rsidRDefault="001C274D" w:rsidP="000755DF">
            <w:pPr>
              <w:widowControl/>
              <w:autoSpaceDE/>
              <w:autoSpaceDN/>
              <w:jc w:val="center"/>
              <w:rPr>
                <w:rFonts w:ascii="Arial Narrow" w:eastAsia="Times New Roman" w:hAnsi="Arial Narrow"/>
                <w:b/>
                <w:bCs/>
              </w:rPr>
            </w:pPr>
            <w:r>
              <w:rPr>
                <w:rFonts w:ascii="Arial Narrow" w:hAnsi="Arial Narrow"/>
                <w:b/>
              </w:rPr>
              <w:t>Autres dépenses</w:t>
            </w:r>
          </w:p>
        </w:tc>
        <w:tc>
          <w:tcPr>
            <w:tcW w:w="1700" w:type="dxa"/>
            <w:tcBorders>
              <w:top w:val="nil"/>
              <w:left w:val="nil"/>
              <w:bottom w:val="single" w:sz="4" w:space="0" w:color="BFBFBF"/>
              <w:right w:val="single" w:sz="4" w:space="0" w:color="A6A6A6"/>
            </w:tcBorders>
            <w:shd w:val="clear" w:color="000000" w:fill="C7CFD8"/>
            <w:vAlign w:val="bottom"/>
            <w:hideMark/>
          </w:tcPr>
          <w:p w14:paraId="160C34C5" w14:textId="1B270448" w:rsidR="000755DF" w:rsidRPr="007B4077" w:rsidRDefault="001C274D" w:rsidP="000755DF">
            <w:pPr>
              <w:widowControl/>
              <w:autoSpaceDE/>
              <w:autoSpaceDN/>
              <w:jc w:val="center"/>
              <w:rPr>
                <w:rFonts w:ascii="Arial Narrow" w:eastAsia="Times New Roman" w:hAnsi="Arial Narrow"/>
                <w:b/>
                <w:bCs/>
              </w:rPr>
            </w:pPr>
            <w:r>
              <w:rPr>
                <w:rFonts w:ascii="Arial Narrow" w:hAnsi="Arial Narrow"/>
                <w:b/>
              </w:rPr>
              <w:t>Dépenses de personnel</w:t>
            </w:r>
          </w:p>
        </w:tc>
        <w:tc>
          <w:tcPr>
            <w:tcW w:w="1500" w:type="dxa"/>
            <w:tcBorders>
              <w:top w:val="nil"/>
              <w:left w:val="nil"/>
              <w:bottom w:val="single" w:sz="4" w:space="0" w:color="BFBFBF"/>
              <w:right w:val="single" w:sz="4" w:space="0" w:color="A6A6A6"/>
            </w:tcBorders>
            <w:shd w:val="clear" w:color="000000" w:fill="C7CFD8"/>
            <w:vAlign w:val="bottom"/>
            <w:hideMark/>
          </w:tcPr>
          <w:p w14:paraId="6D512236" w14:textId="141E8571" w:rsidR="000755DF" w:rsidRPr="007B4077" w:rsidRDefault="001C274D" w:rsidP="000755DF">
            <w:pPr>
              <w:widowControl/>
              <w:autoSpaceDE/>
              <w:autoSpaceDN/>
              <w:jc w:val="center"/>
              <w:rPr>
                <w:rFonts w:ascii="Arial Narrow" w:eastAsia="Times New Roman" w:hAnsi="Arial Narrow"/>
                <w:b/>
                <w:bCs/>
              </w:rPr>
            </w:pPr>
            <w:r>
              <w:rPr>
                <w:rFonts w:ascii="Arial Narrow" w:hAnsi="Arial Narrow"/>
                <w:b/>
              </w:rPr>
              <w:t>Autres dépenses</w:t>
            </w:r>
          </w:p>
        </w:tc>
        <w:tc>
          <w:tcPr>
            <w:tcW w:w="1520" w:type="dxa"/>
            <w:tcBorders>
              <w:top w:val="nil"/>
              <w:left w:val="nil"/>
              <w:bottom w:val="single" w:sz="4" w:space="0" w:color="BFBFBF"/>
              <w:right w:val="single" w:sz="4" w:space="0" w:color="A6A6A6"/>
            </w:tcBorders>
            <w:shd w:val="clear" w:color="000000" w:fill="C7CFD8"/>
            <w:vAlign w:val="bottom"/>
            <w:hideMark/>
          </w:tcPr>
          <w:p w14:paraId="5C9A57BE" w14:textId="4FC8E34F" w:rsidR="000755DF" w:rsidRPr="007B4077" w:rsidRDefault="001C274D" w:rsidP="000755DF">
            <w:pPr>
              <w:widowControl/>
              <w:autoSpaceDE/>
              <w:autoSpaceDN/>
              <w:jc w:val="center"/>
              <w:rPr>
                <w:rFonts w:ascii="Arial Narrow" w:eastAsia="Times New Roman" w:hAnsi="Arial Narrow"/>
                <w:b/>
                <w:bCs/>
              </w:rPr>
            </w:pPr>
            <w:r>
              <w:rPr>
                <w:rFonts w:ascii="Arial Narrow" w:hAnsi="Arial Narrow"/>
                <w:b/>
              </w:rPr>
              <w:t>Dépenses de personnel</w:t>
            </w:r>
          </w:p>
        </w:tc>
        <w:tc>
          <w:tcPr>
            <w:tcW w:w="1520" w:type="dxa"/>
            <w:tcBorders>
              <w:top w:val="nil"/>
              <w:left w:val="nil"/>
              <w:bottom w:val="single" w:sz="4" w:space="0" w:color="BFBFBF"/>
              <w:right w:val="single" w:sz="4" w:space="0" w:color="A6A6A6"/>
            </w:tcBorders>
            <w:shd w:val="clear" w:color="000000" w:fill="C7CFD8"/>
            <w:vAlign w:val="bottom"/>
            <w:hideMark/>
          </w:tcPr>
          <w:p w14:paraId="2825040B" w14:textId="5018D223" w:rsidR="000755DF" w:rsidRPr="007B4077" w:rsidRDefault="001C274D" w:rsidP="000755DF">
            <w:pPr>
              <w:widowControl/>
              <w:autoSpaceDE/>
              <w:autoSpaceDN/>
              <w:jc w:val="center"/>
              <w:rPr>
                <w:rFonts w:ascii="Arial Narrow" w:eastAsia="Times New Roman" w:hAnsi="Arial Narrow"/>
                <w:b/>
                <w:bCs/>
              </w:rPr>
            </w:pPr>
            <w:r>
              <w:rPr>
                <w:rFonts w:ascii="Arial Narrow" w:hAnsi="Arial Narrow"/>
                <w:b/>
              </w:rPr>
              <w:t>Autres dépenses</w:t>
            </w:r>
          </w:p>
        </w:tc>
        <w:tc>
          <w:tcPr>
            <w:tcW w:w="1375" w:type="dxa"/>
            <w:vMerge/>
            <w:tcBorders>
              <w:top w:val="single" w:sz="4" w:space="0" w:color="BFBFBF"/>
              <w:left w:val="nil"/>
              <w:bottom w:val="single" w:sz="4" w:space="0" w:color="BFBFBF"/>
              <w:right w:val="single" w:sz="4" w:space="0" w:color="BFBFBF"/>
            </w:tcBorders>
            <w:vAlign w:val="center"/>
            <w:hideMark/>
          </w:tcPr>
          <w:p w14:paraId="2F18E2AE" w14:textId="77777777" w:rsidR="000755DF" w:rsidRPr="007B4077" w:rsidRDefault="000755DF" w:rsidP="000755DF">
            <w:pPr>
              <w:widowControl/>
              <w:autoSpaceDE/>
              <w:autoSpaceDN/>
              <w:rPr>
                <w:rFonts w:ascii="Arial Narrow" w:eastAsia="Times New Roman" w:hAnsi="Arial Narrow"/>
                <w:b/>
                <w:bCs/>
                <w:lang w:eastAsia="fr-CH"/>
              </w:rPr>
            </w:pPr>
          </w:p>
        </w:tc>
      </w:tr>
      <w:tr w:rsidR="000755DF" w:rsidRPr="00DC75B2" w14:paraId="0D7A9106" w14:textId="77777777" w:rsidTr="006450DB">
        <w:trPr>
          <w:trHeight w:val="622"/>
        </w:trPr>
        <w:tc>
          <w:tcPr>
            <w:tcW w:w="4201" w:type="dxa"/>
            <w:tcBorders>
              <w:top w:val="nil"/>
              <w:left w:val="single" w:sz="4" w:space="0" w:color="BFBFBF"/>
              <w:bottom w:val="single" w:sz="4" w:space="0" w:color="BFBFBF"/>
              <w:right w:val="single" w:sz="4" w:space="0" w:color="BFBFBF"/>
            </w:tcBorders>
            <w:shd w:val="clear" w:color="auto" w:fill="auto"/>
            <w:vAlign w:val="center"/>
            <w:hideMark/>
          </w:tcPr>
          <w:p w14:paraId="321E44F0" w14:textId="4C65177A" w:rsidR="000755DF" w:rsidRPr="007B4077" w:rsidRDefault="000755DF" w:rsidP="000755DF">
            <w:pPr>
              <w:widowControl/>
              <w:autoSpaceDE/>
              <w:autoSpaceDN/>
              <w:rPr>
                <w:rFonts w:ascii="Arial Narrow" w:eastAsia="Times New Roman" w:hAnsi="Arial Narrow"/>
              </w:rPr>
            </w:pPr>
            <w:r w:rsidRPr="009B18C6">
              <w:rPr>
                <w:rFonts w:ascii="Arial Narrow" w:eastAsia="Times New Roman" w:hAnsi="Arial Narrow"/>
                <w:color w:val="002839"/>
                <w:lang w:eastAsia="fr-CH"/>
              </w:rPr>
              <w:t>Coordination du projet</w:t>
            </w:r>
            <w:r w:rsidR="007B4077" w:rsidRPr="009B18C6">
              <w:rPr>
                <w:rFonts w:ascii="Arial Narrow" w:eastAsia="Times New Roman" w:hAnsi="Arial Narrow"/>
                <w:color w:val="002839"/>
                <w:lang w:eastAsia="fr-CH"/>
              </w:rPr>
              <w:t xml:space="preserve"> et aide à la mise en œuvre</w:t>
            </w:r>
          </w:p>
        </w:tc>
        <w:tc>
          <w:tcPr>
            <w:tcW w:w="1276" w:type="dxa"/>
            <w:tcBorders>
              <w:top w:val="nil"/>
              <w:left w:val="nil"/>
              <w:bottom w:val="single" w:sz="4" w:space="0" w:color="BFBFBF"/>
              <w:right w:val="single" w:sz="4" w:space="0" w:color="BFBFBF"/>
            </w:tcBorders>
            <w:shd w:val="clear" w:color="auto" w:fill="auto"/>
            <w:vAlign w:val="center"/>
            <w:hideMark/>
          </w:tcPr>
          <w:p w14:paraId="4E477059" w14:textId="7C62B3C7" w:rsidR="000755DF" w:rsidRPr="007B4077" w:rsidRDefault="006C33B7" w:rsidP="009F6DFE">
            <w:pPr>
              <w:widowControl/>
              <w:autoSpaceDE/>
              <w:autoSpaceDN/>
              <w:jc w:val="right"/>
              <w:rPr>
                <w:rFonts w:ascii="Arial Narrow" w:eastAsia="Times New Roman" w:hAnsi="Arial Narrow"/>
              </w:rPr>
            </w:pPr>
            <w:r w:rsidRPr="007B4077">
              <w:rPr>
                <w:rFonts w:ascii="Arial Narrow" w:hAnsi="Arial Narrow"/>
              </w:rPr>
              <w:t xml:space="preserve"> – </w:t>
            </w:r>
          </w:p>
        </w:tc>
        <w:tc>
          <w:tcPr>
            <w:tcW w:w="1578" w:type="dxa"/>
            <w:tcBorders>
              <w:top w:val="nil"/>
              <w:left w:val="nil"/>
              <w:bottom w:val="single" w:sz="4" w:space="0" w:color="BFBFBF"/>
              <w:right w:val="single" w:sz="4" w:space="0" w:color="BFBFBF"/>
            </w:tcBorders>
            <w:shd w:val="clear" w:color="auto" w:fill="auto"/>
            <w:vAlign w:val="center"/>
            <w:hideMark/>
          </w:tcPr>
          <w:p w14:paraId="25ADD2E9" w14:textId="69B92C4B" w:rsidR="000755DF" w:rsidRPr="007B4077" w:rsidRDefault="006C33B7" w:rsidP="009F6DFE">
            <w:pPr>
              <w:widowControl/>
              <w:autoSpaceDE/>
              <w:autoSpaceDN/>
              <w:jc w:val="right"/>
              <w:rPr>
                <w:rFonts w:ascii="Arial Narrow" w:eastAsia="Times New Roman" w:hAnsi="Arial Narrow"/>
              </w:rPr>
            </w:pPr>
            <w:r w:rsidRPr="007B4077">
              <w:rPr>
                <w:rFonts w:ascii="Arial Narrow" w:hAnsi="Arial Narrow"/>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1881008D" w14:textId="17FC40E6" w:rsidR="000755DF" w:rsidRPr="007B4077" w:rsidRDefault="006C33B7" w:rsidP="009F6DFE">
            <w:pPr>
              <w:widowControl/>
              <w:autoSpaceDE/>
              <w:autoSpaceDN/>
              <w:jc w:val="right"/>
              <w:rPr>
                <w:rFonts w:ascii="Arial Narrow" w:eastAsia="Times New Roman" w:hAnsi="Arial Narrow"/>
              </w:rPr>
            </w:pPr>
            <w:r w:rsidRPr="007B4077">
              <w:rPr>
                <w:rFonts w:ascii="Arial Narrow" w:hAnsi="Arial Narrow"/>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27FED4C6" w14:textId="0BD696DA" w:rsidR="000755DF" w:rsidRPr="007B4077" w:rsidRDefault="000755DF" w:rsidP="004F1029">
            <w:pPr>
              <w:widowControl/>
              <w:autoSpaceDE/>
              <w:autoSpaceDN/>
              <w:jc w:val="right"/>
              <w:rPr>
                <w:rFonts w:ascii="Arial Narrow" w:eastAsia="Times New Roman" w:hAnsi="Arial Narrow"/>
              </w:rPr>
            </w:pPr>
            <w:r w:rsidRPr="007B4077">
              <w:rPr>
                <w:rFonts w:ascii="Arial Narrow" w:hAnsi="Arial Narrow"/>
              </w:rPr>
              <w:t>77 100</w:t>
            </w:r>
          </w:p>
        </w:tc>
        <w:tc>
          <w:tcPr>
            <w:tcW w:w="1520" w:type="dxa"/>
            <w:tcBorders>
              <w:top w:val="nil"/>
              <w:left w:val="nil"/>
              <w:bottom w:val="single" w:sz="4" w:space="0" w:color="BFBFBF"/>
              <w:right w:val="single" w:sz="4" w:space="0" w:color="BFBFBF"/>
            </w:tcBorders>
            <w:shd w:val="clear" w:color="auto" w:fill="auto"/>
            <w:vAlign w:val="center"/>
            <w:hideMark/>
          </w:tcPr>
          <w:p w14:paraId="76358891" w14:textId="4FEBB505" w:rsidR="000755DF" w:rsidRPr="007B4077" w:rsidRDefault="006C33B7" w:rsidP="009F6DFE">
            <w:pPr>
              <w:widowControl/>
              <w:autoSpaceDE/>
              <w:autoSpaceDN/>
              <w:jc w:val="right"/>
              <w:rPr>
                <w:rFonts w:ascii="Arial Narrow" w:eastAsia="Times New Roman" w:hAnsi="Arial Narrow"/>
              </w:rPr>
            </w:pPr>
            <w:r w:rsidRPr="007B4077">
              <w:rPr>
                <w:rFonts w:ascii="Arial Narrow" w:hAnsi="Arial Narrow"/>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7EC51E4E" w14:textId="0828299D" w:rsidR="000755DF" w:rsidRPr="007B4077" w:rsidRDefault="004F1029" w:rsidP="004F1029">
            <w:pPr>
              <w:widowControl/>
              <w:autoSpaceDE/>
              <w:autoSpaceDN/>
              <w:jc w:val="right"/>
              <w:rPr>
                <w:rFonts w:ascii="Arial Narrow" w:eastAsia="Times New Roman" w:hAnsi="Arial Narrow"/>
              </w:rPr>
            </w:pPr>
            <w:r>
              <w:rPr>
                <w:rFonts w:ascii="Arial Narrow" w:hAnsi="Arial Narrow"/>
              </w:rPr>
              <w:t>77 100</w:t>
            </w:r>
          </w:p>
        </w:tc>
        <w:tc>
          <w:tcPr>
            <w:tcW w:w="1375" w:type="dxa"/>
            <w:tcBorders>
              <w:top w:val="nil"/>
              <w:left w:val="nil"/>
              <w:bottom w:val="single" w:sz="4" w:space="0" w:color="BFBFBF"/>
              <w:right w:val="single" w:sz="4" w:space="0" w:color="BFBFBF"/>
            </w:tcBorders>
            <w:shd w:val="clear" w:color="auto" w:fill="auto"/>
            <w:noWrap/>
            <w:vAlign w:val="center"/>
            <w:hideMark/>
          </w:tcPr>
          <w:p w14:paraId="6B288B72" w14:textId="05107EBC" w:rsidR="000755DF" w:rsidRPr="007B4077" w:rsidRDefault="000755DF" w:rsidP="004F1029">
            <w:pPr>
              <w:widowControl/>
              <w:autoSpaceDE/>
              <w:autoSpaceDN/>
              <w:jc w:val="right"/>
              <w:rPr>
                <w:rFonts w:ascii="Arial Narrow" w:eastAsia="Times New Roman" w:hAnsi="Arial Narrow"/>
              </w:rPr>
            </w:pPr>
            <w:r w:rsidRPr="007B4077">
              <w:rPr>
                <w:rFonts w:ascii="Arial Narrow" w:hAnsi="Arial Narrow"/>
              </w:rPr>
              <w:t>154 200</w:t>
            </w:r>
          </w:p>
        </w:tc>
      </w:tr>
      <w:tr w:rsidR="000755DF" w:rsidRPr="00DC75B2" w14:paraId="6339FEE5" w14:textId="77777777" w:rsidTr="006450DB">
        <w:trPr>
          <w:trHeight w:val="1072"/>
        </w:trPr>
        <w:tc>
          <w:tcPr>
            <w:tcW w:w="4201" w:type="dxa"/>
            <w:tcBorders>
              <w:top w:val="nil"/>
              <w:left w:val="single" w:sz="4" w:space="0" w:color="BFBFBF"/>
              <w:bottom w:val="single" w:sz="4" w:space="0" w:color="BFBFBF"/>
              <w:right w:val="single" w:sz="4" w:space="0" w:color="BFBFBF"/>
            </w:tcBorders>
            <w:shd w:val="clear" w:color="auto" w:fill="auto"/>
            <w:vAlign w:val="center"/>
            <w:hideMark/>
          </w:tcPr>
          <w:p w14:paraId="321A495B" w14:textId="606590C6" w:rsidR="000755DF" w:rsidRPr="00A37351" w:rsidRDefault="00163FE3" w:rsidP="000755DF">
            <w:pPr>
              <w:widowControl/>
              <w:autoSpaceDE/>
              <w:autoSpaceDN/>
              <w:rPr>
                <w:rFonts w:ascii="Arial Narrow" w:eastAsia="Times New Roman" w:hAnsi="Arial Narrow"/>
                <w:color w:val="002839"/>
              </w:rPr>
            </w:pPr>
            <w:r>
              <w:rPr>
                <w:rFonts w:ascii="Arial Narrow" w:hAnsi="Arial Narrow"/>
                <w:color w:val="002839"/>
              </w:rPr>
              <w:t>É</w:t>
            </w:r>
            <w:r w:rsidR="000755DF">
              <w:rPr>
                <w:rFonts w:ascii="Arial Narrow" w:hAnsi="Arial Narrow"/>
                <w:color w:val="002839"/>
              </w:rPr>
              <w:t>tude sur la situation en matière d</w:t>
            </w:r>
            <w:r w:rsidR="00D968EE">
              <w:rPr>
                <w:rFonts w:ascii="Arial Narrow" w:hAnsi="Arial Narrow"/>
                <w:color w:val="002839"/>
              </w:rPr>
              <w:t>’</w:t>
            </w:r>
            <w:r w:rsidR="000755DF">
              <w:rPr>
                <w:rFonts w:ascii="Arial Narrow" w:hAnsi="Arial Narrow"/>
                <w:color w:val="002839"/>
              </w:rPr>
              <w:t>application des droits de propriété intellectuelle et sur les répercussions des atteintes portées à la propriété intellectuelle en ligne dans les économies numériques nat</w:t>
            </w:r>
            <w:r w:rsidR="007B4077">
              <w:rPr>
                <w:rFonts w:ascii="Arial Narrow" w:hAnsi="Arial Narrow"/>
                <w:color w:val="002839"/>
              </w:rPr>
              <w:t>ionales des pays bénéficiaires</w:t>
            </w:r>
          </w:p>
        </w:tc>
        <w:tc>
          <w:tcPr>
            <w:tcW w:w="1276" w:type="dxa"/>
            <w:tcBorders>
              <w:top w:val="nil"/>
              <w:left w:val="nil"/>
              <w:bottom w:val="single" w:sz="4" w:space="0" w:color="BFBFBF"/>
              <w:right w:val="single" w:sz="4" w:space="0" w:color="BFBFBF"/>
            </w:tcBorders>
            <w:shd w:val="clear" w:color="auto" w:fill="auto"/>
            <w:vAlign w:val="center"/>
            <w:hideMark/>
          </w:tcPr>
          <w:p w14:paraId="357CE80C" w14:textId="45505BC1" w:rsidR="000755DF" w:rsidRPr="00DC75B2" w:rsidRDefault="006C33B7" w:rsidP="009F6DFE">
            <w:pPr>
              <w:widowControl/>
              <w:autoSpaceDE/>
              <w:autoSpaceDN/>
              <w:jc w:val="right"/>
              <w:rPr>
                <w:rFonts w:ascii="Arial Narrow" w:eastAsia="Times New Roman" w:hAnsi="Arial Narrow"/>
                <w:color w:val="000000"/>
              </w:rPr>
            </w:pPr>
            <w:r>
              <w:rPr>
                <w:rFonts w:ascii="Arial Narrow" w:hAnsi="Arial Narrow"/>
                <w:color w:val="000000"/>
              </w:rPr>
              <w:t xml:space="preserve"> – </w:t>
            </w:r>
          </w:p>
        </w:tc>
        <w:tc>
          <w:tcPr>
            <w:tcW w:w="1578" w:type="dxa"/>
            <w:tcBorders>
              <w:top w:val="nil"/>
              <w:left w:val="nil"/>
              <w:bottom w:val="single" w:sz="4" w:space="0" w:color="BFBFBF"/>
              <w:right w:val="single" w:sz="4" w:space="0" w:color="BFBFBF"/>
            </w:tcBorders>
            <w:shd w:val="clear" w:color="auto" w:fill="auto"/>
            <w:vAlign w:val="center"/>
            <w:hideMark/>
          </w:tcPr>
          <w:p w14:paraId="13DEF2D9" w14:textId="41755A2A" w:rsidR="000755DF" w:rsidRPr="00DC75B2" w:rsidRDefault="000755DF" w:rsidP="004F1029">
            <w:pPr>
              <w:widowControl/>
              <w:autoSpaceDE/>
              <w:autoSpaceDN/>
              <w:jc w:val="right"/>
              <w:rPr>
                <w:rFonts w:ascii="Arial Narrow" w:eastAsia="Times New Roman" w:hAnsi="Arial Narrow"/>
                <w:color w:val="000000"/>
              </w:rPr>
            </w:pPr>
            <w:r>
              <w:rPr>
                <w:rFonts w:ascii="Arial Narrow" w:hAnsi="Arial Narrow"/>
                <w:color w:val="002839"/>
              </w:rPr>
              <w:t>24 000</w:t>
            </w:r>
          </w:p>
        </w:tc>
        <w:tc>
          <w:tcPr>
            <w:tcW w:w="1700" w:type="dxa"/>
            <w:tcBorders>
              <w:top w:val="nil"/>
              <w:left w:val="nil"/>
              <w:bottom w:val="single" w:sz="4" w:space="0" w:color="BFBFBF"/>
              <w:right w:val="single" w:sz="4" w:space="0" w:color="BFBFBF"/>
            </w:tcBorders>
            <w:shd w:val="clear" w:color="auto" w:fill="auto"/>
            <w:vAlign w:val="center"/>
            <w:hideMark/>
          </w:tcPr>
          <w:p w14:paraId="6B17242E" w14:textId="4E8101BB" w:rsidR="000755DF" w:rsidRPr="00DC75B2" w:rsidRDefault="006C33B7" w:rsidP="009F6DFE">
            <w:pPr>
              <w:widowControl/>
              <w:autoSpaceDE/>
              <w:autoSpaceDN/>
              <w:jc w:val="right"/>
              <w:rPr>
                <w:rFonts w:ascii="Arial Narrow" w:eastAsia="Times New Roman" w:hAnsi="Arial Narrow"/>
                <w:color w:val="000000"/>
              </w:rPr>
            </w:pPr>
            <w:r>
              <w:rPr>
                <w:rFonts w:ascii="Arial Narrow" w:hAnsi="Arial Narrow"/>
                <w:color w:val="000000"/>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71D3DF23" w14:textId="28C59962" w:rsidR="000755DF" w:rsidRPr="00DC75B2" w:rsidRDefault="006C33B7" w:rsidP="009F6DFE">
            <w:pPr>
              <w:widowControl/>
              <w:autoSpaceDE/>
              <w:autoSpaceDN/>
              <w:jc w:val="right"/>
              <w:rPr>
                <w:rFonts w:ascii="Arial Narrow" w:eastAsia="Times New Roman" w:hAnsi="Arial Narrow"/>
                <w:color w:val="000000"/>
              </w:rPr>
            </w:pPr>
            <w:r>
              <w:rPr>
                <w:rFonts w:ascii="Arial Narrow" w:hAnsi="Arial Narrow"/>
                <w:color w:val="000000"/>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6824273E" w14:textId="1158E2BC" w:rsidR="000755DF" w:rsidRPr="00DC75B2" w:rsidRDefault="006C33B7" w:rsidP="009F6DFE">
            <w:pPr>
              <w:widowControl/>
              <w:autoSpaceDE/>
              <w:autoSpaceDN/>
              <w:jc w:val="right"/>
              <w:rPr>
                <w:rFonts w:ascii="Arial Narrow" w:eastAsia="Times New Roman" w:hAnsi="Arial Narrow"/>
                <w:color w:val="000000"/>
              </w:rPr>
            </w:pPr>
            <w:r>
              <w:rPr>
                <w:rFonts w:ascii="Arial Narrow" w:hAnsi="Arial Narrow"/>
                <w:color w:val="000000"/>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4E025428" w14:textId="64C9BDB9" w:rsidR="000755DF" w:rsidRPr="004244EB" w:rsidRDefault="006C33B7" w:rsidP="009F6DFE">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375" w:type="dxa"/>
            <w:tcBorders>
              <w:top w:val="nil"/>
              <w:left w:val="nil"/>
              <w:bottom w:val="single" w:sz="4" w:space="0" w:color="BFBFBF"/>
              <w:right w:val="single" w:sz="4" w:space="0" w:color="BFBFBF"/>
            </w:tcBorders>
            <w:shd w:val="clear" w:color="auto" w:fill="auto"/>
            <w:vAlign w:val="center"/>
            <w:hideMark/>
          </w:tcPr>
          <w:p w14:paraId="4A636C2E" w14:textId="216931A7" w:rsidR="000755DF" w:rsidRPr="004244EB" w:rsidRDefault="00184A65" w:rsidP="004F1029">
            <w:pPr>
              <w:widowControl/>
              <w:autoSpaceDE/>
              <w:autoSpaceDN/>
              <w:jc w:val="right"/>
              <w:rPr>
                <w:rFonts w:ascii="Arial Narrow" w:eastAsia="Times New Roman" w:hAnsi="Arial Narrow"/>
                <w:color w:val="002839"/>
              </w:rPr>
            </w:pPr>
            <w:r>
              <w:rPr>
                <w:rFonts w:ascii="Arial Narrow" w:hAnsi="Arial Narrow"/>
                <w:color w:val="002839"/>
              </w:rPr>
              <w:t>24 000</w:t>
            </w:r>
          </w:p>
        </w:tc>
      </w:tr>
      <w:tr w:rsidR="000755DF" w:rsidRPr="00DC75B2" w14:paraId="476D8E77" w14:textId="77777777" w:rsidTr="006450DB">
        <w:trPr>
          <w:trHeight w:val="880"/>
        </w:trPr>
        <w:tc>
          <w:tcPr>
            <w:tcW w:w="4201" w:type="dxa"/>
            <w:tcBorders>
              <w:top w:val="nil"/>
              <w:left w:val="single" w:sz="4" w:space="0" w:color="BFBFBF"/>
              <w:bottom w:val="single" w:sz="4" w:space="0" w:color="BFBFBF"/>
              <w:right w:val="single" w:sz="4" w:space="0" w:color="BFBFBF"/>
            </w:tcBorders>
            <w:shd w:val="clear" w:color="auto" w:fill="auto"/>
            <w:vAlign w:val="center"/>
            <w:hideMark/>
          </w:tcPr>
          <w:p w14:paraId="42F47D65" w14:textId="67DCD23A" w:rsidR="000755DF" w:rsidRPr="00A37351" w:rsidRDefault="000755DF" w:rsidP="000755DF">
            <w:pPr>
              <w:widowControl/>
              <w:autoSpaceDE/>
              <w:autoSpaceDN/>
              <w:rPr>
                <w:rFonts w:ascii="Arial Narrow" w:eastAsia="Times New Roman" w:hAnsi="Arial Narrow"/>
                <w:color w:val="002839"/>
              </w:rPr>
            </w:pPr>
            <w:r>
              <w:rPr>
                <w:rFonts w:ascii="Arial Narrow" w:hAnsi="Arial Narrow"/>
                <w:color w:val="002839"/>
              </w:rPr>
              <w:t>Organisation de réunion</w:t>
            </w:r>
            <w:r w:rsidR="009B18C6">
              <w:rPr>
                <w:rFonts w:ascii="Arial Narrow" w:hAnsi="Arial Narrow"/>
                <w:color w:val="002839"/>
              </w:rPr>
              <w:t>s</w:t>
            </w:r>
            <w:r>
              <w:rPr>
                <w:rFonts w:ascii="Arial Narrow" w:hAnsi="Arial Narrow"/>
                <w:color w:val="002839"/>
              </w:rPr>
              <w:t xml:space="preserve"> de consultation avec les pays bénéficiaires pour lancer un dialo</w:t>
            </w:r>
            <w:r w:rsidR="007B4077">
              <w:rPr>
                <w:rFonts w:ascii="Arial Narrow" w:hAnsi="Arial Narrow"/>
                <w:color w:val="002839"/>
              </w:rPr>
              <w:t>gue intersectoriel public/privé</w:t>
            </w:r>
          </w:p>
        </w:tc>
        <w:tc>
          <w:tcPr>
            <w:tcW w:w="1276" w:type="dxa"/>
            <w:tcBorders>
              <w:top w:val="nil"/>
              <w:left w:val="nil"/>
              <w:bottom w:val="single" w:sz="4" w:space="0" w:color="BFBFBF"/>
              <w:right w:val="single" w:sz="4" w:space="0" w:color="BFBFBF"/>
            </w:tcBorders>
            <w:shd w:val="clear" w:color="auto" w:fill="auto"/>
            <w:vAlign w:val="center"/>
            <w:hideMark/>
          </w:tcPr>
          <w:p w14:paraId="387B5C3D" w14:textId="15D9DB08" w:rsidR="000755DF" w:rsidRPr="00DC75B2" w:rsidRDefault="006C33B7" w:rsidP="009F6DFE">
            <w:pPr>
              <w:widowControl/>
              <w:autoSpaceDE/>
              <w:autoSpaceDN/>
              <w:jc w:val="right"/>
              <w:rPr>
                <w:rFonts w:ascii="Arial Narrow" w:eastAsia="Times New Roman" w:hAnsi="Arial Narrow"/>
                <w:color w:val="000000"/>
              </w:rPr>
            </w:pPr>
            <w:r>
              <w:rPr>
                <w:rFonts w:ascii="Arial Narrow" w:hAnsi="Arial Narrow"/>
                <w:color w:val="000000"/>
              </w:rPr>
              <w:t xml:space="preserve"> – </w:t>
            </w:r>
          </w:p>
        </w:tc>
        <w:tc>
          <w:tcPr>
            <w:tcW w:w="1578" w:type="dxa"/>
            <w:tcBorders>
              <w:top w:val="nil"/>
              <w:left w:val="nil"/>
              <w:bottom w:val="single" w:sz="4" w:space="0" w:color="BFBFBF"/>
              <w:right w:val="single" w:sz="4" w:space="0" w:color="BFBFBF"/>
            </w:tcBorders>
            <w:shd w:val="clear" w:color="auto" w:fill="auto"/>
            <w:vAlign w:val="center"/>
            <w:hideMark/>
          </w:tcPr>
          <w:p w14:paraId="6F8E741D" w14:textId="515D7CCC" w:rsidR="000755DF" w:rsidRPr="004244EB" w:rsidRDefault="009F6DFE" w:rsidP="004F1029">
            <w:pPr>
              <w:widowControl/>
              <w:autoSpaceDE/>
              <w:autoSpaceDN/>
              <w:jc w:val="right"/>
              <w:rPr>
                <w:rFonts w:ascii="Arial Narrow" w:eastAsia="Times New Roman" w:hAnsi="Arial Narrow"/>
                <w:color w:val="002839"/>
              </w:rPr>
            </w:pPr>
            <w:r>
              <w:rPr>
                <w:rFonts w:ascii="Arial Narrow" w:hAnsi="Arial Narrow"/>
                <w:color w:val="002839"/>
              </w:rPr>
              <w:t>40 000</w:t>
            </w:r>
          </w:p>
        </w:tc>
        <w:tc>
          <w:tcPr>
            <w:tcW w:w="1700" w:type="dxa"/>
            <w:tcBorders>
              <w:top w:val="nil"/>
              <w:left w:val="nil"/>
              <w:bottom w:val="single" w:sz="4" w:space="0" w:color="BFBFBF"/>
              <w:right w:val="single" w:sz="4" w:space="0" w:color="BFBFBF"/>
            </w:tcBorders>
            <w:shd w:val="clear" w:color="auto" w:fill="auto"/>
            <w:vAlign w:val="center"/>
            <w:hideMark/>
          </w:tcPr>
          <w:p w14:paraId="47096236" w14:textId="66101F5A" w:rsidR="000755DF" w:rsidRPr="004244EB" w:rsidRDefault="006C33B7" w:rsidP="004244EB">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4E099E30" w14:textId="0CAAAD44" w:rsidR="000755DF" w:rsidRPr="00DC75B2" w:rsidRDefault="006C33B7" w:rsidP="009F6DFE">
            <w:pPr>
              <w:widowControl/>
              <w:autoSpaceDE/>
              <w:autoSpaceDN/>
              <w:jc w:val="right"/>
              <w:rPr>
                <w:rFonts w:ascii="Arial Narrow" w:eastAsia="Times New Roman" w:hAnsi="Arial Narrow"/>
                <w:color w:val="000000"/>
              </w:rPr>
            </w:pPr>
            <w:r>
              <w:rPr>
                <w:rFonts w:ascii="Arial Narrow" w:hAnsi="Arial Narrow"/>
                <w:color w:val="000000"/>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620678D8" w14:textId="5E172978" w:rsidR="000755DF" w:rsidRPr="00DC75B2" w:rsidRDefault="006C33B7" w:rsidP="009F6DFE">
            <w:pPr>
              <w:widowControl/>
              <w:autoSpaceDE/>
              <w:autoSpaceDN/>
              <w:jc w:val="right"/>
              <w:rPr>
                <w:rFonts w:ascii="Arial Narrow" w:eastAsia="Times New Roman" w:hAnsi="Arial Narrow"/>
                <w:color w:val="000000"/>
              </w:rPr>
            </w:pPr>
            <w:r>
              <w:rPr>
                <w:rFonts w:ascii="Arial Narrow" w:hAnsi="Arial Narrow"/>
                <w:color w:val="000000"/>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2D56D568" w14:textId="1B7F6DAF" w:rsidR="000755DF" w:rsidRPr="004244EB" w:rsidRDefault="006C33B7" w:rsidP="009F6DFE">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375" w:type="dxa"/>
            <w:tcBorders>
              <w:top w:val="nil"/>
              <w:left w:val="nil"/>
              <w:bottom w:val="single" w:sz="4" w:space="0" w:color="BFBFBF"/>
              <w:right w:val="single" w:sz="4" w:space="0" w:color="BFBFBF"/>
            </w:tcBorders>
            <w:shd w:val="clear" w:color="auto" w:fill="auto"/>
            <w:vAlign w:val="center"/>
            <w:hideMark/>
          </w:tcPr>
          <w:p w14:paraId="7745AF93" w14:textId="72216FC4" w:rsidR="000755DF" w:rsidRPr="004244EB" w:rsidRDefault="00184A65" w:rsidP="004F1029">
            <w:pPr>
              <w:widowControl/>
              <w:autoSpaceDE/>
              <w:autoSpaceDN/>
              <w:jc w:val="right"/>
              <w:rPr>
                <w:rFonts w:ascii="Arial Narrow" w:eastAsia="Times New Roman" w:hAnsi="Arial Narrow"/>
                <w:color w:val="002839"/>
              </w:rPr>
            </w:pPr>
            <w:r>
              <w:rPr>
                <w:rFonts w:ascii="Arial Narrow" w:hAnsi="Arial Narrow"/>
                <w:color w:val="002839"/>
              </w:rPr>
              <w:t>40 000</w:t>
            </w:r>
          </w:p>
        </w:tc>
      </w:tr>
      <w:tr w:rsidR="000755DF" w:rsidRPr="00DC75B2" w14:paraId="6E039E0B" w14:textId="77777777" w:rsidTr="006450DB">
        <w:trPr>
          <w:trHeight w:val="890"/>
        </w:trPr>
        <w:tc>
          <w:tcPr>
            <w:tcW w:w="4201" w:type="dxa"/>
            <w:tcBorders>
              <w:top w:val="nil"/>
              <w:left w:val="single" w:sz="4" w:space="0" w:color="BFBFBF"/>
              <w:bottom w:val="single" w:sz="4" w:space="0" w:color="BFBFBF"/>
              <w:right w:val="single" w:sz="4" w:space="0" w:color="BFBFBF"/>
            </w:tcBorders>
            <w:shd w:val="clear" w:color="auto" w:fill="auto"/>
            <w:vAlign w:val="center"/>
            <w:hideMark/>
          </w:tcPr>
          <w:p w14:paraId="50FF5301" w14:textId="4F4F22E1" w:rsidR="000755DF" w:rsidRPr="00A37351" w:rsidRDefault="000755DF" w:rsidP="007B4077">
            <w:pPr>
              <w:widowControl/>
              <w:autoSpaceDE/>
              <w:autoSpaceDN/>
              <w:rPr>
                <w:rFonts w:ascii="Arial Narrow" w:eastAsia="Times New Roman" w:hAnsi="Arial Narrow"/>
                <w:color w:val="002839"/>
              </w:rPr>
            </w:pPr>
            <w:r>
              <w:rPr>
                <w:rFonts w:ascii="Arial Narrow" w:hAnsi="Arial Narrow"/>
                <w:color w:val="002839"/>
              </w:rPr>
              <w:t>4 compilations (une dans chaque pays) des améliorations potentielles des cadres jur</w:t>
            </w:r>
            <w:r w:rsidR="007B4077">
              <w:rPr>
                <w:rFonts w:ascii="Arial Narrow" w:hAnsi="Arial Narrow"/>
                <w:color w:val="002839"/>
              </w:rPr>
              <w:t>idiques et réglementaires</w:t>
            </w:r>
          </w:p>
        </w:tc>
        <w:tc>
          <w:tcPr>
            <w:tcW w:w="1276" w:type="dxa"/>
            <w:tcBorders>
              <w:top w:val="nil"/>
              <w:left w:val="nil"/>
              <w:bottom w:val="single" w:sz="4" w:space="0" w:color="BFBFBF"/>
              <w:right w:val="single" w:sz="4" w:space="0" w:color="BFBFBF"/>
            </w:tcBorders>
            <w:shd w:val="clear" w:color="auto" w:fill="auto"/>
            <w:vAlign w:val="center"/>
            <w:hideMark/>
          </w:tcPr>
          <w:p w14:paraId="6E203D27" w14:textId="41757DE3" w:rsidR="000755DF" w:rsidRPr="00DC75B2" w:rsidRDefault="006C33B7" w:rsidP="009F6DFE">
            <w:pPr>
              <w:widowControl/>
              <w:autoSpaceDE/>
              <w:autoSpaceDN/>
              <w:jc w:val="right"/>
              <w:rPr>
                <w:rFonts w:ascii="Arial Narrow" w:eastAsia="Times New Roman" w:hAnsi="Arial Narrow"/>
                <w:color w:val="000000"/>
              </w:rPr>
            </w:pPr>
            <w:r>
              <w:rPr>
                <w:rFonts w:ascii="Arial Narrow" w:hAnsi="Arial Narrow"/>
                <w:color w:val="000000"/>
              </w:rPr>
              <w:t xml:space="preserve"> – </w:t>
            </w:r>
          </w:p>
        </w:tc>
        <w:tc>
          <w:tcPr>
            <w:tcW w:w="1578" w:type="dxa"/>
            <w:tcBorders>
              <w:top w:val="nil"/>
              <w:left w:val="nil"/>
              <w:bottom w:val="single" w:sz="4" w:space="0" w:color="BFBFBF"/>
              <w:right w:val="single" w:sz="4" w:space="0" w:color="BFBFBF"/>
            </w:tcBorders>
            <w:shd w:val="clear" w:color="auto" w:fill="auto"/>
            <w:vAlign w:val="center"/>
            <w:hideMark/>
          </w:tcPr>
          <w:p w14:paraId="65D701AB" w14:textId="57C34B2E" w:rsidR="000755DF" w:rsidRPr="004244EB" w:rsidRDefault="006C33B7" w:rsidP="009F6DFE">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0467EABF" w14:textId="6BF1B37C" w:rsidR="000755DF" w:rsidRPr="004244EB" w:rsidRDefault="006C33B7" w:rsidP="009F6DFE">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21A54AE6" w14:textId="1418AE0D" w:rsidR="000755DF" w:rsidRPr="00DC75B2" w:rsidRDefault="000755DF" w:rsidP="004F1029">
            <w:pPr>
              <w:widowControl/>
              <w:autoSpaceDE/>
              <w:autoSpaceDN/>
              <w:jc w:val="right"/>
              <w:rPr>
                <w:rFonts w:ascii="Arial Narrow" w:eastAsia="Times New Roman" w:hAnsi="Arial Narrow"/>
                <w:color w:val="002839"/>
              </w:rPr>
            </w:pPr>
            <w:r>
              <w:rPr>
                <w:rFonts w:ascii="Arial Narrow" w:hAnsi="Arial Narrow"/>
                <w:color w:val="002839"/>
              </w:rPr>
              <w:t>84 000</w:t>
            </w:r>
          </w:p>
        </w:tc>
        <w:tc>
          <w:tcPr>
            <w:tcW w:w="1520" w:type="dxa"/>
            <w:tcBorders>
              <w:top w:val="nil"/>
              <w:left w:val="nil"/>
              <w:bottom w:val="single" w:sz="4" w:space="0" w:color="BFBFBF"/>
              <w:right w:val="single" w:sz="4" w:space="0" w:color="BFBFBF"/>
            </w:tcBorders>
            <w:shd w:val="clear" w:color="auto" w:fill="auto"/>
            <w:noWrap/>
            <w:vAlign w:val="center"/>
            <w:hideMark/>
          </w:tcPr>
          <w:p w14:paraId="5D372528" w14:textId="64A5947A" w:rsidR="000755DF" w:rsidRPr="00DC75B2" w:rsidRDefault="006C33B7" w:rsidP="009F6DFE">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279953F0" w14:textId="48F4F38D" w:rsidR="000755DF" w:rsidRPr="004244EB" w:rsidRDefault="006C33B7" w:rsidP="009F6DFE">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375" w:type="dxa"/>
            <w:tcBorders>
              <w:top w:val="nil"/>
              <w:left w:val="nil"/>
              <w:bottom w:val="single" w:sz="4" w:space="0" w:color="BFBFBF"/>
              <w:right w:val="single" w:sz="4" w:space="0" w:color="BFBFBF"/>
            </w:tcBorders>
            <w:shd w:val="clear" w:color="auto" w:fill="auto"/>
            <w:vAlign w:val="center"/>
            <w:hideMark/>
          </w:tcPr>
          <w:p w14:paraId="4035E0F3" w14:textId="60AD3DFE" w:rsidR="000755DF" w:rsidRPr="004244EB" w:rsidRDefault="00184A65" w:rsidP="004F1029">
            <w:pPr>
              <w:widowControl/>
              <w:autoSpaceDE/>
              <w:autoSpaceDN/>
              <w:jc w:val="right"/>
              <w:rPr>
                <w:rFonts w:ascii="Arial Narrow" w:eastAsia="Times New Roman" w:hAnsi="Arial Narrow"/>
                <w:color w:val="002839"/>
              </w:rPr>
            </w:pPr>
            <w:r>
              <w:rPr>
                <w:rFonts w:ascii="Arial Narrow" w:hAnsi="Arial Narrow"/>
                <w:color w:val="002839"/>
              </w:rPr>
              <w:t>84 000</w:t>
            </w:r>
          </w:p>
        </w:tc>
      </w:tr>
      <w:tr w:rsidR="000755DF" w:rsidRPr="00DC75B2" w14:paraId="5A46191B" w14:textId="77777777" w:rsidTr="006450DB">
        <w:trPr>
          <w:trHeight w:val="901"/>
        </w:trPr>
        <w:tc>
          <w:tcPr>
            <w:tcW w:w="4201" w:type="dxa"/>
            <w:tcBorders>
              <w:top w:val="nil"/>
              <w:left w:val="single" w:sz="4" w:space="0" w:color="BFBFBF"/>
              <w:bottom w:val="single" w:sz="4" w:space="0" w:color="BFBFBF"/>
              <w:right w:val="single" w:sz="4" w:space="0" w:color="BFBFBF"/>
            </w:tcBorders>
            <w:shd w:val="clear" w:color="auto" w:fill="auto"/>
            <w:vAlign w:val="center"/>
            <w:hideMark/>
          </w:tcPr>
          <w:p w14:paraId="1BD30F0C" w14:textId="24DD3123" w:rsidR="000755DF" w:rsidRPr="00A37351" w:rsidRDefault="000755DF" w:rsidP="000755DF">
            <w:pPr>
              <w:widowControl/>
              <w:autoSpaceDE/>
              <w:autoSpaceDN/>
              <w:rPr>
                <w:rFonts w:ascii="Arial Narrow" w:eastAsia="Times New Roman" w:hAnsi="Arial Narrow"/>
                <w:color w:val="002839"/>
              </w:rPr>
            </w:pPr>
            <w:r>
              <w:rPr>
                <w:rFonts w:ascii="Arial Narrow" w:hAnsi="Arial Narrow"/>
                <w:color w:val="002839"/>
              </w:rPr>
              <w:t>Élaboration et publication, dans les délais convenus, d</w:t>
            </w:r>
            <w:r w:rsidR="00D968EE">
              <w:rPr>
                <w:rFonts w:ascii="Arial Narrow" w:hAnsi="Arial Narrow"/>
                <w:color w:val="002839"/>
              </w:rPr>
              <w:t>’</w:t>
            </w:r>
            <w:r>
              <w:rPr>
                <w:rFonts w:ascii="Arial Narrow" w:hAnsi="Arial Narrow"/>
                <w:color w:val="002839"/>
              </w:rPr>
              <w:t>une boîte à outils fournissant des directives techniques aux régulateurs du secteur des télécommunications</w:t>
            </w:r>
          </w:p>
        </w:tc>
        <w:tc>
          <w:tcPr>
            <w:tcW w:w="1276" w:type="dxa"/>
            <w:tcBorders>
              <w:top w:val="nil"/>
              <w:left w:val="nil"/>
              <w:bottom w:val="single" w:sz="4" w:space="0" w:color="BFBFBF"/>
              <w:right w:val="single" w:sz="4" w:space="0" w:color="BFBFBF"/>
            </w:tcBorders>
            <w:shd w:val="clear" w:color="auto" w:fill="auto"/>
            <w:vAlign w:val="center"/>
            <w:hideMark/>
          </w:tcPr>
          <w:p w14:paraId="0AF50D5D" w14:textId="6FF87F3F" w:rsidR="000755DF" w:rsidRPr="00DC75B2" w:rsidRDefault="006C33B7" w:rsidP="009F6DFE">
            <w:pPr>
              <w:widowControl/>
              <w:autoSpaceDE/>
              <w:autoSpaceDN/>
              <w:jc w:val="right"/>
              <w:rPr>
                <w:rFonts w:ascii="Arial Narrow" w:eastAsia="Times New Roman" w:hAnsi="Arial Narrow"/>
                <w:color w:val="000000"/>
              </w:rPr>
            </w:pPr>
            <w:r>
              <w:rPr>
                <w:rFonts w:ascii="Arial Narrow" w:hAnsi="Arial Narrow"/>
                <w:color w:val="000000"/>
              </w:rPr>
              <w:t xml:space="preserve"> – </w:t>
            </w:r>
          </w:p>
        </w:tc>
        <w:tc>
          <w:tcPr>
            <w:tcW w:w="1578" w:type="dxa"/>
            <w:tcBorders>
              <w:top w:val="nil"/>
              <w:left w:val="nil"/>
              <w:bottom w:val="single" w:sz="4" w:space="0" w:color="BFBFBF"/>
              <w:right w:val="single" w:sz="4" w:space="0" w:color="BFBFBF"/>
            </w:tcBorders>
            <w:shd w:val="clear" w:color="auto" w:fill="auto"/>
            <w:vAlign w:val="center"/>
            <w:hideMark/>
          </w:tcPr>
          <w:p w14:paraId="760E5FA1" w14:textId="66F61272" w:rsidR="000755DF" w:rsidRPr="004244EB" w:rsidRDefault="006C33B7" w:rsidP="009F6DFE">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2077A232" w14:textId="5B5271B8" w:rsidR="000755DF" w:rsidRPr="004244EB" w:rsidRDefault="006C33B7" w:rsidP="009F6DFE">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289611A3" w14:textId="27762382" w:rsidR="000755DF" w:rsidRPr="00DC75B2" w:rsidRDefault="000755DF" w:rsidP="004F1029">
            <w:pPr>
              <w:widowControl/>
              <w:autoSpaceDE/>
              <w:autoSpaceDN/>
              <w:jc w:val="right"/>
              <w:rPr>
                <w:rFonts w:ascii="Arial Narrow" w:eastAsia="Times New Roman" w:hAnsi="Arial Narrow"/>
                <w:color w:val="002839"/>
              </w:rPr>
            </w:pPr>
            <w:r>
              <w:rPr>
                <w:rFonts w:ascii="Arial Narrow" w:hAnsi="Arial Narrow"/>
                <w:color w:val="002839"/>
              </w:rPr>
              <w:t>22 000</w:t>
            </w:r>
          </w:p>
        </w:tc>
        <w:tc>
          <w:tcPr>
            <w:tcW w:w="1520" w:type="dxa"/>
            <w:tcBorders>
              <w:top w:val="nil"/>
              <w:left w:val="nil"/>
              <w:bottom w:val="single" w:sz="4" w:space="0" w:color="BFBFBF"/>
              <w:right w:val="single" w:sz="4" w:space="0" w:color="BFBFBF"/>
            </w:tcBorders>
            <w:shd w:val="clear" w:color="auto" w:fill="auto"/>
            <w:vAlign w:val="center"/>
            <w:hideMark/>
          </w:tcPr>
          <w:p w14:paraId="202F59E8" w14:textId="58F1E126" w:rsidR="000755DF" w:rsidRPr="00DC75B2" w:rsidRDefault="006C33B7" w:rsidP="009F6DFE">
            <w:pPr>
              <w:widowControl/>
              <w:autoSpaceDE/>
              <w:autoSpaceDN/>
              <w:jc w:val="right"/>
              <w:rPr>
                <w:rFonts w:ascii="Arial Narrow" w:eastAsia="Times New Roman" w:hAnsi="Arial Narrow"/>
                <w:color w:val="000000"/>
              </w:rPr>
            </w:pPr>
            <w:r>
              <w:rPr>
                <w:rFonts w:ascii="Arial Narrow" w:hAnsi="Arial Narrow"/>
                <w:color w:val="000000"/>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5398DBE4" w14:textId="0FB5E844" w:rsidR="000755DF" w:rsidRPr="004244EB" w:rsidRDefault="000755DF" w:rsidP="004F1029">
            <w:pPr>
              <w:widowControl/>
              <w:autoSpaceDE/>
              <w:autoSpaceDN/>
              <w:jc w:val="right"/>
              <w:rPr>
                <w:rFonts w:ascii="Arial Narrow" w:eastAsia="Times New Roman" w:hAnsi="Arial Narrow"/>
                <w:color w:val="002839"/>
              </w:rPr>
            </w:pPr>
            <w:r>
              <w:rPr>
                <w:rFonts w:ascii="Arial Narrow" w:hAnsi="Arial Narrow"/>
                <w:color w:val="002839"/>
              </w:rPr>
              <w:t>10 000</w:t>
            </w:r>
          </w:p>
        </w:tc>
        <w:tc>
          <w:tcPr>
            <w:tcW w:w="1375" w:type="dxa"/>
            <w:tcBorders>
              <w:top w:val="nil"/>
              <w:left w:val="nil"/>
              <w:bottom w:val="single" w:sz="4" w:space="0" w:color="BFBFBF"/>
              <w:right w:val="single" w:sz="4" w:space="0" w:color="BFBFBF"/>
            </w:tcBorders>
            <w:shd w:val="clear" w:color="auto" w:fill="auto"/>
            <w:noWrap/>
            <w:vAlign w:val="center"/>
            <w:hideMark/>
          </w:tcPr>
          <w:p w14:paraId="2A38A607" w14:textId="3D8D0EDD" w:rsidR="000755DF" w:rsidRPr="00DC75B2" w:rsidRDefault="00184A65" w:rsidP="004F1029">
            <w:pPr>
              <w:widowControl/>
              <w:autoSpaceDE/>
              <w:autoSpaceDN/>
              <w:jc w:val="right"/>
              <w:rPr>
                <w:rFonts w:ascii="Arial Narrow" w:eastAsia="Times New Roman" w:hAnsi="Arial Narrow"/>
                <w:color w:val="002839"/>
              </w:rPr>
            </w:pPr>
            <w:r>
              <w:rPr>
                <w:rFonts w:ascii="Arial Narrow" w:hAnsi="Arial Narrow"/>
                <w:color w:val="002839"/>
              </w:rPr>
              <w:t>32 000</w:t>
            </w:r>
          </w:p>
        </w:tc>
      </w:tr>
      <w:tr w:rsidR="000755DF" w:rsidRPr="00DC75B2" w14:paraId="14D09999" w14:textId="77777777" w:rsidTr="006450DB">
        <w:trPr>
          <w:trHeight w:val="1342"/>
        </w:trPr>
        <w:tc>
          <w:tcPr>
            <w:tcW w:w="4201" w:type="dxa"/>
            <w:tcBorders>
              <w:top w:val="nil"/>
              <w:left w:val="single" w:sz="4" w:space="0" w:color="BFBFBF"/>
              <w:bottom w:val="single" w:sz="4" w:space="0" w:color="BFBFBF"/>
              <w:right w:val="single" w:sz="4" w:space="0" w:color="BFBFBF"/>
            </w:tcBorders>
            <w:shd w:val="clear" w:color="auto" w:fill="auto"/>
            <w:vAlign w:val="center"/>
            <w:hideMark/>
          </w:tcPr>
          <w:p w14:paraId="4E3E1459" w14:textId="12539C57" w:rsidR="000755DF" w:rsidRPr="0087431C" w:rsidRDefault="0087431C" w:rsidP="000755DF">
            <w:pPr>
              <w:widowControl/>
              <w:autoSpaceDE/>
              <w:autoSpaceDN/>
              <w:rPr>
                <w:rFonts w:ascii="Arial Narrow" w:eastAsia="Times New Roman" w:hAnsi="Arial Narrow"/>
                <w:color w:val="002839"/>
              </w:rPr>
            </w:pPr>
            <w:r>
              <w:rPr>
                <w:rFonts w:ascii="Arial Narrow" w:hAnsi="Arial Narrow"/>
              </w:rPr>
              <w:t xml:space="preserve">Élaboration et prestation de formations dans chacun des pays bénéficiaires </w:t>
            </w:r>
            <w:r w:rsidR="00163FE3">
              <w:rPr>
                <w:rFonts w:ascii="Arial Narrow" w:hAnsi="Arial Narrow"/>
              </w:rPr>
              <w:t xml:space="preserve">sur </w:t>
            </w:r>
            <w:r>
              <w:rPr>
                <w:rFonts w:ascii="Arial Narrow" w:hAnsi="Arial Narrow"/>
              </w:rPr>
              <w:t>l</w:t>
            </w:r>
            <w:r w:rsidR="00D968EE">
              <w:rPr>
                <w:rFonts w:ascii="Arial Narrow" w:hAnsi="Arial Narrow"/>
              </w:rPr>
              <w:t>’</w:t>
            </w:r>
            <w:r>
              <w:rPr>
                <w:rFonts w:ascii="Arial Narrow" w:hAnsi="Arial Narrow"/>
                <w:color w:val="002839"/>
              </w:rPr>
              <w:t>écosystème numérique et l</w:t>
            </w:r>
            <w:r w:rsidR="00D968EE">
              <w:rPr>
                <w:rFonts w:ascii="Arial Narrow" w:hAnsi="Arial Narrow"/>
                <w:color w:val="002839"/>
              </w:rPr>
              <w:t>’</w:t>
            </w:r>
            <w:r>
              <w:rPr>
                <w:rFonts w:ascii="Arial Narrow" w:hAnsi="Arial Narrow"/>
                <w:color w:val="002839"/>
              </w:rPr>
              <w:t>importance de renforcer le respect</w:t>
            </w:r>
            <w:r>
              <w:rPr>
                <w:rFonts w:ascii="Arial Narrow" w:hAnsi="Arial Narrow"/>
              </w:rPr>
              <w:t xml:space="preserve"> de la propriété intellectuelle dans l</w:t>
            </w:r>
            <w:r w:rsidR="00D968EE">
              <w:rPr>
                <w:rFonts w:ascii="Arial Narrow" w:hAnsi="Arial Narrow"/>
              </w:rPr>
              <w:t>’</w:t>
            </w:r>
            <w:r>
              <w:rPr>
                <w:rFonts w:ascii="Arial Narrow" w:hAnsi="Arial Narrow"/>
              </w:rPr>
              <w:t>environnement numérique</w:t>
            </w:r>
          </w:p>
        </w:tc>
        <w:tc>
          <w:tcPr>
            <w:tcW w:w="1276" w:type="dxa"/>
            <w:tcBorders>
              <w:top w:val="nil"/>
              <w:left w:val="nil"/>
              <w:bottom w:val="single" w:sz="4" w:space="0" w:color="BFBFBF"/>
              <w:right w:val="single" w:sz="4" w:space="0" w:color="BFBFBF"/>
            </w:tcBorders>
            <w:shd w:val="clear" w:color="auto" w:fill="auto"/>
            <w:vAlign w:val="center"/>
            <w:hideMark/>
          </w:tcPr>
          <w:p w14:paraId="3E9F779E" w14:textId="7DCC2298" w:rsidR="000755DF" w:rsidRPr="00DC75B2" w:rsidRDefault="006C33B7" w:rsidP="009F6DFE">
            <w:pPr>
              <w:widowControl/>
              <w:autoSpaceDE/>
              <w:autoSpaceDN/>
              <w:jc w:val="right"/>
              <w:rPr>
                <w:rFonts w:ascii="Arial Narrow" w:eastAsia="Times New Roman" w:hAnsi="Arial Narrow"/>
                <w:color w:val="000000"/>
              </w:rPr>
            </w:pPr>
            <w:r>
              <w:rPr>
                <w:rFonts w:ascii="Arial Narrow" w:hAnsi="Arial Narrow"/>
                <w:color w:val="000000"/>
              </w:rPr>
              <w:t xml:space="preserve"> – </w:t>
            </w:r>
          </w:p>
        </w:tc>
        <w:tc>
          <w:tcPr>
            <w:tcW w:w="1578" w:type="dxa"/>
            <w:tcBorders>
              <w:top w:val="nil"/>
              <w:left w:val="nil"/>
              <w:bottom w:val="single" w:sz="4" w:space="0" w:color="BFBFBF"/>
              <w:right w:val="single" w:sz="4" w:space="0" w:color="BFBFBF"/>
            </w:tcBorders>
            <w:shd w:val="clear" w:color="auto" w:fill="auto"/>
            <w:vAlign w:val="center"/>
            <w:hideMark/>
          </w:tcPr>
          <w:p w14:paraId="06BCC7B6" w14:textId="209C4BAC" w:rsidR="000755DF" w:rsidRPr="00DC75B2" w:rsidRDefault="006C33B7" w:rsidP="009F6DFE">
            <w:pPr>
              <w:widowControl/>
              <w:autoSpaceDE/>
              <w:autoSpaceDN/>
              <w:jc w:val="right"/>
              <w:rPr>
                <w:rFonts w:ascii="Arial Narrow" w:eastAsia="Times New Roman" w:hAnsi="Arial Narrow"/>
                <w:color w:val="000000"/>
              </w:rPr>
            </w:pPr>
            <w:r>
              <w:rPr>
                <w:rFonts w:ascii="Arial Narrow" w:hAnsi="Arial Narrow"/>
                <w:color w:val="000000"/>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13464665" w14:textId="260E6F4D" w:rsidR="000755DF" w:rsidRPr="00DC75B2" w:rsidRDefault="006C33B7" w:rsidP="009F6DFE">
            <w:pPr>
              <w:widowControl/>
              <w:autoSpaceDE/>
              <w:autoSpaceDN/>
              <w:jc w:val="right"/>
              <w:rPr>
                <w:rFonts w:ascii="Arial Narrow" w:eastAsia="Times New Roman" w:hAnsi="Arial Narrow"/>
                <w:color w:val="000000"/>
              </w:rPr>
            </w:pPr>
            <w:r>
              <w:rPr>
                <w:rFonts w:ascii="Arial Narrow" w:hAnsi="Arial Narrow"/>
                <w:color w:val="000000"/>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0A0749CA" w14:textId="6A390FCB" w:rsidR="000755DF" w:rsidRPr="00DC75B2" w:rsidRDefault="006C33B7" w:rsidP="009F6DFE">
            <w:pPr>
              <w:widowControl/>
              <w:autoSpaceDE/>
              <w:autoSpaceDN/>
              <w:jc w:val="right"/>
              <w:rPr>
                <w:rFonts w:ascii="Arial Narrow" w:eastAsia="Times New Roman" w:hAnsi="Arial Narrow"/>
                <w:color w:val="000000"/>
              </w:rPr>
            </w:pPr>
            <w:r>
              <w:rPr>
                <w:rFonts w:ascii="Arial Narrow" w:hAnsi="Arial Narrow"/>
                <w:color w:val="000000"/>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54A68D98" w14:textId="241D7D6D" w:rsidR="000755DF" w:rsidRPr="00DC75B2" w:rsidRDefault="006C33B7" w:rsidP="009F6DFE">
            <w:pPr>
              <w:widowControl/>
              <w:autoSpaceDE/>
              <w:autoSpaceDN/>
              <w:jc w:val="right"/>
              <w:rPr>
                <w:rFonts w:ascii="Arial Narrow" w:eastAsia="Times New Roman" w:hAnsi="Arial Narrow"/>
                <w:color w:val="000000"/>
              </w:rPr>
            </w:pPr>
            <w:r>
              <w:rPr>
                <w:rFonts w:ascii="Arial Narrow" w:hAnsi="Arial Narrow"/>
                <w:color w:val="000000"/>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1492D770" w14:textId="328737AF" w:rsidR="000755DF" w:rsidRPr="004244EB" w:rsidRDefault="000755DF" w:rsidP="004F1029">
            <w:pPr>
              <w:widowControl/>
              <w:autoSpaceDE/>
              <w:autoSpaceDN/>
              <w:jc w:val="right"/>
              <w:rPr>
                <w:rFonts w:ascii="Arial Narrow" w:eastAsia="Times New Roman" w:hAnsi="Arial Narrow"/>
                <w:color w:val="002839"/>
              </w:rPr>
            </w:pPr>
            <w:r>
              <w:rPr>
                <w:rFonts w:ascii="Arial Narrow" w:hAnsi="Arial Narrow"/>
                <w:color w:val="002839"/>
              </w:rPr>
              <w:t>112 000</w:t>
            </w:r>
          </w:p>
        </w:tc>
        <w:tc>
          <w:tcPr>
            <w:tcW w:w="1375" w:type="dxa"/>
            <w:tcBorders>
              <w:top w:val="nil"/>
              <w:left w:val="nil"/>
              <w:bottom w:val="single" w:sz="4" w:space="0" w:color="BFBFBF"/>
              <w:right w:val="single" w:sz="4" w:space="0" w:color="BFBFBF"/>
            </w:tcBorders>
            <w:shd w:val="clear" w:color="auto" w:fill="auto"/>
            <w:noWrap/>
            <w:vAlign w:val="center"/>
            <w:hideMark/>
          </w:tcPr>
          <w:p w14:paraId="605FA7A5" w14:textId="79B7F838" w:rsidR="000755DF" w:rsidRPr="00DC75B2" w:rsidRDefault="00184A65" w:rsidP="004F1029">
            <w:pPr>
              <w:widowControl/>
              <w:autoSpaceDE/>
              <w:autoSpaceDN/>
              <w:jc w:val="right"/>
              <w:rPr>
                <w:rFonts w:ascii="Arial Narrow" w:eastAsia="Times New Roman" w:hAnsi="Arial Narrow"/>
                <w:color w:val="002839"/>
              </w:rPr>
            </w:pPr>
            <w:r>
              <w:rPr>
                <w:rFonts w:ascii="Arial Narrow" w:hAnsi="Arial Narrow"/>
                <w:color w:val="002839"/>
              </w:rPr>
              <w:t>112 000</w:t>
            </w:r>
          </w:p>
        </w:tc>
      </w:tr>
      <w:tr w:rsidR="000755DF" w:rsidRPr="00DC75B2" w14:paraId="1765A66B" w14:textId="77777777" w:rsidTr="006450DB">
        <w:trPr>
          <w:trHeight w:val="523"/>
        </w:trPr>
        <w:tc>
          <w:tcPr>
            <w:tcW w:w="4201" w:type="dxa"/>
            <w:tcBorders>
              <w:top w:val="nil"/>
              <w:left w:val="single" w:sz="4" w:space="0" w:color="BFBFBF"/>
              <w:bottom w:val="single" w:sz="4" w:space="0" w:color="BFBFBF"/>
              <w:right w:val="single" w:sz="4" w:space="0" w:color="BFBFBF"/>
            </w:tcBorders>
            <w:shd w:val="clear" w:color="auto" w:fill="auto"/>
            <w:vAlign w:val="center"/>
            <w:hideMark/>
          </w:tcPr>
          <w:p w14:paraId="72553ECB" w14:textId="3DBACCD8" w:rsidR="000755DF" w:rsidRPr="00A37351" w:rsidRDefault="000755DF" w:rsidP="000755DF">
            <w:pPr>
              <w:widowControl/>
              <w:autoSpaceDE/>
              <w:autoSpaceDN/>
              <w:rPr>
                <w:rFonts w:ascii="Arial Narrow" w:eastAsia="Times New Roman" w:hAnsi="Arial Narrow"/>
                <w:color w:val="002839"/>
              </w:rPr>
            </w:pPr>
            <w:r>
              <w:rPr>
                <w:rFonts w:ascii="Arial Narrow" w:hAnsi="Arial Narrow"/>
                <w:color w:val="002839"/>
              </w:rPr>
              <w:t>Matériel de promotion et diffusion des résultats des p</w:t>
            </w:r>
            <w:r w:rsidR="001C274D">
              <w:rPr>
                <w:rFonts w:ascii="Arial Narrow" w:hAnsi="Arial Narrow"/>
                <w:color w:val="002839"/>
              </w:rPr>
              <w:t>rojets</w:t>
            </w:r>
          </w:p>
        </w:tc>
        <w:tc>
          <w:tcPr>
            <w:tcW w:w="1276" w:type="dxa"/>
            <w:tcBorders>
              <w:top w:val="nil"/>
              <w:left w:val="nil"/>
              <w:bottom w:val="single" w:sz="4" w:space="0" w:color="BFBFBF"/>
              <w:right w:val="single" w:sz="4" w:space="0" w:color="BFBFBF"/>
            </w:tcBorders>
            <w:shd w:val="clear" w:color="auto" w:fill="auto"/>
            <w:vAlign w:val="center"/>
            <w:hideMark/>
          </w:tcPr>
          <w:p w14:paraId="4B56EC07" w14:textId="28B26572" w:rsidR="000755DF" w:rsidRPr="00DC75B2" w:rsidRDefault="006C33B7" w:rsidP="009F6DFE">
            <w:pPr>
              <w:widowControl/>
              <w:autoSpaceDE/>
              <w:autoSpaceDN/>
              <w:jc w:val="right"/>
              <w:rPr>
                <w:rFonts w:ascii="Arial Narrow" w:eastAsia="Times New Roman" w:hAnsi="Arial Narrow"/>
                <w:color w:val="000000"/>
              </w:rPr>
            </w:pPr>
            <w:r>
              <w:rPr>
                <w:rFonts w:ascii="Arial Narrow" w:hAnsi="Arial Narrow"/>
                <w:color w:val="000000"/>
              </w:rPr>
              <w:t xml:space="preserve"> – </w:t>
            </w:r>
          </w:p>
        </w:tc>
        <w:tc>
          <w:tcPr>
            <w:tcW w:w="1578" w:type="dxa"/>
            <w:tcBorders>
              <w:top w:val="nil"/>
              <w:left w:val="nil"/>
              <w:bottom w:val="single" w:sz="4" w:space="0" w:color="BFBFBF"/>
              <w:right w:val="single" w:sz="4" w:space="0" w:color="BFBFBF"/>
            </w:tcBorders>
            <w:shd w:val="clear" w:color="auto" w:fill="auto"/>
            <w:vAlign w:val="center"/>
            <w:hideMark/>
          </w:tcPr>
          <w:p w14:paraId="60A9B32A" w14:textId="66BCF5B1" w:rsidR="000755DF" w:rsidRPr="00DC75B2" w:rsidRDefault="006C33B7" w:rsidP="009F6DFE">
            <w:pPr>
              <w:widowControl/>
              <w:autoSpaceDE/>
              <w:autoSpaceDN/>
              <w:jc w:val="right"/>
              <w:rPr>
                <w:rFonts w:ascii="Arial Narrow" w:eastAsia="Times New Roman" w:hAnsi="Arial Narrow"/>
                <w:color w:val="000000"/>
              </w:rPr>
            </w:pPr>
            <w:r>
              <w:rPr>
                <w:rFonts w:ascii="Arial Narrow" w:hAnsi="Arial Narrow"/>
                <w:color w:val="000000"/>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694B3E4D" w14:textId="4BFF18A6" w:rsidR="000755DF" w:rsidRPr="00DC75B2" w:rsidRDefault="006C33B7" w:rsidP="009F6DFE">
            <w:pPr>
              <w:widowControl/>
              <w:autoSpaceDE/>
              <w:autoSpaceDN/>
              <w:jc w:val="right"/>
              <w:rPr>
                <w:rFonts w:ascii="Arial Narrow" w:eastAsia="Times New Roman" w:hAnsi="Arial Narrow"/>
                <w:color w:val="000000"/>
              </w:rPr>
            </w:pPr>
            <w:r>
              <w:rPr>
                <w:rFonts w:ascii="Arial Narrow" w:hAnsi="Arial Narrow"/>
                <w:color w:val="000000"/>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06A20D55" w14:textId="78CF4DD6" w:rsidR="000755DF" w:rsidRPr="00DC75B2" w:rsidRDefault="006C33B7" w:rsidP="009F6DFE">
            <w:pPr>
              <w:widowControl/>
              <w:autoSpaceDE/>
              <w:autoSpaceDN/>
              <w:jc w:val="right"/>
              <w:rPr>
                <w:rFonts w:ascii="Arial Narrow" w:eastAsia="Times New Roman" w:hAnsi="Arial Narrow"/>
                <w:color w:val="000000"/>
              </w:rPr>
            </w:pPr>
            <w:r>
              <w:rPr>
                <w:rFonts w:ascii="Arial Narrow" w:hAnsi="Arial Narrow"/>
                <w:color w:val="000000"/>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11E624F0" w14:textId="024013DC" w:rsidR="000755DF" w:rsidRPr="00DC75B2" w:rsidRDefault="006C33B7" w:rsidP="009F6DFE">
            <w:pPr>
              <w:widowControl/>
              <w:autoSpaceDE/>
              <w:autoSpaceDN/>
              <w:jc w:val="right"/>
              <w:rPr>
                <w:rFonts w:ascii="Arial Narrow" w:eastAsia="Times New Roman" w:hAnsi="Arial Narrow"/>
                <w:color w:val="000000"/>
              </w:rPr>
            </w:pPr>
            <w:r>
              <w:rPr>
                <w:rFonts w:ascii="Arial Narrow" w:hAnsi="Arial Narrow"/>
                <w:color w:val="000000"/>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4523C15C" w14:textId="06B84970" w:rsidR="000755DF" w:rsidRPr="004244EB" w:rsidRDefault="000755DF" w:rsidP="004F1029">
            <w:pPr>
              <w:widowControl/>
              <w:autoSpaceDE/>
              <w:autoSpaceDN/>
              <w:jc w:val="right"/>
              <w:rPr>
                <w:rFonts w:ascii="Arial Narrow" w:eastAsia="Times New Roman" w:hAnsi="Arial Narrow"/>
                <w:color w:val="002839"/>
              </w:rPr>
            </w:pPr>
            <w:r>
              <w:rPr>
                <w:rFonts w:ascii="Arial Narrow" w:hAnsi="Arial Narrow"/>
                <w:color w:val="002839"/>
              </w:rPr>
              <w:t>40 000</w:t>
            </w:r>
          </w:p>
        </w:tc>
        <w:tc>
          <w:tcPr>
            <w:tcW w:w="1375" w:type="dxa"/>
            <w:tcBorders>
              <w:top w:val="nil"/>
              <w:left w:val="nil"/>
              <w:bottom w:val="single" w:sz="4" w:space="0" w:color="BFBFBF"/>
              <w:right w:val="single" w:sz="4" w:space="0" w:color="BFBFBF"/>
            </w:tcBorders>
            <w:shd w:val="clear" w:color="auto" w:fill="auto"/>
            <w:noWrap/>
            <w:vAlign w:val="center"/>
            <w:hideMark/>
          </w:tcPr>
          <w:p w14:paraId="07BDCCC7" w14:textId="43C3EA6B" w:rsidR="000755DF" w:rsidRPr="00DC75B2" w:rsidRDefault="004F1029" w:rsidP="004F1029">
            <w:pPr>
              <w:widowControl/>
              <w:autoSpaceDE/>
              <w:autoSpaceDN/>
              <w:jc w:val="right"/>
              <w:rPr>
                <w:rFonts w:ascii="Arial Narrow" w:eastAsia="Times New Roman" w:hAnsi="Arial Narrow"/>
                <w:color w:val="002839"/>
              </w:rPr>
            </w:pPr>
            <w:r>
              <w:rPr>
                <w:rFonts w:ascii="Arial Narrow" w:hAnsi="Arial Narrow"/>
                <w:color w:val="002839"/>
              </w:rPr>
              <w:t>40 000</w:t>
            </w:r>
          </w:p>
        </w:tc>
      </w:tr>
      <w:tr w:rsidR="000755DF" w:rsidRPr="00DC75B2" w14:paraId="570A5528" w14:textId="77777777" w:rsidTr="006450DB">
        <w:trPr>
          <w:trHeight w:val="280"/>
        </w:trPr>
        <w:tc>
          <w:tcPr>
            <w:tcW w:w="4201" w:type="dxa"/>
            <w:tcBorders>
              <w:top w:val="nil"/>
              <w:left w:val="single" w:sz="4" w:space="0" w:color="BFBFBF"/>
              <w:bottom w:val="single" w:sz="4" w:space="0" w:color="BFBFBF"/>
              <w:right w:val="single" w:sz="4" w:space="0" w:color="BFBFBF"/>
            </w:tcBorders>
            <w:shd w:val="clear" w:color="auto" w:fill="auto"/>
            <w:vAlign w:val="center"/>
            <w:hideMark/>
          </w:tcPr>
          <w:p w14:paraId="31AE0C39" w14:textId="3D953F72" w:rsidR="000755DF" w:rsidRPr="00A37351" w:rsidRDefault="000755DF" w:rsidP="000755DF">
            <w:pPr>
              <w:widowControl/>
              <w:autoSpaceDE/>
              <w:autoSpaceDN/>
              <w:rPr>
                <w:rFonts w:ascii="Arial Narrow" w:eastAsia="Times New Roman" w:hAnsi="Arial Narrow"/>
                <w:color w:val="7030A0"/>
              </w:rPr>
            </w:pPr>
            <w:r w:rsidRPr="00C113F6">
              <w:rPr>
                <w:rFonts w:ascii="Arial Narrow" w:hAnsi="Arial Narrow"/>
                <w:color w:val="002839"/>
              </w:rPr>
              <w:t>Évaluation du projet</w:t>
            </w:r>
          </w:p>
        </w:tc>
        <w:tc>
          <w:tcPr>
            <w:tcW w:w="1276" w:type="dxa"/>
            <w:tcBorders>
              <w:top w:val="nil"/>
              <w:left w:val="nil"/>
              <w:bottom w:val="single" w:sz="4" w:space="0" w:color="BFBFBF"/>
              <w:right w:val="single" w:sz="4" w:space="0" w:color="BFBFBF"/>
            </w:tcBorders>
            <w:shd w:val="clear" w:color="auto" w:fill="auto"/>
            <w:vAlign w:val="center"/>
            <w:hideMark/>
          </w:tcPr>
          <w:p w14:paraId="7D17A6C4" w14:textId="7F0CA003" w:rsidR="000755DF" w:rsidRPr="00DC75B2" w:rsidRDefault="006C33B7" w:rsidP="009F6DFE">
            <w:pPr>
              <w:widowControl/>
              <w:autoSpaceDE/>
              <w:autoSpaceDN/>
              <w:jc w:val="right"/>
              <w:rPr>
                <w:rFonts w:ascii="Arial Narrow" w:eastAsia="Times New Roman" w:hAnsi="Arial Narrow"/>
                <w:color w:val="000000"/>
              </w:rPr>
            </w:pPr>
            <w:r>
              <w:rPr>
                <w:rFonts w:ascii="Arial Narrow" w:hAnsi="Arial Narrow"/>
                <w:color w:val="000000"/>
              </w:rPr>
              <w:t xml:space="preserve"> – </w:t>
            </w:r>
          </w:p>
        </w:tc>
        <w:tc>
          <w:tcPr>
            <w:tcW w:w="1578" w:type="dxa"/>
            <w:tcBorders>
              <w:top w:val="nil"/>
              <w:left w:val="nil"/>
              <w:bottom w:val="single" w:sz="4" w:space="0" w:color="BFBFBF"/>
              <w:right w:val="single" w:sz="4" w:space="0" w:color="BFBFBF"/>
            </w:tcBorders>
            <w:shd w:val="clear" w:color="auto" w:fill="auto"/>
            <w:vAlign w:val="center"/>
            <w:hideMark/>
          </w:tcPr>
          <w:p w14:paraId="0F65B906" w14:textId="628C252E" w:rsidR="000755DF" w:rsidRPr="00DC75B2" w:rsidRDefault="006C33B7" w:rsidP="009F6DFE">
            <w:pPr>
              <w:widowControl/>
              <w:autoSpaceDE/>
              <w:autoSpaceDN/>
              <w:jc w:val="right"/>
              <w:rPr>
                <w:rFonts w:ascii="Arial Narrow" w:eastAsia="Times New Roman" w:hAnsi="Arial Narrow"/>
                <w:color w:val="000000"/>
              </w:rPr>
            </w:pPr>
            <w:r>
              <w:rPr>
                <w:rFonts w:ascii="Arial Narrow" w:hAnsi="Arial Narrow"/>
                <w:color w:val="000000"/>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4C77CC8F" w14:textId="5309D850" w:rsidR="000755DF" w:rsidRPr="00DC75B2" w:rsidRDefault="006C33B7" w:rsidP="009F6DFE">
            <w:pPr>
              <w:widowControl/>
              <w:autoSpaceDE/>
              <w:autoSpaceDN/>
              <w:jc w:val="right"/>
              <w:rPr>
                <w:rFonts w:ascii="Arial Narrow" w:eastAsia="Times New Roman" w:hAnsi="Arial Narrow"/>
                <w:color w:val="000000"/>
              </w:rPr>
            </w:pPr>
            <w:r>
              <w:rPr>
                <w:rFonts w:ascii="Arial Narrow" w:hAnsi="Arial Narrow"/>
                <w:color w:val="000000"/>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2AEF5853" w14:textId="463F36A5" w:rsidR="000755DF" w:rsidRPr="00DC75B2" w:rsidRDefault="006C33B7" w:rsidP="009F6DFE">
            <w:pPr>
              <w:widowControl/>
              <w:autoSpaceDE/>
              <w:autoSpaceDN/>
              <w:jc w:val="right"/>
              <w:rPr>
                <w:rFonts w:ascii="Arial Narrow" w:eastAsia="Times New Roman" w:hAnsi="Arial Narrow"/>
                <w:color w:val="000000"/>
              </w:rPr>
            </w:pPr>
            <w:r>
              <w:rPr>
                <w:rFonts w:ascii="Arial Narrow" w:hAnsi="Arial Narrow"/>
                <w:color w:val="000000"/>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3B1C41D8" w14:textId="3F764E87" w:rsidR="000755DF" w:rsidRPr="00DC75B2" w:rsidRDefault="006C33B7" w:rsidP="009F6DFE">
            <w:pPr>
              <w:widowControl/>
              <w:autoSpaceDE/>
              <w:autoSpaceDN/>
              <w:jc w:val="right"/>
              <w:rPr>
                <w:rFonts w:ascii="Arial Narrow" w:eastAsia="Times New Roman" w:hAnsi="Arial Narrow"/>
                <w:color w:val="000000"/>
              </w:rPr>
            </w:pPr>
            <w:r>
              <w:rPr>
                <w:rFonts w:ascii="Arial Narrow" w:hAnsi="Arial Narrow"/>
                <w:color w:val="000000"/>
              </w:rPr>
              <w:t xml:space="preserve"> – </w:t>
            </w:r>
            <w:r w:rsidR="000755DF">
              <w:rPr>
                <w:rFonts w:ascii="Arial Narrow" w:hAnsi="Arial Narrow"/>
                <w:color w:val="000000"/>
              </w:rPr>
              <w:t xml:space="preserve">  </w:t>
            </w:r>
          </w:p>
        </w:tc>
        <w:tc>
          <w:tcPr>
            <w:tcW w:w="1520" w:type="dxa"/>
            <w:tcBorders>
              <w:top w:val="nil"/>
              <w:left w:val="nil"/>
              <w:bottom w:val="single" w:sz="4" w:space="0" w:color="BFBFBF"/>
              <w:right w:val="single" w:sz="4" w:space="0" w:color="BFBFBF"/>
            </w:tcBorders>
            <w:shd w:val="clear" w:color="auto" w:fill="auto"/>
            <w:vAlign w:val="center"/>
            <w:hideMark/>
          </w:tcPr>
          <w:p w14:paraId="4616BF34" w14:textId="291AA8E3" w:rsidR="000755DF" w:rsidRPr="004244EB" w:rsidRDefault="000755DF" w:rsidP="004F1029">
            <w:pPr>
              <w:widowControl/>
              <w:autoSpaceDE/>
              <w:autoSpaceDN/>
              <w:jc w:val="right"/>
              <w:rPr>
                <w:rFonts w:ascii="Arial Narrow" w:eastAsia="Times New Roman" w:hAnsi="Arial Narrow"/>
                <w:color w:val="002839"/>
              </w:rPr>
            </w:pPr>
            <w:r>
              <w:rPr>
                <w:rFonts w:ascii="Arial Narrow" w:hAnsi="Arial Narrow"/>
                <w:color w:val="002839"/>
              </w:rPr>
              <w:t>15 000</w:t>
            </w:r>
          </w:p>
        </w:tc>
        <w:tc>
          <w:tcPr>
            <w:tcW w:w="1375" w:type="dxa"/>
            <w:tcBorders>
              <w:top w:val="nil"/>
              <w:left w:val="nil"/>
              <w:bottom w:val="single" w:sz="4" w:space="0" w:color="BFBFBF"/>
              <w:right w:val="single" w:sz="4" w:space="0" w:color="BFBFBF"/>
            </w:tcBorders>
            <w:shd w:val="clear" w:color="auto" w:fill="auto"/>
            <w:noWrap/>
            <w:vAlign w:val="center"/>
            <w:hideMark/>
          </w:tcPr>
          <w:p w14:paraId="71B20F85" w14:textId="4A047669" w:rsidR="000755DF" w:rsidRPr="00DC75B2" w:rsidRDefault="00184A65" w:rsidP="009F6DFE">
            <w:pPr>
              <w:widowControl/>
              <w:autoSpaceDE/>
              <w:autoSpaceDN/>
              <w:jc w:val="right"/>
              <w:rPr>
                <w:rFonts w:ascii="Arial Narrow" w:eastAsia="Times New Roman" w:hAnsi="Arial Narrow"/>
                <w:color w:val="002839"/>
              </w:rPr>
            </w:pPr>
            <w:r>
              <w:rPr>
                <w:rFonts w:ascii="Arial Narrow" w:hAnsi="Arial Narrow"/>
                <w:color w:val="002839"/>
              </w:rPr>
              <w:t xml:space="preserve">15 000 </w:t>
            </w:r>
          </w:p>
        </w:tc>
      </w:tr>
      <w:tr w:rsidR="000755DF" w:rsidRPr="00DC75B2" w14:paraId="610F6411" w14:textId="77777777" w:rsidTr="006450DB">
        <w:trPr>
          <w:trHeight w:val="289"/>
        </w:trPr>
        <w:tc>
          <w:tcPr>
            <w:tcW w:w="4201" w:type="dxa"/>
            <w:tcBorders>
              <w:top w:val="nil"/>
              <w:left w:val="single" w:sz="4" w:space="0" w:color="BFBFBF"/>
              <w:bottom w:val="single" w:sz="4" w:space="0" w:color="BFBFBF"/>
              <w:right w:val="single" w:sz="4" w:space="0" w:color="BFBFBF"/>
            </w:tcBorders>
            <w:shd w:val="clear" w:color="000000" w:fill="EDF0F3"/>
            <w:vAlign w:val="bottom"/>
            <w:hideMark/>
          </w:tcPr>
          <w:p w14:paraId="4271B27A" w14:textId="429B9EBC" w:rsidR="000755DF" w:rsidRPr="00A37351" w:rsidRDefault="001C274D" w:rsidP="00184A65">
            <w:pPr>
              <w:widowControl/>
              <w:autoSpaceDE/>
              <w:autoSpaceDN/>
              <w:rPr>
                <w:rFonts w:ascii="Arial Narrow" w:eastAsia="Times New Roman" w:hAnsi="Arial Narrow"/>
                <w:b/>
                <w:bCs/>
                <w:color w:val="7030A0"/>
              </w:rPr>
            </w:pPr>
            <w:r>
              <w:rPr>
                <w:rFonts w:ascii="Arial Narrow" w:hAnsi="Arial Narrow"/>
                <w:b/>
              </w:rPr>
              <w:t>Total</w:t>
            </w:r>
          </w:p>
        </w:tc>
        <w:tc>
          <w:tcPr>
            <w:tcW w:w="1276" w:type="dxa"/>
            <w:tcBorders>
              <w:top w:val="nil"/>
              <w:left w:val="nil"/>
              <w:bottom w:val="single" w:sz="4" w:space="0" w:color="BFBFBF"/>
              <w:right w:val="single" w:sz="4" w:space="0" w:color="BFBFBF"/>
            </w:tcBorders>
            <w:shd w:val="clear" w:color="000000" w:fill="EDF0F3"/>
            <w:noWrap/>
            <w:vAlign w:val="center"/>
            <w:hideMark/>
          </w:tcPr>
          <w:p w14:paraId="1ED8CF15" w14:textId="65A59AE6" w:rsidR="000755DF" w:rsidRPr="00DC75B2" w:rsidRDefault="006C33B7" w:rsidP="009F6DFE">
            <w:pPr>
              <w:widowControl/>
              <w:autoSpaceDE/>
              <w:autoSpaceDN/>
              <w:jc w:val="right"/>
              <w:rPr>
                <w:rFonts w:ascii="Arial Narrow" w:eastAsia="Times New Roman" w:hAnsi="Arial Narrow"/>
                <w:b/>
                <w:bCs/>
                <w:color w:val="002839"/>
              </w:rPr>
            </w:pPr>
            <w:r>
              <w:rPr>
                <w:rFonts w:ascii="Arial Narrow" w:hAnsi="Arial Narrow"/>
                <w:b/>
                <w:color w:val="002839"/>
              </w:rPr>
              <w:t xml:space="preserve"> – </w:t>
            </w:r>
          </w:p>
        </w:tc>
        <w:tc>
          <w:tcPr>
            <w:tcW w:w="1578" w:type="dxa"/>
            <w:tcBorders>
              <w:top w:val="nil"/>
              <w:left w:val="nil"/>
              <w:bottom w:val="single" w:sz="4" w:space="0" w:color="BFBFBF"/>
              <w:right w:val="single" w:sz="4" w:space="0" w:color="BFBFBF"/>
            </w:tcBorders>
            <w:shd w:val="clear" w:color="000000" w:fill="EDF0F3"/>
            <w:noWrap/>
            <w:vAlign w:val="center"/>
            <w:hideMark/>
          </w:tcPr>
          <w:p w14:paraId="7E8D2D85" w14:textId="005C3EC9" w:rsidR="000755DF" w:rsidRPr="00DC75B2" w:rsidRDefault="00184A65" w:rsidP="004F1029">
            <w:pPr>
              <w:widowControl/>
              <w:autoSpaceDE/>
              <w:autoSpaceDN/>
              <w:jc w:val="right"/>
              <w:rPr>
                <w:rFonts w:ascii="Arial Narrow" w:eastAsia="Times New Roman" w:hAnsi="Arial Narrow"/>
                <w:b/>
                <w:bCs/>
                <w:color w:val="002839"/>
              </w:rPr>
            </w:pPr>
            <w:r>
              <w:rPr>
                <w:rFonts w:ascii="Arial Narrow" w:hAnsi="Arial Narrow"/>
                <w:b/>
                <w:color w:val="002839"/>
              </w:rPr>
              <w:t>64 000</w:t>
            </w:r>
          </w:p>
        </w:tc>
        <w:tc>
          <w:tcPr>
            <w:tcW w:w="1700" w:type="dxa"/>
            <w:tcBorders>
              <w:top w:val="nil"/>
              <w:left w:val="nil"/>
              <w:bottom w:val="single" w:sz="4" w:space="0" w:color="BFBFBF"/>
              <w:right w:val="single" w:sz="4" w:space="0" w:color="BFBFBF"/>
            </w:tcBorders>
            <w:shd w:val="clear" w:color="000000" w:fill="EDF0F3"/>
            <w:noWrap/>
            <w:vAlign w:val="center"/>
            <w:hideMark/>
          </w:tcPr>
          <w:p w14:paraId="09183FCE" w14:textId="7CE71EDF" w:rsidR="000755DF" w:rsidRPr="00DC75B2" w:rsidRDefault="006C33B7" w:rsidP="009F6DFE">
            <w:pPr>
              <w:widowControl/>
              <w:autoSpaceDE/>
              <w:autoSpaceDN/>
              <w:jc w:val="right"/>
              <w:rPr>
                <w:rFonts w:ascii="Arial Narrow" w:eastAsia="Times New Roman" w:hAnsi="Arial Narrow"/>
                <w:b/>
                <w:bCs/>
                <w:color w:val="002839"/>
              </w:rPr>
            </w:pPr>
            <w:r>
              <w:rPr>
                <w:rFonts w:ascii="Arial Narrow" w:hAnsi="Arial Narrow"/>
                <w:b/>
                <w:color w:val="002839"/>
              </w:rPr>
              <w:t xml:space="preserve"> – </w:t>
            </w:r>
          </w:p>
        </w:tc>
        <w:tc>
          <w:tcPr>
            <w:tcW w:w="1500" w:type="dxa"/>
            <w:tcBorders>
              <w:top w:val="nil"/>
              <w:left w:val="nil"/>
              <w:bottom w:val="single" w:sz="4" w:space="0" w:color="BFBFBF"/>
              <w:right w:val="single" w:sz="4" w:space="0" w:color="BFBFBF"/>
            </w:tcBorders>
            <w:shd w:val="clear" w:color="000000" w:fill="EDF0F3"/>
            <w:noWrap/>
            <w:vAlign w:val="center"/>
            <w:hideMark/>
          </w:tcPr>
          <w:p w14:paraId="02547850" w14:textId="264D681D" w:rsidR="000755DF" w:rsidRPr="00DC75B2" w:rsidRDefault="000755DF" w:rsidP="004F1029">
            <w:pPr>
              <w:widowControl/>
              <w:autoSpaceDE/>
              <w:autoSpaceDN/>
              <w:jc w:val="right"/>
              <w:rPr>
                <w:rFonts w:ascii="Arial Narrow" w:eastAsia="Times New Roman" w:hAnsi="Arial Narrow"/>
                <w:b/>
                <w:bCs/>
                <w:color w:val="002839"/>
              </w:rPr>
            </w:pPr>
            <w:r>
              <w:rPr>
                <w:rFonts w:ascii="Arial Narrow" w:hAnsi="Arial Narrow"/>
                <w:b/>
                <w:color w:val="002839"/>
              </w:rPr>
              <w:t>183 100</w:t>
            </w:r>
          </w:p>
        </w:tc>
        <w:tc>
          <w:tcPr>
            <w:tcW w:w="1520" w:type="dxa"/>
            <w:tcBorders>
              <w:top w:val="nil"/>
              <w:left w:val="nil"/>
              <w:bottom w:val="single" w:sz="4" w:space="0" w:color="BFBFBF"/>
              <w:right w:val="single" w:sz="4" w:space="0" w:color="BFBFBF"/>
            </w:tcBorders>
            <w:shd w:val="clear" w:color="000000" w:fill="EDF0F3"/>
            <w:noWrap/>
            <w:vAlign w:val="center"/>
            <w:hideMark/>
          </w:tcPr>
          <w:p w14:paraId="7D984A8F" w14:textId="36C9E04E" w:rsidR="000755DF" w:rsidRPr="00DC75B2" w:rsidRDefault="000755DF" w:rsidP="009F6DFE">
            <w:pPr>
              <w:widowControl/>
              <w:autoSpaceDE/>
              <w:autoSpaceDN/>
              <w:jc w:val="right"/>
              <w:rPr>
                <w:rFonts w:ascii="Arial Narrow" w:eastAsia="Times New Roman" w:hAnsi="Arial Narrow"/>
                <w:b/>
                <w:bCs/>
                <w:color w:val="002839"/>
              </w:rPr>
            </w:pPr>
            <w:r>
              <w:rPr>
                <w:rFonts w:ascii="Arial Narrow" w:hAnsi="Arial Narrow"/>
                <w:b/>
                <w:color w:val="002839"/>
              </w:rPr>
              <w:t xml:space="preserve"> </w:t>
            </w:r>
            <w:r w:rsidR="006C33B7">
              <w:rPr>
                <w:rFonts w:ascii="Arial Narrow" w:hAnsi="Arial Narrow"/>
                <w:b/>
                <w:color w:val="002839"/>
              </w:rPr>
              <w:t xml:space="preserve"> – </w:t>
            </w:r>
            <w:r>
              <w:rPr>
                <w:rFonts w:ascii="Arial Narrow" w:hAnsi="Arial Narrow"/>
                <w:b/>
                <w:color w:val="002839"/>
              </w:rPr>
              <w:t xml:space="preserve">  </w:t>
            </w:r>
          </w:p>
        </w:tc>
        <w:tc>
          <w:tcPr>
            <w:tcW w:w="1520" w:type="dxa"/>
            <w:tcBorders>
              <w:top w:val="nil"/>
              <w:left w:val="nil"/>
              <w:bottom w:val="single" w:sz="4" w:space="0" w:color="BFBFBF"/>
              <w:right w:val="single" w:sz="4" w:space="0" w:color="BFBFBF"/>
            </w:tcBorders>
            <w:shd w:val="clear" w:color="000000" w:fill="EDF0F3"/>
            <w:noWrap/>
            <w:vAlign w:val="center"/>
            <w:hideMark/>
          </w:tcPr>
          <w:p w14:paraId="56714450" w14:textId="779FFD6F" w:rsidR="000755DF" w:rsidRPr="00DC75B2" w:rsidRDefault="000755DF" w:rsidP="004F1029">
            <w:pPr>
              <w:widowControl/>
              <w:autoSpaceDE/>
              <w:autoSpaceDN/>
              <w:jc w:val="right"/>
              <w:rPr>
                <w:rFonts w:ascii="Arial Narrow" w:eastAsia="Times New Roman" w:hAnsi="Arial Narrow"/>
                <w:b/>
                <w:bCs/>
                <w:color w:val="002839"/>
              </w:rPr>
            </w:pPr>
            <w:r>
              <w:rPr>
                <w:rFonts w:ascii="Arial Narrow" w:hAnsi="Arial Narrow"/>
                <w:b/>
                <w:color w:val="002839"/>
              </w:rPr>
              <w:t>254 100</w:t>
            </w:r>
          </w:p>
        </w:tc>
        <w:tc>
          <w:tcPr>
            <w:tcW w:w="1375" w:type="dxa"/>
            <w:tcBorders>
              <w:top w:val="nil"/>
              <w:left w:val="nil"/>
              <w:bottom w:val="single" w:sz="4" w:space="0" w:color="BFBFBF"/>
              <w:right w:val="single" w:sz="4" w:space="0" w:color="BFBFBF"/>
            </w:tcBorders>
            <w:shd w:val="clear" w:color="000000" w:fill="EDF0F3"/>
            <w:noWrap/>
            <w:vAlign w:val="center"/>
            <w:hideMark/>
          </w:tcPr>
          <w:p w14:paraId="5256A547" w14:textId="4B58E6F1" w:rsidR="000755DF" w:rsidRPr="00DC75B2" w:rsidRDefault="00184A65" w:rsidP="004F1029">
            <w:pPr>
              <w:widowControl/>
              <w:autoSpaceDE/>
              <w:autoSpaceDN/>
              <w:jc w:val="right"/>
              <w:rPr>
                <w:rFonts w:ascii="Arial Narrow" w:eastAsia="Times New Roman" w:hAnsi="Arial Narrow"/>
                <w:b/>
                <w:bCs/>
                <w:color w:val="002839"/>
              </w:rPr>
            </w:pPr>
            <w:r>
              <w:rPr>
                <w:rFonts w:ascii="Arial Narrow" w:hAnsi="Arial Narrow"/>
                <w:b/>
                <w:color w:val="002839"/>
              </w:rPr>
              <w:t>501 200</w:t>
            </w:r>
          </w:p>
        </w:tc>
      </w:tr>
    </w:tbl>
    <w:p w14:paraId="5A921D01" w14:textId="77777777" w:rsidR="006450DB" w:rsidRDefault="006450DB">
      <w:pPr>
        <w:widowControl/>
        <w:autoSpaceDE/>
        <w:autoSpaceDN/>
        <w:spacing w:after="160" w:line="259" w:lineRule="auto"/>
        <w:rPr>
          <w:b/>
        </w:rPr>
      </w:pPr>
      <w:r>
        <w:rPr>
          <w:b/>
        </w:rPr>
        <w:br w:type="page"/>
      </w:r>
    </w:p>
    <w:p w14:paraId="557EA596" w14:textId="651450F0" w:rsidR="00D93EE6" w:rsidRPr="00BD11B5" w:rsidRDefault="00D93EE6" w:rsidP="00D93EE6">
      <w:pPr>
        <w:pStyle w:val="TableParagraph"/>
        <w:spacing w:line="268" w:lineRule="exact"/>
        <w:ind w:left="98"/>
        <w:rPr>
          <w:b/>
        </w:rPr>
      </w:pPr>
      <w:r w:rsidRPr="00BD11B5">
        <w:rPr>
          <w:b/>
        </w:rPr>
        <w:lastRenderedPageBreak/>
        <w:t xml:space="preserve">5. </w:t>
      </w:r>
      <w:r w:rsidR="001C274D" w:rsidRPr="001C274D">
        <w:rPr>
          <w:b/>
          <w:caps/>
        </w:rPr>
        <w:t>Budget du projet par catégorie de coût</w:t>
      </w:r>
      <w:r w:rsidRPr="00BD11B5">
        <w:fldChar w:fldCharType="begin"/>
      </w:r>
      <w:r w:rsidRPr="00BD11B5">
        <w:instrText xml:space="preserve"> LINK Excel.Sheet.12 "C:\\Users\\cerbari\\Desktop\\DA Project Proposal_ Budget Template.xlsx" "DA by Output!R7C2:R15C9" \a \f 4 \h  \* MERGEFORMAT </w:instrText>
      </w:r>
      <w:r w:rsidRPr="00BD11B5">
        <w:fldChar w:fldCharType="separate"/>
      </w:r>
    </w:p>
    <w:p w14:paraId="2C8BE7FF" w14:textId="76A34D58" w:rsidR="001E7711" w:rsidRPr="00BD11B5" w:rsidRDefault="00D93EE6" w:rsidP="00D93EE6">
      <w:pPr>
        <w:pStyle w:val="TableParagraph"/>
        <w:rPr>
          <w:b/>
        </w:rPr>
      </w:pPr>
      <w:r w:rsidRPr="00BD11B5">
        <w:rPr>
          <w:b/>
        </w:rPr>
        <w:fldChar w:fldCharType="end"/>
      </w:r>
    </w:p>
    <w:tbl>
      <w:tblPr>
        <w:tblW w:w="15030" w:type="dxa"/>
        <w:tblInd w:w="-185" w:type="dxa"/>
        <w:tblLayout w:type="fixed"/>
        <w:tblCellMar>
          <w:left w:w="70" w:type="dxa"/>
          <w:right w:w="70" w:type="dxa"/>
        </w:tblCellMar>
        <w:tblLook w:val="04A0" w:firstRow="1" w:lastRow="0" w:firstColumn="1" w:lastColumn="0" w:noHBand="0" w:noVBand="1"/>
        <w:tblCaption w:val="Budget du projet par catégorie de coût"/>
      </w:tblPr>
      <w:tblGrid>
        <w:gridCol w:w="4575"/>
        <w:gridCol w:w="1417"/>
        <w:gridCol w:w="992"/>
        <w:gridCol w:w="1134"/>
        <w:gridCol w:w="1276"/>
        <w:gridCol w:w="1134"/>
        <w:gridCol w:w="1276"/>
        <w:gridCol w:w="1134"/>
        <w:gridCol w:w="1276"/>
        <w:gridCol w:w="816"/>
      </w:tblGrid>
      <w:tr w:rsidR="006450DB" w:rsidRPr="00BD11B5" w14:paraId="29E72008" w14:textId="77777777" w:rsidTr="006450DB">
        <w:trPr>
          <w:trHeight w:val="390"/>
        </w:trPr>
        <w:tc>
          <w:tcPr>
            <w:tcW w:w="4575" w:type="dxa"/>
            <w:tcBorders>
              <w:top w:val="single" w:sz="4" w:space="0" w:color="BFBFBF"/>
              <w:left w:val="single" w:sz="4" w:space="0" w:color="BFBFBF"/>
              <w:bottom w:val="nil"/>
              <w:right w:val="single" w:sz="4" w:space="0" w:color="A6A6A6"/>
            </w:tcBorders>
            <w:shd w:val="clear" w:color="000000" w:fill="C7CFD8"/>
            <w:noWrap/>
            <w:vAlign w:val="bottom"/>
            <w:hideMark/>
          </w:tcPr>
          <w:p w14:paraId="6FBB2C72" w14:textId="77777777" w:rsidR="001E7711" w:rsidRPr="00BD11B5" w:rsidRDefault="001E7711" w:rsidP="001E7711">
            <w:pPr>
              <w:widowControl/>
              <w:autoSpaceDE/>
              <w:autoSpaceDN/>
              <w:rPr>
                <w:rFonts w:ascii="Arial Narrow" w:eastAsia="Times New Roman" w:hAnsi="Arial Narrow"/>
                <w:i/>
                <w:iCs/>
              </w:rPr>
            </w:pPr>
            <w:r w:rsidRPr="00BD11B5">
              <w:rPr>
                <w:rFonts w:ascii="Arial Narrow" w:hAnsi="Arial Narrow"/>
                <w:i/>
              </w:rPr>
              <w:t>(en francs suisses)</w:t>
            </w:r>
          </w:p>
        </w:tc>
        <w:tc>
          <w:tcPr>
            <w:tcW w:w="3543" w:type="dxa"/>
            <w:gridSpan w:val="3"/>
            <w:tcBorders>
              <w:top w:val="single" w:sz="4" w:space="0" w:color="BFBFBF"/>
              <w:left w:val="nil"/>
              <w:bottom w:val="single" w:sz="4" w:space="0" w:color="A6A6A6"/>
              <w:right w:val="single" w:sz="4" w:space="0" w:color="A6A6A6"/>
            </w:tcBorders>
            <w:shd w:val="clear" w:color="000000" w:fill="C7CFD8"/>
            <w:vAlign w:val="center"/>
            <w:hideMark/>
          </w:tcPr>
          <w:p w14:paraId="7AA500D4" w14:textId="77777777" w:rsidR="001E7711" w:rsidRPr="00BD11B5" w:rsidRDefault="001E7711" w:rsidP="001E7711">
            <w:pPr>
              <w:widowControl/>
              <w:autoSpaceDE/>
              <w:autoSpaceDN/>
              <w:jc w:val="center"/>
              <w:rPr>
                <w:rFonts w:ascii="Arial Narrow" w:eastAsia="Times New Roman" w:hAnsi="Arial Narrow"/>
                <w:b/>
                <w:bCs/>
              </w:rPr>
            </w:pPr>
            <w:r w:rsidRPr="00BD11B5">
              <w:rPr>
                <w:rFonts w:ascii="Arial Narrow" w:hAnsi="Arial Narrow"/>
                <w:b/>
              </w:rPr>
              <w:t xml:space="preserve">Voyages, formations et indemnités </w:t>
            </w:r>
          </w:p>
        </w:tc>
        <w:tc>
          <w:tcPr>
            <w:tcW w:w="6096" w:type="dxa"/>
            <w:gridSpan w:val="5"/>
            <w:tcBorders>
              <w:top w:val="single" w:sz="4" w:space="0" w:color="BFBFBF"/>
              <w:left w:val="nil"/>
              <w:bottom w:val="single" w:sz="4" w:space="0" w:color="A6A6A6"/>
              <w:right w:val="single" w:sz="4" w:space="0" w:color="A6A6A6"/>
            </w:tcBorders>
            <w:shd w:val="clear" w:color="000000" w:fill="C7CFD8"/>
            <w:vAlign w:val="center"/>
            <w:hideMark/>
          </w:tcPr>
          <w:p w14:paraId="271DC91E" w14:textId="77777777" w:rsidR="001E7711" w:rsidRPr="00BD11B5" w:rsidRDefault="001E7711" w:rsidP="001E7711">
            <w:pPr>
              <w:widowControl/>
              <w:autoSpaceDE/>
              <w:autoSpaceDN/>
              <w:jc w:val="center"/>
              <w:rPr>
                <w:rFonts w:ascii="Arial Narrow" w:eastAsia="Times New Roman" w:hAnsi="Arial Narrow"/>
                <w:b/>
                <w:bCs/>
              </w:rPr>
            </w:pPr>
            <w:r w:rsidRPr="00BD11B5">
              <w:rPr>
                <w:rFonts w:ascii="Arial Narrow" w:hAnsi="Arial Narrow"/>
                <w:b/>
              </w:rPr>
              <w:t>Services contractuels</w:t>
            </w:r>
          </w:p>
        </w:tc>
        <w:tc>
          <w:tcPr>
            <w:tcW w:w="816" w:type="dxa"/>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3CB9405E" w14:textId="77777777" w:rsidR="001E7711" w:rsidRPr="00BD11B5" w:rsidRDefault="001E7711" w:rsidP="001E7711">
            <w:pPr>
              <w:widowControl/>
              <w:autoSpaceDE/>
              <w:autoSpaceDN/>
              <w:jc w:val="center"/>
              <w:rPr>
                <w:rFonts w:ascii="Arial Narrow" w:eastAsia="Times New Roman" w:hAnsi="Arial Narrow"/>
                <w:b/>
                <w:bCs/>
              </w:rPr>
            </w:pPr>
            <w:r w:rsidRPr="00BD11B5">
              <w:rPr>
                <w:rFonts w:ascii="Arial Narrow" w:hAnsi="Arial Narrow"/>
                <w:b/>
              </w:rPr>
              <w:t>Total</w:t>
            </w:r>
          </w:p>
        </w:tc>
      </w:tr>
      <w:tr w:rsidR="006450DB" w:rsidRPr="00BD11B5" w14:paraId="21313186" w14:textId="77777777" w:rsidTr="006450DB">
        <w:trPr>
          <w:trHeight w:val="793"/>
        </w:trPr>
        <w:tc>
          <w:tcPr>
            <w:tcW w:w="4575" w:type="dxa"/>
            <w:tcBorders>
              <w:top w:val="nil"/>
              <w:left w:val="single" w:sz="4" w:space="0" w:color="BFBFBF"/>
              <w:bottom w:val="single" w:sz="4" w:space="0" w:color="BFBFBF"/>
              <w:right w:val="single" w:sz="4" w:space="0" w:color="A6A6A6"/>
            </w:tcBorders>
            <w:shd w:val="clear" w:color="000000" w:fill="C7CFD8"/>
            <w:noWrap/>
            <w:vAlign w:val="bottom"/>
            <w:hideMark/>
          </w:tcPr>
          <w:p w14:paraId="22C48A21" w14:textId="77777777" w:rsidR="001E7711" w:rsidRPr="00BD11B5" w:rsidRDefault="001E7711" w:rsidP="001E7711">
            <w:pPr>
              <w:widowControl/>
              <w:autoSpaceDE/>
              <w:autoSpaceDN/>
              <w:rPr>
                <w:rFonts w:ascii="Arial Narrow" w:eastAsia="Times New Roman" w:hAnsi="Arial Narrow"/>
                <w:b/>
                <w:bCs/>
              </w:rPr>
            </w:pPr>
            <w:r w:rsidRPr="00BD11B5">
              <w:rPr>
                <w:rFonts w:ascii="Arial Narrow" w:hAnsi="Arial Narrow"/>
                <w:b/>
              </w:rPr>
              <w:t>Activités</w:t>
            </w:r>
          </w:p>
        </w:tc>
        <w:tc>
          <w:tcPr>
            <w:tcW w:w="1417" w:type="dxa"/>
            <w:tcBorders>
              <w:top w:val="nil"/>
              <w:left w:val="nil"/>
              <w:bottom w:val="single" w:sz="4" w:space="0" w:color="BFBFBF"/>
              <w:right w:val="single" w:sz="4" w:space="0" w:color="A6A6A6"/>
            </w:tcBorders>
            <w:shd w:val="clear" w:color="000000" w:fill="C7CFD8"/>
            <w:vAlign w:val="center"/>
            <w:hideMark/>
          </w:tcPr>
          <w:p w14:paraId="68F3E8CE" w14:textId="77777777" w:rsidR="001E7711" w:rsidRPr="00BD11B5" w:rsidRDefault="001E7711" w:rsidP="001E7711">
            <w:pPr>
              <w:widowControl/>
              <w:autoSpaceDE/>
              <w:autoSpaceDN/>
              <w:jc w:val="center"/>
              <w:rPr>
                <w:rFonts w:ascii="Arial Narrow" w:eastAsia="Times New Roman" w:hAnsi="Arial Narrow"/>
                <w:b/>
                <w:bCs/>
              </w:rPr>
            </w:pPr>
            <w:r w:rsidRPr="00BD11B5">
              <w:rPr>
                <w:rFonts w:ascii="Arial Narrow" w:hAnsi="Arial Narrow"/>
                <w:b/>
              </w:rPr>
              <w:t>Missions de fonctionnaires</w:t>
            </w:r>
          </w:p>
        </w:tc>
        <w:tc>
          <w:tcPr>
            <w:tcW w:w="992" w:type="dxa"/>
            <w:tcBorders>
              <w:top w:val="nil"/>
              <w:left w:val="nil"/>
              <w:bottom w:val="single" w:sz="4" w:space="0" w:color="BFBFBF"/>
              <w:right w:val="single" w:sz="4" w:space="0" w:color="A6A6A6"/>
            </w:tcBorders>
            <w:shd w:val="clear" w:color="000000" w:fill="C7CFD8"/>
            <w:vAlign w:val="center"/>
            <w:hideMark/>
          </w:tcPr>
          <w:p w14:paraId="7037185A" w14:textId="77777777" w:rsidR="001E7711" w:rsidRPr="00BD11B5" w:rsidRDefault="001E7711" w:rsidP="001E7711">
            <w:pPr>
              <w:widowControl/>
              <w:autoSpaceDE/>
              <w:autoSpaceDN/>
              <w:jc w:val="center"/>
              <w:rPr>
                <w:rFonts w:ascii="Arial Narrow" w:eastAsia="Times New Roman" w:hAnsi="Arial Narrow"/>
                <w:b/>
                <w:bCs/>
              </w:rPr>
            </w:pPr>
            <w:r w:rsidRPr="00BD11B5">
              <w:rPr>
                <w:rFonts w:ascii="Arial Narrow" w:hAnsi="Arial Narrow"/>
                <w:b/>
              </w:rPr>
              <w:t>Voyages de tiers</w:t>
            </w:r>
          </w:p>
        </w:tc>
        <w:tc>
          <w:tcPr>
            <w:tcW w:w="1134" w:type="dxa"/>
            <w:tcBorders>
              <w:top w:val="nil"/>
              <w:left w:val="nil"/>
              <w:bottom w:val="single" w:sz="4" w:space="0" w:color="BFBFBF"/>
              <w:right w:val="single" w:sz="4" w:space="0" w:color="A6A6A6"/>
            </w:tcBorders>
            <w:shd w:val="clear" w:color="000000" w:fill="C7CFD8"/>
            <w:vAlign w:val="center"/>
            <w:hideMark/>
          </w:tcPr>
          <w:p w14:paraId="0CAE15A8" w14:textId="77777777" w:rsidR="001E7711" w:rsidRPr="00BD11B5" w:rsidRDefault="001E7711" w:rsidP="001E7711">
            <w:pPr>
              <w:widowControl/>
              <w:autoSpaceDE/>
              <w:autoSpaceDN/>
              <w:jc w:val="center"/>
              <w:rPr>
                <w:rFonts w:ascii="Arial Narrow" w:eastAsia="Times New Roman" w:hAnsi="Arial Narrow"/>
                <w:b/>
                <w:bCs/>
              </w:rPr>
            </w:pPr>
            <w:r w:rsidRPr="00BD11B5">
              <w:rPr>
                <w:rFonts w:ascii="Arial Narrow" w:hAnsi="Arial Narrow"/>
                <w:b/>
              </w:rPr>
              <w:t>Formations et indemnités de voyage connexes</w:t>
            </w:r>
          </w:p>
        </w:tc>
        <w:tc>
          <w:tcPr>
            <w:tcW w:w="1276" w:type="dxa"/>
            <w:tcBorders>
              <w:top w:val="nil"/>
              <w:left w:val="nil"/>
              <w:bottom w:val="single" w:sz="4" w:space="0" w:color="BFBFBF"/>
              <w:right w:val="single" w:sz="4" w:space="0" w:color="A6A6A6"/>
            </w:tcBorders>
            <w:shd w:val="clear" w:color="000000" w:fill="C7CFD8"/>
            <w:noWrap/>
            <w:vAlign w:val="center"/>
            <w:hideMark/>
          </w:tcPr>
          <w:p w14:paraId="0D81834F" w14:textId="77777777" w:rsidR="001E7711" w:rsidRPr="00BD11B5" w:rsidRDefault="001E7711" w:rsidP="001E7711">
            <w:pPr>
              <w:widowControl/>
              <w:autoSpaceDE/>
              <w:autoSpaceDN/>
              <w:jc w:val="center"/>
              <w:rPr>
                <w:rFonts w:ascii="Arial Narrow" w:eastAsia="Times New Roman" w:hAnsi="Arial Narrow"/>
                <w:b/>
                <w:bCs/>
              </w:rPr>
            </w:pPr>
            <w:r w:rsidRPr="00BD11B5">
              <w:rPr>
                <w:rFonts w:ascii="Arial Narrow" w:hAnsi="Arial Narrow"/>
                <w:b/>
              </w:rPr>
              <w:t>Conférences</w:t>
            </w:r>
          </w:p>
        </w:tc>
        <w:tc>
          <w:tcPr>
            <w:tcW w:w="1134" w:type="dxa"/>
            <w:tcBorders>
              <w:top w:val="nil"/>
              <w:left w:val="nil"/>
              <w:bottom w:val="single" w:sz="4" w:space="0" w:color="BFBFBF"/>
              <w:right w:val="single" w:sz="4" w:space="0" w:color="A6A6A6"/>
            </w:tcBorders>
            <w:shd w:val="clear" w:color="000000" w:fill="C7CFD8"/>
            <w:noWrap/>
            <w:vAlign w:val="center"/>
            <w:hideMark/>
          </w:tcPr>
          <w:p w14:paraId="3C9726CC" w14:textId="77777777" w:rsidR="001E7711" w:rsidRPr="00BD11B5" w:rsidRDefault="001E7711" w:rsidP="001E7711">
            <w:pPr>
              <w:widowControl/>
              <w:autoSpaceDE/>
              <w:autoSpaceDN/>
              <w:jc w:val="center"/>
              <w:rPr>
                <w:rFonts w:ascii="Arial Narrow" w:eastAsia="Times New Roman" w:hAnsi="Arial Narrow"/>
                <w:b/>
                <w:bCs/>
              </w:rPr>
            </w:pPr>
            <w:r w:rsidRPr="00BD11B5">
              <w:rPr>
                <w:rFonts w:ascii="Arial Narrow" w:hAnsi="Arial Narrow"/>
                <w:b/>
              </w:rPr>
              <w:t>Publication</w:t>
            </w:r>
          </w:p>
        </w:tc>
        <w:tc>
          <w:tcPr>
            <w:tcW w:w="1276" w:type="dxa"/>
            <w:tcBorders>
              <w:top w:val="nil"/>
              <w:left w:val="nil"/>
              <w:bottom w:val="single" w:sz="4" w:space="0" w:color="BFBFBF"/>
              <w:right w:val="single" w:sz="4" w:space="0" w:color="A6A6A6"/>
            </w:tcBorders>
            <w:shd w:val="clear" w:color="000000" w:fill="C7CFD8"/>
            <w:vAlign w:val="center"/>
            <w:hideMark/>
          </w:tcPr>
          <w:p w14:paraId="0DB82353" w14:textId="77777777" w:rsidR="001E7711" w:rsidRPr="00BD11B5" w:rsidRDefault="001E7711" w:rsidP="001E7711">
            <w:pPr>
              <w:widowControl/>
              <w:autoSpaceDE/>
              <w:autoSpaceDN/>
              <w:jc w:val="center"/>
              <w:rPr>
                <w:rFonts w:ascii="Arial Narrow" w:eastAsia="Times New Roman" w:hAnsi="Arial Narrow"/>
                <w:b/>
                <w:bCs/>
              </w:rPr>
            </w:pPr>
            <w:r w:rsidRPr="00BD11B5">
              <w:rPr>
                <w:rFonts w:ascii="Arial Narrow" w:hAnsi="Arial Narrow"/>
                <w:b/>
              </w:rPr>
              <w:t>Services contractuels de personnes</w:t>
            </w:r>
          </w:p>
        </w:tc>
        <w:tc>
          <w:tcPr>
            <w:tcW w:w="1134" w:type="dxa"/>
            <w:tcBorders>
              <w:top w:val="nil"/>
              <w:left w:val="nil"/>
              <w:bottom w:val="single" w:sz="4" w:space="0" w:color="BFBFBF"/>
              <w:right w:val="single" w:sz="4" w:space="0" w:color="A6A6A6"/>
            </w:tcBorders>
            <w:shd w:val="clear" w:color="000000" w:fill="C7CFD8"/>
            <w:vAlign w:val="center"/>
            <w:hideMark/>
          </w:tcPr>
          <w:p w14:paraId="6C2FD801" w14:textId="4AC15457" w:rsidR="001E7711" w:rsidRPr="00BD11B5" w:rsidRDefault="001E7711" w:rsidP="001E7711">
            <w:pPr>
              <w:widowControl/>
              <w:autoSpaceDE/>
              <w:autoSpaceDN/>
              <w:jc w:val="center"/>
              <w:rPr>
                <w:rFonts w:ascii="Arial Narrow" w:eastAsia="Times New Roman" w:hAnsi="Arial Narrow"/>
                <w:b/>
                <w:bCs/>
              </w:rPr>
            </w:pPr>
            <w:r w:rsidRPr="00BD11B5">
              <w:rPr>
                <w:rFonts w:ascii="Arial Narrow" w:hAnsi="Arial Narrow"/>
                <w:b/>
              </w:rPr>
              <w:t>Bourses de l</w:t>
            </w:r>
            <w:r w:rsidR="00D968EE" w:rsidRPr="00BD11B5">
              <w:rPr>
                <w:rFonts w:ascii="Arial Narrow" w:hAnsi="Arial Narrow"/>
                <w:b/>
              </w:rPr>
              <w:t>’</w:t>
            </w:r>
            <w:r w:rsidRPr="00BD11B5">
              <w:rPr>
                <w:rFonts w:ascii="Arial Narrow" w:hAnsi="Arial Narrow"/>
                <w:b/>
              </w:rPr>
              <w:t>OMPI</w:t>
            </w:r>
          </w:p>
        </w:tc>
        <w:tc>
          <w:tcPr>
            <w:tcW w:w="1276" w:type="dxa"/>
            <w:tcBorders>
              <w:top w:val="nil"/>
              <w:left w:val="nil"/>
              <w:bottom w:val="single" w:sz="4" w:space="0" w:color="BFBFBF"/>
              <w:right w:val="nil"/>
            </w:tcBorders>
            <w:shd w:val="clear" w:color="000000" w:fill="C7CFD8"/>
            <w:vAlign w:val="center"/>
            <w:hideMark/>
          </w:tcPr>
          <w:p w14:paraId="027E88B1" w14:textId="77777777" w:rsidR="001E7711" w:rsidRPr="00BD11B5" w:rsidRDefault="001E7711" w:rsidP="001E7711">
            <w:pPr>
              <w:widowControl/>
              <w:autoSpaceDE/>
              <w:autoSpaceDN/>
              <w:jc w:val="center"/>
              <w:rPr>
                <w:rFonts w:ascii="Arial Narrow" w:eastAsia="Times New Roman" w:hAnsi="Arial Narrow"/>
                <w:b/>
                <w:bCs/>
              </w:rPr>
            </w:pPr>
            <w:r w:rsidRPr="00BD11B5">
              <w:rPr>
                <w:rFonts w:ascii="Arial Narrow" w:hAnsi="Arial Narrow"/>
                <w:b/>
              </w:rPr>
              <w:t>Autres services contractuels</w:t>
            </w:r>
          </w:p>
        </w:tc>
        <w:tc>
          <w:tcPr>
            <w:tcW w:w="816" w:type="dxa"/>
            <w:vMerge/>
            <w:tcBorders>
              <w:top w:val="single" w:sz="4" w:space="0" w:color="BFBFBF"/>
              <w:left w:val="single" w:sz="4" w:space="0" w:color="A6A6A6"/>
              <w:bottom w:val="single" w:sz="4" w:space="0" w:color="BFBFBF"/>
              <w:right w:val="single" w:sz="4" w:space="0" w:color="BFBFBF"/>
            </w:tcBorders>
            <w:vAlign w:val="center"/>
            <w:hideMark/>
          </w:tcPr>
          <w:p w14:paraId="4B4E982F" w14:textId="77777777" w:rsidR="001E7711" w:rsidRPr="00BD11B5" w:rsidRDefault="001E7711" w:rsidP="001E7711">
            <w:pPr>
              <w:widowControl/>
              <w:autoSpaceDE/>
              <w:autoSpaceDN/>
              <w:rPr>
                <w:rFonts w:ascii="Arial Narrow" w:eastAsia="Times New Roman" w:hAnsi="Arial Narrow"/>
                <w:b/>
                <w:bCs/>
                <w:lang w:eastAsia="fr-CH"/>
              </w:rPr>
            </w:pPr>
          </w:p>
        </w:tc>
      </w:tr>
      <w:tr w:rsidR="006450DB" w:rsidRPr="00BD11B5" w14:paraId="08BBFC6A" w14:textId="77777777" w:rsidTr="006450DB">
        <w:trPr>
          <w:trHeight w:val="560"/>
        </w:trPr>
        <w:tc>
          <w:tcPr>
            <w:tcW w:w="4575" w:type="dxa"/>
            <w:tcBorders>
              <w:top w:val="nil"/>
              <w:left w:val="single" w:sz="4" w:space="0" w:color="BFBFBF"/>
              <w:bottom w:val="single" w:sz="4" w:space="0" w:color="BFBFBF"/>
              <w:right w:val="single" w:sz="4" w:space="0" w:color="BFBFBF"/>
            </w:tcBorders>
            <w:shd w:val="clear" w:color="auto" w:fill="auto"/>
            <w:vAlign w:val="center"/>
            <w:hideMark/>
          </w:tcPr>
          <w:p w14:paraId="7745A21D" w14:textId="43EAEA03" w:rsidR="001E7711" w:rsidRPr="00BD11B5" w:rsidRDefault="001E7711" w:rsidP="001E7711">
            <w:pPr>
              <w:widowControl/>
              <w:autoSpaceDE/>
              <w:autoSpaceDN/>
              <w:rPr>
                <w:rFonts w:ascii="Arial Narrow" w:eastAsia="Times New Roman" w:hAnsi="Arial Narrow"/>
              </w:rPr>
            </w:pPr>
            <w:r w:rsidRPr="00BD11B5">
              <w:rPr>
                <w:rFonts w:ascii="Arial Narrow" w:hAnsi="Arial Narrow"/>
                <w:color w:val="002839"/>
              </w:rPr>
              <w:t>Coordination du pro</w:t>
            </w:r>
            <w:r w:rsidR="00BD11B5" w:rsidRPr="00BD11B5">
              <w:rPr>
                <w:rFonts w:ascii="Arial Narrow" w:hAnsi="Arial Narrow"/>
                <w:color w:val="002839"/>
              </w:rPr>
              <w:t>jet et aide à la mise en œuvre</w:t>
            </w:r>
          </w:p>
        </w:tc>
        <w:tc>
          <w:tcPr>
            <w:tcW w:w="1417" w:type="dxa"/>
            <w:tcBorders>
              <w:top w:val="nil"/>
              <w:left w:val="nil"/>
              <w:bottom w:val="single" w:sz="4" w:space="0" w:color="BFBFBF"/>
              <w:right w:val="single" w:sz="4" w:space="0" w:color="BFBFBF"/>
            </w:tcBorders>
            <w:shd w:val="clear" w:color="auto" w:fill="auto"/>
            <w:noWrap/>
            <w:vAlign w:val="center"/>
            <w:hideMark/>
          </w:tcPr>
          <w:p w14:paraId="45693AD4" w14:textId="7392D736" w:rsidR="001E7711" w:rsidRPr="00BD11B5" w:rsidRDefault="006C33B7" w:rsidP="008405EC">
            <w:pPr>
              <w:widowControl/>
              <w:autoSpaceDE/>
              <w:autoSpaceDN/>
              <w:jc w:val="right"/>
              <w:rPr>
                <w:rFonts w:ascii="Arial Narrow" w:eastAsia="Times New Roman" w:hAnsi="Arial Narrow"/>
              </w:rPr>
            </w:pPr>
            <w:r w:rsidRPr="00BD11B5">
              <w:rPr>
                <w:rFonts w:ascii="Arial Narrow" w:hAnsi="Arial Narrow"/>
              </w:rPr>
              <w:t xml:space="preserve"> – </w:t>
            </w:r>
          </w:p>
        </w:tc>
        <w:tc>
          <w:tcPr>
            <w:tcW w:w="992" w:type="dxa"/>
            <w:tcBorders>
              <w:top w:val="nil"/>
              <w:left w:val="nil"/>
              <w:bottom w:val="single" w:sz="4" w:space="0" w:color="BFBFBF"/>
              <w:right w:val="single" w:sz="4" w:space="0" w:color="BFBFBF"/>
            </w:tcBorders>
            <w:shd w:val="clear" w:color="auto" w:fill="auto"/>
            <w:noWrap/>
            <w:vAlign w:val="center"/>
            <w:hideMark/>
          </w:tcPr>
          <w:p w14:paraId="7102C070" w14:textId="2339F48E" w:rsidR="001E7711" w:rsidRPr="00BD11B5" w:rsidRDefault="006C33B7" w:rsidP="008405EC">
            <w:pPr>
              <w:widowControl/>
              <w:autoSpaceDE/>
              <w:autoSpaceDN/>
              <w:jc w:val="right"/>
              <w:rPr>
                <w:rFonts w:ascii="Arial Narrow" w:eastAsia="Times New Roman" w:hAnsi="Arial Narrow"/>
              </w:rPr>
            </w:pPr>
            <w:r w:rsidRPr="00BD11B5">
              <w:rPr>
                <w:rFonts w:ascii="Arial Narrow" w:hAnsi="Arial Narrow"/>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14:paraId="119D7855" w14:textId="02C072C9" w:rsidR="001E7711" w:rsidRPr="00BD11B5" w:rsidRDefault="006C33B7" w:rsidP="008405EC">
            <w:pPr>
              <w:widowControl/>
              <w:autoSpaceDE/>
              <w:autoSpaceDN/>
              <w:jc w:val="right"/>
              <w:rPr>
                <w:rFonts w:ascii="Arial Narrow" w:eastAsia="Times New Roman" w:hAnsi="Arial Narrow"/>
              </w:rPr>
            </w:pPr>
            <w:r w:rsidRPr="00BD11B5">
              <w:rPr>
                <w:rFonts w:ascii="Arial Narrow" w:hAnsi="Arial Narrow"/>
              </w:rPr>
              <w:t xml:space="preserve"> – </w:t>
            </w:r>
          </w:p>
        </w:tc>
        <w:tc>
          <w:tcPr>
            <w:tcW w:w="1276" w:type="dxa"/>
            <w:tcBorders>
              <w:top w:val="nil"/>
              <w:left w:val="nil"/>
              <w:bottom w:val="single" w:sz="4" w:space="0" w:color="BFBFBF"/>
              <w:right w:val="single" w:sz="4" w:space="0" w:color="BFBFBF"/>
            </w:tcBorders>
            <w:shd w:val="clear" w:color="auto" w:fill="auto"/>
            <w:noWrap/>
            <w:vAlign w:val="center"/>
            <w:hideMark/>
          </w:tcPr>
          <w:p w14:paraId="611E213B" w14:textId="202C10AA" w:rsidR="001E7711" w:rsidRPr="00BD11B5" w:rsidRDefault="006C33B7" w:rsidP="008405EC">
            <w:pPr>
              <w:widowControl/>
              <w:autoSpaceDE/>
              <w:autoSpaceDN/>
              <w:jc w:val="right"/>
              <w:rPr>
                <w:rFonts w:ascii="Arial Narrow" w:eastAsia="Times New Roman" w:hAnsi="Arial Narrow"/>
              </w:rPr>
            </w:pPr>
            <w:r w:rsidRPr="00BD11B5">
              <w:rPr>
                <w:rFonts w:ascii="Arial Narrow" w:hAnsi="Arial Narrow"/>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14:paraId="5BEDB1CB" w14:textId="5E623903" w:rsidR="001E7711" w:rsidRPr="00BD11B5" w:rsidRDefault="006C33B7" w:rsidP="008405EC">
            <w:pPr>
              <w:widowControl/>
              <w:autoSpaceDE/>
              <w:autoSpaceDN/>
              <w:jc w:val="right"/>
              <w:rPr>
                <w:rFonts w:ascii="Arial Narrow" w:eastAsia="Times New Roman" w:hAnsi="Arial Narrow"/>
              </w:rPr>
            </w:pPr>
            <w:r w:rsidRPr="00BD11B5">
              <w:rPr>
                <w:rFonts w:ascii="Arial Narrow" w:hAnsi="Arial Narrow"/>
              </w:rPr>
              <w:t xml:space="preserve"> – </w:t>
            </w:r>
          </w:p>
        </w:tc>
        <w:tc>
          <w:tcPr>
            <w:tcW w:w="1276" w:type="dxa"/>
            <w:tcBorders>
              <w:top w:val="nil"/>
              <w:left w:val="nil"/>
              <w:bottom w:val="single" w:sz="4" w:space="0" w:color="BFBFBF"/>
              <w:right w:val="single" w:sz="4" w:space="0" w:color="BFBFBF"/>
            </w:tcBorders>
            <w:shd w:val="clear" w:color="auto" w:fill="auto"/>
            <w:noWrap/>
            <w:vAlign w:val="center"/>
            <w:hideMark/>
          </w:tcPr>
          <w:p w14:paraId="48CA9F06" w14:textId="123E0E12" w:rsidR="001E7711" w:rsidRPr="00BD11B5" w:rsidRDefault="006C33B7" w:rsidP="008405EC">
            <w:pPr>
              <w:widowControl/>
              <w:autoSpaceDE/>
              <w:autoSpaceDN/>
              <w:jc w:val="right"/>
              <w:rPr>
                <w:rFonts w:ascii="Arial Narrow" w:eastAsia="Times New Roman" w:hAnsi="Arial Narrow"/>
              </w:rPr>
            </w:pPr>
            <w:r w:rsidRPr="00BD11B5">
              <w:rPr>
                <w:rFonts w:ascii="Arial Narrow" w:hAnsi="Arial Narrow"/>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14:paraId="204380B3" w14:textId="0799E0D4" w:rsidR="001E7711" w:rsidRPr="00BD11B5" w:rsidRDefault="00A12A22" w:rsidP="006450DB">
            <w:pPr>
              <w:widowControl/>
              <w:autoSpaceDE/>
              <w:autoSpaceDN/>
              <w:jc w:val="right"/>
              <w:rPr>
                <w:rFonts w:ascii="Arial Narrow" w:hAnsi="Arial Narrow"/>
                <w:color w:val="002839"/>
              </w:rPr>
            </w:pPr>
            <w:r>
              <w:rPr>
                <w:rFonts w:ascii="Arial Narrow" w:hAnsi="Arial Narrow"/>
                <w:color w:val="002839"/>
              </w:rPr>
              <w:t>154 200</w:t>
            </w:r>
          </w:p>
        </w:tc>
        <w:tc>
          <w:tcPr>
            <w:tcW w:w="1276" w:type="dxa"/>
            <w:tcBorders>
              <w:top w:val="nil"/>
              <w:left w:val="nil"/>
              <w:bottom w:val="single" w:sz="4" w:space="0" w:color="BFBFBF"/>
              <w:right w:val="single" w:sz="4" w:space="0" w:color="BFBFBF"/>
            </w:tcBorders>
            <w:shd w:val="clear" w:color="auto" w:fill="auto"/>
            <w:noWrap/>
            <w:vAlign w:val="center"/>
            <w:hideMark/>
          </w:tcPr>
          <w:p w14:paraId="58AD0C7F" w14:textId="4F1A68A4" w:rsidR="001E7711" w:rsidRPr="00BD11B5" w:rsidRDefault="006C33B7" w:rsidP="00BD11B5">
            <w:pPr>
              <w:widowControl/>
              <w:autoSpaceDE/>
              <w:autoSpaceDN/>
              <w:rPr>
                <w:rFonts w:ascii="Arial Narrow" w:hAnsi="Arial Narrow"/>
                <w:color w:val="002839"/>
              </w:rPr>
            </w:pPr>
            <w:r w:rsidRPr="00BD11B5">
              <w:rPr>
                <w:rFonts w:ascii="Arial Narrow" w:hAnsi="Arial Narrow"/>
                <w:color w:val="002839"/>
              </w:rPr>
              <w:t xml:space="preserve"> – </w:t>
            </w:r>
          </w:p>
        </w:tc>
        <w:tc>
          <w:tcPr>
            <w:tcW w:w="816" w:type="dxa"/>
            <w:tcBorders>
              <w:top w:val="nil"/>
              <w:left w:val="nil"/>
              <w:bottom w:val="single" w:sz="4" w:space="0" w:color="BFBFBF"/>
              <w:right w:val="single" w:sz="4" w:space="0" w:color="BFBFBF"/>
            </w:tcBorders>
            <w:shd w:val="clear" w:color="auto" w:fill="auto"/>
            <w:noWrap/>
            <w:vAlign w:val="center"/>
            <w:hideMark/>
          </w:tcPr>
          <w:p w14:paraId="01C54A31" w14:textId="2312C3E2" w:rsidR="001E7711" w:rsidRPr="00BD11B5" w:rsidRDefault="001E7711" w:rsidP="00A12A22">
            <w:pPr>
              <w:widowControl/>
              <w:autoSpaceDE/>
              <w:autoSpaceDN/>
              <w:rPr>
                <w:rFonts w:ascii="Arial Narrow" w:hAnsi="Arial Narrow"/>
                <w:color w:val="002839"/>
              </w:rPr>
            </w:pPr>
            <w:r w:rsidRPr="00BD11B5">
              <w:rPr>
                <w:rFonts w:ascii="Arial Narrow" w:hAnsi="Arial Narrow"/>
                <w:color w:val="002839"/>
              </w:rPr>
              <w:t>154 200</w:t>
            </w:r>
          </w:p>
        </w:tc>
      </w:tr>
      <w:tr w:rsidR="006450DB" w:rsidRPr="00DC75B2" w14:paraId="4C3D205B" w14:textId="77777777" w:rsidTr="006450DB">
        <w:trPr>
          <w:trHeight w:val="1051"/>
        </w:trPr>
        <w:tc>
          <w:tcPr>
            <w:tcW w:w="4575" w:type="dxa"/>
            <w:tcBorders>
              <w:top w:val="nil"/>
              <w:left w:val="single" w:sz="4" w:space="0" w:color="BFBFBF"/>
              <w:bottom w:val="single" w:sz="4" w:space="0" w:color="BFBFBF"/>
              <w:right w:val="single" w:sz="4" w:space="0" w:color="BFBFBF"/>
            </w:tcBorders>
            <w:shd w:val="clear" w:color="auto" w:fill="auto"/>
            <w:vAlign w:val="center"/>
            <w:hideMark/>
          </w:tcPr>
          <w:p w14:paraId="2ECF3458" w14:textId="6A254294" w:rsidR="001E7711" w:rsidRPr="00A37351" w:rsidRDefault="00163FE3" w:rsidP="001E7711">
            <w:pPr>
              <w:widowControl/>
              <w:autoSpaceDE/>
              <w:autoSpaceDN/>
              <w:rPr>
                <w:rFonts w:ascii="Arial Narrow" w:eastAsia="Times New Roman" w:hAnsi="Arial Narrow"/>
                <w:color w:val="002839"/>
              </w:rPr>
            </w:pPr>
            <w:r>
              <w:rPr>
                <w:rFonts w:ascii="Arial Narrow" w:hAnsi="Arial Narrow"/>
                <w:color w:val="002839"/>
              </w:rPr>
              <w:t>É</w:t>
            </w:r>
            <w:r w:rsidR="001E7711">
              <w:rPr>
                <w:rFonts w:ascii="Arial Narrow" w:hAnsi="Arial Narrow"/>
                <w:color w:val="002839"/>
              </w:rPr>
              <w:t>tude sur la situation en matière d</w:t>
            </w:r>
            <w:r w:rsidR="00D968EE">
              <w:rPr>
                <w:rFonts w:ascii="Arial Narrow" w:hAnsi="Arial Narrow"/>
                <w:color w:val="002839"/>
              </w:rPr>
              <w:t>’</w:t>
            </w:r>
            <w:r w:rsidR="001E7711">
              <w:rPr>
                <w:rFonts w:ascii="Arial Narrow" w:hAnsi="Arial Narrow"/>
                <w:color w:val="002839"/>
              </w:rPr>
              <w:t>application des droits de propriété intellectuelle et sur les répercussions des atteintes portées à la propriété intellectuelle en ligne dans les économies numériques nat</w:t>
            </w:r>
            <w:r w:rsidR="00BD11B5">
              <w:rPr>
                <w:rFonts w:ascii="Arial Narrow" w:hAnsi="Arial Narrow"/>
                <w:color w:val="002839"/>
              </w:rPr>
              <w:t>ionales des pays bénéficiaires</w:t>
            </w:r>
          </w:p>
        </w:tc>
        <w:tc>
          <w:tcPr>
            <w:tcW w:w="1417" w:type="dxa"/>
            <w:tcBorders>
              <w:top w:val="nil"/>
              <w:left w:val="nil"/>
              <w:bottom w:val="single" w:sz="4" w:space="0" w:color="BFBFBF"/>
              <w:right w:val="single" w:sz="4" w:space="0" w:color="BFBFBF"/>
            </w:tcBorders>
            <w:shd w:val="clear" w:color="auto" w:fill="auto"/>
            <w:noWrap/>
            <w:vAlign w:val="center"/>
            <w:hideMark/>
          </w:tcPr>
          <w:p w14:paraId="5E17E987" w14:textId="382D9E21" w:rsidR="001E7711" w:rsidRPr="00DC75B2" w:rsidRDefault="006C33B7" w:rsidP="008405EC">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992" w:type="dxa"/>
            <w:tcBorders>
              <w:top w:val="nil"/>
              <w:left w:val="nil"/>
              <w:bottom w:val="single" w:sz="4" w:space="0" w:color="BFBFBF"/>
              <w:right w:val="single" w:sz="4" w:space="0" w:color="BFBFBF"/>
            </w:tcBorders>
            <w:shd w:val="clear" w:color="auto" w:fill="auto"/>
            <w:noWrap/>
            <w:vAlign w:val="center"/>
            <w:hideMark/>
          </w:tcPr>
          <w:p w14:paraId="5666BB44" w14:textId="41059AA3" w:rsidR="001E7711" w:rsidRPr="00DC75B2" w:rsidRDefault="006C33B7" w:rsidP="008405EC">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14:paraId="3E2B1258" w14:textId="132DC2F0" w:rsidR="001E7711" w:rsidRPr="00DC75B2" w:rsidRDefault="006C33B7" w:rsidP="008405EC">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276" w:type="dxa"/>
            <w:tcBorders>
              <w:top w:val="nil"/>
              <w:left w:val="nil"/>
              <w:bottom w:val="single" w:sz="4" w:space="0" w:color="BFBFBF"/>
              <w:right w:val="single" w:sz="4" w:space="0" w:color="BFBFBF"/>
            </w:tcBorders>
            <w:shd w:val="clear" w:color="auto" w:fill="auto"/>
            <w:noWrap/>
            <w:vAlign w:val="center"/>
            <w:hideMark/>
          </w:tcPr>
          <w:p w14:paraId="156B905D" w14:textId="4B6811B9" w:rsidR="001E7711" w:rsidRPr="00DC75B2" w:rsidRDefault="006C33B7" w:rsidP="008405EC">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14:paraId="5A8E03D2" w14:textId="4F37C326" w:rsidR="001E7711" w:rsidRPr="00DC75B2" w:rsidRDefault="001E7711" w:rsidP="00A12A22">
            <w:pPr>
              <w:widowControl/>
              <w:autoSpaceDE/>
              <w:autoSpaceDN/>
              <w:jc w:val="right"/>
              <w:rPr>
                <w:rFonts w:ascii="Arial Narrow" w:eastAsia="Times New Roman" w:hAnsi="Arial Narrow"/>
                <w:color w:val="002839"/>
              </w:rPr>
            </w:pPr>
            <w:r>
              <w:rPr>
                <w:rFonts w:ascii="Arial Narrow" w:hAnsi="Arial Narrow"/>
                <w:color w:val="002839"/>
              </w:rPr>
              <w:t>4</w:t>
            </w:r>
            <w:r w:rsidR="00A12A22">
              <w:rPr>
                <w:rFonts w:ascii="Arial Narrow" w:hAnsi="Arial Narrow"/>
                <w:color w:val="002839"/>
              </w:rPr>
              <w:t> </w:t>
            </w:r>
            <w:r>
              <w:rPr>
                <w:rFonts w:ascii="Arial Narrow" w:hAnsi="Arial Narrow"/>
                <w:color w:val="002839"/>
              </w:rPr>
              <w:t>000</w:t>
            </w:r>
          </w:p>
        </w:tc>
        <w:tc>
          <w:tcPr>
            <w:tcW w:w="1276" w:type="dxa"/>
            <w:tcBorders>
              <w:top w:val="nil"/>
              <w:left w:val="nil"/>
              <w:bottom w:val="single" w:sz="4" w:space="0" w:color="BFBFBF"/>
              <w:right w:val="single" w:sz="4" w:space="0" w:color="BFBFBF"/>
            </w:tcBorders>
            <w:shd w:val="clear" w:color="auto" w:fill="auto"/>
            <w:noWrap/>
            <w:vAlign w:val="center"/>
            <w:hideMark/>
          </w:tcPr>
          <w:p w14:paraId="1535666F" w14:textId="0F9D8C61" w:rsidR="001E7711" w:rsidRPr="00DC75B2" w:rsidRDefault="001E7711" w:rsidP="00A12A22">
            <w:pPr>
              <w:widowControl/>
              <w:autoSpaceDE/>
              <w:autoSpaceDN/>
              <w:jc w:val="right"/>
              <w:rPr>
                <w:rFonts w:ascii="Arial Narrow" w:eastAsia="Times New Roman" w:hAnsi="Arial Narrow"/>
                <w:color w:val="002839"/>
              </w:rPr>
            </w:pPr>
            <w:r>
              <w:rPr>
                <w:rFonts w:ascii="Arial Narrow" w:hAnsi="Arial Narrow"/>
                <w:color w:val="002839"/>
              </w:rPr>
              <w:t>20 000</w:t>
            </w:r>
          </w:p>
        </w:tc>
        <w:tc>
          <w:tcPr>
            <w:tcW w:w="1134" w:type="dxa"/>
            <w:tcBorders>
              <w:top w:val="nil"/>
              <w:left w:val="nil"/>
              <w:bottom w:val="single" w:sz="4" w:space="0" w:color="BFBFBF"/>
              <w:right w:val="single" w:sz="4" w:space="0" w:color="BFBFBF"/>
            </w:tcBorders>
            <w:shd w:val="clear" w:color="auto" w:fill="auto"/>
            <w:noWrap/>
            <w:vAlign w:val="center"/>
            <w:hideMark/>
          </w:tcPr>
          <w:p w14:paraId="3CA76D51" w14:textId="3495F86A" w:rsidR="001E7711" w:rsidRPr="00DC75B2" w:rsidRDefault="006C33B7" w:rsidP="008405EC">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276" w:type="dxa"/>
            <w:tcBorders>
              <w:top w:val="nil"/>
              <w:left w:val="nil"/>
              <w:bottom w:val="single" w:sz="4" w:space="0" w:color="BFBFBF"/>
              <w:right w:val="single" w:sz="4" w:space="0" w:color="BFBFBF"/>
            </w:tcBorders>
            <w:shd w:val="clear" w:color="auto" w:fill="auto"/>
            <w:noWrap/>
            <w:vAlign w:val="center"/>
            <w:hideMark/>
          </w:tcPr>
          <w:p w14:paraId="7E1990B7" w14:textId="41C03236" w:rsidR="001E7711" w:rsidRPr="00DC75B2" w:rsidRDefault="006C33B7" w:rsidP="008405EC">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816" w:type="dxa"/>
            <w:tcBorders>
              <w:top w:val="nil"/>
              <w:left w:val="nil"/>
              <w:bottom w:val="single" w:sz="4" w:space="0" w:color="BFBFBF"/>
              <w:right w:val="single" w:sz="4" w:space="0" w:color="BFBFBF"/>
            </w:tcBorders>
            <w:shd w:val="clear" w:color="auto" w:fill="auto"/>
            <w:noWrap/>
            <w:vAlign w:val="center"/>
            <w:hideMark/>
          </w:tcPr>
          <w:p w14:paraId="35D1C9F2" w14:textId="24628EB8" w:rsidR="001E7711" w:rsidRPr="00DC75B2" w:rsidRDefault="00A12A22" w:rsidP="00A12A22">
            <w:pPr>
              <w:widowControl/>
              <w:autoSpaceDE/>
              <w:autoSpaceDN/>
              <w:jc w:val="center"/>
              <w:rPr>
                <w:rFonts w:ascii="Arial Narrow" w:eastAsia="Times New Roman" w:hAnsi="Arial Narrow"/>
                <w:color w:val="002839"/>
              </w:rPr>
            </w:pPr>
            <w:r>
              <w:rPr>
                <w:rFonts w:ascii="Arial Narrow" w:hAnsi="Arial Narrow"/>
                <w:color w:val="002839"/>
              </w:rPr>
              <w:t>24 000</w:t>
            </w:r>
          </w:p>
        </w:tc>
      </w:tr>
      <w:tr w:rsidR="006450DB" w:rsidRPr="00DC75B2" w14:paraId="47A64F46" w14:textId="77777777" w:rsidTr="006450DB">
        <w:trPr>
          <w:trHeight w:val="820"/>
        </w:trPr>
        <w:tc>
          <w:tcPr>
            <w:tcW w:w="4575" w:type="dxa"/>
            <w:tcBorders>
              <w:top w:val="nil"/>
              <w:left w:val="single" w:sz="4" w:space="0" w:color="BFBFBF"/>
              <w:bottom w:val="single" w:sz="4" w:space="0" w:color="BFBFBF"/>
              <w:right w:val="single" w:sz="4" w:space="0" w:color="BFBFBF"/>
            </w:tcBorders>
            <w:shd w:val="clear" w:color="auto" w:fill="auto"/>
            <w:vAlign w:val="center"/>
            <w:hideMark/>
          </w:tcPr>
          <w:p w14:paraId="600F1BEC" w14:textId="4B710116" w:rsidR="00BD11B5" w:rsidRPr="00A37351" w:rsidRDefault="009B18C6" w:rsidP="00BD11B5">
            <w:pPr>
              <w:widowControl/>
              <w:autoSpaceDE/>
              <w:autoSpaceDN/>
              <w:rPr>
                <w:rFonts w:ascii="Arial Narrow" w:eastAsia="Times New Roman" w:hAnsi="Arial Narrow"/>
                <w:color w:val="002839"/>
              </w:rPr>
            </w:pPr>
            <w:r>
              <w:rPr>
                <w:rFonts w:ascii="Arial Narrow" w:hAnsi="Arial Narrow"/>
                <w:color w:val="002839"/>
              </w:rPr>
              <w:t>Organisation d</w:t>
            </w:r>
            <w:r w:rsidR="00BD11B5">
              <w:rPr>
                <w:rFonts w:ascii="Arial Narrow" w:hAnsi="Arial Narrow"/>
                <w:color w:val="002839"/>
              </w:rPr>
              <w:t>e réunion</w:t>
            </w:r>
            <w:r>
              <w:rPr>
                <w:rFonts w:ascii="Arial Narrow" w:hAnsi="Arial Narrow"/>
                <w:color w:val="002839"/>
              </w:rPr>
              <w:t>s</w:t>
            </w:r>
            <w:r w:rsidR="00BD11B5">
              <w:rPr>
                <w:rFonts w:ascii="Arial Narrow" w:hAnsi="Arial Narrow"/>
                <w:color w:val="002839"/>
              </w:rPr>
              <w:t xml:space="preserve"> de consultation avec les pays bénéficiaires pour lancer un dialogue intersectoriel public/privé</w:t>
            </w:r>
          </w:p>
        </w:tc>
        <w:tc>
          <w:tcPr>
            <w:tcW w:w="1417" w:type="dxa"/>
            <w:tcBorders>
              <w:top w:val="nil"/>
              <w:left w:val="nil"/>
              <w:bottom w:val="single" w:sz="4" w:space="0" w:color="BFBFBF"/>
              <w:right w:val="single" w:sz="4" w:space="0" w:color="BFBFBF"/>
            </w:tcBorders>
            <w:shd w:val="clear" w:color="auto" w:fill="auto"/>
            <w:noWrap/>
            <w:vAlign w:val="center"/>
            <w:hideMark/>
          </w:tcPr>
          <w:p w14:paraId="3EAF16E8" w14:textId="6E3E9520" w:rsidR="00BD11B5" w:rsidRPr="00DC75B2" w:rsidRDefault="00BD11B5" w:rsidP="00A12A22">
            <w:pPr>
              <w:widowControl/>
              <w:autoSpaceDE/>
              <w:autoSpaceDN/>
              <w:jc w:val="right"/>
              <w:rPr>
                <w:rFonts w:ascii="Arial Narrow" w:eastAsia="Times New Roman" w:hAnsi="Arial Narrow"/>
                <w:color w:val="002839"/>
              </w:rPr>
            </w:pPr>
            <w:r>
              <w:rPr>
                <w:rFonts w:ascii="Arial Narrow" w:hAnsi="Arial Narrow"/>
                <w:color w:val="002839"/>
              </w:rPr>
              <w:t>20 000</w:t>
            </w:r>
          </w:p>
        </w:tc>
        <w:tc>
          <w:tcPr>
            <w:tcW w:w="992" w:type="dxa"/>
            <w:tcBorders>
              <w:top w:val="nil"/>
              <w:left w:val="nil"/>
              <w:bottom w:val="single" w:sz="4" w:space="0" w:color="BFBFBF"/>
              <w:right w:val="single" w:sz="4" w:space="0" w:color="BFBFBF"/>
            </w:tcBorders>
            <w:shd w:val="clear" w:color="auto" w:fill="auto"/>
            <w:noWrap/>
            <w:vAlign w:val="center"/>
            <w:hideMark/>
          </w:tcPr>
          <w:p w14:paraId="5E0EAAE1" w14:textId="5F3E6930" w:rsidR="00BD11B5" w:rsidRPr="00DC75B2" w:rsidRDefault="00A12A22" w:rsidP="005A5E0C">
            <w:pPr>
              <w:widowControl/>
              <w:autoSpaceDE/>
              <w:autoSpaceDN/>
              <w:jc w:val="right"/>
              <w:rPr>
                <w:rFonts w:ascii="Arial Narrow" w:eastAsia="Times New Roman" w:hAnsi="Arial Narrow"/>
                <w:color w:val="002839"/>
              </w:rPr>
            </w:pPr>
            <w:r>
              <w:rPr>
                <w:rFonts w:ascii="Arial Narrow" w:hAnsi="Arial Narrow"/>
                <w:color w:val="002839"/>
              </w:rPr>
              <w:t>20 000</w:t>
            </w:r>
          </w:p>
        </w:tc>
        <w:tc>
          <w:tcPr>
            <w:tcW w:w="1134" w:type="dxa"/>
            <w:tcBorders>
              <w:top w:val="nil"/>
              <w:left w:val="nil"/>
              <w:bottom w:val="single" w:sz="4" w:space="0" w:color="BFBFBF"/>
              <w:right w:val="single" w:sz="4" w:space="0" w:color="BFBFBF"/>
            </w:tcBorders>
            <w:shd w:val="clear" w:color="auto" w:fill="auto"/>
            <w:noWrap/>
            <w:vAlign w:val="center"/>
            <w:hideMark/>
          </w:tcPr>
          <w:p w14:paraId="73BE6974" w14:textId="612B9F58" w:rsidR="00BD11B5" w:rsidRPr="00DC75B2" w:rsidRDefault="00BD11B5" w:rsidP="00BD11B5">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276" w:type="dxa"/>
            <w:tcBorders>
              <w:top w:val="nil"/>
              <w:left w:val="nil"/>
              <w:bottom w:val="single" w:sz="4" w:space="0" w:color="BFBFBF"/>
              <w:right w:val="single" w:sz="4" w:space="0" w:color="BFBFBF"/>
            </w:tcBorders>
            <w:shd w:val="clear" w:color="auto" w:fill="auto"/>
            <w:noWrap/>
            <w:vAlign w:val="center"/>
            <w:hideMark/>
          </w:tcPr>
          <w:p w14:paraId="6AE080AC" w14:textId="7656FC4B" w:rsidR="00BD11B5" w:rsidRPr="00DC75B2" w:rsidRDefault="00BD11B5" w:rsidP="00BD11B5">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14:paraId="41B5384D" w14:textId="30582949" w:rsidR="00BD11B5" w:rsidRPr="00DC75B2" w:rsidRDefault="00BD11B5" w:rsidP="00BD11B5">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276" w:type="dxa"/>
            <w:tcBorders>
              <w:top w:val="nil"/>
              <w:left w:val="nil"/>
              <w:bottom w:val="single" w:sz="4" w:space="0" w:color="BFBFBF"/>
              <w:right w:val="single" w:sz="4" w:space="0" w:color="BFBFBF"/>
            </w:tcBorders>
            <w:shd w:val="clear" w:color="auto" w:fill="auto"/>
            <w:noWrap/>
            <w:vAlign w:val="center"/>
            <w:hideMark/>
          </w:tcPr>
          <w:p w14:paraId="603DB883" w14:textId="1DA8600E" w:rsidR="00BD11B5" w:rsidRPr="00DC75B2" w:rsidRDefault="00BD11B5" w:rsidP="00BD11B5">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14:paraId="3ADC71ED" w14:textId="5D19BCBD" w:rsidR="00BD11B5" w:rsidRPr="00DC75B2" w:rsidRDefault="00BD11B5" w:rsidP="00BD11B5">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276" w:type="dxa"/>
            <w:tcBorders>
              <w:top w:val="nil"/>
              <w:left w:val="nil"/>
              <w:bottom w:val="single" w:sz="4" w:space="0" w:color="BFBFBF"/>
              <w:right w:val="single" w:sz="4" w:space="0" w:color="BFBFBF"/>
            </w:tcBorders>
            <w:shd w:val="clear" w:color="auto" w:fill="auto"/>
            <w:noWrap/>
            <w:vAlign w:val="center"/>
            <w:hideMark/>
          </w:tcPr>
          <w:p w14:paraId="360B6000" w14:textId="77777777" w:rsidR="00BD11B5" w:rsidRPr="00DC75B2" w:rsidRDefault="00BD11B5" w:rsidP="00BD11B5">
            <w:pPr>
              <w:widowControl/>
              <w:autoSpaceDE/>
              <w:autoSpaceDN/>
              <w:jc w:val="right"/>
              <w:rPr>
                <w:rFonts w:ascii="Arial Narrow" w:eastAsia="Times New Roman" w:hAnsi="Arial Narrow"/>
                <w:color w:val="002839"/>
              </w:rPr>
            </w:pPr>
            <w:r>
              <w:rPr>
                <w:rFonts w:ascii="Arial Narrow" w:hAnsi="Arial Narrow"/>
                <w:color w:val="002839"/>
              </w:rPr>
              <w:t> </w:t>
            </w:r>
          </w:p>
        </w:tc>
        <w:tc>
          <w:tcPr>
            <w:tcW w:w="816" w:type="dxa"/>
            <w:tcBorders>
              <w:top w:val="nil"/>
              <w:left w:val="nil"/>
              <w:bottom w:val="single" w:sz="4" w:space="0" w:color="BFBFBF"/>
              <w:right w:val="single" w:sz="4" w:space="0" w:color="BFBFBF"/>
            </w:tcBorders>
            <w:shd w:val="clear" w:color="auto" w:fill="auto"/>
            <w:noWrap/>
            <w:vAlign w:val="center"/>
            <w:hideMark/>
          </w:tcPr>
          <w:p w14:paraId="6D6E9DBD" w14:textId="7C088C1A" w:rsidR="00BD11B5" w:rsidRPr="00DC75B2" w:rsidRDefault="00A12A22" w:rsidP="00A12A22">
            <w:pPr>
              <w:widowControl/>
              <w:autoSpaceDE/>
              <w:autoSpaceDN/>
              <w:jc w:val="center"/>
              <w:rPr>
                <w:rFonts w:ascii="Arial Narrow" w:eastAsia="Times New Roman" w:hAnsi="Arial Narrow"/>
                <w:color w:val="002839"/>
              </w:rPr>
            </w:pPr>
            <w:r>
              <w:rPr>
                <w:rFonts w:ascii="Arial Narrow" w:hAnsi="Arial Narrow"/>
                <w:color w:val="002839"/>
              </w:rPr>
              <w:t>40 000</w:t>
            </w:r>
          </w:p>
        </w:tc>
      </w:tr>
      <w:tr w:rsidR="006450DB" w:rsidRPr="00DC75B2" w14:paraId="7E515BBB" w14:textId="77777777" w:rsidTr="006450DB">
        <w:trPr>
          <w:trHeight w:val="806"/>
        </w:trPr>
        <w:tc>
          <w:tcPr>
            <w:tcW w:w="4575" w:type="dxa"/>
            <w:tcBorders>
              <w:top w:val="nil"/>
              <w:left w:val="single" w:sz="4" w:space="0" w:color="BFBFBF"/>
              <w:bottom w:val="single" w:sz="4" w:space="0" w:color="BFBFBF"/>
              <w:right w:val="single" w:sz="4" w:space="0" w:color="BFBFBF"/>
            </w:tcBorders>
            <w:shd w:val="clear" w:color="auto" w:fill="auto"/>
            <w:vAlign w:val="center"/>
            <w:hideMark/>
          </w:tcPr>
          <w:p w14:paraId="523C14C2" w14:textId="053760C8" w:rsidR="001E7711" w:rsidRPr="00A37351" w:rsidRDefault="001E7711" w:rsidP="001E7711">
            <w:pPr>
              <w:widowControl/>
              <w:autoSpaceDE/>
              <w:autoSpaceDN/>
              <w:rPr>
                <w:rFonts w:ascii="Arial Narrow" w:eastAsia="Times New Roman" w:hAnsi="Arial Narrow"/>
                <w:color w:val="002839"/>
              </w:rPr>
            </w:pPr>
            <w:r>
              <w:rPr>
                <w:rFonts w:ascii="Arial Narrow" w:hAnsi="Arial Narrow"/>
                <w:color w:val="002839"/>
              </w:rPr>
              <w:t>4 compilations (une dans chaque pays) des améliorations potentielles des cadre</w:t>
            </w:r>
            <w:r w:rsidR="00BD11B5">
              <w:rPr>
                <w:rFonts w:ascii="Arial Narrow" w:hAnsi="Arial Narrow"/>
                <w:color w:val="002839"/>
              </w:rPr>
              <w:t>s juridiques et réglementaires</w:t>
            </w:r>
          </w:p>
        </w:tc>
        <w:tc>
          <w:tcPr>
            <w:tcW w:w="1417" w:type="dxa"/>
            <w:tcBorders>
              <w:top w:val="nil"/>
              <w:left w:val="nil"/>
              <w:bottom w:val="single" w:sz="4" w:space="0" w:color="BFBFBF"/>
              <w:right w:val="single" w:sz="4" w:space="0" w:color="BFBFBF"/>
            </w:tcBorders>
            <w:shd w:val="clear" w:color="auto" w:fill="auto"/>
            <w:noWrap/>
            <w:vAlign w:val="center"/>
            <w:hideMark/>
          </w:tcPr>
          <w:p w14:paraId="65F538A1" w14:textId="72E854CE" w:rsidR="001E7711" w:rsidRPr="00DC75B2" w:rsidRDefault="006C33B7" w:rsidP="008405EC">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992" w:type="dxa"/>
            <w:tcBorders>
              <w:top w:val="nil"/>
              <w:left w:val="nil"/>
              <w:bottom w:val="single" w:sz="4" w:space="0" w:color="BFBFBF"/>
              <w:right w:val="single" w:sz="4" w:space="0" w:color="BFBFBF"/>
            </w:tcBorders>
            <w:shd w:val="clear" w:color="auto" w:fill="auto"/>
            <w:noWrap/>
            <w:vAlign w:val="center"/>
            <w:hideMark/>
          </w:tcPr>
          <w:p w14:paraId="0B8A76BF" w14:textId="7A05ED8A" w:rsidR="001E7711" w:rsidRPr="00DC75B2" w:rsidRDefault="001E7711" w:rsidP="005A5E0C">
            <w:pPr>
              <w:widowControl/>
              <w:autoSpaceDE/>
              <w:autoSpaceDN/>
              <w:jc w:val="right"/>
              <w:rPr>
                <w:rFonts w:ascii="Arial Narrow" w:eastAsia="Times New Roman" w:hAnsi="Arial Narrow"/>
                <w:color w:val="002839"/>
              </w:rPr>
            </w:pPr>
            <w:r>
              <w:rPr>
                <w:rFonts w:ascii="Arial Narrow" w:hAnsi="Arial Narrow"/>
                <w:color w:val="002839"/>
              </w:rPr>
              <w:t>40 000</w:t>
            </w:r>
          </w:p>
        </w:tc>
        <w:tc>
          <w:tcPr>
            <w:tcW w:w="1134" w:type="dxa"/>
            <w:tcBorders>
              <w:top w:val="nil"/>
              <w:left w:val="nil"/>
              <w:bottom w:val="single" w:sz="4" w:space="0" w:color="BFBFBF"/>
              <w:right w:val="single" w:sz="4" w:space="0" w:color="BFBFBF"/>
            </w:tcBorders>
            <w:shd w:val="clear" w:color="auto" w:fill="auto"/>
            <w:noWrap/>
            <w:vAlign w:val="center"/>
            <w:hideMark/>
          </w:tcPr>
          <w:p w14:paraId="59FA3355" w14:textId="68A5BB72" w:rsidR="001E7711" w:rsidRPr="00DC75B2" w:rsidRDefault="006C33B7" w:rsidP="008405EC">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276" w:type="dxa"/>
            <w:tcBorders>
              <w:top w:val="nil"/>
              <w:left w:val="nil"/>
              <w:bottom w:val="single" w:sz="4" w:space="0" w:color="BFBFBF"/>
              <w:right w:val="single" w:sz="4" w:space="0" w:color="BFBFBF"/>
            </w:tcBorders>
            <w:shd w:val="clear" w:color="auto" w:fill="auto"/>
            <w:noWrap/>
            <w:vAlign w:val="center"/>
            <w:hideMark/>
          </w:tcPr>
          <w:p w14:paraId="6E903BB0" w14:textId="7314B8F6" w:rsidR="001E7711" w:rsidRPr="00DC75B2" w:rsidRDefault="006C33B7" w:rsidP="008405EC">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14:paraId="2E4EB9C9" w14:textId="6189731F" w:rsidR="001E7711" w:rsidRPr="00DC75B2" w:rsidRDefault="001E7711" w:rsidP="00C113F6">
            <w:pPr>
              <w:widowControl/>
              <w:autoSpaceDE/>
              <w:autoSpaceDN/>
              <w:jc w:val="right"/>
              <w:rPr>
                <w:rFonts w:ascii="Arial Narrow" w:eastAsia="Times New Roman" w:hAnsi="Arial Narrow"/>
                <w:color w:val="002839"/>
              </w:rPr>
            </w:pPr>
            <w:r>
              <w:rPr>
                <w:rFonts w:ascii="Arial Narrow" w:hAnsi="Arial Narrow"/>
                <w:color w:val="002839"/>
              </w:rPr>
              <w:t>4</w:t>
            </w:r>
            <w:r w:rsidR="00A12A22">
              <w:rPr>
                <w:rFonts w:ascii="Arial Narrow" w:hAnsi="Arial Narrow"/>
                <w:color w:val="002839"/>
              </w:rPr>
              <w:t> </w:t>
            </w:r>
            <w:r>
              <w:rPr>
                <w:rFonts w:ascii="Arial Narrow" w:hAnsi="Arial Narrow"/>
                <w:color w:val="002839"/>
              </w:rPr>
              <w:t>000</w:t>
            </w:r>
          </w:p>
        </w:tc>
        <w:tc>
          <w:tcPr>
            <w:tcW w:w="1276" w:type="dxa"/>
            <w:tcBorders>
              <w:top w:val="nil"/>
              <w:left w:val="nil"/>
              <w:bottom w:val="single" w:sz="4" w:space="0" w:color="BFBFBF"/>
              <w:right w:val="single" w:sz="4" w:space="0" w:color="BFBFBF"/>
            </w:tcBorders>
            <w:shd w:val="clear" w:color="auto" w:fill="auto"/>
            <w:noWrap/>
            <w:vAlign w:val="center"/>
            <w:hideMark/>
          </w:tcPr>
          <w:p w14:paraId="1D3A2EC3" w14:textId="3DC7B4B4" w:rsidR="001E7711" w:rsidRPr="00DC75B2" w:rsidRDefault="001E7711" w:rsidP="00C113F6">
            <w:pPr>
              <w:widowControl/>
              <w:autoSpaceDE/>
              <w:autoSpaceDN/>
              <w:jc w:val="right"/>
              <w:rPr>
                <w:rFonts w:ascii="Arial Narrow" w:eastAsia="Times New Roman" w:hAnsi="Arial Narrow"/>
                <w:color w:val="002839"/>
              </w:rPr>
            </w:pPr>
            <w:r>
              <w:rPr>
                <w:rFonts w:ascii="Arial Narrow" w:hAnsi="Arial Narrow"/>
                <w:color w:val="002839"/>
              </w:rPr>
              <w:t>40 000</w:t>
            </w:r>
          </w:p>
        </w:tc>
        <w:tc>
          <w:tcPr>
            <w:tcW w:w="1134" w:type="dxa"/>
            <w:tcBorders>
              <w:top w:val="nil"/>
              <w:left w:val="nil"/>
              <w:bottom w:val="single" w:sz="4" w:space="0" w:color="BFBFBF"/>
              <w:right w:val="single" w:sz="4" w:space="0" w:color="BFBFBF"/>
            </w:tcBorders>
            <w:shd w:val="clear" w:color="auto" w:fill="auto"/>
            <w:noWrap/>
            <w:vAlign w:val="center"/>
            <w:hideMark/>
          </w:tcPr>
          <w:p w14:paraId="5C20A10A" w14:textId="4F13F746" w:rsidR="001E7711" w:rsidRPr="00DC75B2" w:rsidRDefault="006C33B7" w:rsidP="008405EC">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276" w:type="dxa"/>
            <w:tcBorders>
              <w:top w:val="nil"/>
              <w:left w:val="nil"/>
              <w:bottom w:val="single" w:sz="4" w:space="0" w:color="BFBFBF"/>
              <w:right w:val="single" w:sz="4" w:space="0" w:color="BFBFBF"/>
            </w:tcBorders>
            <w:shd w:val="clear" w:color="auto" w:fill="auto"/>
            <w:noWrap/>
            <w:vAlign w:val="center"/>
            <w:hideMark/>
          </w:tcPr>
          <w:p w14:paraId="6ACEF14B" w14:textId="09918F91" w:rsidR="001E7711" w:rsidRPr="00DC75B2" w:rsidRDefault="006C33B7" w:rsidP="008405EC">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816" w:type="dxa"/>
            <w:tcBorders>
              <w:top w:val="nil"/>
              <w:left w:val="nil"/>
              <w:bottom w:val="single" w:sz="4" w:space="0" w:color="BFBFBF"/>
              <w:right w:val="single" w:sz="4" w:space="0" w:color="BFBFBF"/>
            </w:tcBorders>
            <w:shd w:val="clear" w:color="auto" w:fill="auto"/>
            <w:noWrap/>
            <w:vAlign w:val="center"/>
            <w:hideMark/>
          </w:tcPr>
          <w:p w14:paraId="200BC355" w14:textId="44BD51D4" w:rsidR="001E7711" w:rsidRPr="00DC75B2" w:rsidRDefault="001E7711" w:rsidP="00A12A22">
            <w:pPr>
              <w:widowControl/>
              <w:autoSpaceDE/>
              <w:autoSpaceDN/>
              <w:jc w:val="center"/>
              <w:rPr>
                <w:rFonts w:ascii="Arial Narrow" w:eastAsia="Times New Roman" w:hAnsi="Arial Narrow"/>
                <w:color w:val="002839"/>
              </w:rPr>
            </w:pPr>
            <w:r>
              <w:rPr>
                <w:rFonts w:ascii="Arial Narrow" w:hAnsi="Arial Narrow"/>
                <w:color w:val="002839"/>
              </w:rPr>
              <w:t>84 000</w:t>
            </w:r>
          </w:p>
        </w:tc>
      </w:tr>
      <w:tr w:rsidR="006450DB" w:rsidRPr="00DC75B2" w14:paraId="0E10D429" w14:textId="77777777" w:rsidTr="006450DB">
        <w:trPr>
          <w:trHeight w:val="806"/>
        </w:trPr>
        <w:tc>
          <w:tcPr>
            <w:tcW w:w="4575" w:type="dxa"/>
            <w:tcBorders>
              <w:top w:val="nil"/>
              <w:left w:val="single" w:sz="4" w:space="0" w:color="BFBFBF"/>
              <w:bottom w:val="single" w:sz="4" w:space="0" w:color="BFBFBF"/>
              <w:right w:val="single" w:sz="4" w:space="0" w:color="BFBFBF"/>
            </w:tcBorders>
            <w:shd w:val="clear" w:color="auto" w:fill="auto"/>
            <w:vAlign w:val="center"/>
            <w:hideMark/>
          </w:tcPr>
          <w:p w14:paraId="12391C8F" w14:textId="40885AC9" w:rsidR="001E7711" w:rsidRPr="00A37351" w:rsidRDefault="001E7711" w:rsidP="001E7711">
            <w:pPr>
              <w:widowControl/>
              <w:autoSpaceDE/>
              <w:autoSpaceDN/>
              <w:rPr>
                <w:rFonts w:ascii="Arial Narrow" w:eastAsia="Times New Roman" w:hAnsi="Arial Narrow"/>
                <w:color w:val="002839"/>
              </w:rPr>
            </w:pPr>
            <w:r>
              <w:rPr>
                <w:rFonts w:ascii="Arial Narrow" w:hAnsi="Arial Narrow"/>
                <w:color w:val="002839"/>
              </w:rPr>
              <w:t>Élaboration et publication, dans les délais convenus, d</w:t>
            </w:r>
            <w:r w:rsidR="00D968EE">
              <w:rPr>
                <w:rFonts w:ascii="Arial Narrow" w:hAnsi="Arial Narrow"/>
                <w:color w:val="002839"/>
              </w:rPr>
              <w:t>’</w:t>
            </w:r>
            <w:r>
              <w:rPr>
                <w:rFonts w:ascii="Arial Narrow" w:hAnsi="Arial Narrow"/>
                <w:color w:val="002839"/>
              </w:rPr>
              <w:t xml:space="preserve">une boîte à outils fournissant des directives techniques aux régulateurs du </w:t>
            </w:r>
            <w:r w:rsidR="001C274D">
              <w:rPr>
                <w:rFonts w:ascii="Arial Narrow" w:hAnsi="Arial Narrow"/>
                <w:color w:val="002839"/>
              </w:rPr>
              <w:t>secteur des télécommunications</w:t>
            </w:r>
          </w:p>
        </w:tc>
        <w:tc>
          <w:tcPr>
            <w:tcW w:w="1417" w:type="dxa"/>
            <w:tcBorders>
              <w:top w:val="nil"/>
              <w:left w:val="nil"/>
              <w:bottom w:val="single" w:sz="4" w:space="0" w:color="BFBFBF"/>
              <w:right w:val="single" w:sz="4" w:space="0" w:color="BFBFBF"/>
            </w:tcBorders>
            <w:shd w:val="clear" w:color="auto" w:fill="auto"/>
            <w:noWrap/>
            <w:vAlign w:val="center"/>
            <w:hideMark/>
          </w:tcPr>
          <w:p w14:paraId="340944BC" w14:textId="3C71B61A" w:rsidR="001E7711" w:rsidRPr="00DC75B2" w:rsidRDefault="006C33B7" w:rsidP="008405EC">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992" w:type="dxa"/>
            <w:tcBorders>
              <w:top w:val="nil"/>
              <w:left w:val="nil"/>
              <w:bottom w:val="single" w:sz="4" w:space="0" w:color="BFBFBF"/>
              <w:right w:val="single" w:sz="4" w:space="0" w:color="BFBFBF"/>
            </w:tcBorders>
            <w:shd w:val="clear" w:color="auto" w:fill="auto"/>
            <w:noWrap/>
            <w:vAlign w:val="center"/>
            <w:hideMark/>
          </w:tcPr>
          <w:p w14:paraId="629EAF45" w14:textId="1D3EA170" w:rsidR="001E7711" w:rsidRPr="00DC75B2" w:rsidRDefault="006C33B7" w:rsidP="008405EC">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14:paraId="7CB6D523" w14:textId="29EC72E5" w:rsidR="001E7711" w:rsidRPr="00DC75B2" w:rsidRDefault="006C33B7" w:rsidP="008405EC">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276" w:type="dxa"/>
            <w:tcBorders>
              <w:top w:val="nil"/>
              <w:left w:val="nil"/>
              <w:bottom w:val="single" w:sz="4" w:space="0" w:color="BFBFBF"/>
              <w:right w:val="single" w:sz="4" w:space="0" w:color="BFBFBF"/>
            </w:tcBorders>
            <w:shd w:val="clear" w:color="auto" w:fill="auto"/>
            <w:noWrap/>
            <w:vAlign w:val="center"/>
            <w:hideMark/>
          </w:tcPr>
          <w:p w14:paraId="0D1B8F36" w14:textId="7FD31A15" w:rsidR="001E7711" w:rsidRPr="00DC75B2" w:rsidRDefault="006C33B7" w:rsidP="008405EC">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14:paraId="7551C8E1" w14:textId="73D6909D" w:rsidR="001E7711" w:rsidRPr="00DC75B2" w:rsidRDefault="001E7711" w:rsidP="00C113F6">
            <w:pPr>
              <w:widowControl/>
              <w:autoSpaceDE/>
              <w:autoSpaceDN/>
              <w:jc w:val="right"/>
              <w:rPr>
                <w:rFonts w:ascii="Arial Narrow" w:eastAsia="Times New Roman" w:hAnsi="Arial Narrow"/>
                <w:color w:val="002839"/>
              </w:rPr>
            </w:pPr>
            <w:r>
              <w:rPr>
                <w:rFonts w:ascii="Arial Narrow" w:hAnsi="Arial Narrow"/>
                <w:color w:val="002839"/>
              </w:rPr>
              <w:t>6</w:t>
            </w:r>
            <w:r w:rsidR="00A12A22">
              <w:rPr>
                <w:rFonts w:ascii="Arial Narrow" w:hAnsi="Arial Narrow"/>
                <w:color w:val="002839"/>
              </w:rPr>
              <w:t> </w:t>
            </w:r>
            <w:r>
              <w:rPr>
                <w:rFonts w:ascii="Arial Narrow" w:hAnsi="Arial Narrow"/>
                <w:color w:val="002839"/>
              </w:rPr>
              <w:t>000</w:t>
            </w:r>
          </w:p>
        </w:tc>
        <w:tc>
          <w:tcPr>
            <w:tcW w:w="1276" w:type="dxa"/>
            <w:tcBorders>
              <w:top w:val="nil"/>
              <w:left w:val="nil"/>
              <w:bottom w:val="single" w:sz="4" w:space="0" w:color="BFBFBF"/>
              <w:right w:val="single" w:sz="4" w:space="0" w:color="BFBFBF"/>
            </w:tcBorders>
            <w:shd w:val="clear" w:color="auto" w:fill="auto"/>
            <w:noWrap/>
            <w:vAlign w:val="center"/>
            <w:hideMark/>
          </w:tcPr>
          <w:p w14:paraId="5D945DC4" w14:textId="455A72C1" w:rsidR="001E7711" w:rsidRPr="00DC75B2" w:rsidRDefault="001E7711" w:rsidP="00C113F6">
            <w:pPr>
              <w:widowControl/>
              <w:autoSpaceDE/>
              <w:autoSpaceDN/>
              <w:jc w:val="right"/>
              <w:rPr>
                <w:rFonts w:ascii="Arial Narrow" w:eastAsia="Times New Roman" w:hAnsi="Arial Narrow"/>
                <w:color w:val="002839"/>
              </w:rPr>
            </w:pPr>
            <w:r>
              <w:rPr>
                <w:rFonts w:ascii="Arial Narrow" w:hAnsi="Arial Narrow"/>
                <w:color w:val="002839"/>
              </w:rPr>
              <w:t>26 000</w:t>
            </w:r>
          </w:p>
        </w:tc>
        <w:tc>
          <w:tcPr>
            <w:tcW w:w="1134" w:type="dxa"/>
            <w:tcBorders>
              <w:top w:val="nil"/>
              <w:left w:val="nil"/>
              <w:bottom w:val="single" w:sz="4" w:space="0" w:color="BFBFBF"/>
              <w:right w:val="single" w:sz="4" w:space="0" w:color="BFBFBF"/>
            </w:tcBorders>
            <w:shd w:val="clear" w:color="auto" w:fill="auto"/>
            <w:noWrap/>
            <w:vAlign w:val="center"/>
            <w:hideMark/>
          </w:tcPr>
          <w:p w14:paraId="1FDE1620" w14:textId="702F3281" w:rsidR="001E7711" w:rsidRPr="00DC75B2" w:rsidRDefault="006C33B7" w:rsidP="008405EC">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276" w:type="dxa"/>
            <w:tcBorders>
              <w:top w:val="nil"/>
              <w:left w:val="nil"/>
              <w:bottom w:val="single" w:sz="4" w:space="0" w:color="BFBFBF"/>
              <w:right w:val="single" w:sz="4" w:space="0" w:color="BFBFBF"/>
            </w:tcBorders>
            <w:shd w:val="clear" w:color="auto" w:fill="auto"/>
            <w:noWrap/>
            <w:vAlign w:val="center"/>
            <w:hideMark/>
          </w:tcPr>
          <w:p w14:paraId="26038F03" w14:textId="7DE01B6F" w:rsidR="001E7711" w:rsidRPr="00DC75B2" w:rsidRDefault="006C33B7" w:rsidP="008405EC">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816" w:type="dxa"/>
            <w:tcBorders>
              <w:top w:val="nil"/>
              <w:left w:val="nil"/>
              <w:bottom w:val="single" w:sz="4" w:space="0" w:color="BFBFBF"/>
              <w:right w:val="single" w:sz="4" w:space="0" w:color="BFBFBF"/>
            </w:tcBorders>
            <w:shd w:val="clear" w:color="auto" w:fill="auto"/>
            <w:noWrap/>
            <w:vAlign w:val="center"/>
            <w:hideMark/>
          </w:tcPr>
          <w:p w14:paraId="71922135" w14:textId="5D850482" w:rsidR="001E7711" w:rsidRPr="00DC75B2" w:rsidRDefault="001E7711" w:rsidP="00C113F6">
            <w:pPr>
              <w:widowControl/>
              <w:autoSpaceDE/>
              <w:autoSpaceDN/>
              <w:jc w:val="center"/>
              <w:rPr>
                <w:rFonts w:ascii="Arial Narrow" w:eastAsia="Times New Roman" w:hAnsi="Arial Narrow"/>
                <w:color w:val="002839"/>
              </w:rPr>
            </w:pPr>
            <w:r>
              <w:rPr>
                <w:rFonts w:ascii="Arial Narrow" w:hAnsi="Arial Narrow"/>
                <w:color w:val="002839"/>
              </w:rPr>
              <w:t>32</w:t>
            </w:r>
            <w:r w:rsidR="00A12A22">
              <w:rPr>
                <w:rFonts w:ascii="Arial Narrow" w:hAnsi="Arial Narrow"/>
                <w:color w:val="002839"/>
              </w:rPr>
              <w:t> </w:t>
            </w:r>
            <w:r>
              <w:rPr>
                <w:rFonts w:ascii="Arial Narrow" w:hAnsi="Arial Narrow"/>
                <w:color w:val="002839"/>
              </w:rPr>
              <w:t>000</w:t>
            </w:r>
          </w:p>
        </w:tc>
      </w:tr>
      <w:tr w:rsidR="006450DB" w:rsidRPr="00DC75B2" w14:paraId="52486AE6" w14:textId="77777777" w:rsidTr="006450DB">
        <w:trPr>
          <w:trHeight w:val="1008"/>
        </w:trPr>
        <w:tc>
          <w:tcPr>
            <w:tcW w:w="4575" w:type="dxa"/>
            <w:tcBorders>
              <w:top w:val="nil"/>
              <w:left w:val="single" w:sz="4" w:space="0" w:color="BFBFBF"/>
              <w:bottom w:val="single" w:sz="4" w:space="0" w:color="BFBFBF"/>
              <w:right w:val="single" w:sz="4" w:space="0" w:color="BFBFBF"/>
            </w:tcBorders>
            <w:shd w:val="clear" w:color="auto" w:fill="auto"/>
            <w:vAlign w:val="center"/>
            <w:hideMark/>
          </w:tcPr>
          <w:p w14:paraId="36A7DD92" w14:textId="656CD4CD" w:rsidR="001E7711" w:rsidRPr="00A37351" w:rsidRDefault="001E7711" w:rsidP="001E7711">
            <w:pPr>
              <w:widowControl/>
              <w:autoSpaceDE/>
              <w:autoSpaceDN/>
              <w:rPr>
                <w:rFonts w:ascii="Arial Narrow" w:eastAsia="Times New Roman" w:hAnsi="Arial Narrow"/>
                <w:color w:val="002839"/>
              </w:rPr>
            </w:pPr>
            <w:r>
              <w:rPr>
                <w:rFonts w:ascii="Arial Narrow" w:hAnsi="Arial Narrow"/>
                <w:color w:val="002839"/>
              </w:rPr>
              <w:t xml:space="preserve">Élaboration et livraison de formations dans chacun des pays bénéficiaires </w:t>
            </w:r>
            <w:r w:rsidR="00163FE3">
              <w:rPr>
                <w:rFonts w:ascii="Arial Narrow" w:hAnsi="Arial Narrow"/>
                <w:color w:val="002839"/>
              </w:rPr>
              <w:t xml:space="preserve">sur </w:t>
            </w:r>
            <w:r>
              <w:rPr>
                <w:rFonts w:ascii="Arial Narrow" w:hAnsi="Arial Narrow"/>
                <w:color w:val="002839"/>
              </w:rPr>
              <w:t>l</w:t>
            </w:r>
            <w:r w:rsidR="00D968EE">
              <w:rPr>
                <w:rFonts w:ascii="Arial Narrow" w:hAnsi="Arial Narrow"/>
                <w:color w:val="002839"/>
              </w:rPr>
              <w:t>’</w:t>
            </w:r>
            <w:r>
              <w:rPr>
                <w:rFonts w:ascii="Arial Narrow" w:hAnsi="Arial Narrow"/>
                <w:color w:val="002839"/>
              </w:rPr>
              <w:t>écosystème économique et l</w:t>
            </w:r>
            <w:r w:rsidR="00D968EE">
              <w:rPr>
                <w:rFonts w:ascii="Arial Narrow" w:hAnsi="Arial Narrow"/>
                <w:color w:val="002839"/>
              </w:rPr>
              <w:t>’</w:t>
            </w:r>
            <w:r>
              <w:rPr>
                <w:rFonts w:ascii="Arial Narrow" w:hAnsi="Arial Narrow"/>
                <w:color w:val="002839"/>
              </w:rPr>
              <w:t xml:space="preserve">importance de renforcer le respect </w:t>
            </w:r>
            <w:r w:rsidR="00163FE3">
              <w:rPr>
                <w:rFonts w:ascii="Arial Narrow" w:hAnsi="Arial Narrow"/>
                <w:color w:val="002839"/>
              </w:rPr>
              <w:t xml:space="preserve">pour </w:t>
            </w:r>
            <w:r>
              <w:rPr>
                <w:rFonts w:ascii="Arial Narrow" w:hAnsi="Arial Narrow"/>
                <w:color w:val="002839"/>
              </w:rPr>
              <w:t>la propriété intellectuelle dans l</w:t>
            </w:r>
            <w:r w:rsidR="00D968EE">
              <w:rPr>
                <w:rFonts w:ascii="Arial Narrow" w:hAnsi="Arial Narrow"/>
                <w:color w:val="002839"/>
              </w:rPr>
              <w:t>’</w:t>
            </w:r>
            <w:r>
              <w:rPr>
                <w:rFonts w:ascii="Arial Narrow" w:hAnsi="Arial Narrow"/>
                <w:color w:val="002839"/>
              </w:rPr>
              <w:t xml:space="preserve">environnement numérique </w:t>
            </w:r>
          </w:p>
        </w:tc>
        <w:tc>
          <w:tcPr>
            <w:tcW w:w="1417" w:type="dxa"/>
            <w:tcBorders>
              <w:top w:val="nil"/>
              <w:left w:val="nil"/>
              <w:bottom w:val="single" w:sz="4" w:space="0" w:color="BFBFBF"/>
              <w:right w:val="single" w:sz="4" w:space="0" w:color="BFBFBF"/>
            </w:tcBorders>
            <w:shd w:val="clear" w:color="auto" w:fill="auto"/>
            <w:noWrap/>
            <w:vAlign w:val="center"/>
            <w:hideMark/>
          </w:tcPr>
          <w:p w14:paraId="60EBF81D" w14:textId="4BE7A70A" w:rsidR="001E7711" w:rsidRPr="00DC75B2" w:rsidRDefault="001E7711" w:rsidP="006450DB">
            <w:pPr>
              <w:widowControl/>
              <w:autoSpaceDE/>
              <w:autoSpaceDN/>
              <w:jc w:val="right"/>
              <w:rPr>
                <w:rFonts w:ascii="Arial Narrow" w:eastAsia="Times New Roman" w:hAnsi="Arial Narrow"/>
                <w:color w:val="002839"/>
              </w:rPr>
            </w:pPr>
            <w:r>
              <w:rPr>
                <w:rFonts w:ascii="Arial Narrow" w:hAnsi="Arial Narrow"/>
                <w:color w:val="002839"/>
              </w:rPr>
              <w:t>30 000</w:t>
            </w:r>
          </w:p>
        </w:tc>
        <w:tc>
          <w:tcPr>
            <w:tcW w:w="992" w:type="dxa"/>
            <w:tcBorders>
              <w:top w:val="nil"/>
              <w:left w:val="nil"/>
              <w:bottom w:val="single" w:sz="4" w:space="0" w:color="BFBFBF"/>
              <w:right w:val="single" w:sz="4" w:space="0" w:color="BFBFBF"/>
            </w:tcBorders>
            <w:shd w:val="clear" w:color="auto" w:fill="auto"/>
            <w:noWrap/>
            <w:vAlign w:val="center"/>
            <w:hideMark/>
          </w:tcPr>
          <w:p w14:paraId="579A54B7" w14:textId="5B9979AA" w:rsidR="001E7711" w:rsidRPr="00DC75B2" w:rsidRDefault="00C113F6" w:rsidP="006450DB">
            <w:pPr>
              <w:widowControl/>
              <w:autoSpaceDE/>
              <w:autoSpaceDN/>
              <w:jc w:val="right"/>
              <w:rPr>
                <w:rFonts w:ascii="Arial Narrow" w:eastAsia="Times New Roman" w:hAnsi="Arial Narrow"/>
                <w:color w:val="002839"/>
              </w:rPr>
            </w:pPr>
            <w:r>
              <w:rPr>
                <w:rFonts w:ascii="Arial Narrow" w:hAnsi="Arial Narrow"/>
                <w:color w:val="002839"/>
              </w:rPr>
              <w:t>40 000</w:t>
            </w:r>
          </w:p>
        </w:tc>
        <w:tc>
          <w:tcPr>
            <w:tcW w:w="1134" w:type="dxa"/>
            <w:tcBorders>
              <w:top w:val="nil"/>
              <w:left w:val="nil"/>
              <w:bottom w:val="single" w:sz="4" w:space="0" w:color="BFBFBF"/>
              <w:right w:val="single" w:sz="4" w:space="0" w:color="BFBFBF"/>
            </w:tcBorders>
            <w:shd w:val="clear" w:color="auto" w:fill="auto"/>
            <w:noWrap/>
            <w:vAlign w:val="center"/>
            <w:hideMark/>
          </w:tcPr>
          <w:p w14:paraId="56B0C4B3" w14:textId="474B4B95" w:rsidR="001E7711" w:rsidRPr="00DC75B2" w:rsidRDefault="006C33B7" w:rsidP="008405EC">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276" w:type="dxa"/>
            <w:tcBorders>
              <w:top w:val="nil"/>
              <w:left w:val="nil"/>
              <w:bottom w:val="single" w:sz="4" w:space="0" w:color="BFBFBF"/>
              <w:right w:val="single" w:sz="4" w:space="0" w:color="BFBFBF"/>
            </w:tcBorders>
            <w:shd w:val="clear" w:color="auto" w:fill="auto"/>
            <w:noWrap/>
            <w:vAlign w:val="center"/>
            <w:hideMark/>
          </w:tcPr>
          <w:p w14:paraId="5676E729" w14:textId="698B8D5E" w:rsidR="001E7711" w:rsidRPr="00DC75B2" w:rsidRDefault="001E7711" w:rsidP="00C113F6">
            <w:pPr>
              <w:widowControl/>
              <w:autoSpaceDE/>
              <w:autoSpaceDN/>
              <w:jc w:val="right"/>
              <w:rPr>
                <w:rFonts w:ascii="Arial Narrow" w:eastAsia="Times New Roman" w:hAnsi="Arial Narrow"/>
                <w:color w:val="002839"/>
              </w:rPr>
            </w:pPr>
            <w:r>
              <w:rPr>
                <w:rFonts w:ascii="Arial Narrow" w:hAnsi="Arial Narrow"/>
                <w:color w:val="002839"/>
              </w:rPr>
              <w:t>12 000</w:t>
            </w:r>
          </w:p>
        </w:tc>
        <w:tc>
          <w:tcPr>
            <w:tcW w:w="1134" w:type="dxa"/>
            <w:tcBorders>
              <w:top w:val="nil"/>
              <w:left w:val="nil"/>
              <w:bottom w:val="single" w:sz="4" w:space="0" w:color="BFBFBF"/>
              <w:right w:val="single" w:sz="4" w:space="0" w:color="BFBFBF"/>
            </w:tcBorders>
            <w:shd w:val="clear" w:color="auto" w:fill="auto"/>
            <w:noWrap/>
            <w:vAlign w:val="center"/>
            <w:hideMark/>
          </w:tcPr>
          <w:p w14:paraId="2A8EEB75" w14:textId="3588D33D" w:rsidR="001E7711" w:rsidRPr="00DC75B2" w:rsidRDefault="006C33B7" w:rsidP="008405EC">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276" w:type="dxa"/>
            <w:tcBorders>
              <w:top w:val="nil"/>
              <w:left w:val="nil"/>
              <w:bottom w:val="single" w:sz="4" w:space="0" w:color="BFBFBF"/>
              <w:right w:val="single" w:sz="4" w:space="0" w:color="BFBFBF"/>
            </w:tcBorders>
            <w:shd w:val="clear" w:color="auto" w:fill="auto"/>
            <w:noWrap/>
            <w:vAlign w:val="center"/>
            <w:hideMark/>
          </w:tcPr>
          <w:p w14:paraId="47EBBFFE" w14:textId="6F39ACC2" w:rsidR="001E7711" w:rsidRPr="00DC75B2" w:rsidRDefault="001E7711" w:rsidP="00C113F6">
            <w:pPr>
              <w:widowControl/>
              <w:autoSpaceDE/>
              <w:autoSpaceDN/>
              <w:jc w:val="right"/>
              <w:rPr>
                <w:rFonts w:ascii="Arial Narrow" w:eastAsia="Times New Roman" w:hAnsi="Arial Narrow"/>
                <w:color w:val="002839"/>
              </w:rPr>
            </w:pPr>
            <w:r>
              <w:rPr>
                <w:rFonts w:ascii="Arial Narrow" w:hAnsi="Arial Narrow"/>
                <w:color w:val="002839"/>
              </w:rPr>
              <w:t>30 000</w:t>
            </w:r>
          </w:p>
        </w:tc>
        <w:tc>
          <w:tcPr>
            <w:tcW w:w="1134" w:type="dxa"/>
            <w:tcBorders>
              <w:top w:val="nil"/>
              <w:left w:val="nil"/>
              <w:bottom w:val="single" w:sz="4" w:space="0" w:color="BFBFBF"/>
              <w:right w:val="single" w:sz="4" w:space="0" w:color="BFBFBF"/>
            </w:tcBorders>
            <w:shd w:val="clear" w:color="auto" w:fill="auto"/>
            <w:noWrap/>
            <w:vAlign w:val="center"/>
            <w:hideMark/>
          </w:tcPr>
          <w:p w14:paraId="3A3160F8" w14:textId="3043138B" w:rsidR="001E7711" w:rsidRPr="00DC75B2" w:rsidRDefault="006C33B7" w:rsidP="008405EC">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1276" w:type="dxa"/>
            <w:tcBorders>
              <w:top w:val="nil"/>
              <w:left w:val="nil"/>
              <w:bottom w:val="single" w:sz="4" w:space="0" w:color="BFBFBF"/>
              <w:right w:val="single" w:sz="4" w:space="0" w:color="BFBFBF"/>
            </w:tcBorders>
            <w:shd w:val="clear" w:color="auto" w:fill="auto"/>
            <w:noWrap/>
            <w:vAlign w:val="center"/>
            <w:hideMark/>
          </w:tcPr>
          <w:p w14:paraId="1361E0F0" w14:textId="09851C54" w:rsidR="001E7711" w:rsidRPr="00DC75B2" w:rsidRDefault="006C33B7" w:rsidP="008405EC">
            <w:pPr>
              <w:widowControl/>
              <w:autoSpaceDE/>
              <w:autoSpaceDN/>
              <w:jc w:val="right"/>
              <w:rPr>
                <w:rFonts w:ascii="Arial Narrow" w:eastAsia="Times New Roman" w:hAnsi="Arial Narrow"/>
                <w:color w:val="002839"/>
              </w:rPr>
            </w:pPr>
            <w:r>
              <w:rPr>
                <w:rFonts w:ascii="Arial Narrow" w:hAnsi="Arial Narrow"/>
                <w:color w:val="002839"/>
              </w:rPr>
              <w:t xml:space="preserve"> – </w:t>
            </w:r>
          </w:p>
        </w:tc>
        <w:tc>
          <w:tcPr>
            <w:tcW w:w="816" w:type="dxa"/>
            <w:tcBorders>
              <w:top w:val="nil"/>
              <w:left w:val="nil"/>
              <w:bottom w:val="single" w:sz="4" w:space="0" w:color="BFBFBF"/>
              <w:right w:val="single" w:sz="4" w:space="0" w:color="BFBFBF"/>
            </w:tcBorders>
            <w:shd w:val="clear" w:color="auto" w:fill="auto"/>
            <w:noWrap/>
            <w:vAlign w:val="center"/>
            <w:hideMark/>
          </w:tcPr>
          <w:p w14:paraId="2CFF1EAC" w14:textId="5041D210" w:rsidR="001E7711" w:rsidRPr="00DC75B2" w:rsidRDefault="001E7711" w:rsidP="00C113F6">
            <w:pPr>
              <w:widowControl/>
              <w:autoSpaceDE/>
              <w:autoSpaceDN/>
              <w:jc w:val="center"/>
              <w:rPr>
                <w:rFonts w:ascii="Arial Narrow" w:eastAsia="Times New Roman" w:hAnsi="Arial Narrow"/>
                <w:color w:val="002839"/>
              </w:rPr>
            </w:pPr>
            <w:r>
              <w:rPr>
                <w:rFonts w:ascii="Arial Narrow" w:hAnsi="Arial Narrow"/>
                <w:color w:val="002839"/>
              </w:rPr>
              <w:t>112 000</w:t>
            </w:r>
          </w:p>
        </w:tc>
      </w:tr>
      <w:tr w:rsidR="006450DB" w:rsidRPr="00DC75B2" w14:paraId="6B8E3461" w14:textId="77777777" w:rsidTr="006450DB">
        <w:trPr>
          <w:trHeight w:val="532"/>
        </w:trPr>
        <w:tc>
          <w:tcPr>
            <w:tcW w:w="4575" w:type="dxa"/>
            <w:tcBorders>
              <w:top w:val="nil"/>
              <w:left w:val="single" w:sz="4" w:space="0" w:color="BFBFBF"/>
              <w:bottom w:val="single" w:sz="4" w:space="0" w:color="BFBFBF"/>
              <w:right w:val="single" w:sz="4" w:space="0" w:color="BFBFBF"/>
            </w:tcBorders>
            <w:shd w:val="clear" w:color="auto" w:fill="auto"/>
            <w:vAlign w:val="center"/>
            <w:hideMark/>
          </w:tcPr>
          <w:p w14:paraId="3F39DF28" w14:textId="3514D15D" w:rsidR="001E7711" w:rsidRPr="00A37351" w:rsidRDefault="001E7711" w:rsidP="001E7711">
            <w:pPr>
              <w:widowControl/>
              <w:autoSpaceDE/>
              <w:autoSpaceDN/>
              <w:rPr>
                <w:rFonts w:ascii="Arial Narrow" w:eastAsia="Times New Roman" w:hAnsi="Arial Narrow"/>
                <w:color w:val="002839"/>
              </w:rPr>
            </w:pPr>
            <w:r>
              <w:rPr>
                <w:rFonts w:ascii="Arial Narrow" w:hAnsi="Arial Narrow"/>
                <w:color w:val="002839"/>
              </w:rPr>
              <w:t>Matériel de promotion et diffu</w:t>
            </w:r>
            <w:r w:rsidR="001C274D">
              <w:rPr>
                <w:rFonts w:ascii="Arial Narrow" w:hAnsi="Arial Narrow"/>
                <w:color w:val="002839"/>
              </w:rPr>
              <w:t>sion des résultats des projets</w:t>
            </w:r>
          </w:p>
        </w:tc>
        <w:tc>
          <w:tcPr>
            <w:tcW w:w="1417" w:type="dxa"/>
            <w:tcBorders>
              <w:top w:val="nil"/>
              <w:left w:val="nil"/>
              <w:bottom w:val="single" w:sz="4" w:space="0" w:color="BFBFBF"/>
              <w:right w:val="single" w:sz="4" w:space="0" w:color="BFBFBF"/>
            </w:tcBorders>
            <w:shd w:val="clear" w:color="auto" w:fill="auto"/>
            <w:noWrap/>
            <w:vAlign w:val="center"/>
            <w:hideMark/>
          </w:tcPr>
          <w:p w14:paraId="2A32E710" w14:textId="77777777" w:rsidR="001E7711" w:rsidRPr="00A37351" w:rsidRDefault="001E7711" w:rsidP="001E7711">
            <w:pPr>
              <w:widowControl/>
              <w:autoSpaceDE/>
              <w:autoSpaceDN/>
              <w:jc w:val="right"/>
              <w:rPr>
                <w:rFonts w:ascii="Arial Narrow" w:eastAsia="Times New Roman" w:hAnsi="Arial Narrow"/>
                <w:color w:val="002839"/>
              </w:rPr>
            </w:pPr>
            <w:r>
              <w:rPr>
                <w:rFonts w:ascii="Arial Narrow" w:hAnsi="Arial Narrow"/>
                <w:color w:val="002839"/>
              </w:rPr>
              <w:t> </w:t>
            </w:r>
          </w:p>
        </w:tc>
        <w:tc>
          <w:tcPr>
            <w:tcW w:w="992" w:type="dxa"/>
            <w:tcBorders>
              <w:top w:val="nil"/>
              <w:left w:val="nil"/>
              <w:bottom w:val="single" w:sz="4" w:space="0" w:color="BFBFBF"/>
              <w:right w:val="single" w:sz="4" w:space="0" w:color="BFBFBF"/>
            </w:tcBorders>
            <w:shd w:val="clear" w:color="auto" w:fill="auto"/>
            <w:noWrap/>
            <w:vAlign w:val="center"/>
            <w:hideMark/>
          </w:tcPr>
          <w:p w14:paraId="7DD70901" w14:textId="77777777" w:rsidR="001E7711" w:rsidRPr="00A37351" w:rsidRDefault="001E7711" w:rsidP="001E7711">
            <w:pPr>
              <w:widowControl/>
              <w:autoSpaceDE/>
              <w:autoSpaceDN/>
              <w:jc w:val="right"/>
              <w:rPr>
                <w:rFonts w:ascii="Arial Narrow" w:eastAsia="Times New Roman" w:hAnsi="Arial Narrow"/>
                <w:color w:val="002839"/>
              </w:rPr>
            </w:pPr>
            <w:r>
              <w:rPr>
                <w:rFonts w:ascii="Arial Narrow" w:hAnsi="Arial Narrow"/>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14:paraId="3D817468" w14:textId="77777777" w:rsidR="001E7711" w:rsidRPr="00A37351" w:rsidRDefault="001E7711" w:rsidP="001E7711">
            <w:pPr>
              <w:widowControl/>
              <w:autoSpaceDE/>
              <w:autoSpaceDN/>
              <w:jc w:val="right"/>
              <w:rPr>
                <w:rFonts w:ascii="Arial Narrow" w:eastAsia="Times New Roman" w:hAnsi="Arial Narrow"/>
                <w:color w:val="002839"/>
              </w:rPr>
            </w:pPr>
            <w:r>
              <w:rPr>
                <w:rFonts w:ascii="Arial Narrow" w:hAnsi="Arial Narrow"/>
                <w:color w:val="002839"/>
              </w:rPr>
              <w:t> </w:t>
            </w:r>
          </w:p>
        </w:tc>
        <w:tc>
          <w:tcPr>
            <w:tcW w:w="1276" w:type="dxa"/>
            <w:tcBorders>
              <w:top w:val="nil"/>
              <w:left w:val="nil"/>
              <w:bottom w:val="single" w:sz="4" w:space="0" w:color="BFBFBF"/>
              <w:right w:val="single" w:sz="4" w:space="0" w:color="BFBFBF"/>
            </w:tcBorders>
            <w:shd w:val="clear" w:color="auto" w:fill="auto"/>
            <w:noWrap/>
            <w:vAlign w:val="center"/>
            <w:hideMark/>
          </w:tcPr>
          <w:p w14:paraId="2A5B9C2A" w14:textId="77777777" w:rsidR="001E7711" w:rsidRPr="00A37351" w:rsidRDefault="001E7711" w:rsidP="001E7711">
            <w:pPr>
              <w:widowControl/>
              <w:autoSpaceDE/>
              <w:autoSpaceDN/>
              <w:jc w:val="right"/>
              <w:rPr>
                <w:rFonts w:ascii="Arial Narrow" w:eastAsia="Times New Roman" w:hAnsi="Arial Narrow"/>
                <w:color w:val="002839"/>
              </w:rPr>
            </w:pPr>
            <w:r>
              <w:rPr>
                <w:rFonts w:ascii="Arial Narrow" w:hAnsi="Arial Narrow"/>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14:paraId="1782BDB1" w14:textId="77777777" w:rsidR="001E7711" w:rsidRPr="00A37351" w:rsidRDefault="001E7711" w:rsidP="001E7711">
            <w:pPr>
              <w:widowControl/>
              <w:autoSpaceDE/>
              <w:autoSpaceDN/>
              <w:jc w:val="right"/>
              <w:rPr>
                <w:rFonts w:ascii="Arial Narrow" w:eastAsia="Times New Roman" w:hAnsi="Arial Narrow"/>
                <w:color w:val="002839"/>
              </w:rPr>
            </w:pPr>
            <w:r>
              <w:rPr>
                <w:rFonts w:ascii="Arial Narrow" w:hAnsi="Arial Narrow"/>
                <w:color w:val="002839"/>
              </w:rPr>
              <w:t> </w:t>
            </w:r>
          </w:p>
        </w:tc>
        <w:tc>
          <w:tcPr>
            <w:tcW w:w="1276" w:type="dxa"/>
            <w:tcBorders>
              <w:top w:val="nil"/>
              <w:left w:val="nil"/>
              <w:bottom w:val="single" w:sz="4" w:space="0" w:color="BFBFBF"/>
              <w:right w:val="single" w:sz="4" w:space="0" w:color="BFBFBF"/>
            </w:tcBorders>
            <w:shd w:val="clear" w:color="auto" w:fill="auto"/>
            <w:noWrap/>
            <w:vAlign w:val="center"/>
            <w:hideMark/>
          </w:tcPr>
          <w:p w14:paraId="0DB3FF41" w14:textId="5F66B6C8" w:rsidR="001E7711" w:rsidRPr="00DC75B2" w:rsidRDefault="001E7711" w:rsidP="006450DB">
            <w:pPr>
              <w:widowControl/>
              <w:autoSpaceDE/>
              <w:autoSpaceDN/>
              <w:jc w:val="right"/>
              <w:rPr>
                <w:rFonts w:ascii="Arial Narrow" w:eastAsia="Times New Roman" w:hAnsi="Arial Narrow"/>
                <w:color w:val="002839"/>
              </w:rPr>
            </w:pPr>
            <w:r>
              <w:rPr>
                <w:rFonts w:ascii="Arial Narrow" w:hAnsi="Arial Narrow"/>
                <w:color w:val="002839"/>
              </w:rPr>
              <w:t>20 000</w:t>
            </w:r>
          </w:p>
        </w:tc>
        <w:tc>
          <w:tcPr>
            <w:tcW w:w="1134" w:type="dxa"/>
            <w:tcBorders>
              <w:top w:val="nil"/>
              <w:left w:val="nil"/>
              <w:bottom w:val="single" w:sz="4" w:space="0" w:color="BFBFBF"/>
              <w:right w:val="single" w:sz="4" w:space="0" w:color="BFBFBF"/>
            </w:tcBorders>
            <w:shd w:val="clear" w:color="auto" w:fill="auto"/>
            <w:noWrap/>
            <w:vAlign w:val="center"/>
            <w:hideMark/>
          </w:tcPr>
          <w:p w14:paraId="4D540CD2" w14:textId="77777777" w:rsidR="001E7711" w:rsidRPr="00DC75B2" w:rsidRDefault="001E7711" w:rsidP="001E7711">
            <w:pPr>
              <w:widowControl/>
              <w:autoSpaceDE/>
              <w:autoSpaceDN/>
              <w:jc w:val="right"/>
              <w:rPr>
                <w:rFonts w:ascii="Arial Narrow" w:eastAsia="Times New Roman" w:hAnsi="Arial Narrow"/>
                <w:color w:val="002839"/>
              </w:rPr>
            </w:pPr>
            <w:r>
              <w:rPr>
                <w:rFonts w:ascii="Arial Narrow" w:hAnsi="Arial Narrow"/>
                <w:color w:val="002839"/>
              </w:rPr>
              <w:t> </w:t>
            </w:r>
          </w:p>
        </w:tc>
        <w:tc>
          <w:tcPr>
            <w:tcW w:w="1276" w:type="dxa"/>
            <w:tcBorders>
              <w:top w:val="nil"/>
              <w:left w:val="nil"/>
              <w:bottom w:val="single" w:sz="4" w:space="0" w:color="BFBFBF"/>
              <w:right w:val="single" w:sz="4" w:space="0" w:color="BFBFBF"/>
            </w:tcBorders>
            <w:shd w:val="clear" w:color="auto" w:fill="auto"/>
            <w:noWrap/>
            <w:vAlign w:val="center"/>
            <w:hideMark/>
          </w:tcPr>
          <w:p w14:paraId="2C7CB493" w14:textId="517535F9" w:rsidR="001E7711" w:rsidRPr="00DC75B2" w:rsidRDefault="001E7711" w:rsidP="00C113F6">
            <w:pPr>
              <w:widowControl/>
              <w:autoSpaceDE/>
              <w:autoSpaceDN/>
              <w:jc w:val="right"/>
              <w:rPr>
                <w:rFonts w:ascii="Arial Narrow" w:eastAsia="Times New Roman" w:hAnsi="Arial Narrow"/>
                <w:color w:val="002839"/>
              </w:rPr>
            </w:pPr>
            <w:r>
              <w:rPr>
                <w:rFonts w:ascii="Arial Narrow" w:hAnsi="Arial Narrow"/>
                <w:color w:val="002839"/>
              </w:rPr>
              <w:t>20 000</w:t>
            </w:r>
          </w:p>
        </w:tc>
        <w:tc>
          <w:tcPr>
            <w:tcW w:w="816" w:type="dxa"/>
            <w:tcBorders>
              <w:top w:val="nil"/>
              <w:left w:val="nil"/>
              <w:bottom w:val="single" w:sz="4" w:space="0" w:color="BFBFBF"/>
              <w:right w:val="single" w:sz="4" w:space="0" w:color="BFBFBF"/>
            </w:tcBorders>
            <w:shd w:val="clear" w:color="auto" w:fill="auto"/>
            <w:noWrap/>
            <w:vAlign w:val="center"/>
            <w:hideMark/>
          </w:tcPr>
          <w:p w14:paraId="47282E8A" w14:textId="31955B89" w:rsidR="001E7711" w:rsidRPr="00DC75B2" w:rsidRDefault="001E7711" w:rsidP="00C113F6">
            <w:pPr>
              <w:widowControl/>
              <w:autoSpaceDE/>
              <w:autoSpaceDN/>
              <w:rPr>
                <w:rFonts w:ascii="Arial Narrow" w:eastAsia="Times New Roman" w:hAnsi="Arial Narrow"/>
                <w:color w:val="002839"/>
              </w:rPr>
            </w:pPr>
            <w:r>
              <w:rPr>
                <w:rFonts w:ascii="Arial Narrow" w:hAnsi="Arial Narrow"/>
                <w:color w:val="002839"/>
              </w:rPr>
              <w:t>40 000</w:t>
            </w:r>
          </w:p>
        </w:tc>
      </w:tr>
      <w:tr w:rsidR="006450DB" w:rsidRPr="00BD11B5" w14:paraId="4A1B0D92" w14:textId="77777777" w:rsidTr="006450DB">
        <w:trPr>
          <w:trHeight w:val="280"/>
        </w:trPr>
        <w:tc>
          <w:tcPr>
            <w:tcW w:w="4575" w:type="dxa"/>
            <w:tcBorders>
              <w:top w:val="nil"/>
              <w:left w:val="single" w:sz="4" w:space="0" w:color="BFBFBF"/>
              <w:bottom w:val="single" w:sz="4" w:space="0" w:color="BFBFBF"/>
              <w:right w:val="single" w:sz="4" w:space="0" w:color="BFBFBF"/>
            </w:tcBorders>
            <w:shd w:val="clear" w:color="auto" w:fill="auto"/>
            <w:vAlign w:val="center"/>
            <w:hideMark/>
          </w:tcPr>
          <w:p w14:paraId="497C5BAF" w14:textId="547A9A5A" w:rsidR="001E7711" w:rsidRPr="00BD11B5" w:rsidRDefault="001E7711" w:rsidP="001E7711">
            <w:pPr>
              <w:widowControl/>
              <w:autoSpaceDE/>
              <w:autoSpaceDN/>
              <w:rPr>
                <w:rFonts w:ascii="Arial Narrow" w:eastAsia="Times New Roman" w:hAnsi="Arial Narrow"/>
              </w:rPr>
            </w:pPr>
            <w:r w:rsidRPr="00BD11B5">
              <w:rPr>
                <w:rFonts w:ascii="Arial Narrow" w:hAnsi="Arial Narrow"/>
                <w:color w:val="002839"/>
              </w:rPr>
              <w:t>Évaluation du projet</w:t>
            </w:r>
          </w:p>
        </w:tc>
        <w:tc>
          <w:tcPr>
            <w:tcW w:w="1417" w:type="dxa"/>
            <w:tcBorders>
              <w:top w:val="nil"/>
              <w:left w:val="nil"/>
              <w:bottom w:val="single" w:sz="4" w:space="0" w:color="BFBFBF"/>
              <w:right w:val="single" w:sz="4" w:space="0" w:color="BFBFBF"/>
            </w:tcBorders>
            <w:shd w:val="clear" w:color="auto" w:fill="auto"/>
            <w:noWrap/>
            <w:vAlign w:val="center"/>
            <w:hideMark/>
          </w:tcPr>
          <w:p w14:paraId="42D61886" w14:textId="56C94A0F" w:rsidR="001E7711" w:rsidRPr="00BD11B5" w:rsidRDefault="006C33B7" w:rsidP="001E7711">
            <w:pPr>
              <w:widowControl/>
              <w:autoSpaceDE/>
              <w:autoSpaceDN/>
              <w:jc w:val="right"/>
              <w:rPr>
                <w:rFonts w:ascii="Arial Narrow" w:eastAsia="Times New Roman" w:hAnsi="Arial Narrow"/>
              </w:rPr>
            </w:pPr>
            <w:r w:rsidRPr="00BD11B5">
              <w:rPr>
                <w:rFonts w:ascii="Arial Narrow" w:hAnsi="Arial Narrow"/>
              </w:rPr>
              <w:t xml:space="preserve"> – </w:t>
            </w:r>
          </w:p>
        </w:tc>
        <w:tc>
          <w:tcPr>
            <w:tcW w:w="992" w:type="dxa"/>
            <w:tcBorders>
              <w:top w:val="nil"/>
              <w:left w:val="nil"/>
              <w:bottom w:val="single" w:sz="4" w:space="0" w:color="BFBFBF"/>
              <w:right w:val="single" w:sz="4" w:space="0" w:color="BFBFBF"/>
            </w:tcBorders>
            <w:shd w:val="clear" w:color="auto" w:fill="auto"/>
            <w:noWrap/>
            <w:vAlign w:val="center"/>
            <w:hideMark/>
          </w:tcPr>
          <w:p w14:paraId="2A779F41" w14:textId="77777777" w:rsidR="001E7711" w:rsidRPr="00BD11B5" w:rsidRDefault="001E7711" w:rsidP="001E7711">
            <w:pPr>
              <w:widowControl/>
              <w:autoSpaceDE/>
              <w:autoSpaceDN/>
              <w:jc w:val="right"/>
              <w:rPr>
                <w:rFonts w:ascii="Arial Narrow" w:eastAsia="Times New Roman" w:hAnsi="Arial Narrow"/>
              </w:rPr>
            </w:pPr>
            <w:r w:rsidRPr="00BD11B5">
              <w:rPr>
                <w:rFonts w:ascii="Arial Narrow" w:hAnsi="Arial Narrow"/>
              </w:rPr>
              <w:t> </w:t>
            </w:r>
          </w:p>
        </w:tc>
        <w:tc>
          <w:tcPr>
            <w:tcW w:w="1134" w:type="dxa"/>
            <w:tcBorders>
              <w:top w:val="nil"/>
              <w:left w:val="nil"/>
              <w:bottom w:val="single" w:sz="4" w:space="0" w:color="BFBFBF"/>
              <w:right w:val="single" w:sz="4" w:space="0" w:color="BFBFBF"/>
            </w:tcBorders>
            <w:shd w:val="clear" w:color="auto" w:fill="auto"/>
            <w:noWrap/>
            <w:vAlign w:val="center"/>
            <w:hideMark/>
          </w:tcPr>
          <w:p w14:paraId="4A253A88" w14:textId="225EBE69" w:rsidR="001E7711" w:rsidRPr="00BD11B5" w:rsidRDefault="006C33B7" w:rsidP="001E7711">
            <w:pPr>
              <w:widowControl/>
              <w:autoSpaceDE/>
              <w:autoSpaceDN/>
              <w:jc w:val="right"/>
              <w:rPr>
                <w:rFonts w:ascii="Arial Narrow" w:eastAsia="Times New Roman" w:hAnsi="Arial Narrow"/>
              </w:rPr>
            </w:pPr>
            <w:r w:rsidRPr="00BD11B5">
              <w:rPr>
                <w:rFonts w:ascii="Arial Narrow" w:hAnsi="Arial Narrow"/>
              </w:rPr>
              <w:t xml:space="preserve"> – </w:t>
            </w:r>
          </w:p>
        </w:tc>
        <w:tc>
          <w:tcPr>
            <w:tcW w:w="1276" w:type="dxa"/>
            <w:tcBorders>
              <w:top w:val="nil"/>
              <w:left w:val="nil"/>
              <w:bottom w:val="single" w:sz="4" w:space="0" w:color="BFBFBF"/>
              <w:right w:val="single" w:sz="4" w:space="0" w:color="BFBFBF"/>
            </w:tcBorders>
            <w:shd w:val="clear" w:color="auto" w:fill="auto"/>
            <w:noWrap/>
            <w:vAlign w:val="center"/>
            <w:hideMark/>
          </w:tcPr>
          <w:p w14:paraId="11435CE9" w14:textId="77777777" w:rsidR="001E7711" w:rsidRPr="00BD11B5" w:rsidRDefault="001E7711" w:rsidP="001E7711">
            <w:pPr>
              <w:widowControl/>
              <w:autoSpaceDE/>
              <w:autoSpaceDN/>
              <w:jc w:val="right"/>
              <w:rPr>
                <w:rFonts w:ascii="Arial Narrow" w:eastAsia="Times New Roman" w:hAnsi="Arial Narrow"/>
              </w:rPr>
            </w:pPr>
            <w:r w:rsidRPr="00BD11B5">
              <w:rPr>
                <w:rFonts w:ascii="Arial Narrow" w:hAnsi="Arial Narrow"/>
              </w:rPr>
              <w:t> </w:t>
            </w:r>
          </w:p>
        </w:tc>
        <w:tc>
          <w:tcPr>
            <w:tcW w:w="1134" w:type="dxa"/>
            <w:tcBorders>
              <w:top w:val="nil"/>
              <w:left w:val="nil"/>
              <w:bottom w:val="single" w:sz="4" w:space="0" w:color="BFBFBF"/>
              <w:right w:val="single" w:sz="4" w:space="0" w:color="BFBFBF"/>
            </w:tcBorders>
            <w:shd w:val="clear" w:color="auto" w:fill="auto"/>
            <w:noWrap/>
            <w:vAlign w:val="center"/>
            <w:hideMark/>
          </w:tcPr>
          <w:p w14:paraId="60500087" w14:textId="6187704D" w:rsidR="001E7711" w:rsidRPr="00BD11B5" w:rsidRDefault="006C33B7" w:rsidP="001E7711">
            <w:pPr>
              <w:widowControl/>
              <w:autoSpaceDE/>
              <w:autoSpaceDN/>
              <w:jc w:val="right"/>
              <w:rPr>
                <w:rFonts w:ascii="Arial Narrow" w:eastAsia="Times New Roman" w:hAnsi="Arial Narrow"/>
              </w:rPr>
            </w:pPr>
            <w:r w:rsidRPr="00BD11B5">
              <w:rPr>
                <w:rFonts w:ascii="Arial Narrow" w:hAnsi="Arial Narrow"/>
              </w:rPr>
              <w:t xml:space="preserve"> – </w:t>
            </w:r>
          </w:p>
        </w:tc>
        <w:tc>
          <w:tcPr>
            <w:tcW w:w="1276" w:type="dxa"/>
            <w:tcBorders>
              <w:top w:val="nil"/>
              <w:left w:val="nil"/>
              <w:bottom w:val="single" w:sz="4" w:space="0" w:color="BFBFBF"/>
              <w:right w:val="single" w:sz="4" w:space="0" w:color="BFBFBF"/>
            </w:tcBorders>
            <w:shd w:val="clear" w:color="auto" w:fill="auto"/>
            <w:noWrap/>
            <w:vAlign w:val="center"/>
            <w:hideMark/>
          </w:tcPr>
          <w:p w14:paraId="7831297C" w14:textId="63E99E2C" w:rsidR="001E7711" w:rsidRPr="00BD11B5" w:rsidRDefault="001E7711" w:rsidP="006450DB">
            <w:pPr>
              <w:widowControl/>
              <w:autoSpaceDE/>
              <w:autoSpaceDN/>
              <w:jc w:val="right"/>
              <w:rPr>
                <w:rFonts w:ascii="Arial Narrow" w:hAnsi="Arial Narrow"/>
                <w:color w:val="002839"/>
              </w:rPr>
            </w:pPr>
            <w:r w:rsidRPr="00BD11B5">
              <w:rPr>
                <w:rFonts w:ascii="Arial Narrow" w:hAnsi="Arial Narrow"/>
                <w:color w:val="002839"/>
              </w:rPr>
              <w:t>15 000</w:t>
            </w:r>
          </w:p>
        </w:tc>
        <w:tc>
          <w:tcPr>
            <w:tcW w:w="1134" w:type="dxa"/>
            <w:tcBorders>
              <w:top w:val="nil"/>
              <w:left w:val="nil"/>
              <w:bottom w:val="single" w:sz="4" w:space="0" w:color="BFBFBF"/>
              <w:right w:val="single" w:sz="4" w:space="0" w:color="BFBFBF"/>
            </w:tcBorders>
            <w:shd w:val="clear" w:color="auto" w:fill="auto"/>
            <w:noWrap/>
            <w:vAlign w:val="center"/>
            <w:hideMark/>
          </w:tcPr>
          <w:p w14:paraId="11117036" w14:textId="344212E8" w:rsidR="001E7711" w:rsidRPr="00BD11B5" w:rsidRDefault="006C33B7" w:rsidP="001E7711">
            <w:pPr>
              <w:widowControl/>
              <w:autoSpaceDE/>
              <w:autoSpaceDN/>
              <w:jc w:val="right"/>
              <w:rPr>
                <w:rFonts w:ascii="Arial Narrow" w:hAnsi="Arial Narrow"/>
                <w:color w:val="002839"/>
              </w:rPr>
            </w:pPr>
            <w:r w:rsidRPr="00BD11B5">
              <w:rPr>
                <w:rFonts w:ascii="Arial Narrow" w:hAnsi="Arial Narrow"/>
                <w:color w:val="002839"/>
              </w:rPr>
              <w:t xml:space="preserve"> – </w:t>
            </w:r>
          </w:p>
        </w:tc>
        <w:tc>
          <w:tcPr>
            <w:tcW w:w="1276" w:type="dxa"/>
            <w:tcBorders>
              <w:top w:val="nil"/>
              <w:left w:val="nil"/>
              <w:bottom w:val="single" w:sz="4" w:space="0" w:color="BFBFBF"/>
              <w:right w:val="single" w:sz="4" w:space="0" w:color="BFBFBF"/>
            </w:tcBorders>
            <w:shd w:val="clear" w:color="auto" w:fill="auto"/>
            <w:noWrap/>
            <w:vAlign w:val="center"/>
            <w:hideMark/>
          </w:tcPr>
          <w:p w14:paraId="650A8C53" w14:textId="47A619D5" w:rsidR="001E7711" w:rsidRPr="00BD11B5" w:rsidRDefault="006C33B7" w:rsidP="001E7711">
            <w:pPr>
              <w:widowControl/>
              <w:autoSpaceDE/>
              <w:autoSpaceDN/>
              <w:jc w:val="right"/>
              <w:rPr>
                <w:rFonts w:ascii="Arial Narrow" w:eastAsia="Times New Roman" w:hAnsi="Arial Narrow"/>
              </w:rPr>
            </w:pPr>
            <w:r w:rsidRPr="00BD11B5">
              <w:rPr>
                <w:rFonts w:ascii="Arial Narrow" w:hAnsi="Arial Narrow"/>
              </w:rPr>
              <w:t xml:space="preserve"> – </w:t>
            </w:r>
          </w:p>
        </w:tc>
        <w:tc>
          <w:tcPr>
            <w:tcW w:w="816" w:type="dxa"/>
            <w:tcBorders>
              <w:top w:val="nil"/>
              <w:left w:val="nil"/>
              <w:bottom w:val="single" w:sz="4" w:space="0" w:color="BFBFBF"/>
              <w:right w:val="single" w:sz="4" w:space="0" w:color="BFBFBF"/>
            </w:tcBorders>
            <w:shd w:val="clear" w:color="auto" w:fill="auto"/>
            <w:noWrap/>
            <w:vAlign w:val="center"/>
            <w:hideMark/>
          </w:tcPr>
          <w:p w14:paraId="60B63BA5" w14:textId="1065CAE6" w:rsidR="001E7711" w:rsidRPr="00BD11B5" w:rsidRDefault="001E7711" w:rsidP="00C113F6">
            <w:pPr>
              <w:widowControl/>
              <w:autoSpaceDE/>
              <w:autoSpaceDN/>
              <w:rPr>
                <w:rFonts w:ascii="Arial Narrow" w:eastAsia="Times New Roman" w:hAnsi="Arial Narrow"/>
              </w:rPr>
            </w:pPr>
            <w:r w:rsidRPr="00BD11B5">
              <w:rPr>
                <w:rFonts w:ascii="Arial Narrow" w:hAnsi="Arial Narrow"/>
                <w:color w:val="002839"/>
              </w:rPr>
              <w:t>15 000</w:t>
            </w:r>
          </w:p>
        </w:tc>
      </w:tr>
      <w:tr w:rsidR="006450DB" w:rsidRPr="00BD11B5" w14:paraId="621C4FF1" w14:textId="77777777" w:rsidTr="006450DB">
        <w:trPr>
          <w:cantSplit/>
          <w:trHeight w:val="144"/>
        </w:trPr>
        <w:tc>
          <w:tcPr>
            <w:tcW w:w="4575" w:type="dxa"/>
            <w:tcBorders>
              <w:top w:val="nil"/>
              <w:left w:val="single" w:sz="4" w:space="0" w:color="BFBFBF"/>
              <w:bottom w:val="single" w:sz="4" w:space="0" w:color="BFBFBF"/>
              <w:right w:val="single" w:sz="4" w:space="0" w:color="BFBFBF"/>
            </w:tcBorders>
            <w:shd w:val="clear" w:color="000000" w:fill="EDF0F3"/>
            <w:vAlign w:val="bottom"/>
            <w:hideMark/>
          </w:tcPr>
          <w:p w14:paraId="0AE471B5" w14:textId="77777777" w:rsidR="001E7711" w:rsidRPr="00BD11B5" w:rsidRDefault="001E7711" w:rsidP="001E7711">
            <w:pPr>
              <w:widowControl/>
              <w:autoSpaceDE/>
              <w:autoSpaceDN/>
              <w:rPr>
                <w:rFonts w:ascii="Arial Narrow" w:eastAsia="Times New Roman" w:hAnsi="Arial Narrow"/>
                <w:b/>
                <w:bCs/>
              </w:rPr>
            </w:pPr>
            <w:r w:rsidRPr="00BD11B5">
              <w:rPr>
                <w:rFonts w:ascii="Arial Narrow" w:hAnsi="Arial Narrow"/>
                <w:b/>
              </w:rPr>
              <w:t xml:space="preserve">Total </w:t>
            </w:r>
          </w:p>
        </w:tc>
        <w:tc>
          <w:tcPr>
            <w:tcW w:w="1417" w:type="dxa"/>
            <w:tcBorders>
              <w:top w:val="nil"/>
              <w:left w:val="nil"/>
              <w:bottom w:val="single" w:sz="4" w:space="0" w:color="BFBFBF"/>
              <w:right w:val="single" w:sz="4" w:space="0" w:color="BFBFBF"/>
            </w:tcBorders>
            <w:shd w:val="clear" w:color="000000" w:fill="EDF0F3"/>
            <w:noWrap/>
            <w:vAlign w:val="center"/>
            <w:hideMark/>
          </w:tcPr>
          <w:p w14:paraId="78EAF428" w14:textId="26B27D55" w:rsidR="001E7711" w:rsidRPr="00BD11B5" w:rsidRDefault="001E7711" w:rsidP="00A12A22">
            <w:pPr>
              <w:widowControl/>
              <w:autoSpaceDE/>
              <w:autoSpaceDN/>
              <w:jc w:val="center"/>
              <w:rPr>
                <w:rFonts w:ascii="Arial Narrow" w:eastAsia="Times New Roman" w:hAnsi="Arial Narrow"/>
                <w:b/>
                <w:bCs/>
              </w:rPr>
            </w:pPr>
            <w:r w:rsidRPr="00BD11B5">
              <w:rPr>
                <w:rFonts w:ascii="Arial Narrow" w:hAnsi="Arial Narrow"/>
                <w:b/>
              </w:rPr>
              <w:t>50 000</w:t>
            </w:r>
          </w:p>
        </w:tc>
        <w:tc>
          <w:tcPr>
            <w:tcW w:w="992" w:type="dxa"/>
            <w:tcBorders>
              <w:top w:val="nil"/>
              <w:left w:val="nil"/>
              <w:bottom w:val="single" w:sz="4" w:space="0" w:color="BFBFBF"/>
              <w:right w:val="single" w:sz="4" w:space="0" w:color="BFBFBF"/>
            </w:tcBorders>
            <w:shd w:val="clear" w:color="000000" w:fill="EDF0F3"/>
            <w:noWrap/>
            <w:vAlign w:val="center"/>
            <w:hideMark/>
          </w:tcPr>
          <w:p w14:paraId="68A5A6B4" w14:textId="7A8DEE45" w:rsidR="001E7711" w:rsidRPr="00BD11B5" w:rsidRDefault="001E7711" w:rsidP="00A12A22">
            <w:pPr>
              <w:widowControl/>
              <w:autoSpaceDE/>
              <w:autoSpaceDN/>
              <w:jc w:val="center"/>
              <w:rPr>
                <w:rFonts w:ascii="Arial Narrow" w:eastAsia="Times New Roman" w:hAnsi="Arial Narrow"/>
                <w:b/>
                <w:bCs/>
              </w:rPr>
            </w:pPr>
            <w:r w:rsidRPr="00BD11B5">
              <w:rPr>
                <w:rFonts w:ascii="Arial Narrow" w:hAnsi="Arial Narrow"/>
                <w:b/>
              </w:rPr>
              <w:t>100 000</w:t>
            </w:r>
          </w:p>
        </w:tc>
        <w:tc>
          <w:tcPr>
            <w:tcW w:w="1134" w:type="dxa"/>
            <w:tcBorders>
              <w:top w:val="nil"/>
              <w:left w:val="nil"/>
              <w:bottom w:val="single" w:sz="4" w:space="0" w:color="BFBFBF"/>
              <w:right w:val="single" w:sz="4" w:space="0" w:color="BFBFBF"/>
            </w:tcBorders>
            <w:shd w:val="clear" w:color="000000" w:fill="EDF0F3"/>
            <w:noWrap/>
            <w:vAlign w:val="center"/>
            <w:hideMark/>
          </w:tcPr>
          <w:p w14:paraId="35F9311E" w14:textId="3A318037" w:rsidR="001E7711" w:rsidRPr="00BD11B5" w:rsidRDefault="006C33B7" w:rsidP="00A12A22">
            <w:pPr>
              <w:widowControl/>
              <w:autoSpaceDE/>
              <w:autoSpaceDN/>
              <w:jc w:val="center"/>
              <w:rPr>
                <w:rFonts w:ascii="Arial Narrow" w:eastAsia="Times New Roman" w:hAnsi="Arial Narrow"/>
                <w:b/>
                <w:bCs/>
              </w:rPr>
            </w:pPr>
            <w:r w:rsidRPr="00BD11B5">
              <w:rPr>
                <w:rFonts w:ascii="Arial Narrow" w:hAnsi="Arial Narrow"/>
                <w:b/>
              </w:rPr>
              <w:t xml:space="preserve"> – </w:t>
            </w:r>
          </w:p>
        </w:tc>
        <w:tc>
          <w:tcPr>
            <w:tcW w:w="1276" w:type="dxa"/>
            <w:tcBorders>
              <w:top w:val="nil"/>
              <w:left w:val="nil"/>
              <w:bottom w:val="single" w:sz="4" w:space="0" w:color="BFBFBF"/>
              <w:right w:val="single" w:sz="4" w:space="0" w:color="BFBFBF"/>
            </w:tcBorders>
            <w:shd w:val="clear" w:color="000000" w:fill="EDF0F3"/>
            <w:noWrap/>
            <w:vAlign w:val="center"/>
            <w:hideMark/>
          </w:tcPr>
          <w:p w14:paraId="33DE0AB0" w14:textId="2E717F1C" w:rsidR="001E7711" w:rsidRPr="00BD11B5" w:rsidRDefault="00A12A22" w:rsidP="00A12A22">
            <w:pPr>
              <w:widowControl/>
              <w:autoSpaceDE/>
              <w:autoSpaceDN/>
              <w:jc w:val="center"/>
              <w:rPr>
                <w:rFonts w:ascii="Arial Narrow" w:eastAsia="Times New Roman" w:hAnsi="Arial Narrow"/>
                <w:b/>
                <w:bCs/>
              </w:rPr>
            </w:pPr>
            <w:r>
              <w:rPr>
                <w:rFonts w:ascii="Arial Narrow" w:hAnsi="Arial Narrow"/>
                <w:b/>
              </w:rPr>
              <w:t>12 000</w:t>
            </w:r>
          </w:p>
        </w:tc>
        <w:tc>
          <w:tcPr>
            <w:tcW w:w="1134" w:type="dxa"/>
            <w:tcBorders>
              <w:top w:val="nil"/>
              <w:left w:val="nil"/>
              <w:bottom w:val="single" w:sz="4" w:space="0" w:color="BFBFBF"/>
              <w:right w:val="single" w:sz="4" w:space="0" w:color="BFBFBF"/>
            </w:tcBorders>
            <w:shd w:val="clear" w:color="000000" w:fill="EDF0F3"/>
            <w:noWrap/>
            <w:vAlign w:val="center"/>
            <w:hideMark/>
          </w:tcPr>
          <w:p w14:paraId="684CE404" w14:textId="6CBB7691" w:rsidR="001E7711" w:rsidRPr="00BD11B5" w:rsidRDefault="00A12A22" w:rsidP="00A12A22">
            <w:pPr>
              <w:widowControl/>
              <w:autoSpaceDE/>
              <w:autoSpaceDN/>
              <w:jc w:val="center"/>
              <w:rPr>
                <w:rFonts w:ascii="Arial Narrow" w:eastAsia="Times New Roman" w:hAnsi="Arial Narrow"/>
                <w:b/>
                <w:bCs/>
              </w:rPr>
            </w:pPr>
            <w:r>
              <w:rPr>
                <w:rFonts w:ascii="Arial Narrow" w:hAnsi="Arial Narrow"/>
                <w:b/>
              </w:rPr>
              <w:t>14 000</w:t>
            </w:r>
          </w:p>
        </w:tc>
        <w:tc>
          <w:tcPr>
            <w:tcW w:w="1276" w:type="dxa"/>
            <w:tcBorders>
              <w:top w:val="nil"/>
              <w:left w:val="nil"/>
              <w:bottom w:val="single" w:sz="4" w:space="0" w:color="BFBFBF"/>
              <w:right w:val="single" w:sz="4" w:space="0" w:color="BFBFBF"/>
            </w:tcBorders>
            <w:shd w:val="clear" w:color="000000" w:fill="EDF0F3"/>
            <w:noWrap/>
            <w:vAlign w:val="center"/>
            <w:hideMark/>
          </w:tcPr>
          <w:p w14:paraId="68D464BD" w14:textId="0F301C61" w:rsidR="001E7711" w:rsidRPr="00BD11B5" w:rsidRDefault="00A12A22" w:rsidP="00A12A22">
            <w:pPr>
              <w:widowControl/>
              <w:autoSpaceDE/>
              <w:autoSpaceDN/>
              <w:jc w:val="center"/>
              <w:rPr>
                <w:rFonts w:ascii="Arial Narrow" w:eastAsia="Times New Roman" w:hAnsi="Arial Narrow"/>
                <w:b/>
                <w:bCs/>
              </w:rPr>
            </w:pPr>
            <w:r>
              <w:rPr>
                <w:rFonts w:ascii="Arial Narrow" w:hAnsi="Arial Narrow"/>
                <w:b/>
              </w:rPr>
              <w:t>151 000</w:t>
            </w:r>
          </w:p>
        </w:tc>
        <w:tc>
          <w:tcPr>
            <w:tcW w:w="1134" w:type="dxa"/>
            <w:tcBorders>
              <w:top w:val="nil"/>
              <w:left w:val="nil"/>
              <w:bottom w:val="single" w:sz="4" w:space="0" w:color="BFBFBF"/>
              <w:right w:val="single" w:sz="4" w:space="0" w:color="BFBFBF"/>
            </w:tcBorders>
            <w:shd w:val="clear" w:color="000000" w:fill="EDF0F3"/>
            <w:noWrap/>
            <w:vAlign w:val="center"/>
            <w:hideMark/>
          </w:tcPr>
          <w:p w14:paraId="37298718" w14:textId="624D8DB8" w:rsidR="001E7711" w:rsidRPr="00BD11B5" w:rsidRDefault="001E7711" w:rsidP="00A12A22">
            <w:pPr>
              <w:widowControl/>
              <w:autoSpaceDE/>
              <w:autoSpaceDN/>
              <w:jc w:val="center"/>
              <w:rPr>
                <w:rFonts w:ascii="Arial Narrow" w:eastAsia="Times New Roman" w:hAnsi="Arial Narrow"/>
                <w:b/>
                <w:bCs/>
              </w:rPr>
            </w:pPr>
            <w:r w:rsidRPr="00BD11B5">
              <w:rPr>
                <w:rFonts w:ascii="Arial Narrow" w:hAnsi="Arial Narrow"/>
                <w:b/>
              </w:rPr>
              <w:t>154 200</w:t>
            </w:r>
          </w:p>
        </w:tc>
        <w:tc>
          <w:tcPr>
            <w:tcW w:w="1276" w:type="dxa"/>
            <w:tcBorders>
              <w:top w:val="nil"/>
              <w:left w:val="nil"/>
              <w:bottom w:val="single" w:sz="4" w:space="0" w:color="BFBFBF"/>
              <w:right w:val="single" w:sz="4" w:space="0" w:color="BFBFBF"/>
            </w:tcBorders>
            <w:shd w:val="clear" w:color="000000" w:fill="EDF0F3"/>
            <w:noWrap/>
            <w:vAlign w:val="center"/>
            <w:hideMark/>
          </w:tcPr>
          <w:p w14:paraId="4F3074CA" w14:textId="391696F5" w:rsidR="001E7711" w:rsidRPr="00BD11B5" w:rsidRDefault="001E7711" w:rsidP="00A12A22">
            <w:pPr>
              <w:widowControl/>
              <w:autoSpaceDE/>
              <w:autoSpaceDN/>
              <w:jc w:val="center"/>
              <w:rPr>
                <w:rFonts w:ascii="Arial Narrow" w:eastAsia="Times New Roman" w:hAnsi="Arial Narrow"/>
                <w:b/>
                <w:bCs/>
              </w:rPr>
            </w:pPr>
            <w:r w:rsidRPr="00BD11B5">
              <w:rPr>
                <w:rFonts w:ascii="Arial Narrow" w:hAnsi="Arial Narrow"/>
                <w:b/>
              </w:rPr>
              <w:t>20 000</w:t>
            </w:r>
          </w:p>
        </w:tc>
        <w:tc>
          <w:tcPr>
            <w:tcW w:w="816" w:type="dxa"/>
            <w:tcBorders>
              <w:top w:val="nil"/>
              <w:left w:val="nil"/>
              <w:bottom w:val="single" w:sz="4" w:space="0" w:color="BFBFBF"/>
              <w:right w:val="single" w:sz="4" w:space="0" w:color="BFBFBF"/>
            </w:tcBorders>
            <w:shd w:val="clear" w:color="000000" w:fill="EDF0F3"/>
            <w:noWrap/>
            <w:vAlign w:val="center"/>
            <w:hideMark/>
          </w:tcPr>
          <w:p w14:paraId="10FD57C1" w14:textId="348974D4" w:rsidR="001E7711" w:rsidRPr="00BD11B5" w:rsidRDefault="001E7711" w:rsidP="00A12A22">
            <w:pPr>
              <w:widowControl/>
              <w:autoSpaceDE/>
              <w:autoSpaceDN/>
              <w:jc w:val="center"/>
              <w:rPr>
                <w:rFonts w:ascii="Arial Narrow" w:eastAsia="Times New Roman" w:hAnsi="Arial Narrow"/>
                <w:b/>
                <w:bCs/>
              </w:rPr>
            </w:pPr>
            <w:r w:rsidRPr="00BD11B5">
              <w:rPr>
                <w:rFonts w:ascii="Arial Narrow" w:hAnsi="Arial Narrow"/>
                <w:b/>
              </w:rPr>
              <w:t>501 200</w:t>
            </w:r>
          </w:p>
        </w:tc>
      </w:tr>
    </w:tbl>
    <w:p w14:paraId="54796B59" w14:textId="43C07285" w:rsidR="00A211C8" w:rsidRPr="00BD11B5" w:rsidRDefault="00A211C8" w:rsidP="001C274D">
      <w:pPr>
        <w:pStyle w:val="Endofdocument-Annex"/>
        <w:rPr>
          <w:b/>
        </w:rPr>
      </w:pPr>
      <w:r w:rsidRPr="00BD11B5">
        <w:t>[L</w:t>
      </w:r>
      <w:r w:rsidR="00D968EE" w:rsidRPr="00BD11B5">
        <w:t>’</w:t>
      </w:r>
      <w:r w:rsidRPr="00BD11B5">
        <w:t>annexe II suit]</w:t>
      </w:r>
    </w:p>
    <w:p w14:paraId="6FB0B5E3" w14:textId="7C5034DF" w:rsidR="001E7711" w:rsidRPr="00A211C8" w:rsidRDefault="001E7711" w:rsidP="00A211C8">
      <w:pPr>
        <w:tabs>
          <w:tab w:val="left" w:pos="2440"/>
        </w:tabs>
        <w:sectPr w:rsidR="001E7711" w:rsidRPr="00A211C8" w:rsidSect="00D968EE">
          <w:headerReference w:type="even" r:id="rId28"/>
          <w:headerReference w:type="default" r:id="rId29"/>
          <w:footerReference w:type="even" r:id="rId30"/>
          <w:footerReference w:type="default" r:id="rId31"/>
          <w:headerReference w:type="first" r:id="rId32"/>
          <w:footerReference w:type="first" r:id="rId33"/>
          <w:pgSz w:w="16840" w:h="11907" w:orient="landscape" w:code="9"/>
          <w:pgMar w:top="1418" w:right="567" w:bottom="1134" w:left="1418" w:header="510" w:footer="1021" w:gutter="0"/>
          <w:cols w:space="720"/>
          <w:titlePg/>
          <w:docGrid w:linePitch="299"/>
        </w:sectPr>
      </w:pPr>
    </w:p>
    <w:p w14:paraId="375A4233" w14:textId="2CCF2CD6" w:rsidR="005E49F7" w:rsidRPr="004F1029" w:rsidRDefault="005E49F7" w:rsidP="005E49F7">
      <w:pPr>
        <w:rPr>
          <w:b/>
        </w:rPr>
      </w:pPr>
      <w:r w:rsidRPr="004F1029">
        <w:rPr>
          <w:b/>
        </w:rPr>
        <w:lastRenderedPageBreak/>
        <w:t xml:space="preserve">6. </w:t>
      </w:r>
      <w:r w:rsidR="001C274D" w:rsidRPr="001C274D">
        <w:rPr>
          <w:b/>
          <w:caps/>
        </w:rPr>
        <w:t>Demande de participation en tant que pays pilote/bénéficiaire</w:t>
      </w:r>
    </w:p>
    <w:p w14:paraId="1CAA6B1B" w14:textId="77777777" w:rsidR="005E49F7" w:rsidRPr="004F1029" w:rsidRDefault="005E49F7" w:rsidP="005E49F7">
      <w:pPr>
        <w:rPr>
          <w:b/>
        </w:rPr>
      </w:pPr>
    </w:p>
    <w:tbl>
      <w:tblPr>
        <w:tblW w:w="9766"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DEMANDE DE PARTICIPATION EN TANT QUE PAYS PILOTE/BÉNÉFICIAIRE"/>
      </w:tblPr>
      <w:tblGrid>
        <w:gridCol w:w="2829"/>
        <w:gridCol w:w="6937"/>
      </w:tblGrid>
      <w:tr w:rsidR="00A37351" w:rsidRPr="004F1029" w14:paraId="17FD3E09" w14:textId="77777777" w:rsidTr="00FD786A">
        <w:trPr>
          <w:trHeight w:val="388"/>
        </w:trPr>
        <w:tc>
          <w:tcPr>
            <w:tcW w:w="9766" w:type="dxa"/>
            <w:gridSpan w:val="2"/>
            <w:shd w:val="clear" w:color="auto" w:fill="DEEAF6" w:themeFill="accent1" w:themeFillTint="33"/>
          </w:tcPr>
          <w:p w14:paraId="50DBB6B6" w14:textId="2ECDFD6C" w:rsidR="005E49F7" w:rsidRPr="001C274D" w:rsidRDefault="001C274D" w:rsidP="00FD786A">
            <w:pPr>
              <w:jc w:val="center"/>
              <w:rPr>
                <w:b/>
                <w:caps/>
              </w:rPr>
            </w:pPr>
            <w:r w:rsidRPr="001C274D">
              <w:rPr>
                <w:b/>
                <w:caps/>
              </w:rPr>
              <w:t>Modèle de soumission des demandes de participation en tant que pays pilote/bénéficiaire</w:t>
            </w:r>
          </w:p>
        </w:tc>
      </w:tr>
      <w:tr w:rsidR="00A37351" w:rsidRPr="004F1029" w14:paraId="36C22997" w14:textId="77777777" w:rsidTr="00FD786A">
        <w:trPr>
          <w:trHeight w:val="434"/>
        </w:trPr>
        <w:tc>
          <w:tcPr>
            <w:tcW w:w="2829" w:type="dxa"/>
            <w:shd w:val="clear" w:color="auto" w:fill="DEEAF6" w:themeFill="accent1" w:themeFillTint="33"/>
          </w:tcPr>
          <w:p w14:paraId="6941918B" w14:textId="77777777" w:rsidR="005E49F7" w:rsidRPr="004F1029" w:rsidRDefault="005E49F7" w:rsidP="00FD786A">
            <w:pPr>
              <w:rPr>
                <w:b/>
              </w:rPr>
            </w:pPr>
            <w:r w:rsidRPr="004F1029">
              <w:rPr>
                <w:b/>
              </w:rPr>
              <w:t>Critères de sélection</w:t>
            </w:r>
          </w:p>
        </w:tc>
        <w:tc>
          <w:tcPr>
            <w:tcW w:w="6937" w:type="dxa"/>
            <w:shd w:val="clear" w:color="auto" w:fill="DEEAF6" w:themeFill="accent1" w:themeFillTint="33"/>
          </w:tcPr>
          <w:p w14:paraId="13797D21" w14:textId="77777777" w:rsidR="005E49F7" w:rsidRPr="004F1029" w:rsidRDefault="005E49F7" w:rsidP="00FD786A">
            <w:pPr>
              <w:rPr>
                <w:b/>
              </w:rPr>
            </w:pPr>
            <w:r w:rsidRPr="004F1029">
              <w:rPr>
                <w:b/>
              </w:rPr>
              <w:t>Brève description</w:t>
            </w:r>
          </w:p>
        </w:tc>
      </w:tr>
      <w:tr w:rsidR="00A37351" w:rsidRPr="004F1029" w14:paraId="7A648A6C" w14:textId="77777777" w:rsidTr="00FD786A">
        <w:trPr>
          <w:trHeight w:val="517"/>
        </w:trPr>
        <w:tc>
          <w:tcPr>
            <w:tcW w:w="2829" w:type="dxa"/>
            <w:shd w:val="clear" w:color="auto" w:fill="F1F1F1"/>
          </w:tcPr>
          <w:p w14:paraId="51C24E16" w14:textId="50D026FF" w:rsidR="005E49F7" w:rsidRPr="004F1029" w:rsidRDefault="005E49F7" w:rsidP="00FC15D2">
            <w:pPr>
              <w:pStyle w:val="ListParagraph"/>
              <w:numPr>
                <w:ilvl w:val="0"/>
                <w:numId w:val="5"/>
              </w:numPr>
              <w:tabs>
                <w:tab w:val="left" w:pos="345"/>
              </w:tabs>
            </w:pPr>
            <w:r w:rsidRPr="004F1029">
              <w:t>Manifestation d</w:t>
            </w:r>
            <w:r w:rsidR="00D968EE" w:rsidRPr="004F1029">
              <w:t>’</w:t>
            </w:r>
            <w:r w:rsidRPr="004F1029">
              <w:t>intérêt</w:t>
            </w:r>
          </w:p>
        </w:tc>
        <w:tc>
          <w:tcPr>
            <w:tcW w:w="6937" w:type="dxa"/>
            <w:shd w:val="clear" w:color="auto" w:fill="F1F1F1"/>
          </w:tcPr>
          <w:p w14:paraId="2D42E554" w14:textId="3019848C" w:rsidR="005E49F7" w:rsidRPr="004F1029" w:rsidRDefault="005E49F7" w:rsidP="00FD786A">
            <w:r w:rsidRPr="004F1029">
              <w:t>Confirmation que les organismes de propriété intellectuelle du pays africain demandeur sont intéressés p</w:t>
            </w:r>
            <w:r w:rsidR="0050758F">
              <w:t>ar une participation au projet.</w:t>
            </w:r>
          </w:p>
        </w:tc>
      </w:tr>
      <w:tr w:rsidR="00A37351" w:rsidRPr="004F1029" w14:paraId="1F865B26" w14:textId="77777777" w:rsidTr="00FD786A">
        <w:trPr>
          <w:trHeight w:val="779"/>
        </w:trPr>
        <w:tc>
          <w:tcPr>
            <w:tcW w:w="2829" w:type="dxa"/>
            <w:shd w:val="clear" w:color="auto" w:fill="F1F1F1"/>
          </w:tcPr>
          <w:p w14:paraId="7E1F594D" w14:textId="77777777" w:rsidR="005E49F7" w:rsidRPr="004F1029" w:rsidRDefault="005E49F7" w:rsidP="00FD786A">
            <w:pPr>
              <w:rPr>
                <w:b/>
              </w:rPr>
            </w:pPr>
          </w:p>
          <w:p w14:paraId="13B1D9C8" w14:textId="258F724C" w:rsidR="005E49F7" w:rsidRPr="004F1029" w:rsidRDefault="005E49F7" w:rsidP="00FC15D2">
            <w:pPr>
              <w:pStyle w:val="ListParagraph"/>
              <w:numPr>
                <w:ilvl w:val="0"/>
                <w:numId w:val="5"/>
              </w:numPr>
              <w:tabs>
                <w:tab w:val="left" w:pos="333"/>
              </w:tabs>
            </w:pPr>
            <w:r w:rsidRPr="004F1029">
              <w:t>Institutions et cadre juridique</w:t>
            </w:r>
          </w:p>
        </w:tc>
        <w:tc>
          <w:tcPr>
            <w:tcW w:w="6937" w:type="dxa"/>
            <w:shd w:val="clear" w:color="auto" w:fill="F1F1F1"/>
          </w:tcPr>
          <w:p w14:paraId="28FC9C68" w14:textId="176CFAB8" w:rsidR="005E49F7" w:rsidRPr="004F1029" w:rsidRDefault="005E49F7" w:rsidP="00FD786A">
            <w:r w:rsidRPr="004F1029">
              <w:t>Veuillez indiquer l</w:t>
            </w:r>
            <w:r w:rsidR="00D968EE" w:rsidRPr="004F1029">
              <w:t>’</w:t>
            </w:r>
            <w:r w:rsidRPr="004F1029">
              <w:t>organisme ou l</w:t>
            </w:r>
            <w:r w:rsidR="00D968EE" w:rsidRPr="004F1029">
              <w:t>’</w:t>
            </w:r>
            <w:r w:rsidRPr="004F1029">
              <w:t>institution nationale qui supervise l</w:t>
            </w:r>
            <w:r w:rsidR="00D968EE" w:rsidRPr="004F1029">
              <w:t>’</w:t>
            </w:r>
            <w:r w:rsidRPr="004F1029">
              <w:t>objet de propriété intellectuelle visé par le projet (droit d</w:t>
            </w:r>
            <w:r w:rsidR="00D968EE" w:rsidRPr="004F1029">
              <w:t>’</w:t>
            </w:r>
            <w:r w:rsidRPr="004F1029">
              <w:t>auteur)</w:t>
            </w:r>
          </w:p>
          <w:p w14:paraId="3DE89AC5" w14:textId="45779894" w:rsidR="005E49F7" w:rsidRPr="004F1029" w:rsidRDefault="005E49F7" w:rsidP="00FD786A">
            <w:r w:rsidRPr="004F1029">
              <w:t>Des liens vers le site Web de l</w:t>
            </w:r>
            <w:r w:rsidR="00D968EE" w:rsidRPr="004F1029">
              <w:t>’</w:t>
            </w:r>
            <w:r w:rsidRPr="004F1029">
              <w:t>institution et les textes juridiques doivent être fourn</w:t>
            </w:r>
            <w:r w:rsidR="0050758F">
              <w:t>is, dans la mesure du possible.</w:t>
            </w:r>
          </w:p>
        </w:tc>
      </w:tr>
      <w:tr w:rsidR="00A37351" w:rsidRPr="004F1029" w14:paraId="33430950" w14:textId="77777777" w:rsidTr="00FD786A">
        <w:trPr>
          <w:trHeight w:val="521"/>
        </w:trPr>
        <w:tc>
          <w:tcPr>
            <w:tcW w:w="2829" w:type="dxa"/>
            <w:shd w:val="clear" w:color="auto" w:fill="F1F1F1"/>
            <w:vAlign w:val="center"/>
          </w:tcPr>
          <w:p w14:paraId="006383A5" w14:textId="66FB9632" w:rsidR="005E49F7" w:rsidRPr="004F1029" w:rsidRDefault="005E49F7" w:rsidP="00FC15D2">
            <w:pPr>
              <w:pStyle w:val="ListParagraph"/>
              <w:numPr>
                <w:ilvl w:val="0"/>
                <w:numId w:val="5"/>
              </w:numPr>
              <w:tabs>
                <w:tab w:val="left" w:pos="345"/>
              </w:tabs>
              <w:rPr>
                <w:bCs/>
              </w:rPr>
            </w:pPr>
            <w:r w:rsidRPr="004F1029">
              <w:t>Critères selon le document de projet du Plan d</w:t>
            </w:r>
            <w:r w:rsidR="00D968EE" w:rsidRPr="004F1029">
              <w:t>’</w:t>
            </w:r>
            <w:r w:rsidRPr="004F1029">
              <w:t>action pour le développement</w:t>
            </w:r>
          </w:p>
        </w:tc>
        <w:tc>
          <w:tcPr>
            <w:tcW w:w="6937" w:type="dxa"/>
            <w:shd w:val="clear" w:color="auto" w:fill="F1F1F1"/>
          </w:tcPr>
          <w:p w14:paraId="04BE0552" w14:textId="77777777" w:rsidR="005E49F7" w:rsidRPr="000C2D4C" w:rsidRDefault="005E49F7" w:rsidP="00FD786A">
            <w:pPr>
              <w:rPr>
                <w:lang w:val="fr-CH"/>
              </w:rPr>
            </w:pPr>
          </w:p>
          <w:p w14:paraId="666B08F2" w14:textId="3C881B7A" w:rsidR="005E49F7" w:rsidRPr="004F1029" w:rsidRDefault="005E49F7" w:rsidP="0050758F">
            <w:pPr>
              <w:numPr>
                <w:ilvl w:val="0"/>
                <w:numId w:val="2"/>
              </w:numPr>
              <w:ind w:left="555" w:hanging="505"/>
            </w:pPr>
            <w:r w:rsidRPr="004F1029">
              <w:t>Ratification du Traité de l</w:t>
            </w:r>
            <w:r w:rsidR="00D968EE" w:rsidRPr="004F1029">
              <w:t>’</w:t>
            </w:r>
            <w:r w:rsidRPr="004F1029">
              <w:t>OMPI sur le droit d</w:t>
            </w:r>
            <w:r w:rsidR="00D968EE" w:rsidRPr="004F1029">
              <w:t>’</w:t>
            </w:r>
            <w:r w:rsidRPr="004F1029">
              <w:t>auteur (1996)</w:t>
            </w:r>
          </w:p>
        </w:tc>
      </w:tr>
      <w:tr w:rsidR="00A37351" w:rsidRPr="004F1029" w14:paraId="1E7AC665" w14:textId="77777777" w:rsidTr="00FD786A">
        <w:trPr>
          <w:trHeight w:val="431"/>
        </w:trPr>
        <w:tc>
          <w:tcPr>
            <w:tcW w:w="2829" w:type="dxa"/>
            <w:shd w:val="clear" w:color="auto" w:fill="F1F1F1"/>
            <w:vAlign w:val="center"/>
          </w:tcPr>
          <w:p w14:paraId="2DC918AE" w14:textId="2040242D" w:rsidR="005E49F7" w:rsidRPr="004F1029" w:rsidRDefault="005E49F7" w:rsidP="00FC15D2">
            <w:pPr>
              <w:pStyle w:val="ListParagraph"/>
              <w:numPr>
                <w:ilvl w:val="0"/>
                <w:numId w:val="5"/>
              </w:numPr>
              <w:tabs>
                <w:tab w:val="left" w:pos="333"/>
              </w:tabs>
            </w:pPr>
            <w:r w:rsidRPr="004F1029">
              <w:t>Besoin de soutien</w:t>
            </w:r>
          </w:p>
        </w:tc>
        <w:tc>
          <w:tcPr>
            <w:tcW w:w="6937" w:type="dxa"/>
            <w:shd w:val="clear" w:color="auto" w:fill="F1F1F1"/>
          </w:tcPr>
          <w:p w14:paraId="10DA36F3" w14:textId="6AB44E25" w:rsidR="005E49F7" w:rsidRPr="004F1029" w:rsidRDefault="005E49F7" w:rsidP="00FD786A">
            <w:r w:rsidRPr="004F1029">
              <w:t>Brève justification du besoin réel du soutien</w:t>
            </w:r>
            <w:r w:rsidR="0050758F">
              <w:t xml:space="preserve"> qui sera fourni par le projet.</w:t>
            </w:r>
          </w:p>
        </w:tc>
      </w:tr>
      <w:tr w:rsidR="00A37351" w:rsidRPr="004F1029" w14:paraId="7DC49F77" w14:textId="77777777" w:rsidTr="00FD786A">
        <w:trPr>
          <w:trHeight w:val="738"/>
        </w:trPr>
        <w:tc>
          <w:tcPr>
            <w:tcW w:w="2829" w:type="dxa"/>
            <w:shd w:val="clear" w:color="auto" w:fill="F1F1F1"/>
          </w:tcPr>
          <w:p w14:paraId="6719DA6B" w14:textId="77777777" w:rsidR="005E49F7" w:rsidRPr="004F1029" w:rsidRDefault="005E49F7" w:rsidP="00FD786A">
            <w:pPr>
              <w:rPr>
                <w:b/>
              </w:rPr>
            </w:pPr>
          </w:p>
          <w:p w14:paraId="65DD30E2" w14:textId="539D6140" w:rsidR="005E49F7" w:rsidRPr="004F1029" w:rsidRDefault="005E49F7" w:rsidP="00FC15D2">
            <w:pPr>
              <w:pStyle w:val="ListParagraph"/>
              <w:numPr>
                <w:ilvl w:val="0"/>
                <w:numId w:val="5"/>
              </w:numPr>
              <w:tabs>
                <w:tab w:val="left" w:pos="370"/>
              </w:tabs>
            </w:pPr>
            <w:r w:rsidRPr="004F1029">
              <w:t>Engagement</w:t>
            </w:r>
          </w:p>
        </w:tc>
        <w:tc>
          <w:tcPr>
            <w:tcW w:w="6937" w:type="dxa"/>
            <w:shd w:val="clear" w:color="auto" w:fill="F1F1F1"/>
          </w:tcPr>
          <w:p w14:paraId="01E9B4AA" w14:textId="77E34B1A" w:rsidR="005E49F7" w:rsidRPr="004F1029" w:rsidRDefault="005E49F7" w:rsidP="00FD786A">
            <w:r w:rsidRPr="004F1029">
              <w:t>Confirmation que le pays demandeur s</w:t>
            </w:r>
            <w:r w:rsidR="00D968EE" w:rsidRPr="004F1029">
              <w:t>’</w:t>
            </w:r>
            <w:r w:rsidRPr="004F1029">
              <w:t>engage à consacrer les ressources et le soutien logistique nécessaires à la mise en œuvre efficac</w:t>
            </w:r>
            <w:r w:rsidR="0050758F">
              <w:t>e du projet et à sa durabilité.</w:t>
            </w:r>
          </w:p>
        </w:tc>
      </w:tr>
      <w:tr w:rsidR="00A37351" w:rsidRPr="004F1029" w14:paraId="3BC30A1E" w14:textId="77777777" w:rsidTr="00FD786A">
        <w:trPr>
          <w:trHeight w:val="738"/>
        </w:trPr>
        <w:tc>
          <w:tcPr>
            <w:tcW w:w="2829" w:type="dxa"/>
            <w:shd w:val="clear" w:color="auto" w:fill="F1F1F1"/>
          </w:tcPr>
          <w:p w14:paraId="7B26A3E5" w14:textId="77777777" w:rsidR="005E49F7" w:rsidRPr="004F1029" w:rsidRDefault="005E49F7" w:rsidP="00FD786A">
            <w:pPr>
              <w:rPr>
                <w:b/>
              </w:rPr>
            </w:pPr>
          </w:p>
          <w:p w14:paraId="146A8F4A" w14:textId="77777777" w:rsidR="005E49F7" w:rsidRPr="004F1029" w:rsidRDefault="005E49F7" w:rsidP="00FC15D2">
            <w:pPr>
              <w:tabs>
                <w:tab w:val="left" w:pos="358"/>
              </w:tabs>
            </w:pPr>
            <w:r w:rsidRPr="004F1029">
              <w:t>6.</w:t>
            </w:r>
            <w:r w:rsidRPr="004F1029">
              <w:tab/>
              <w:t>Coordonnateur national</w:t>
            </w:r>
          </w:p>
        </w:tc>
        <w:tc>
          <w:tcPr>
            <w:tcW w:w="6937" w:type="dxa"/>
            <w:shd w:val="clear" w:color="auto" w:fill="F1F1F1"/>
          </w:tcPr>
          <w:p w14:paraId="61D822FC" w14:textId="0A72D2B0" w:rsidR="005E49F7" w:rsidRPr="004F1029" w:rsidRDefault="005E49F7" w:rsidP="00FD786A">
            <w:r w:rsidRPr="004F1029">
              <w:t>Le pays demandeur doit proposer une personne, ainsi que sa fonction et son organisation, pour agir en tant que coordinateur national pour la durée du projet et en tant que repré</w:t>
            </w:r>
            <w:r w:rsidR="0050758F">
              <w:t>sentant institutionnel du pays.</w:t>
            </w:r>
          </w:p>
        </w:tc>
      </w:tr>
      <w:tr w:rsidR="00A37351" w:rsidRPr="004F1029" w14:paraId="3AFB6DC6" w14:textId="77777777" w:rsidTr="00FD786A">
        <w:trPr>
          <w:trHeight w:val="433"/>
        </w:trPr>
        <w:tc>
          <w:tcPr>
            <w:tcW w:w="2829" w:type="dxa"/>
            <w:shd w:val="clear" w:color="auto" w:fill="F1F1F1"/>
          </w:tcPr>
          <w:p w14:paraId="4468024E" w14:textId="77777777" w:rsidR="005E49F7" w:rsidRPr="004F1029" w:rsidRDefault="005E49F7" w:rsidP="00FC15D2">
            <w:pPr>
              <w:tabs>
                <w:tab w:val="left" w:pos="358"/>
              </w:tabs>
            </w:pPr>
            <w:r w:rsidRPr="004F1029">
              <w:t>7.</w:t>
            </w:r>
            <w:r w:rsidRPr="004F1029">
              <w:tab/>
              <w:t>Commentaires</w:t>
            </w:r>
          </w:p>
        </w:tc>
        <w:tc>
          <w:tcPr>
            <w:tcW w:w="6937" w:type="dxa"/>
            <w:shd w:val="clear" w:color="auto" w:fill="F1F1F1"/>
          </w:tcPr>
          <w:p w14:paraId="1560BB3A" w14:textId="655B8C24" w:rsidR="005E49F7" w:rsidRPr="004F1029" w:rsidRDefault="005E49F7" w:rsidP="00FD786A">
            <w:r w:rsidRPr="004F1029">
              <w:t>Toute autre information que le p</w:t>
            </w:r>
            <w:r w:rsidR="0050758F">
              <w:t>ays demandeur souhaite fournir.</w:t>
            </w:r>
          </w:p>
        </w:tc>
      </w:tr>
    </w:tbl>
    <w:p w14:paraId="4D874B25" w14:textId="3104839B" w:rsidR="005E49F7" w:rsidRPr="00A37351" w:rsidRDefault="00C52B7B" w:rsidP="004F1029">
      <w:pPr>
        <w:pStyle w:val="Endofdocument"/>
        <w:spacing w:before="720"/>
      </w:pPr>
      <w:r>
        <w:t>[Fin de l</w:t>
      </w:r>
      <w:r w:rsidR="00D968EE">
        <w:t>’</w:t>
      </w:r>
      <w:r w:rsidR="006C33B7">
        <w:t>annexe I</w:t>
      </w:r>
      <w:r>
        <w:t>I et du document]</w:t>
      </w:r>
    </w:p>
    <w:sectPr w:rsidR="005E49F7" w:rsidRPr="00A37351" w:rsidSect="006C33B7">
      <w:headerReference w:type="even" r:id="rId34"/>
      <w:headerReference w:type="default" r:id="rId35"/>
      <w:footerReference w:type="even" r:id="rId36"/>
      <w:footerReference w:type="default" r:id="rId37"/>
      <w:headerReference w:type="first" r:id="rId38"/>
      <w:footerReference w:type="first" r:id="rId3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4E7F4" w14:textId="77777777" w:rsidR="00006DFF" w:rsidRDefault="00006DFF" w:rsidP="005E49F7">
      <w:r>
        <w:separator/>
      </w:r>
    </w:p>
  </w:endnote>
  <w:endnote w:type="continuationSeparator" w:id="0">
    <w:p w14:paraId="433F5F6F" w14:textId="77777777" w:rsidR="00006DFF" w:rsidRDefault="00006DFF" w:rsidP="005E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DE15C" w14:textId="77777777" w:rsidR="00006DFF" w:rsidRDefault="00006DFF" w:rsidP="00C06D75">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7F052" w14:textId="77777777" w:rsidR="00006DFF" w:rsidRDefault="00006DFF" w:rsidP="005E49F7">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E9CD4" w14:textId="10F01A0A" w:rsidR="00006DFF" w:rsidRDefault="00006DFF">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A2C95" w14:textId="37BAB64B" w:rsidR="00006DFF" w:rsidRPr="001E7711" w:rsidRDefault="00006DFF" w:rsidP="001E771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135A9" w14:textId="34913A78" w:rsidR="00006DFF" w:rsidRDefault="00006DFF" w:rsidP="005E49F7">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18B6B" w14:textId="4A5EF3C5" w:rsidR="00006DFF" w:rsidRDefault="00006DFF">
    <w:pPr>
      <w:pStyle w:val="BodyText"/>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40501" w14:textId="35BA626E" w:rsidR="00006DFF" w:rsidRDefault="00006DFF" w:rsidP="00FD786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BD4D9" w14:textId="0E0A77E2" w:rsidR="00006DFF" w:rsidRDefault="00006D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06ADB" w14:textId="0579003B" w:rsidR="00006DFF" w:rsidRDefault="00006D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A2F3" w14:textId="77777777" w:rsidR="00006DFF" w:rsidRDefault="00006DFF" w:rsidP="005E49F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5F7BC" w14:textId="7EBBCB73" w:rsidR="00006DFF" w:rsidRDefault="00006DF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2D4AF" w14:textId="76DC5BD4" w:rsidR="00006DFF" w:rsidRDefault="00006DFF" w:rsidP="00FD786A">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1056A" w14:textId="7590B5C4" w:rsidR="00006DFF" w:rsidRDefault="00006DFF" w:rsidP="005E49F7">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DACA4" w14:textId="01BE269F" w:rsidR="00006DFF" w:rsidRDefault="00006DFF">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BA6D2" w14:textId="6623AD59" w:rsidR="00006DFF" w:rsidRPr="001E7711" w:rsidRDefault="00006DFF" w:rsidP="001E7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779D7" w14:textId="77777777" w:rsidR="00006DFF" w:rsidRDefault="00006DFF" w:rsidP="005E49F7">
      <w:r>
        <w:separator/>
      </w:r>
    </w:p>
  </w:footnote>
  <w:footnote w:type="continuationSeparator" w:id="0">
    <w:p w14:paraId="3A1FCA6D" w14:textId="77777777" w:rsidR="00006DFF" w:rsidRDefault="00006DFF" w:rsidP="005E49F7">
      <w:r>
        <w:continuationSeparator/>
      </w:r>
    </w:p>
  </w:footnote>
  <w:footnote w:id="1">
    <w:p w14:paraId="67BE2091" w14:textId="0DE5AB9E" w:rsidR="00006DFF" w:rsidRPr="00A37351" w:rsidRDefault="00006DFF" w:rsidP="000916C0">
      <w:pPr>
        <w:pStyle w:val="FootnoteText"/>
        <w:tabs>
          <w:tab w:val="left" w:pos="567"/>
        </w:tabs>
      </w:pPr>
      <w:r>
        <w:rPr>
          <w:rStyle w:val="FootnoteReference"/>
        </w:rPr>
        <w:footnoteRef/>
      </w:r>
      <w:r>
        <w:t xml:space="preserve"> </w:t>
      </w:r>
      <w:r>
        <w:tab/>
        <w:t>L’augmentation de 30% du nombre de mesures d’application du droit prises par les autorités publiques au sein des pays bénéficiaires sera mesurée à travers les rapports établis par les États membres au cours des 12 mois suivant la mise en œuvre du projet.</w:t>
      </w:r>
    </w:p>
  </w:footnote>
  <w:footnote w:id="2">
    <w:p w14:paraId="79CB6F7A" w14:textId="0BE7A344" w:rsidR="00006DFF" w:rsidRPr="00A37351" w:rsidRDefault="00006DFF" w:rsidP="000916C0">
      <w:pPr>
        <w:pStyle w:val="FootnoteText"/>
        <w:tabs>
          <w:tab w:val="left" w:pos="567"/>
        </w:tabs>
      </w:pPr>
      <w:r>
        <w:rPr>
          <w:rStyle w:val="FootnoteReference"/>
        </w:rPr>
        <w:footnoteRef/>
      </w:r>
      <w:r>
        <w:t xml:space="preserve"> </w:t>
      </w:r>
      <w:r>
        <w:tab/>
        <w:t>L’amélioration des connaissances d’au moins 50% des parties prenantes concernées sera mesurée au moyen d’enquêtes menées avant et après le projet.</w:t>
      </w:r>
    </w:p>
  </w:footnote>
  <w:footnote w:id="3">
    <w:p w14:paraId="0B201626" w14:textId="42CEB07F" w:rsidR="00006DFF" w:rsidRPr="007B4077" w:rsidRDefault="00006DFF" w:rsidP="007B4077">
      <w:pPr>
        <w:pStyle w:val="FootnoteText"/>
        <w:tabs>
          <w:tab w:val="left" w:pos="567"/>
        </w:tabs>
      </w:pPr>
      <w:r>
        <w:rPr>
          <w:rStyle w:val="FootnoteReference"/>
        </w:rPr>
        <w:footnoteRef/>
      </w:r>
      <w:r>
        <w:t xml:space="preserve"> </w:t>
      </w:r>
      <w:r>
        <w:tab/>
      </w:r>
      <w:r w:rsidRPr="007B4077">
        <w:t>La mise en œuvre du projet commencera lorsque les activités préalables à la mise en œuvre du projet auront été effectuées, c’est</w:t>
      </w:r>
      <w:r w:rsidRPr="007B4077">
        <w:noBreakHyphen/>
        <w:t>à</w:t>
      </w:r>
      <w:r w:rsidRPr="007B4077">
        <w:noBreakHyphen/>
      </w:r>
      <w:r w:rsidR="001C274D">
        <w:t>dire : i) </w:t>
      </w:r>
      <w:r w:rsidRPr="007B4077">
        <w:t>tous les pays participants auront été sélectionnés, i</w:t>
      </w:r>
      <w:r w:rsidR="001C274D">
        <w:t>i) </w:t>
      </w:r>
      <w:r w:rsidRPr="007B4077">
        <w:t>des coordonnateurs auront été désignés dans chacun d’eux, iii) l’équipe de mise en œuvre du projet aura été mise sur pied.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46109" w14:textId="77777777" w:rsidR="00006DFF" w:rsidRDefault="00006DFF" w:rsidP="00C06D75">
    <w:pPr>
      <w:pStyle w:val="Header"/>
      <w:jc w:val="right"/>
    </w:pPr>
    <w:r>
      <w:t>CDIP/28/4</w:t>
    </w:r>
  </w:p>
  <w:p w14:paraId="175B6792" w14:textId="53AC9EB9" w:rsidR="00006DFF" w:rsidRDefault="00006DFF" w:rsidP="00C06D75">
    <w:pPr>
      <w:pStyle w:val="Header"/>
      <w:jc w:val="right"/>
    </w:pPr>
    <w:r>
      <w:t xml:space="preserve">Annexe, page </w:t>
    </w:r>
    <w:sdt>
      <w:sdtPr>
        <w:id w:val="-6105142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11</w:t>
        </w:r>
        <w:r>
          <w:fldChar w:fldCharType="end"/>
        </w:r>
      </w:sdtContent>
    </w:sdt>
  </w:p>
  <w:p w14:paraId="28A10297" w14:textId="77777777" w:rsidR="00006DFF" w:rsidRDefault="00006DFF" w:rsidP="00C06D75">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0D7B2" w14:textId="2E898D91" w:rsidR="00006DFF" w:rsidRDefault="00006DFF" w:rsidP="00C017D9">
    <w:pPr>
      <w:pStyle w:val="Header"/>
      <w:jc w:val="right"/>
    </w:pPr>
    <w:r>
      <w:t>CDIP/30/4</w:t>
    </w:r>
  </w:p>
  <w:p w14:paraId="6F8FC05F" w14:textId="439A45B5" w:rsidR="00006DFF" w:rsidRDefault="00006DFF" w:rsidP="000861BE">
    <w:pPr>
      <w:pStyle w:val="Header"/>
      <w:jc w:val="right"/>
    </w:pPr>
    <w:r>
      <w:t xml:space="preserve">Annexe I, page </w:t>
    </w:r>
    <w:sdt>
      <w:sdtPr>
        <w:id w:val="141496789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14</w:t>
        </w:r>
        <w:r>
          <w:fldChar w:fldCharType="end"/>
        </w:r>
      </w:sdtContent>
    </w:sdt>
  </w:p>
  <w:p w14:paraId="1BBB61CC" w14:textId="77777777" w:rsidR="00006DFF" w:rsidRDefault="00006DFF" w:rsidP="005E49F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D3B45" w14:textId="7CE3C5D8" w:rsidR="00006DFF" w:rsidRDefault="00006DFF" w:rsidP="00D421C3">
    <w:pPr>
      <w:pStyle w:val="Header"/>
      <w:jc w:val="right"/>
    </w:pPr>
    <w:r>
      <w:t>CDIP/30/4</w:t>
    </w:r>
    <w:r w:rsidR="001C274D">
      <w:t> Rev.</w:t>
    </w:r>
  </w:p>
  <w:p w14:paraId="51978B60" w14:textId="311D072C" w:rsidR="00006DFF" w:rsidRDefault="00006DFF" w:rsidP="007B4077">
    <w:pPr>
      <w:pStyle w:val="Header"/>
      <w:spacing w:after="480"/>
      <w:jc w:val="right"/>
    </w:pPr>
    <w:r>
      <w:t>Annexe I, page</w:t>
    </w:r>
    <w:r w:rsidR="001C274D">
      <w:t> </w:t>
    </w:r>
    <w:sdt>
      <w:sdtPr>
        <w:id w:val="3600192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94655">
          <w:rPr>
            <w:noProof/>
          </w:rPr>
          <w:t>10</w:t>
        </w:r>
        <w:r>
          <w:fldChar w:fldCharType="end"/>
        </w:r>
      </w:sdtContent>
    </w:sdt>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DA37D" w14:textId="30876FD6" w:rsidR="00006DFF" w:rsidRDefault="00006DFF" w:rsidP="00C017D9">
    <w:pPr>
      <w:pStyle w:val="Header"/>
      <w:jc w:val="right"/>
    </w:pPr>
    <w:r>
      <w:t>CDIP/30/4</w:t>
    </w:r>
    <w:r w:rsidR="001C274D">
      <w:t> Rev.</w:t>
    </w:r>
  </w:p>
  <w:p w14:paraId="2A05D611" w14:textId="56DC9B30" w:rsidR="00006DFF" w:rsidRDefault="00006DFF" w:rsidP="007B4077">
    <w:pPr>
      <w:pStyle w:val="Header"/>
      <w:spacing w:after="480"/>
      <w:jc w:val="right"/>
    </w:pPr>
    <w:r>
      <w:t>Annexe I, page</w:t>
    </w:r>
    <w:r w:rsidR="001C274D">
      <w:t> </w:t>
    </w:r>
    <w:sdt>
      <w:sdtPr>
        <w:id w:val="150131599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94655">
          <w:rPr>
            <w:noProof/>
          </w:rPr>
          <w:t>9</w:t>
        </w:r>
        <w:r>
          <w:fldChar w:fldCharType="end"/>
        </w:r>
      </w:sdtContent>
    </w:sdt>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471A1" w14:textId="77777777" w:rsidR="00006DFF" w:rsidRDefault="00006DFF" w:rsidP="005E49F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24E59" w14:textId="77777777" w:rsidR="00006DFF" w:rsidRDefault="00006DF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BE2C5" w14:textId="159BE2E7" w:rsidR="00006DFF" w:rsidRDefault="00006DFF" w:rsidP="00C017D9">
    <w:pPr>
      <w:pStyle w:val="Header"/>
      <w:jc w:val="right"/>
    </w:pPr>
    <w:r>
      <w:t>CDIP/30/4</w:t>
    </w:r>
    <w:r w:rsidR="001C274D">
      <w:t> Rev.</w:t>
    </w:r>
  </w:p>
  <w:p w14:paraId="1B579728" w14:textId="5A40538E" w:rsidR="00006DFF" w:rsidRDefault="00006DFF" w:rsidP="004F1029">
    <w:pPr>
      <w:pStyle w:val="Header"/>
      <w:spacing w:after="480"/>
      <w:jc w:val="right"/>
    </w:pPr>
    <w:r>
      <w:t>ANNEXE II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49507" w14:textId="77777777" w:rsidR="00006DFF" w:rsidRDefault="00006DFF" w:rsidP="00C06D75">
    <w:pPr>
      <w:pStyle w:val="Header"/>
      <w:jc w:val="right"/>
    </w:pPr>
    <w:r>
      <w:t>CDIP/28/4</w:t>
    </w:r>
  </w:p>
  <w:p w14:paraId="39F6317E" w14:textId="07330BD9" w:rsidR="00006DFF" w:rsidRDefault="00006DFF" w:rsidP="00C06D75">
    <w:pPr>
      <w:pStyle w:val="Header"/>
      <w:jc w:val="right"/>
    </w:pPr>
    <w:r>
      <w:t xml:space="preserve">Annexe, page </w:t>
    </w:r>
    <w:sdt>
      <w:sdtPr>
        <w:id w:val="2452340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11</w:t>
        </w:r>
        <w:r>
          <w:fldChar w:fldCharType="end"/>
        </w:r>
      </w:sdtContent>
    </w:sdt>
  </w:p>
  <w:p w14:paraId="34D583AB" w14:textId="77777777" w:rsidR="00006DFF" w:rsidRDefault="00006DFF">
    <w:pPr>
      <w:pStyle w:val="Header"/>
    </w:pPr>
  </w:p>
  <w:p w14:paraId="7E29093D" w14:textId="77777777" w:rsidR="00006DFF" w:rsidRDefault="00006D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4421D" w14:textId="77777777" w:rsidR="000C2D4C" w:rsidRDefault="000C2D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D3135" w14:textId="385F070F" w:rsidR="00006DFF" w:rsidRDefault="00006DFF" w:rsidP="00C06D75">
    <w:pPr>
      <w:pStyle w:val="Header"/>
      <w:jc w:val="right"/>
    </w:pPr>
    <w:r>
      <w:t>CDIP/30/4</w:t>
    </w:r>
  </w:p>
  <w:p w14:paraId="6B135147" w14:textId="2BDBDB89" w:rsidR="00006DFF" w:rsidRDefault="00006DFF" w:rsidP="00C06D75">
    <w:pPr>
      <w:pStyle w:val="Header"/>
      <w:jc w:val="right"/>
    </w:pPr>
    <w:r>
      <w:t xml:space="preserve">Annexe I, page </w:t>
    </w:r>
    <w:sdt>
      <w:sdtPr>
        <w:id w:val="-194761646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8</w:t>
        </w:r>
        <w:r>
          <w:fldChar w:fldCharType="end"/>
        </w:r>
      </w:sdtContent>
    </w:sdt>
  </w:p>
  <w:p w14:paraId="11A9B35B" w14:textId="6E6656B9" w:rsidR="00006DFF" w:rsidRDefault="00006DFF">
    <w:pPr>
      <w:pStyle w:val="Header"/>
    </w:pPr>
  </w:p>
  <w:p w14:paraId="6719DEAE" w14:textId="77777777" w:rsidR="00006DFF" w:rsidRDefault="00006D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D3AC5" w14:textId="4D8FDAC0" w:rsidR="00006DFF" w:rsidRDefault="00006DFF" w:rsidP="00D421C3">
    <w:pPr>
      <w:pStyle w:val="Header"/>
      <w:jc w:val="right"/>
    </w:pPr>
    <w:r>
      <w:t>CDIP/30/4 Rev.</w:t>
    </w:r>
  </w:p>
  <w:p w14:paraId="13F479BA" w14:textId="5EE18E95" w:rsidR="00006DFF" w:rsidRDefault="00006DFF" w:rsidP="000916C0">
    <w:pPr>
      <w:pStyle w:val="Header"/>
      <w:spacing w:after="480"/>
      <w:jc w:val="right"/>
    </w:pPr>
    <w:r>
      <w:t>Annexe I, page </w:t>
    </w:r>
    <w:sdt>
      <w:sdtPr>
        <w:id w:val="-15075602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94655">
          <w:rPr>
            <w:noProof/>
          </w:rPr>
          <w:t>7</w:t>
        </w:r>
        <w: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BB676" w14:textId="5B0F1D14" w:rsidR="00006DFF" w:rsidRDefault="00006DFF" w:rsidP="00C06D75">
    <w:pPr>
      <w:pStyle w:val="Header"/>
      <w:jc w:val="right"/>
    </w:pPr>
    <w:r>
      <w:t>CDIP/30/4 Rev.</w:t>
    </w:r>
  </w:p>
  <w:p w14:paraId="0A2389B6" w14:textId="2A9DB5F4" w:rsidR="00006DFF" w:rsidRDefault="00006DFF" w:rsidP="00A34023">
    <w:pPr>
      <w:pStyle w:val="Header"/>
      <w:spacing w:after="480"/>
      <w:jc w:val="right"/>
    </w:pPr>
    <w:r>
      <w:t>ANNEXE 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3FD97" w14:textId="3150E9C4" w:rsidR="00006DFF" w:rsidRDefault="00006DFF" w:rsidP="005E49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F1C40" w14:textId="77777777" w:rsidR="00006DFF" w:rsidRDefault="00006DF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E686" w14:textId="521926E1" w:rsidR="00006DFF" w:rsidRDefault="00006DFF" w:rsidP="00D421C3">
    <w:pPr>
      <w:pStyle w:val="Header"/>
      <w:jc w:val="right"/>
    </w:pPr>
    <w:r>
      <w:t>CDIP/30/4</w:t>
    </w:r>
    <w:r w:rsidR="001C274D">
      <w:t> Rev.</w:t>
    </w:r>
  </w:p>
  <w:p w14:paraId="4074655E" w14:textId="6DBFF310" w:rsidR="00006DFF" w:rsidRDefault="00006DFF" w:rsidP="00A34023">
    <w:pPr>
      <w:pStyle w:val="Header"/>
      <w:spacing w:after="480"/>
      <w:jc w:val="right"/>
    </w:pPr>
    <w:r>
      <w:t>Annexe I, page</w:t>
    </w:r>
    <w:r w:rsidR="001C274D">
      <w:t> </w:t>
    </w:r>
    <w:sdt>
      <w:sdtPr>
        <w:id w:val="1594329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94655">
          <w:rPr>
            <w:noProof/>
          </w:rPr>
          <w:t>8</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27ECF"/>
    <w:multiLevelType w:val="hybridMultilevel"/>
    <w:tmpl w:val="0B005956"/>
    <w:lvl w:ilvl="0" w:tplc="C99275D6">
      <w:start w:val="1"/>
      <w:numFmt w:val="decimal"/>
      <w:lvlText w:val="%1."/>
      <w:lvlJc w:val="left"/>
      <w:pPr>
        <w:ind w:left="361" w:hanging="360"/>
      </w:pPr>
      <w:rPr>
        <w:rFonts w:hint="default"/>
      </w:rPr>
    </w:lvl>
    <w:lvl w:ilvl="1" w:tplc="100C0019" w:tentative="1">
      <w:start w:val="1"/>
      <w:numFmt w:val="lowerLetter"/>
      <w:lvlText w:val="%2."/>
      <w:lvlJc w:val="left"/>
      <w:pPr>
        <w:ind w:left="1081" w:hanging="360"/>
      </w:pPr>
    </w:lvl>
    <w:lvl w:ilvl="2" w:tplc="100C001B" w:tentative="1">
      <w:start w:val="1"/>
      <w:numFmt w:val="lowerRoman"/>
      <w:lvlText w:val="%3."/>
      <w:lvlJc w:val="right"/>
      <w:pPr>
        <w:ind w:left="1801" w:hanging="180"/>
      </w:pPr>
    </w:lvl>
    <w:lvl w:ilvl="3" w:tplc="100C000F" w:tentative="1">
      <w:start w:val="1"/>
      <w:numFmt w:val="decimal"/>
      <w:lvlText w:val="%4."/>
      <w:lvlJc w:val="left"/>
      <w:pPr>
        <w:ind w:left="2521" w:hanging="360"/>
      </w:pPr>
    </w:lvl>
    <w:lvl w:ilvl="4" w:tplc="100C0019" w:tentative="1">
      <w:start w:val="1"/>
      <w:numFmt w:val="lowerLetter"/>
      <w:lvlText w:val="%5."/>
      <w:lvlJc w:val="left"/>
      <w:pPr>
        <w:ind w:left="3241" w:hanging="360"/>
      </w:pPr>
    </w:lvl>
    <w:lvl w:ilvl="5" w:tplc="100C001B" w:tentative="1">
      <w:start w:val="1"/>
      <w:numFmt w:val="lowerRoman"/>
      <w:lvlText w:val="%6."/>
      <w:lvlJc w:val="right"/>
      <w:pPr>
        <w:ind w:left="3961" w:hanging="180"/>
      </w:pPr>
    </w:lvl>
    <w:lvl w:ilvl="6" w:tplc="100C000F" w:tentative="1">
      <w:start w:val="1"/>
      <w:numFmt w:val="decimal"/>
      <w:lvlText w:val="%7."/>
      <w:lvlJc w:val="left"/>
      <w:pPr>
        <w:ind w:left="4681" w:hanging="360"/>
      </w:pPr>
    </w:lvl>
    <w:lvl w:ilvl="7" w:tplc="100C0019" w:tentative="1">
      <w:start w:val="1"/>
      <w:numFmt w:val="lowerLetter"/>
      <w:lvlText w:val="%8."/>
      <w:lvlJc w:val="left"/>
      <w:pPr>
        <w:ind w:left="5401" w:hanging="360"/>
      </w:pPr>
    </w:lvl>
    <w:lvl w:ilvl="8" w:tplc="100C001B" w:tentative="1">
      <w:start w:val="1"/>
      <w:numFmt w:val="lowerRoman"/>
      <w:lvlText w:val="%9."/>
      <w:lvlJc w:val="right"/>
      <w:pPr>
        <w:ind w:left="6121" w:hanging="180"/>
      </w:pPr>
    </w:lvl>
  </w:abstractNum>
  <w:abstractNum w:abstractNumId="1" w15:restartNumberingAfterBreak="0">
    <w:nsid w:val="1DB315D7"/>
    <w:multiLevelType w:val="hybridMultilevel"/>
    <w:tmpl w:val="2E0871F6"/>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E1B2A69"/>
    <w:multiLevelType w:val="hybridMultilevel"/>
    <w:tmpl w:val="609A62F6"/>
    <w:lvl w:ilvl="0" w:tplc="0409001B">
      <w:start w:val="1"/>
      <w:numFmt w:val="lowerRoman"/>
      <w:lvlText w:val="%1."/>
      <w:lvlJc w:val="righ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4" w15:restartNumberingAfterBreak="0">
    <w:nsid w:val="673B1974"/>
    <w:multiLevelType w:val="hybridMultilevel"/>
    <w:tmpl w:val="6C0459E6"/>
    <w:lvl w:ilvl="0" w:tplc="04090001">
      <w:start w:val="1"/>
      <w:numFmt w:val="bullet"/>
      <w:lvlText w:val=""/>
      <w:lvlJc w:val="left"/>
      <w:pPr>
        <w:ind w:left="822" w:hanging="360"/>
      </w:pPr>
      <w:rPr>
        <w:rFonts w:ascii="Symbol" w:hAnsi="Symbol"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5" w15:restartNumberingAfterBreak="0">
    <w:nsid w:val="68BA6B9B"/>
    <w:multiLevelType w:val="hybridMultilevel"/>
    <w:tmpl w:val="CD90864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9F7"/>
    <w:rsid w:val="00003B3A"/>
    <w:rsid w:val="00006DFF"/>
    <w:rsid w:val="00013DE8"/>
    <w:rsid w:val="00020E0D"/>
    <w:rsid w:val="00032077"/>
    <w:rsid w:val="00044072"/>
    <w:rsid w:val="00050475"/>
    <w:rsid w:val="000755DF"/>
    <w:rsid w:val="000775F9"/>
    <w:rsid w:val="000861BE"/>
    <w:rsid w:val="000916C0"/>
    <w:rsid w:val="000C2D4C"/>
    <w:rsid w:val="000D237E"/>
    <w:rsid w:val="000E3215"/>
    <w:rsid w:val="000F0B05"/>
    <w:rsid w:val="000F3BC9"/>
    <w:rsid w:val="000F539D"/>
    <w:rsid w:val="00111257"/>
    <w:rsid w:val="00134B94"/>
    <w:rsid w:val="00145BAA"/>
    <w:rsid w:val="00163FE3"/>
    <w:rsid w:val="00184A65"/>
    <w:rsid w:val="00197D3D"/>
    <w:rsid w:val="001C274D"/>
    <w:rsid w:val="001D2EBD"/>
    <w:rsid w:val="001E7711"/>
    <w:rsid w:val="001F4802"/>
    <w:rsid w:val="0021762C"/>
    <w:rsid w:val="0023497B"/>
    <w:rsid w:val="00237B05"/>
    <w:rsid w:val="002508B8"/>
    <w:rsid w:val="00250C61"/>
    <w:rsid w:val="002576EF"/>
    <w:rsid w:val="00275D69"/>
    <w:rsid w:val="002A5393"/>
    <w:rsid w:val="002B430F"/>
    <w:rsid w:val="002D78C4"/>
    <w:rsid w:val="0033539D"/>
    <w:rsid w:val="00345343"/>
    <w:rsid w:val="00360AB1"/>
    <w:rsid w:val="00362D04"/>
    <w:rsid w:val="00367DBB"/>
    <w:rsid w:val="00375CBC"/>
    <w:rsid w:val="003A3FE4"/>
    <w:rsid w:val="003D70D1"/>
    <w:rsid w:val="003F1E67"/>
    <w:rsid w:val="004244EB"/>
    <w:rsid w:val="00431941"/>
    <w:rsid w:val="00444789"/>
    <w:rsid w:val="0045599E"/>
    <w:rsid w:val="004674FF"/>
    <w:rsid w:val="00467717"/>
    <w:rsid w:val="0047197B"/>
    <w:rsid w:val="00496231"/>
    <w:rsid w:val="004A20A3"/>
    <w:rsid w:val="004A6476"/>
    <w:rsid w:val="004F1029"/>
    <w:rsid w:val="0050758F"/>
    <w:rsid w:val="00510D52"/>
    <w:rsid w:val="00526424"/>
    <w:rsid w:val="0055065F"/>
    <w:rsid w:val="00556327"/>
    <w:rsid w:val="005A5E0C"/>
    <w:rsid w:val="005E49F7"/>
    <w:rsid w:val="006321EA"/>
    <w:rsid w:val="00640B14"/>
    <w:rsid w:val="00644A8C"/>
    <w:rsid w:val="006450DB"/>
    <w:rsid w:val="006461B5"/>
    <w:rsid w:val="0068274F"/>
    <w:rsid w:val="006A6C0F"/>
    <w:rsid w:val="006B2822"/>
    <w:rsid w:val="006C33B7"/>
    <w:rsid w:val="006C39A4"/>
    <w:rsid w:val="006C4D15"/>
    <w:rsid w:val="00740F17"/>
    <w:rsid w:val="0075396D"/>
    <w:rsid w:val="007645F4"/>
    <w:rsid w:val="0078279B"/>
    <w:rsid w:val="00784417"/>
    <w:rsid w:val="00786BFB"/>
    <w:rsid w:val="007A6748"/>
    <w:rsid w:val="007B4077"/>
    <w:rsid w:val="007C3A5B"/>
    <w:rsid w:val="007C7E83"/>
    <w:rsid w:val="007D21CE"/>
    <w:rsid w:val="007D5995"/>
    <w:rsid w:val="008062D1"/>
    <w:rsid w:val="00811EB0"/>
    <w:rsid w:val="00822B32"/>
    <w:rsid w:val="008405EC"/>
    <w:rsid w:val="0087348E"/>
    <w:rsid w:val="0087431C"/>
    <w:rsid w:val="008755FC"/>
    <w:rsid w:val="00887D0C"/>
    <w:rsid w:val="00894655"/>
    <w:rsid w:val="008B134D"/>
    <w:rsid w:val="008D3277"/>
    <w:rsid w:val="00907CB1"/>
    <w:rsid w:val="00916E34"/>
    <w:rsid w:val="009B18C6"/>
    <w:rsid w:val="009B1E72"/>
    <w:rsid w:val="009B3C40"/>
    <w:rsid w:val="009C3039"/>
    <w:rsid w:val="009D0A12"/>
    <w:rsid w:val="009D3D00"/>
    <w:rsid w:val="009E4B0C"/>
    <w:rsid w:val="009E7807"/>
    <w:rsid w:val="009F4434"/>
    <w:rsid w:val="009F6DFE"/>
    <w:rsid w:val="00A12A22"/>
    <w:rsid w:val="00A211C8"/>
    <w:rsid w:val="00A34023"/>
    <w:rsid w:val="00A36D48"/>
    <w:rsid w:val="00A37351"/>
    <w:rsid w:val="00A45A9F"/>
    <w:rsid w:val="00A84CF9"/>
    <w:rsid w:val="00A95DC0"/>
    <w:rsid w:val="00AB1736"/>
    <w:rsid w:val="00AD2CBE"/>
    <w:rsid w:val="00AD677D"/>
    <w:rsid w:val="00B275FD"/>
    <w:rsid w:val="00BB114B"/>
    <w:rsid w:val="00BC3DD2"/>
    <w:rsid w:val="00BC44B8"/>
    <w:rsid w:val="00BD11B5"/>
    <w:rsid w:val="00BD216D"/>
    <w:rsid w:val="00BD6F7E"/>
    <w:rsid w:val="00BF793C"/>
    <w:rsid w:val="00C0179B"/>
    <w:rsid w:val="00C017D9"/>
    <w:rsid w:val="00C06D75"/>
    <w:rsid w:val="00C11135"/>
    <w:rsid w:val="00C113F6"/>
    <w:rsid w:val="00C145FF"/>
    <w:rsid w:val="00C50DF7"/>
    <w:rsid w:val="00C52B7B"/>
    <w:rsid w:val="00CC3EC2"/>
    <w:rsid w:val="00CF2A73"/>
    <w:rsid w:val="00D32BF0"/>
    <w:rsid w:val="00D421C3"/>
    <w:rsid w:val="00D72303"/>
    <w:rsid w:val="00D73260"/>
    <w:rsid w:val="00D85BDA"/>
    <w:rsid w:val="00D91B68"/>
    <w:rsid w:val="00D93EE6"/>
    <w:rsid w:val="00D968EE"/>
    <w:rsid w:val="00DC75B2"/>
    <w:rsid w:val="00DE4418"/>
    <w:rsid w:val="00E17F8F"/>
    <w:rsid w:val="00E32FF5"/>
    <w:rsid w:val="00E509EA"/>
    <w:rsid w:val="00E53C47"/>
    <w:rsid w:val="00E700FB"/>
    <w:rsid w:val="00E82E3C"/>
    <w:rsid w:val="00EE7E57"/>
    <w:rsid w:val="00F05995"/>
    <w:rsid w:val="00F065AB"/>
    <w:rsid w:val="00F93291"/>
    <w:rsid w:val="00FA496B"/>
    <w:rsid w:val="00FC15D2"/>
    <w:rsid w:val="00FC5425"/>
    <w:rsid w:val="00FD786A"/>
    <w:rsid w:val="00FF7A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520B469"/>
  <w15:chartTrackingRefBased/>
  <w15:docId w15:val="{80271F71-587A-452E-B5CD-CCBD2916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E49F7"/>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qFormat/>
    <w:rsid w:val="00C50DF7"/>
    <w:pPr>
      <w:keepNext/>
      <w:widowControl/>
      <w:autoSpaceDE/>
      <w:autoSpaceDN/>
      <w:spacing w:before="240" w:after="60"/>
      <w:outlineLvl w:val="0"/>
    </w:pPr>
    <w:rPr>
      <w:rFonts w:eastAsia="SimSun"/>
      <w:b/>
      <w:bCs/>
      <w:caps/>
      <w:kern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E49F7"/>
    <w:pPr>
      <w:tabs>
        <w:tab w:val="center" w:pos="4536"/>
        <w:tab w:val="right" w:pos="9072"/>
      </w:tabs>
    </w:pPr>
  </w:style>
  <w:style w:type="character" w:customStyle="1" w:styleId="HeaderChar">
    <w:name w:val="Header Char"/>
    <w:basedOn w:val="DefaultParagraphFont"/>
    <w:link w:val="Header"/>
    <w:rsid w:val="005E49F7"/>
    <w:rPr>
      <w:rFonts w:ascii="Arial" w:eastAsia="Arial" w:hAnsi="Arial" w:cs="Arial"/>
    </w:rPr>
  </w:style>
  <w:style w:type="paragraph" w:styleId="FootnoteText">
    <w:name w:val="footnote text"/>
    <w:basedOn w:val="Normal"/>
    <w:link w:val="FootnoteTextChar"/>
    <w:semiHidden/>
    <w:rsid w:val="005E49F7"/>
    <w:rPr>
      <w:sz w:val="18"/>
    </w:rPr>
  </w:style>
  <w:style w:type="character" w:customStyle="1" w:styleId="FootnoteTextChar">
    <w:name w:val="Footnote Text Char"/>
    <w:basedOn w:val="DefaultParagraphFont"/>
    <w:link w:val="FootnoteText"/>
    <w:semiHidden/>
    <w:rsid w:val="005E49F7"/>
    <w:rPr>
      <w:rFonts w:ascii="Arial" w:eastAsia="Arial" w:hAnsi="Arial" w:cs="Arial"/>
      <w:sz w:val="18"/>
    </w:rPr>
  </w:style>
  <w:style w:type="paragraph" w:styleId="CommentText">
    <w:name w:val="annotation text"/>
    <w:basedOn w:val="Normal"/>
    <w:link w:val="CommentTextChar"/>
    <w:semiHidden/>
    <w:rsid w:val="005E49F7"/>
    <w:rPr>
      <w:sz w:val="18"/>
    </w:rPr>
  </w:style>
  <w:style w:type="character" w:customStyle="1" w:styleId="CommentTextChar">
    <w:name w:val="Comment Text Char"/>
    <w:basedOn w:val="DefaultParagraphFont"/>
    <w:link w:val="CommentText"/>
    <w:semiHidden/>
    <w:rsid w:val="005E49F7"/>
    <w:rPr>
      <w:rFonts w:ascii="Arial" w:eastAsia="Arial" w:hAnsi="Arial" w:cs="Arial"/>
      <w:sz w:val="18"/>
    </w:rPr>
  </w:style>
  <w:style w:type="paragraph" w:styleId="BodyText">
    <w:name w:val="Body Text"/>
    <w:basedOn w:val="Normal"/>
    <w:link w:val="BodyTextChar"/>
    <w:uiPriority w:val="1"/>
    <w:qFormat/>
    <w:rsid w:val="005E49F7"/>
    <w:pPr>
      <w:spacing w:after="220"/>
    </w:pPr>
  </w:style>
  <w:style w:type="character" w:customStyle="1" w:styleId="BodyTextChar">
    <w:name w:val="Body Text Char"/>
    <w:basedOn w:val="DefaultParagraphFont"/>
    <w:link w:val="BodyText"/>
    <w:uiPriority w:val="1"/>
    <w:rsid w:val="005E49F7"/>
    <w:rPr>
      <w:rFonts w:ascii="Arial" w:eastAsia="Arial" w:hAnsi="Arial" w:cs="Arial"/>
    </w:rPr>
  </w:style>
  <w:style w:type="paragraph" w:customStyle="1" w:styleId="TableParagraph">
    <w:name w:val="Table Paragraph"/>
    <w:basedOn w:val="Normal"/>
    <w:uiPriority w:val="1"/>
    <w:qFormat/>
    <w:rsid w:val="005E49F7"/>
  </w:style>
  <w:style w:type="character" w:styleId="Hyperlink">
    <w:name w:val="Hyperlink"/>
    <w:basedOn w:val="DefaultParagraphFont"/>
    <w:uiPriority w:val="99"/>
    <w:unhideWhenUsed/>
    <w:rsid w:val="005E49F7"/>
    <w:rPr>
      <w:color w:val="0563C1" w:themeColor="hyperlink"/>
      <w:u w:val="single"/>
    </w:rPr>
  </w:style>
  <w:style w:type="character" w:styleId="CommentReference">
    <w:name w:val="annotation reference"/>
    <w:basedOn w:val="DefaultParagraphFont"/>
    <w:semiHidden/>
    <w:unhideWhenUsed/>
    <w:rsid w:val="005E49F7"/>
    <w:rPr>
      <w:sz w:val="16"/>
      <w:szCs w:val="16"/>
    </w:rPr>
  </w:style>
  <w:style w:type="character" w:styleId="FootnoteReference">
    <w:name w:val="footnote reference"/>
    <w:basedOn w:val="DefaultParagraphFont"/>
    <w:semiHidden/>
    <w:unhideWhenUsed/>
    <w:rsid w:val="005E49F7"/>
    <w:rPr>
      <w:vertAlign w:val="superscript"/>
    </w:rPr>
  </w:style>
  <w:style w:type="paragraph" w:styleId="BalloonText">
    <w:name w:val="Balloon Text"/>
    <w:basedOn w:val="Normal"/>
    <w:link w:val="BalloonTextChar"/>
    <w:uiPriority w:val="99"/>
    <w:semiHidden/>
    <w:unhideWhenUsed/>
    <w:rsid w:val="005E49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9F7"/>
    <w:rPr>
      <w:rFonts w:ascii="Segoe UI" w:eastAsia="Arial" w:hAnsi="Segoe UI" w:cs="Segoe UI"/>
      <w:sz w:val="18"/>
      <w:szCs w:val="18"/>
    </w:rPr>
  </w:style>
  <w:style w:type="paragraph" w:styleId="Footer">
    <w:name w:val="footer"/>
    <w:basedOn w:val="Normal"/>
    <w:link w:val="FooterChar"/>
    <w:unhideWhenUsed/>
    <w:rsid w:val="005E49F7"/>
    <w:pPr>
      <w:tabs>
        <w:tab w:val="center" w:pos="4680"/>
        <w:tab w:val="right" w:pos="9360"/>
      </w:tabs>
    </w:pPr>
  </w:style>
  <w:style w:type="character" w:customStyle="1" w:styleId="FooterChar">
    <w:name w:val="Footer Char"/>
    <w:basedOn w:val="DefaultParagraphFont"/>
    <w:link w:val="Footer"/>
    <w:uiPriority w:val="99"/>
    <w:rsid w:val="005E49F7"/>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4674FF"/>
    <w:rPr>
      <w:b/>
      <w:bCs/>
      <w:sz w:val="20"/>
      <w:szCs w:val="20"/>
    </w:rPr>
  </w:style>
  <w:style w:type="character" w:customStyle="1" w:styleId="CommentSubjectChar">
    <w:name w:val="Comment Subject Char"/>
    <w:basedOn w:val="CommentTextChar"/>
    <w:link w:val="CommentSubject"/>
    <w:uiPriority w:val="99"/>
    <w:semiHidden/>
    <w:rsid w:val="004674FF"/>
    <w:rPr>
      <w:rFonts w:ascii="Arial" w:eastAsia="Arial" w:hAnsi="Arial" w:cs="Arial"/>
      <w:b/>
      <w:bCs/>
      <w:sz w:val="20"/>
      <w:szCs w:val="20"/>
    </w:rPr>
  </w:style>
  <w:style w:type="paragraph" w:styleId="Revision">
    <w:name w:val="Revision"/>
    <w:hidden/>
    <w:uiPriority w:val="99"/>
    <w:semiHidden/>
    <w:rsid w:val="00D73260"/>
    <w:pPr>
      <w:spacing w:after="0" w:line="240" w:lineRule="auto"/>
    </w:pPr>
    <w:rPr>
      <w:rFonts w:ascii="Arial" w:eastAsia="Arial" w:hAnsi="Arial" w:cs="Arial"/>
    </w:rPr>
  </w:style>
  <w:style w:type="paragraph" w:styleId="ListParagraph">
    <w:name w:val="List Paragraph"/>
    <w:basedOn w:val="Normal"/>
    <w:uiPriority w:val="34"/>
    <w:qFormat/>
    <w:rsid w:val="008405EC"/>
    <w:pPr>
      <w:ind w:left="720"/>
      <w:contextualSpacing/>
    </w:pPr>
  </w:style>
  <w:style w:type="character" w:customStyle="1" w:styleId="Heading1Char">
    <w:name w:val="Heading 1 Char"/>
    <w:basedOn w:val="DefaultParagraphFont"/>
    <w:link w:val="Heading1"/>
    <w:rsid w:val="00C50DF7"/>
    <w:rPr>
      <w:rFonts w:ascii="Arial" w:eastAsia="SimSun" w:hAnsi="Arial" w:cs="Arial"/>
      <w:b/>
      <w:bCs/>
      <w:caps/>
      <w:kern w:val="32"/>
      <w:szCs w:val="32"/>
      <w:lang w:eastAsia="zh-CN"/>
    </w:rPr>
  </w:style>
  <w:style w:type="paragraph" w:customStyle="1" w:styleId="Endofdocument">
    <w:name w:val="End of document"/>
    <w:basedOn w:val="Normal"/>
    <w:rsid w:val="00C06D75"/>
    <w:pPr>
      <w:widowControl/>
      <w:autoSpaceDE/>
      <w:autoSpaceDN/>
      <w:spacing w:line="260" w:lineRule="atLeast"/>
      <w:ind w:left="5534"/>
    </w:pPr>
    <w:rPr>
      <w:rFonts w:eastAsia="Times New Roman" w:cs="Times New Roman"/>
      <w:szCs w:val="20"/>
    </w:rPr>
  </w:style>
  <w:style w:type="paragraph" w:customStyle="1" w:styleId="Default">
    <w:name w:val="Default"/>
    <w:rsid w:val="00C06D75"/>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paragraph" w:customStyle="1" w:styleId="Endofdocument-Annex">
    <w:name w:val="[End of document - Annex]"/>
    <w:basedOn w:val="Normal"/>
    <w:link w:val="Endofdocument-AnnexChar"/>
    <w:rsid w:val="00C06D75"/>
    <w:pPr>
      <w:widowControl/>
      <w:autoSpaceDE/>
      <w:autoSpaceDN/>
      <w:ind w:left="5534"/>
    </w:pPr>
    <w:rPr>
      <w:rFonts w:eastAsia="SimSun"/>
      <w:szCs w:val="20"/>
      <w:lang w:eastAsia="zh-CN"/>
    </w:rPr>
  </w:style>
  <w:style w:type="character" w:customStyle="1" w:styleId="Endofdocument-AnnexChar">
    <w:name w:val="[End of document - Annex] Char"/>
    <w:link w:val="Endofdocument-Annex"/>
    <w:rsid w:val="00C06D75"/>
    <w:rPr>
      <w:rFonts w:ascii="Arial" w:eastAsia="SimSun" w:hAnsi="Arial" w:cs="Arial"/>
      <w:szCs w:val="20"/>
      <w:lang w:eastAsia="zh-CN"/>
    </w:rPr>
  </w:style>
  <w:style w:type="character" w:styleId="FollowedHyperlink">
    <w:name w:val="FollowedHyperlink"/>
    <w:basedOn w:val="DefaultParagraphFont"/>
    <w:uiPriority w:val="99"/>
    <w:semiHidden/>
    <w:unhideWhenUsed/>
    <w:rsid w:val="00D421C3"/>
    <w:rPr>
      <w:color w:val="954F72" w:themeColor="followedHyperlink"/>
      <w:u w:val="single"/>
    </w:rPr>
  </w:style>
  <w:style w:type="paragraph" w:customStyle="1" w:styleId="ONUMFS">
    <w:name w:val="ONUM FS"/>
    <w:basedOn w:val="BodyText"/>
    <w:link w:val="ONUMFSChar"/>
    <w:rsid w:val="00467717"/>
    <w:pPr>
      <w:widowControl/>
      <w:numPr>
        <w:numId w:val="6"/>
      </w:numPr>
      <w:autoSpaceDE/>
      <w:autoSpaceDN/>
    </w:pPr>
    <w:rPr>
      <w:rFonts w:eastAsia="SimSun"/>
      <w:szCs w:val="20"/>
      <w:lang w:eastAsia="zh-CN"/>
    </w:rPr>
  </w:style>
  <w:style w:type="character" w:customStyle="1" w:styleId="ONUMFSChar">
    <w:name w:val="ONUM FS Char"/>
    <w:basedOn w:val="DefaultParagraphFont"/>
    <w:link w:val="ONUMFS"/>
    <w:rsid w:val="00467717"/>
    <w:rPr>
      <w:rFonts w:ascii="Arial" w:eastAsia="SimSun" w:hAnsi="Arial" w:cs="Arial"/>
      <w:szCs w:val="20"/>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834081">
      <w:bodyDiv w:val="1"/>
      <w:marLeft w:val="0"/>
      <w:marRight w:val="0"/>
      <w:marTop w:val="0"/>
      <w:marBottom w:val="0"/>
      <w:divBdr>
        <w:top w:val="none" w:sz="0" w:space="0" w:color="auto"/>
        <w:left w:val="none" w:sz="0" w:space="0" w:color="auto"/>
        <w:bottom w:val="none" w:sz="0" w:space="0" w:color="auto"/>
        <w:right w:val="none" w:sz="0" w:space="0" w:color="auto"/>
      </w:divBdr>
    </w:div>
    <w:div w:id="775950352">
      <w:bodyDiv w:val="1"/>
      <w:marLeft w:val="0"/>
      <w:marRight w:val="0"/>
      <w:marTop w:val="0"/>
      <w:marBottom w:val="0"/>
      <w:divBdr>
        <w:top w:val="none" w:sz="0" w:space="0" w:color="auto"/>
        <w:left w:val="none" w:sz="0" w:space="0" w:color="auto"/>
        <w:bottom w:val="none" w:sz="0" w:space="0" w:color="auto"/>
        <w:right w:val="none" w:sz="0" w:space="0" w:color="auto"/>
      </w:divBdr>
    </w:div>
    <w:div w:id="1298343497">
      <w:bodyDiv w:val="1"/>
      <w:marLeft w:val="0"/>
      <w:marRight w:val="0"/>
      <w:marTop w:val="0"/>
      <w:marBottom w:val="0"/>
      <w:divBdr>
        <w:top w:val="none" w:sz="0" w:space="0" w:color="auto"/>
        <w:left w:val="none" w:sz="0" w:space="0" w:color="auto"/>
        <w:bottom w:val="none" w:sz="0" w:space="0" w:color="auto"/>
        <w:right w:val="none" w:sz="0" w:space="0" w:color="auto"/>
      </w:divBdr>
    </w:div>
    <w:div w:id="1320771641">
      <w:bodyDiv w:val="1"/>
      <w:marLeft w:val="0"/>
      <w:marRight w:val="0"/>
      <w:marTop w:val="0"/>
      <w:marBottom w:val="0"/>
      <w:divBdr>
        <w:top w:val="none" w:sz="0" w:space="0" w:color="auto"/>
        <w:left w:val="none" w:sz="0" w:space="0" w:color="auto"/>
        <w:bottom w:val="none" w:sz="0" w:space="0" w:color="auto"/>
        <w:right w:val="none" w:sz="0" w:space="0" w:color="auto"/>
      </w:divBdr>
    </w:div>
    <w:div w:id="1490172386">
      <w:bodyDiv w:val="1"/>
      <w:marLeft w:val="0"/>
      <w:marRight w:val="0"/>
      <w:marTop w:val="0"/>
      <w:marBottom w:val="0"/>
      <w:divBdr>
        <w:top w:val="none" w:sz="0" w:space="0" w:color="auto"/>
        <w:left w:val="none" w:sz="0" w:space="0" w:color="auto"/>
        <w:bottom w:val="none" w:sz="0" w:space="0" w:color="auto"/>
        <w:right w:val="none" w:sz="0" w:space="0" w:color="auto"/>
      </w:divBdr>
    </w:div>
    <w:div w:id="167195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ip-development/fr/agenda/recommendations.html" TargetMode="Externa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B6AED-63DC-440D-BB8B-B9401BBEE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4154</Words>
  <Characters>24349</Characters>
  <Application>Microsoft Office Word</Application>
  <DocSecurity>0</DocSecurity>
  <Lines>936</Lines>
  <Paragraphs>370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CERBARI Mihaela</dc:creator>
  <cp:keywords>FOR OFFICIAL USE ONLY</cp:keywords>
  <dc:description/>
  <cp:lastModifiedBy>ESTEVES DOS SANTOS Anabela</cp:lastModifiedBy>
  <cp:revision>4</cp:revision>
  <cp:lastPrinted>2023-02-01T16:16:00Z</cp:lastPrinted>
  <dcterms:created xsi:type="dcterms:W3CDTF">2023-05-08T12:16:00Z</dcterms:created>
  <dcterms:modified xsi:type="dcterms:W3CDTF">2023-05-08T12:21:00Z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57f31fd3-884d-4595-8fe7-5a852c6b1662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2023-05-08T12:18:02Z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e6cfe9bd-25ac-4a62-9ea5-197ccd01996d</vt:lpwstr>
  </property>
  <property fmtid="{D5CDD505-2E9C-101B-9397-08002B2CF9AE}" pid="14" name="MSIP_Label_20773ee6-353b-4fb9-a59d-0b94c8c67bea_ContentBits">
    <vt:lpwstr>0</vt:lpwstr>
  </property>
</Properties>
</file>