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6758CD" w:rsidRPr="002D09EA" w:rsidTr="00E635D8">
        <w:tc>
          <w:tcPr>
            <w:tcW w:w="4513" w:type="dxa"/>
            <w:tcBorders>
              <w:bottom w:val="single" w:sz="4" w:space="0" w:color="auto"/>
            </w:tcBorders>
            <w:tcMar>
              <w:bottom w:w="170" w:type="dxa"/>
            </w:tcMar>
          </w:tcPr>
          <w:p w:rsidR="006758CD" w:rsidRPr="002D09EA" w:rsidRDefault="006758CD" w:rsidP="00E635D8"/>
        </w:tc>
        <w:tc>
          <w:tcPr>
            <w:tcW w:w="4337" w:type="dxa"/>
            <w:tcBorders>
              <w:bottom w:val="single" w:sz="4" w:space="0" w:color="auto"/>
            </w:tcBorders>
            <w:tcMar>
              <w:left w:w="0" w:type="dxa"/>
              <w:right w:w="0" w:type="dxa"/>
            </w:tcMar>
          </w:tcPr>
          <w:p w:rsidR="006758CD" w:rsidRPr="002D09EA" w:rsidRDefault="006758CD" w:rsidP="00E635D8">
            <w:r w:rsidRPr="002D09EA">
              <w:rPr>
                <w:noProof/>
                <w:lang w:val="en-US" w:eastAsia="en-US"/>
              </w:rPr>
              <w:drawing>
                <wp:inline distT="0" distB="0" distL="0" distR="0" wp14:anchorId="144CED2B" wp14:editId="6633407E">
                  <wp:extent cx="1854835" cy="1326515"/>
                  <wp:effectExtent l="0" t="0" r="0" b="698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WIPO-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54835" cy="132651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6758CD" w:rsidRPr="002D09EA" w:rsidRDefault="006758CD" w:rsidP="00E635D8">
            <w:pPr>
              <w:jc w:val="right"/>
            </w:pPr>
            <w:r w:rsidRPr="002D09EA">
              <w:rPr>
                <w:b/>
                <w:sz w:val="40"/>
                <w:szCs w:val="40"/>
              </w:rPr>
              <w:t>F</w:t>
            </w:r>
          </w:p>
        </w:tc>
      </w:tr>
      <w:tr w:rsidR="006758CD" w:rsidRPr="002D09EA" w:rsidTr="009A0053">
        <w:trPr>
          <w:trHeight w:val="212"/>
        </w:trPr>
        <w:tc>
          <w:tcPr>
            <w:tcW w:w="9356" w:type="dxa"/>
            <w:gridSpan w:val="3"/>
            <w:tcBorders>
              <w:top w:val="single" w:sz="4" w:space="0" w:color="auto"/>
            </w:tcBorders>
            <w:tcMar>
              <w:top w:w="170" w:type="dxa"/>
              <w:left w:w="0" w:type="dxa"/>
              <w:right w:w="0" w:type="dxa"/>
            </w:tcMar>
            <w:vAlign w:val="bottom"/>
          </w:tcPr>
          <w:p w:rsidR="006758CD" w:rsidRPr="002D09EA" w:rsidRDefault="006758CD" w:rsidP="006758CD">
            <w:pPr>
              <w:jc w:val="right"/>
              <w:rPr>
                <w:rFonts w:ascii="Arial Black" w:hAnsi="Arial Black"/>
                <w:caps/>
                <w:sz w:val="15"/>
              </w:rPr>
            </w:pPr>
            <w:bookmarkStart w:id="0" w:name="Code"/>
            <w:bookmarkEnd w:id="0"/>
            <w:r w:rsidRPr="002D09EA">
              <w:rPr>
                <w:rFonts w:ascii="Arial Black" w:hAnsi="Arial Black"/>
                <w:caps/>
                <w:sz w:val="15"/>
              </w:rPr>
              <w:t xml:space="preserve">WIPO/ACE/9/27 </w:t>
            </w:r>
          </w:p>
        </w:tc>
      </w:tr>
      <w:tr w:rsidR="006758CD" w:rsidRPr="002D09EA" w:rsidTr="009A0053">
        <w:trPr>
          <w:trHeight w:val="212"/>
        </w:trPr>
        <w:tc>
          <w:tcPr>
            <w:tcW w:w="9356" w:type="dxa"/>
            <w:gridSpan w:val="3"/>
            <w:noWrap/>
            <w:tcMar>
              <w:left w:w="0" w:type="dxa"/>
              <w:right w:w="0" w:type="dxa"/>
            </w:tcMar>
            <w:vAlign w:val="bottom"/>
          </w:tcPr>
          <w:p w:rsidR="006758CD" w:rsidRPr="002D09EA" w:rsidRDefault="006758CD" w:rsidP="006758CD">
            <w:pPr>
              <w:jc w:val="right"/>
              <w:rPr>
                <w:rFonts w:ascii="Arial Black" w:hAnsi="Arial Black"/>
                <w:caps/>
                <w:sz w:val="15"/>
              </w:rPr>
            </w:pPr>
            <w:r w:rsidRPr="002D09EA">
              <w:rPr>
                <w:rFonts w:ascii="Arial Black" w:hAnsi="Arial Black"/>
                <w:caps/>
                <w:sz w:val="15"/>
              </w:rPr>
              <w:t xml:space="preserve">ORIGINAL : </w:t>
            </w:r>
            <w:bookmarkStart w:id="1" w:name="Original"/>
            <w:bookmarkEnd w:id="1"/>
            <w:r w:rsidRPr="002D09EA">
              <w:rPr>
                <w:rFonts w:ascii="Arial Black" w:hAnsi="Arial Black"/>
                <w:caps/>
                <w:sz w:val="15"/>
              </w:rPr>
              <w:t>anglais</w:t>
            </w:r>
          </w:p>
        </w:tc>
      </w:tr>
      <w:tr w:rsidR="006758CD" w:rsidRPr="002D09EA" w:rsidTr="009A0053">
        <w:trPr>
          <w:trHeight w:val="212"/>
        </w:trPr>
        <w:tc>
          <w:tcPr>
            <w:tcW w:w="9356" w:type="dxa"/>
            <w:gridSpan w:val="3"/>
            <w:tcMar>
              <w:left w:w="0" w:type="dxa"/>
              <w:right w:w="0" w:type="dxa"/>
            </w:tcMar>
            <w:vAlign w:val="bottom"/>
          </w:tcPr>
          <w:p w:rsidR="006758CD" w:rsidRPr="002D09EA" w:rsidRDefault="006758CD" w:rsidP="006758CD">
            <w:pPr>
              <w:jc w:val="right"/>
              <w:rPr>
                <w:rFonts w:ascii="Arial Black" w:hAnsi="Arial Black"/>
                <w:caps/>
                <w:sz w:val="15"/>
              </w:rPr>
            </w:pPr>
            <w:r w:rsidRPr="002D09EA">
              <w:rPr>
                <w:rFonts w:ascii="Arial Black" w:hAnsi="Arial Black"/>
                <w:caps/>
                <w:sz w:val="15"/>
              </w:rPr>
              <w:t xml:space="preserve">DATE : </w:t>
            </w:r>
            <w:bookmarkStart w:id="2" w:name="Date"/>
            <w:bookmarkEnd w:id="2"/>
            <w:r w:rsidRPr="002D09EA">
              <w:rPr>
                <w:rFonts w:ascii="Arial Black" w:hAnsi="Arial Black"/>
                <w:caps/>
                <w:sz w:val="15"/>
              </w:rPr>
              <w:t>18 février 2014</w:t>
            </w:r>
          </w:p>
        </w:tc>
      </w:tr>
    </w:tbl>
    <w:p w:rsidR="006758CD" w:rsidRPr="002D09EA" w:rsidRDefault="006758CD" w:rsidP="006758CD"/>
    <w:p w:rsidR="006758CD" w:rsidRPr="002D09EA" w:rsidRDefault="006758CD" w:rsidP="006758CD"/>
    <w:p w:rsidR="006758CD" w:rsidRPr="002D09EA" w:rsidRDefault="006758CD" w:rsidP="006758CD"/>
    <w:p w:rsidR="006758CD" w:rsidRPr="002D09EA" w:rsidRDefault="006758CD" w:rsidP="006758CD"/>
    <w:p w:rsidR="006758CD" w:rsidRPr="002D09EA" w:rsidRDefault="006758CD" w:rsidP="006758CD"/>
    <w:p w:rsidR="006758CD" w:rsidRPr="002D09EA" w:rsidRDefault="006758CD" w:rsidP="006758CD">
      <w:pPr>
        <w:rPr>
          <w:b/>
          <w:sz w:val="28"/>
          <w:szCs w:val="28"/>
        </w:rPr>
      </w:pPr>
      <w:r w:rsidRPr="002D09EA">
        <w:rPr>
          <w:b/>
          <w:sz w:val="28"/>
          <w:szCs w:val="28"/>
        </w:rPr>
        <w:t>Comité consultatif sur l</w:t>
      </w:r>
      <w:r w:rsidR="00191ADA" w:rsidRPr="002D09EA">
        <w:rPr>
          <w:b/>
          <w:sz w:val="28"/>
          <w:szCs w:val="28"/>
        </w:rPr>
        <w:t>’</w:t>
      </w:r>
      <w:r w:rsidRPr="002D09EA">
        <w:rPr>
          <w:b/>
          <w:sz w:val="28"/>
          <w:szCs w:val="28"/>
        </w:rPr>
        <w:t>application des droits</w:t>
      </w:r>
    </w:p>
    <w:p w:rsidR="006758CD" w:rsidRPr="002D09EA" w:rsidRDefault="006758CD" w:rsidP="006758CD"/>
    <w:p w:rsidR="006758CD" w:rsidRPr="002D09EA" w:rsidRDefault="006758CD" w:rsidP="006758CD"/>
    <w:p w:rsidR="006758CD" w:rsidRPr="002D09EA" w:rsidRDefault="006758CD" w:rsidP="006758CD">
      <w:pPr>
        <w:rPr>
          <w:b/>
          <w:sz w:val="24"/>
          <w:szCs w:val="24"/>
        </w:rPr>
      </w:pPr>
      <w:r w:rsidRPr="002D09EA">
        <w:rPr>
          <w:b/>
          <w:sz w:val="24"/>
          <w:szCs w:val="24"/>
        </w:rPr>
        <w:t>Neuvième session</w:t>
      </w:r>
    </w:p>
    <w:p w:rsidR="006758CD" w:rsidRPr="002D09EA" w:rsidRDefault="006758CD" w:rsidP="006758CD">
      <w:pPr>
        <w:rPr>
          <w:b/>
          <w:sz w:val="24"/>
          <w:szCs w:val="24"/>
        </w:rPr>
      </w:pPr>
      <w:r w:rsidRPr="002D09EA">
        <w:rPr>
          <w:b/>
          <w:sz w:val="24"/>
          <w:szCs w:val="24"/>
        </w:rPr>
        <w:t>Genève, 3 – 5 mars 2014</w:t>
      </w:r>
    </w:p>
    <w:p w:rsidR="006758CD" w:rsidRPr="002D09EA" w:rsidRDefault="006758CD" w:rsidP="006758CD"/>
    <w:p w:rsidR="006758CD" w:rsidRPr="002D09EA" w:rsidRDefault="006758CD" w:rsidP="006758CD"/>
    <w:p w:rsidR="006758CD" w:rsidRPr="002D09EA" w:rsidRDefault="006758CD" w:rsidP="006758CD"/>
    <w:p w:rsidR="00AD6624" w:rsidRPr="002D09EA" w:rsidRDefault="00AD6624" w:rsidP="00DD4DD5">
      <w:r w:rsidRPr="002D09EA">
        <w:t xml:space="preserve">MÉCANISMES VOLONTAIRES DE LUTTE CONTRE LES ATTEINTES PORTÉES EN LIGNE AUX DROITS DE </w:t>
      </w:r>
      <w:r w:rsidRPr="002D09EA">
        <w:rPr>
          <w:szCs w:val="22"/>
        </w:rPr>
        <w:t>PROPRIÉTÉ INTELLECTUELLE</w:t>
      </w:r>
    </w:p>
    <w:p w:rsidR="00AD6624" w:rsidRPr="002D09EA" w:rsidRDefault="00AD6624" w:rsidP="00DD4DD5"/>
    <w:p w:rsidR="00AD6624" w:rsidRPr="002D09EA" w:rsidRDefault="00AD6624" w:rsidP="00DD4DD5">
      <w:pPr>
        <w:rPr>
          <w:i/>
        </w:rPr>
      </w:pPr>
      <w:bookmarkStart w:id="3" w:name="Prepared"/>
      <w:bookmarkEnd w:id="3"/>
      <w:r w:rsidRPr="002D09EA">
        <w:rPr>
          <w:i/>
        </w:rPr>
        <w:t>Document établi par Mme</w:t>
      </w:r>
      <w:r w:rsidR="00C950EC" w:rsidRPr="002D09EA">
        <w:rPr>
          <w:i/>
        </w:rPr>
        <w:t> </w:t>
      </w:r>
      <w:r w:rsidRPr="002D09EA">
        <w:rPr>
          <w:i/>
        </w:rPr>
        <w:t>Marianne</w:t>
      </w:r>
      <w:r w:rsidR="00C950EC" w:rsidRPr="002D09EA">
        <w:rPr>
          <w:i/>
        </w:rPr>
        <w:t> </w:t>
      </w:r>
      <w:r w:rsidRPr="002D09EA">
        <w:rPr>
          <w:i/>
        </w:rPr>
        <w:t xml:space="preserve">Grant, </w:t>
      </w:r>
      <w:r w:rsidR="00C950EC" w:rsidRPr="002D09EA">
        <w:rPr>
          <w:i/>
        </w:rPr>
        <w:t>v</w:t>
      </w:r>
      <w:r w:rsidRPr="002D09EA">
        <w:rPr>
          <w:i/>
        </w:rPr>
        <w:t>ice</w:t>
      </w:r>
      <w:r w:rsidR="00F40A5D" w:rsidRPr="002D09EA">
        <w:rPr>
          <w:i/>
        </w:rPr>
        <w:noBreakHyphen/>
      </w:r>
      <w:r w:rsidR="00C950EC" w:rsidRPr="002D09EA">
        <w:rPr>
          <w:i/>
        </w:rPr>
        <w:t>p</w:t>
      </w:r>
      <w:r w:rsidRPr="002D09EA">
        <w:rPr>
          <w:i/>
        </w:rPr>
        <w:t>résidente</w:t>
      </w:r>
      <w:r w:rsidR="00920F1A">
        <w:rPr>
          <w:i/>
        </w:rPr>
        <w:t xml:space="preserve"> principale</w:t>
      </w:r>
      <w:r w:rsidRPr="002D09EA">
        <w:rPr>
          <w:i/>
        </w:rPr>
        <w:t xml:space="preserve">, Motion Picture Association of </w:t>
      </w:r>
      <w:proofErr w:type="spellStart"/>
      <w:r w:rsidRPr="002D09EA">
        <w:rPr>
          <w:i/>
        </w:rPr>
        <w:t>America</w:t>
      </w:r>
      <w:proofErr w:type="spellEnd"/>
      <w:r w:rsidRPr="002D09EA">
        <w:rPr>
          <w:i/>
        </w:rPr>
        <w:t>, Inc. (</w:t>
      </w:r>
      <w:hyperlink r:id="rId13" w:history="1">
        <w:r w:rsidRPr="002D09EA">
          <w:rPr>
            <w:rStyle w:val="Hyperlink"/>
            <w:i/>
            <w:color w:val="auto"/>
            <w:u w:val="none"/>
          </w:rPr>
          <w:t>www.mpaa.org</w:t>
        </w:r>
      </w:hyperlink>
      <w:r w:rsidRPr="002D09EA">
        <w:rPr>
          <w:i/>
        </w:rPr>
        <w:t>)</w:t>
      </w:r>
      <w:r w:rsidRPr="002D09EA">
        <w:rPr>
          <w:rStyle w:val="FootnoteReference"/>
          <w:i/>
        </w:rPr>
        <w:footnoteReference w:customMarkFollows="1" w:id="2"/>
        <w:t>*</w:t>
      </w:r>
    </w:p>
    <w:p w:rsidR="00FD6FC2" w:rsidRPr="002D09EA" w:rsidRDefault="00FD6FC2" w:rsidP="00DD4DD5"/>
    <w:p w:rsidR="00FD6FC2" w:rsidRPr="002D09EA" w:rsidRDefault="00FD6FC2" w:rsidP="00DD4DD5"/>
    <w:p w:rsidR="00B35BAA" w:rsidRPr="002D09EA" w:rsidRDefault="00B35BAA" w:rsidP="00B35BAA"/>
    <w:p w:rsidR="00FD6FC2" w:rsidRPr="002D09EA" w:rsidRDefault="00FD6FC2" w:rsidP="00DD4DD5">
      <w:pPr>
        <w:pStyle w:val="Heading1"/>
      </w:pPr>
      <w:r w:rsidRPr="002D09EA">
        <w:t>A.</w:t>
      </w:r>
      <w:r w:rsidRPr="002D09EA">
        <w:tab/>
      </w:r>
      <w:r w:rsidR="00C16277">
        <w:t>I</w:t>
      </w:r>
      <w:r w:rsidR="00AD6624" w:rsidRPr="002D09EA">
        <w:t>nformations générales</w:t>
      </w:r>
    </w:p>
    <w:p w:rsidR="00191ADA" w:rsidRPr="002D09EA" w:rsidRDefault="00191ADA" w:rsidP="00DD4DD5"/>
    <w:p w:rsidR="00AD6624" w:rsidRPr="002D09EA" w:rsidRDefault="00AD6624" w:rsidP="00E23DF9">
      <w:pPr>
        <w:pStyle w:val="ONUMFS"/>
        <w:rPr>
          <w:lang w:val="fr-FR"/>
        </w:rPr>
      </w:pPr>
      <w:r w:rsidRPr="002D09EA">
        <w:rPr>
          <w:lang w:val="fr-FR"/>
        </w:rPr>
        <w:t>Le programme de travail de la présente neuvième</w:t>
      </w:r>
      <w:r w:rsidR="00D2430A" w:rsidRPr="002D09EA">
        <w:rPr>
          <w:lang w:val="fr-FR"/>
        </w:rPr>
        <w:t> </w:t>
      </w:r>
      <w:r w:rsidRPr="002D09EA">
        <w:rPr>
          <w:lang w:val="fr-FR"/>
        </w:rPr>
        <w:t>session du Comité consultatif sur l</w:t>
      </w:r>
      <w:r w:rsidR="00191ADA" w:rsidRPr="002D09EA">
        <w:rPr>
          <w:lang w:val="fr-FR"/>
        </w:rPr>
        <w:t>’</w:t>
      </w:r>
      <w:r w:rsidRPr="002D09EA">
        <w:rPr>
          <w:lang w:val="fr-FR"/>
        </w:rPr>
        <w:t xml:space="preserve">application des droits (ACE) porte notamment sur </w:t>
      </w:r>
      <w:r w:rsidR="009049D0">
        <w:rPr>
          <w:lang w:val="fr-FR"/>
        </w:rPr>
        <w:t>l</w:t>
      </w:r>
      <w:r w:rsidRPr="002D09EA">
        <w:rPr>
          <w:lang w:val="fr-FR"/>
        </w:rPr>
        <w:t xml:space="preserve">es actions </w:t>
      </w:r>
      <w:r w:rsidR="00BC7222" w:rsidRPr="002D09EA">
        <w:rPr>
          <w:lang w:val="fr-FR"/>
        </w:rPr>
        <w:t>et mesures de prévention</w:t>
      </w:r>
      <w:r w:rsidRPr="002D09EA">
        <w:rPr>
          <w:lang w:val="fr-FR"/>
        </w:rPr>
        <w:t xml:space="preserve"> ou des expériences réussies visant à compléter les mesures d</w:t>
      </w:r>
      <w:r w:rsidR="00191ADA" w:rsidRPr="002D09EA">
        <w:rPr>
          <w:lang w:val="fr-FR"/>
        </w:rPr>
        <w:t>’</w:t>
      </w:r>
      <w:r w:rsidRPr="002D09EA">
        <w:rPr>
          <w:lang w:val="fr-FR"/>
        </w:rPr>
        <w:t>application des droits en vigueur</w:t>
      </w:r>
      <w:r w:rsidR="002A0E32" w:rsidRPr="002D09EA">
        <w:rPr>
          <w:lang w:val="fr-FR"/>
        </w:rPr>
        <w:t>,</w:t>
      </w:r>
      <w:r w:rsidRPr="002D09EA">
        <w:rPr>
          <w:lang w:val="fr-FR"/>
        </w:rPr>
        <w:t xml:space="preserve"> </w:t>
      </w:r>
      <w:r w:rsidR="00BC7222" w:rsidRPr="002D09EA">
        <w:rPr>
          <w:lang w:val="fr-FR"/>
        </w:rPr>
        <w:t>de manière à</w:t>
      </w:r>
      <w:r w:rsidRPr="002D09EA">
        <w:rPr>
          <w:lang w:val="fr-FR"/>
        </w:rPr>
        <w:t xml:space="preserve"> réduire la </w:t>
      </w:r>
      <w:r w:rsidR="00BC7222" w:rsidRPr="002D09EA">
        <w:rPr>
          <w:lang w:val="fr-FR"/>
        </w:rPr>
        <w:t xml:space="preserve">taille du marché pour les produits contrefaisants ou pirates.  Le présent document </w:t>
      </w:r>
      <w:r w:rsidR="003243B4" w:rsidRPr="002D09EA">
        <w:rPr>
          <w:lang w:val="fr-FR"/>
        </w:rPr>
        <w:t xml:space="preserve">examine les mécanismes volontaires (ou </w:t>
      </w:r>
      <w:r w:rsidR="00D2430A" w:rsidRPr="002D09EA">
        <w:rPr>
          <w:lang w:val="fr-FR"/>
        </w:rPr>
        <w:t>“</w:t>
      </w:r>
      <w:r w:rsidR="003243B4" w:rsidRPr="002D09EA">
        <w:rPr>
          <w:lang w:val="fr-FR"/>
        </w:rPr>
        <w:t>programmes</w:t>
      </w:r>
      <w:r w:rsidR="00D2430A" w:rsidRPr="002D09EA">
        <w:rPr>
          <w:lang w:val="fr-FR"/>
        </w:rPr>
        <w:t>”</w:t>
      </w:r>
      <w:r w:rsidR="003243B4" w:rsidRPr="002D09EA">
        <w:rPr>
          <w:lang w:val="fr-FR"/>
        </w:rPr>
        <w:t>) qui sont ou ont été mis en œuvre sur divers marchés afin de réduire l</w:t>
      </w:r>
      <w:r w:rsidR="00191ADA" w:rsidRPr="002D09EA">
        <w:rPr>
          <w:lang w:val="fr-FR"/>
        </w:rPr>
        <w:t>’</w:t>
      </w:r>
      <w:r w:rsidR="003243B4" w:rsidRPr="002D09EA">
        <w:rPr>
          <w:lang w:val="fr-FR"/>
        </w:rPr>
        <w:t>offre de matériels délictueux, d</w:t>
      </w:r>
      <w:r w:rsidR="00191ADA" w:rsidRPr="002D09EA">
        <w:rPr>
          <w:lang w:val="fr-FR"/>
        </w:rPr>
        <w:t>’</w:t>
      </w:r>
      <w:r w:rsidR="003243B4" w:rsidRPr="002D09EA">
        <w:rPr>
          <w:lang w:val="fr-FR"/>
        </w:rPr>
        <w:t xml:space="preserve">en </w:t>
      </w:r>
      <w:r w:rsidR="009049D0">
        <w:rPr>
          <w:lang w:val="fr-FR"/>
        </w:rPr>
        <w:t xml:space="preserve">diminuer </w:t>
      </w:r>
      <w:r w:rsidR="003243B4" w:rsidRPr="002D09EA">
        <w:rPr>
          <w:lang w:val="fr-FR"/>
        </w:rPr>
        <w:t>la demande et d</w:t>
      </w:r>
      <w:r w:rsidR="00191ADA" w:rsidRPr="002D09EA">
        <w:rPr>
          <w:lang w:val="fr-FR"/>
        </w:rPr>
        <w:t>’</w:t>
      </w:r>
      <w:r w:rsidR="003243B4" w:rsidRPr="002D09EA">
        <w:rPr>
          <w:lang w:val="fr-FR"/>
        </w:rPr>
        <w:t xml:space="preserve">augmenter la probabilité </w:t>
      </w:r>
      <w:r w:rsidR="006C5EDC" w:rsidRPr="002D09EA">
        <w:rPr>
          <w:lang w:val="fr-FR"/>
        </w:rPr>
        <w:t xml:space="preserve">que les consommateurs </w:t>
      </w:r>
      <w:r w:rsidR="003243B4" w:rsidRPr="002D09EA">
        <w:rPr>
          <w:lang w:val="fr-FR"/>
        </w:rPr>
        <w:t>demande</w:t>
      </w:r>
      <w:r w:rsidR="006C5EDC" w:rsidRPr="002D09EA">
        <w:rPr>
          <w:lang w:val="fr-FR"/>
        </w:rPr>
        <w:t>nt</w:t>
      </w:r>
      <w:r w:rsidR="003243B4" w:rsidRPr="002D09EA">
        <w:rPr>
          <w:lang w:val="fr-FR"/>
        </w:rPr>
        <w:t xml:space="preserve"> de</w:t>
      </w:r>
      <w:r w:rsidR="006C5EDC" w:rsidRPr="002D09EA">
        <w:rPr>
          <w:lang w:val="fr-FR"/>
        </w:rPr>
        <w:t>s</w:t>
      </w:r>
      <w:r w:rsidR="003243B4" w:rsidRPr="002D09EA">
        <w:rPr>
          <w:lang w:val="fr-FR"/>
        </w:rPr>
        <w:t xml:space="preserve"> produits licites et protégés par</w:t>
      </w:r>
      <w:r w:rsidR="006C5EDC" w:rsidRPr="002D09EA">
        <w:rPr>
          <w:lang w:val="fr-FR"/>
        </w:rPr>
        <w:t xml:space="preserve"> des licences.  Aux fins du présent document, le terme </w:t>
      </w:r>
      <w:r w:rsidR="00D2430A" w:rsidRPr="002D09EA">
        <w:rPr>
          <w:lang w:val="fr-FR"/>
        </w:rPr>
        <w:t>“</w:t>
      </w:r>
      <w:r w:rsidR="006C5EDC" w:rsidRPr="002D09EA">
        <w:rPr>
          <w:lang w:val="fr-FR"/>
        </w:rPr>
        <w:t>mécanisme</w:t>
      </w:r>
      <w:r w:rsidR="00D2430A" w:rsidRPr="002D09EA">
        <w:rPr>
          <w:lang w:val="fr-FR"/>
        </w:rPr>
        <w:t>”</w:t>
      </w:r>
      <w:r w:rsidR="006C5EDC" w:rsidRPr="002D09EA">
        <w:rPr>
          <w:lang w:val="fr-FR"/>
        </w:rPr>
        <w:t xml:space="preserve"> s</w:t>
      </w:r>
      <w:r w:rsidR="00191ADA" w:rsidRPr="002D09EA">
        <w:rPr>
          <w:lang w:val="fr-FR"/>
        </w:rPr>
        <w:t>’</w:t>
      </w:r>
      <w:r w:rsidR="006C5EDC" w:rsidRPr="002D09EA">
        <w:rPr>
          <w:lang w:val="fr-FR"/>
        </w:rPr>
        <w:t xml:space="preserve">entend de tout accord ou procédure qui a pour effet de protéger un droit de </w:t>
      </w:r>
      <w:r w:rsidR="006C5EDC" w:rsidRPr="002D09EA">
        <w:rPr>
          <w:szCs w:val="22"/>
          <w:lang w:val="fr-FR"/>
        </w:rPr>
        <w:t>propriété intellectuelle</w:t>
      </w:r>
      <w:r w:rsidR="006C5EDC" w:rsidRPr="002D09EA">
        <w:rPr>
          <w:lang w:val="fr-FR"/>
        </w:rPr>
        <w:t xml:space="preserve">;  un mécanisme est considéré comme </w:t>
      </w:r>
      <w:r w:rsidR="00D2430A" w:rsidRPr="002D09EA">
        <w:rPr>
          <w:lang w:val="fr-FR"/>
        </w:rPr>
        <w:t>“</w:t>
      </w:r>
      <w:r w:rsidR="006C5EDC" w:rsidRPr="002D09EA">
        <w:rPr>
          <w:lang w:val="fr-FR"/>
        </w:rPr>
        <w:t>volontaire</w:t>
      </w:r>
      <w:r w:rsidR="00D2430A" w:rsidRPr="002D09EA">
        <w:rPr>
          <w:lang w:val="fr-FR"/>
        </w:rPr>
        <w:t>”</w:t>
      </w:r>
      <w:r w:rsidR="006C5EDC" w:rsidRPr="002D09EA">
        <w:rPr>
          <w:lang w:val="fr-FR"/>
        </w:rPr>
        <w:t xml:space="preserve"> dès lors que son existence n</w:t>
      </w:r>
      <w:r w:rsidR="00191ADA" w:rsidRPr="002D09EA">
        <w:rPr>
          <w:lang w:val="fr-FR"/>
        </w:rPr>
        <w:t>’</w:t>
      </w:r>
      <w:r w:rsidR="006C5EDC" w:rsidRPr="002D09EA">
        <w:rPr>
          <w:lang w:val="fr-FR"/>
        </w:rPr>
        <w:t>est pas imposée par une législation (même si cette existence peut</w:t>
      </w:r>
      <w:r w:rsidR="006758CD" w:rsidRPr="002D09EA">
        <w:rPr>
          <w:lang w:val="fr-FR"/>
        </w:rPr>
        <w:t xml:space="preserve"> </w:t>
      </w:r>
      <w:r w:rsidR="006C5EDC" w:rsidRPr="002D09EA">
        <w:rPr>
          <w:lang w:val="fr-FR"/>
        </w:rPr>
        <w:t>être motivée par une loi).  Le présent document examine certains mécanismes volontaires sectoriels que des participants ont mis en place dans l</w:t>
      </w:r>
      <w:r w:rsidR="00191ADA" w:rsidRPr="002D09EA">
        <w:rPr>
          <w:lang w:val="fr-FR"/>
        </w:rPr>
        <w:t>’</w:t>
      </w:r>
      <w:r w:rsidR="006C5EDC" w:rsidRPr="002D09EA">
        <w:rPr>
          <w:lang w:val="fr-FR"/>
        </w:rPr>
        <w:t>écosystème en ligne</w:t>
      </w:r>
      <w:r w:rsidR="002A0E32" w:rsidRPr="002D09EA">
        <w:rPr>
          <w:lang w:val="fr-FR"/>
        </w:rPr>
        <w:t>, ainsi que</w:t>
      </w:r>
      <w:r w:rsidR="006C5EDC" w:rsidRPr="002D09EA">
        <w:rPr>
          <w:lang w:val="fr-FR"/>
        </w:rPr>
        <w:t xml:space="preserve"> les partenariats public</w:t>
      </w:r>
      <w:r w:rsidR="00F40A5D" w:rsidRPr="002D09EA">
        <w:rPr>
          <w:lang w:val="fr-FR"/>
        </w:rPr>
        <w:noBreakHyphen/>
      </w:r>
      <w:r w:rsidR="006C5EDC" w:rsidRPr="002D09EA">
        <w:rPr>
          <w:lang w:val="fr-FR"/>
        </w:rPr>
        <w:t xml:space="preserve">privé </w:t>
      </w:r>
      <w:r w:rsidR="002A0E32" w:rsidRPr="002D09EA">
        <w:rPr>
          <w:lang w:val="fr-FR"/>
        </w:rPr>
        <w:t>visant à</w:t>
      </w:r>
      <w:r w:rsidR="006C5EDC" w:rsidRPr="002D09EA">
        <w:rPr>
          <w:lang w:val="fr-FR"/>
        </w:rPr>
        <w:t xml:space="preserve"> lutter contre le piratage et </w:t>
      </w:r>
      <w:r w:rsidR="002A0E32" w:rsidRPr="002D09EA">
        <w:rPr>
          <w:lang w:val="fr-FR"/>
        </w:rPr>
        <w:t xml:space="preserve">à </w:t>
      </w:r>
      <w:r w:rsidR="006C5EDC" w:rsidRPr="002D09EA">
        <w:rPr>
          <w:lang w:val="fr-FR"/>
        </w:rPr>
        <w:t>éduquer les consommateurs.  Les études de cas citées porteront notamment sur des programmes visant à éduquer le grand public et à s</w:t>
      </w:r>
      <w:r w:rsidR="00191ADA" w:rsidRPr="002D09EA">
        <w:rPr>
          <w:lang w:val="fr-FR"/>
        </w:rPr>
        <w:t>’</w:t>
      </w:r>
      <w:r w:rsidR="006C5EDC" w:rsidRPr="002D09EA">
        <w:rPr>
          <w:lang w:val="fr-FR"/>
        </w:rPr>
        <w:t xml:space="preserve">adresseront à des personnes </w:t>
      </w:r>
      <w:r w:rsidR="002A0E32" w:rsidRPr="002D09EA">
        <w:rPr>
          <w:lang w:val="fr-FR"/>
        </w:rPr>
        <w:t xml:space="preserve">chargées de </w:t>
      </w:r>
      <w:r w:rsidR="00666F0F" w:rsidRPr="002D09EA">
        <w:rPr>
          <w:lang w:val="fr-FR"/>
        </w:rPr>
        <w:t xml:space="preserve">la lutte contre </w:t>
      </w:r>
      <w:r w:rsidR="009049D0">
        <w:rPr>
          <w:lang w:val="fr-FR"/>
        </w:rPr>
        <w:t xml:space="preserve">les atteintes à </w:t>
      </w:r>
      <w:r w:rsidR="00666F0F" w:rsidRPr="002D09EA">
        <w:rPr>
          <w:lang w:val="fr-FR"/>
        </w:rPr>
        <w:t xml:space="preserve">des droits en ligne et </w:t>
      </w:r>
      <w:r w:rsidR="002A0E32" w:rsidRPr="002D09EA">
        <w:rPr>
          <w:lang w:val="fr-FR"/>
        </w:rPr>
        <w:t>d</w:t>
      </w:r>
      <w:r w:rsidR="00666F0F" w:rsidRPr="002D09EA">
        <w:rPr>
          <w:lang w:val="fr-FR"/>
        </w:rPr>
        <w:t xml:space="preserve">es systèmes de traitement des paiements, ainsi </w:t>
      </w:r>
      <w:r w:rsidR="002A0E32" w:rsidRPr="002D09EA">
        <w:rPr>
          <w:lang w:val="fr-FR"/>
        </w:rPr>
        <w:t>qu</w:t>
      </w:r>
      <w:r w:rsidR="00191ADA" w:rsidRPr="002D09EA">
        <w:rPr>
          <w:lang w:val="fr-FR"/>
        </w:rPr>
        <w:t>’</w:t>
      </w:r>
      <w:r w:rsidR="002A0E32" w:rsidRPr="002D09EA">
        <w:rPr>
          <w:lang w:val="fr-FR"/>
        </w:rPr>
        <w:t>aux</w:t>
      </w:r>
      <w:r w:rsidR="00666F0F" w:rsidRPr="002D09EA">
        <w:rPr>
          <w:lang w:val="fr-FR"/>
        </w:rPr>
        <w:t xml:space="preserve"> industries de la publicité et </w:t>
      </w:r>
      <w:r w:rsidR="002A0E32" w:rsidRPr="002D09EA">
        <w:rPr>
          <w:lang w:val="fr-FR"/>
        </w:rPr>
        <w:t>aux</w:t>
      </w:r>
      <w:r w:rsidR="00666F0F" w:rsidRPr="002D09EA">
        <w:rPr>
          <w:lang w:val="fr-FR"/>
        </w:rPr>
        <w:t xml:space="preserve"> titulaires de marques.</w:t>
      </w:r>
    </w:p>
    <w:p w:rsidR="00666F0F" w:rsidRPr="002D09EA" w:rsidRDefault="00666F0F" w:rsidP="00E262DB">
      <w:pPr>
        <w:pStyle w:val="ONUMFS"/>
        <w:rPr>
          <w:lang w:val="fr-FR"/>
        </w:rPr>
      </w:pPr>
      <w:r w:rsidRPr="002D09EA">
        <w:rPr>
          <w:lang w:val="fr-FR"/>
        </w:rPr>
        <w:lastRenderedPageBreak/>
        <w:t>Le présent document décrit essentiellement la création et le fonctionnement de deux</w:t>
      </w:r>
      <w:r w:rsidR="00D2430A" w:rsidRPr="002D09EA">
        <w:rPr>
          <w:lang w:val="fr-FR"/>
        </w:rPr>
        <w:t> </w:t>
      </w:r>
      <w:r w:rsidRPr="002D09EA">
        <w:rPr>
          <w:lang w:val="fr-FR"/>
        </w:rPr>
        <w:t>mécanismes volontaires</w:t>
      </w:r>
      <w:r w:rsidR="00D2430A" w:rsidRPr="002D09EA">
        <w:rPr>
          <w:lang w:val="fr-FR"/>
        </w:rPr>
        <w:t> </w:t>
      </w:r>
      <w:r w:rsidRPr="002D09EA">
        <w:rPr>
          <w:lang w:val="fr-FR"/>
        </w:rPr>
        <w:t>: i)</w:t>
      </w:r>
      <w:r w:rsidR="00FC3974">
        <w:rPr>
          <w:lang w:val="fr-FR"/>
        </w:rPr>
        <w:t> </w:t>
      </w:r>
      <w:r w:rsidRPr="002D09EA">
        <w:rPr>
          <w:lang w:val="fr-FR"/>
        </w:rPr>
        <w:t xml:space="preserve">le </w:t>
      </w:r>
      <w:r w:rsidR="0084005D" w:rsidRPr="00D05ACB">
        <w:rPr>
          <w:lang w:val="fr-FR"/>
        </w:rPr>
        <w:t xml:space="preserve">Copyright </w:t>
      </w:r>
      <w:proofErr w:type="spellStart"/>
      <w:r w:rsidR="0084005D" w:rsidRPr="00D05ACB">
        <w:rPr>
          <w:lang w:val="fr-FR"/>
        </w:rPr>
        <w:t>Alert</w:t>
      </w:r>
      <w:proofErr w:type="spellEnd"/>
      <w:r w:rsidR="0084005D" w:rsidRPr="00D05ACB">
        <w:rPr>
          <w:lang w:val="fr-FR"/>
        </w:rPr>
        <w:t xml:space="preserve"> System</w:t>
      </w:r>
      <w:r w:rsidR="0084005D" w:rsidRPr="002D09EA">
        <w:rPr>
          <w:lang w:val="fr-FR"/>
        </w:rPr>
        <w:t xml:space="preserve"> </w:t>
      </w:r>
      <w:r w:rsidRPr="002D09EA">
        <w:rPr>
          <w:lang w:val="fr-FR"/>
        </w:rPr>
        <w:t>(</w:t>
      </w:r>
      <w:r w:rsidR="0084005D" w:rsidRPr="002D09EA">
        <w:rPr>
          <w:lang w:val="fr-FR"/>
        </w:rPr>
        <w:t>système d</w:t>
      </w:r>
      <w:r w:rsidR="00191ADA" w:rsidRPr="002D09EA">
        <w:rPr>
          <w:lang w:val="fr-FR"/>
        </w:rPr>
        <w:t>’</w:t>
      </w:r>
      <w:r w:rsidR="0084005D" w:rsidRPr="002D09EA">
        <w:rPr>
          <w:lang w:val="fr-FR"/>
        </w:rPr>
        <w:t>alerte en matière de droit d</w:t>
      </w:r>
      <w:r w:rsidR="00191ADA" w:rsidRPr="002D09EA">
        <w:rPr>
          <w:lang w:val="fr-FR"/>
        </w:rPr>
        <w:t>’</w:t>
      </w:r>
      <w:r w:rsidR="0084005D" w:rsidRPr="002D09EA">
        <w:rPr>
          <w:lang w:val="fr-FR"/>
        </w:rPr>
        <w:t>auteur</w:t>
      </w:r>
      <w:r w:rsidRPr="002D09EA">
        <w:rPr>
          <w:lang w:val="fr-FR"/>
        </w:rPr>
        <w:t xml:space="preserve">) et son organe de supervision, le </w:t>
      </w:r>
      <w:r w:rsidRPr="00D05ACB">
        <w:rPr>
          <w:lang w:val="fr-FR"/>
        </w:rPr>
        <w:t>Center for Copyright Information</w:t>
      </w:r>
      <w:r w:rsidRPr="002D09EA">
        <w:rPr>
          <w:lang w:val="fr-FR"/>
        </w:rPr>
        <w:t xml:space="preserve"> (</w:t>
      </w:r>
      <w:r w:rsidR="007A4A37" w:rsidRPr="002D09EA">
        <w:rPr>
          <w:lang w:val="fr-FR"/>
        </w:rPr>
        <w:t>centre d’information sur le droit d’auteur</w:t>
      </w:r>
      <w:r w:rsidR="007A4A37">
        <w:rPr>
          <w:lang w:val="fr-FR"/>
        </w:rPr>
        <w:t>, ci</w:t>
      </w:r>
      <w:r w:rsidR="007A4A37">
        <w:rPr>
          <w:lang w:val="fr-FR"/>
        </w:rPr>
        <w:noBreakHyphen/>
        <w:t>après dénommé “</w:t>
      </w:r>
      <w:r w:rsidR="007A4A37" w:rsidRPr="002D09EA">
        <w:rPr>
          <w:lang w:val="fr-FR"/>
        </w:rPr>
        <w:t>CCI</w:t>
      </w:r>
      <w:r w:rsidR="007A4A37">
        <w:rPr>
          <w:lang w:val="fr-FR"/>
        </w:rPr>
        <w:t>”</w:t>
      </w:r>
      <w:r w:rsidR="007A4A37" w:rsidRPr="002D09EA">
        <w:rPr>
          <w:lang w:val="fr-FR"/>
        </w:rPr>
        <w:t>)</w:t>
      </w:r>
      <w:r w:rsidRPr="002D09EA">
        <w:rPr>
          <w:lang w:val="fr-FR"/>
        </w:rPr>
        <w:t>, mis en place aux États</w:t>
      </w:r>
      <w:r w:rsidR="00F40A5D" w:rsidRPr="002D09EA">
        <w:rPr>
          <w:lang w:val="fr-FR"/>
        </w:rPr>
        <w:noBreakHyphen/>
      </w:r>
      <w:r w:rsidRPr="002D09EA">
        <w:rPr>
          <w:lang w:val="fr-FR"/>
        </w:rPr>
        <w:t>Unis d</w:t>
      </w:r>
      <w:r w:rsidR="00191ADA" w:rsidRPr="002D09EA">
        <w:rPr>
          <w:lang w:val="fr-FR"/>
        </w:rPr>
        <w:t>’</w:t>
      </w:r>
      <w:r w:rsidRPr="002D09EA">
        <w:rPr>
          <w:lang w:val="fr-FR"/>
        </w:rPr>
        <w:t>Amérique</w:t>
      </w:r>
      <w:r w:rsidR="00FC3974">
        <w:rPr>
          <w:lang w:val="fr-FR"/>
        </w:rPr>
        <w:t>, et ii) </w:t>
      </w:r>
      <w:proofErr w:type="spellStart"/>
      <w:r w:rsidRPr="00D05ACB">
        <w:rPr>
          <w:lang w:val="fr-FR"/>
        </w:rPr>
        <w:t>Operation</w:t>
      </w:r>
      <w:proofErr w:type="spellEnd"/>
      <w:r w:rsidRPr="00D05ACB">
        <w:rPr>
          <w:lang w:val="fr-FR"/>
        </w:rPr>
        <w:t xml:space="preserve"> </w:t>
      </w:r>
      <w:proofErr w:type="spellStart"/>
      <w:r w:rsidRPr="00D05ACB">
        <w:rPr>
          <w:lang w:val="fr-FR"/>
        </w:rPr>
        <w:t>Creative</w:t>
      </w:r>
      <w:proofErr w:type="spellEnd"/>
      <w:r w:rsidRPr="002D09EA">
        <w:rPr>
          <w:lang w:val="fr-FR"/>
        </w:rPr>
        <w:t xml:space="preserve">, </w:t>
      </w:r>
      <w:r w:rsidR="0084005D" w:rsidRPr="002D09EA">
        <w:rPr>
          <w:lang w:val="fr-FR"/>
        </w:rPr>
        <w:t>au Royaume</w:t>
      </w:r>
      <w:r w:rsidR="00F40A5D" w:rsidRPr="002D09EA">
        <w:rPr>
          <w:lang w:val="fr-FR"/>
        </w:rPr>
        <w:noBreakHyphen/>
      </w:r>
      <w:r w:rsidR="0084005D" w:rsidRPr="002D09EA">
        <w:rPr>
          <w:lang w:val="fr-FR"/>
        </w:rPr>
        <w:t>Uni.  D</w:t>
      </w:r>
      <w:r w:rsidR="00191ADA" w:rsidRPr="002D09EA">
        <w:rPr>
          <w:lang w:val="fr-FR"/>
        </w:rPr>
        <w:t>’</w:t>
      </w:r>
      <w:r w:rsidR="0084005D" w:rsidRPr="002D09EA">
        <w:rPr>
          <w:lang w:val="fr-FR"/>
        </w:rPr>
        <w:t>autre part, il examine brièvement des programmes comparables en vigueur sur ces mêmes marchés.</w:t>
      </w:r>
    </w:p>
    <w:p w:rsidR="00FD6FC2" w:rsidRPr="002D09EA" w:rsidRDefault="0084005D" w:rsidP="00DD4DD5">
      <w:pPr>
        <w:pStyle w:val="Heading3"/>
        <w:numPr>
          <w:ilvl w:val="0"/>
          <w:numId w:val="6"/>
        </w:numPr>
        <w:tabs>
          <w:tab w:val="left" w:pos="567"/>
        </w:tabs>
        <w:ind w:left="0" w:firstLine="0"/>
      </w:pPr>
      <w:r w:rsidRPr="002D09EA">
        <w:t>Le</w:t>
      </w:r>
      <w:r w:rsidR="00FD6FC2" w:rsidRPr="002D09EA">
        <w:t xml:space="preserve"> Copyright </w:t>
      </w:r>
      <w:proofErr w:type="spellStart"/>
      <w:r w:rsidR="00FD6FC2" w:rsidRPr="002D09EA">
        <w:t>Alert</w:t>
      </w:r>
      <w:proofErr w:type="spellEnd"/>
      <w:r w:rsidR="00FD6FC2" w:rsidRPr="002D09EA">
        <w:t xml:space="preserve"> System </w:t>
      </w:r>
      <w:r w:rsidRPr="002D09EA">
        <w:t>et le</w:t>
      </w:r>
      <w:r w:rsidR="00FD6FC2" w:rsidRPr="002D09EA">
        <w:t xml:space="preserve"> Center for Copyright Information</w:t>
      </w:r>
      <w:r w:rsidR="00FD6FC2" w:rsidRPr="002D09EA">
        <w:rPr>
          <w:rFonts w:cs="Times New Roman"/>
          <w:vertAlign w:val="superscript"/>
        </w:rPr>
        <w:footnoteReference w:id="3"/>
      </w:r>
      <w:r w:rsidR="00FD6FC2" w:rsidRPr="002D09EA">
        <w:t xml:space="preserve"> </w:t>
      </w:r>
      <w:r w:rsidRPr="002D09EA">
        <w:t>des États</w:t>
      </w:r>
      <w:r w:rsidR="00F40A5D" w:rsidRPr="002D09EA">
        <w:noBreakHyphen/>
      </w:r>
      <w:r w:rsidRPr="002D09EA">
        <w:t>Unis d</w:t>
      </w:r>
      <w:r w:rsidR="00191ADA" w:rsidRPr="002D09EA">
        <w:t>’</w:t>
      </w:r>
      <w:r w:rsidRPr="002D09EA">
        <w:t>Amérique</w:t>
      </w:r>
    </w:p>
    <w:p w:rsidR="00FD6FC2" w:rsidRPr="002D09EA" w:rsidRDefault="00FD6FC2" w:rsidP="00DD4DD5">
      <w:pPr>
        <w:tabs>
          <w:tab w:val="left" w:pos="540"/>
        </w:tabs>
        <w:rPr>
          <w:bCs/>
          <w:szCs w:val="22"/>
        </w:rPr>
      </w:pPr>
    </w:p>
    <w:p w:rsidR="0084005D" w:rsidRPr="002D09EA" w:rsidRDefault="0084005D" w:rsidP="00E262DB">
      <w:pPr>
        <w:pStyle w:val="ONUMFS"/>
        <w:rPr>
          <w:lang w:val="fr-FR"/>
        </w:rPr>
      </w:pPr>
      <w:r w:rsidRPr="002D09EA">
        <w:rPr>
          <w:lang w:val="fr-FR"/>
        </w:rPr>
        <w:t>Le</w:t>
      </w:r>
      <w:r w:rsidR="00FD6FC2" w:rsidRPr="002D09EA">
        <w:rPr>
          <w:lang w:val="fr-FR"/>
        </w:rPr>
        <w:t xml:space="preserve"> </w:t>
      </w:r>
      <w:r w:rsidR="00FD6FC2" w:rsidRPr="00D05ACB">
        <w:rPr>
          <w:lang w:val="fr-FR"/>
        </w:rPr>
        <w:t xml:space="preserve">Copyright </w:t>
      </w:r>
      <w:proofErr w:type="spellStart"/>
      <w:r w:rsidR="00FD6FC2" w:rsidRPr="00D05ACB">
        <w:rPr>
          <w:lang w:val="fr-FR"/>
        </w:rPr>
        <w:t>Alert</w:t>
      </w:r>
      <w:proofErr w:type="spellEnd"/>
      <w:r w:rsidR="00FD6FC2" w:rsidRPr="00D05ACB">
        <w:rPr>
          <w:lang w:val="fr-FR"/>
        </w:rPr>
        <w:t xml:space="preserve"> System</w:t>
      </w:r>
      <w:r w:rsidR="00FD6FC2" w:rsidRPr="002D09EA">
        <w:rPr>
          <w:lang w:val="fr-FR"/>
        </w:rPr>
        <w:t xml:space="preserve"> </w:t>
      </w:r>
      <w:r w:rsidRPr="002D09EA">
        <w:rPr>
          <w:lang w:val="fr-FR"/>
        </w:rPr>
        <w:t>des États</w:t>
      </w:r>
      <w:r w:rsidR="00F40A5D" w:rsidRPr="002D09EA">
        <w:rPr>
          <w:lang w:val="fr-FR"/>
        </w:rPr>
        <w:noBreakHyphen/>
      </w:r>
      <w:r w:rsidRPr="002D09EA">
        <w:rPr>
          <w:lang w:val="fr-FR"/>
        </w:rPr>
        <w:t xml:space="preserve">Unis </w:t>
      </w:r>
      <w:r w:rsidR="00D2430A" w:rsidRPr="002D09EA">
        <w:rPr>
          <w:lang w:val="fr-FR"/>
        </w:rPr>
        <w:t>d’Amérique</w:t>
      </w:r>
      <w:r w:rsidRPr="002D09EA">
        <w:rPr>
          <w:lang w:val="fr-FR"/>
        </w:rPr>
        <w:t xml:space="preserve"> est issu d</w:t>
      </w:r>
      <w:r w:rsidR="00191ADA" w:rsidRPr="002D09EA">
        <w:rPr>
          <w:lang w:val="fr-FR"/>
        </w:rPr>
        <w:t>’</w:t>
      </w:r>
      <w:r w:rsidRPr="002D09EA">
        <w:rPr>
          <w:lang w:val="fr-FR"/>
        </w:rPr>
        <w:t>un protocole d</w:t>
      </w:r>
      <w:r w:rsidR="00191ADA" w:rsidRPr="002D09EA">
        <w:rPr>
          <w:lang w:val="fr-FR"/>
        </w:rPr>
        <w:t>’</w:t>
      </w:r>
      <w:r w:rsidRPr="002D09EA">
        <w:rPr>
          <w:lang w:val="fr-FR"/>
        </w:rPr>
        <w:t>accord volontaire conclu entre</w:t>
      </w:r>
      <w:r w:rsidR="00375730" w:rsidRPr="002D09EA">
        <w:rPr>
          <w:lang w:val="fr-FR"/>
        </w:rPr>
        <w:t>, d</w:t>
      </w:r>
      <w:r w:rsidR="00191ADA" w:rsidRPr="002D09EA">
        <w:rPr>
          <w:lang w:val="fr-FR"/>
        </w:rPr>
        <w:t>’</w:t>
      </w:r>
      <w:r w:rsidR="00375730" w:rsidRPr="002D09EA">
        <w:rPr>
          <w:lang w:val="fr-FR"/>
        </w:rPr>
        <w:t>une part,</w:t>
      </w:r>
      <w:r w:rsidRPr="002D09EA">
        <w:rPr>
          <w:lang w:val="fr-FR"/>
        </w:rPr>
        <w:t xml:space="preserve"> les titulaires de droits (ou leurs représentants autorisés) dans les secteurs de l</w:t>
      </w:r>
      <w:r w:rsidR="00191ADA" w:rsidRPr="002D09EA">
        <w:rPr>
          <w:lang w:val="fr-FR"/>
        </w:rPr>
        <w:t>’</w:t>
      </w:r>
      <w:r w:rsidRPr="002D09EA">
        <w:rPr>
          <w:lang w:val="fr-FR"/>
        </w:rPr>
        <w:t>audiovisuel et de la musique de l</w:t>
      </w:r>
      <w:r w:rsidR="00191ADA" w:rsidRPr="002D09EA">
        <w:rPr>
          <w:lang w:val="fr-FR"/>
        </w:rPr>
        <w:t>’</w:t>
      </w:r>
      <w:r w:rsidRPr="002D09EA">
        <w:rPr>
          <w:lang w:val="fr-FR"/>
        </w:rPr>
        <w:t xml:space="preserve">industrie nationale du contenu </w:t>
      </w:r>
      <w:r w:rsidR="00375730" w:rsidRPr="002D09EA">
        <w:rPr>
          <w:lang w:val="fr-FR"/>
        </w:rPr>
        <w:t xml:space="preserve">(représentés par la Motion Picture Association of </w:t>
      </w:r>
      <w:proofErr w:type="spellStart"/>
      <w:r w:rsidR="00375730" w:rsidRPr="002D09EA">
        <w:rPr>
          <w:lang w:val="fr-FR"/>
        </w:rPr>
        <w:t>America</w:t>
      </w:r>
      <w:proofErr w:type="spellEnd"/>
      <w:r w:rsidR="00375730" w:rsidRPr="002D09EA">
        <w:rPr>
          <w:lang w:val="fr-FR"/>
        </w:rPr>
        <w:t xml:space="preserve">, Inc. (MPAA), la </w:t>
      </w:r>
      <w:proofErr w:type="spellStart"/>
      <w:r w:rsidR="00375730" w:rsidRPr="002D09EA">
        <w:rPr>
          <w:lang w:val="fr-FR"/>
        </w:rPr>
        <w:t>Recording</w:t>
      </w:r>
      <w:proofErr w:type="spellEnd"/>
      <w:r w:rsidR="00375730" w:rsidRPr="002D09EA">
        <w:rPr>
          <w:lang w:val="fr-FR"/>
        </w:rPr>
        <w:t xml:space="preserve"> </w:t>
      </w:r>
      <w:proofErr w:type="spellStart"/>
      <w:r w:rsidR="00375730" w:rsidRPr="002D09EA">
        <w:rPr>
          <w:lang w:val="fr-FR"/>
        </w:rPr>
        <w:t>Industry</w:t>
      </w:r>
      <w:proofErr w:type="spellEnd"/>
      <w:r w:rsidR="00375730" w:rsidRPr="002D09EA">
        <w:rPr>
          <w:lang w:val="fr-FR"/>
        </w:rPr>
        <w:t xml:space="preserve"> Association of </w:t>
      </w:r>
      <w:proofErr w:type="spellStart"/>
      <w:r w:rsidR="00375730" w:rsidRPr="002D09EA">
        <w:rPr>
          <w:lang w:val="fr-FR"/>
        </w:rPr>
        <w:t>America</w:t>
      </w:r>
      <w:proofErr w:type="spellEnd"/>
      <w:r w:rsidR="00375730" w:rsidRPr="002D09EA">
        <w:rPr>
          <w:lang w:val="fr-FR"/>
        </w:rPr>
        <w:t xml:space="preserve"> (RIAA) et des entités</w:t>
      </w:r>
      <w:r w:rsidR="00662C2F" w:rsidRPr="002D09EA">
        <w:rPr>
          <w:lang w:val="fr-FR"/>
        </w:rPr>
        <w:t xml:space="preserve"> membres de</w:t>
      </w:r>
      <w:r w:rsidR="00375730" w:rsidRPr="002D09EA">
        <w:rPr>
          <w:lang w:val="fr-FR"/>
        </w:rPr>
        <w:t xml:space="preserve"> ces</w:t>
      </w:r>
      <w:r w:rsidR="00662C2F" w:rsidRPr="002D09EA">
        <w:rPr>
          <w:lang w:val="fr-FR"/>
        </w:rPr>
        <w:t xml:space="preserve"> associations relevant</w:t>
      </w:r>
      <w:r w:rsidR="00375730" w:rsidRPr="002D09EA">
        <w:rPr>
          <w:lang w:val="fr-FR"/>
        </w:rPr>
        <w:t xml:space="preserve"> de la partie indépendante de ces secteurs, représentées par Independent Film &amp; </w:t>
      </w:r>
      <w:proofErr w:type="spellStart"/>
      <w:r w:rsidR="00375730" w:rsidRPr="002D09EA">
        <w:rPr>
          <w:lang w:val="fr-FR"/>
        </w:rPr>
        <w:t>Television</w:t>
      </w:r>
      <w:proofErr w:type="spellEnd"/>
      <w:r w:rsidR="00375730" w:rsidRPr="002D09EA">
        <w:rPr>
          <w:lang w:val="fr-FR"/>
        </w:rPr>
        <w:t xml:space="preserve"> (IFTA) et l</w:t>
      </w:r>
      <w:r w:rsidR="00191ADA" w:rsidRPr="002D09EA">
        <w:rPr>
          <w:lang w:val="fr-FR"/>
        </w:rPr>
        <w:t>’</w:t>
      </w:r>
      <w:r w:rsidR="00375730" w:rsidRPr="002D09EA">
        <w:rPr>
          <w:lang w:val="fr-FR"/>
        </w:rPr>
        <w:t>American Association of Independent Music (A2IM)) et, d</w:t>
      </w:r>
      <w:r w:rsidR="00191ADA" w:rsidRPr="002D09EA">
        <w:rPr>
          <w:lang w:val="fr-FR"/>
        </w:rPr>
        <w:t>’</w:t>
      </w:r>
      <w:r w:rsidR="00375730" w:rsidRPr="002D09EA">
        <w:rPr>
          <w:lang w:val="fr-FR"/>
        </w:rPr>
        <w:t>autre part, les cinq</w:t>
      </w:r>
      <w:r w:rsidR="00D2430A" w:rsidRPr="002D09EA">
        <w:rPr>
          <w:lang w:val="fr-FR"/>
        </w:rPr>
        <w:t> </w:t>
      </w:r>
      <w:r w:rsidR="00375730" w:rsidRPr="002D09EA">
        <w:rPr>
          <w:lang w:val="fr-FR"/>
        </w:rPr>
        <w:t xml:space="preserve">principaux </w:t>
      </w:r>
      <w:r w:rsidR="00375730" w:rsidRPr="00383BEE">
        <w:rPr>
          <w:lang w:val="fr-FR"/>
        </w:rPr>
        <w:t>fournisseurs d</w:t>
      </w:r>
      <w:r w:rsidR="00191ADA" w:rsidRPr="00383BEE">
        <w:rPr>
          <w:lang w:val="fr-FR"/>
        </w:rPr>
        <w:t>’</w:t>
      </w:r>
      <w:r w:rsidR="00375730" w:rsidRPr="00383BEE">
        <w:rPr>
          <w:lang w:val="fr-FR"/>
        </w:rPr>
        <w:t xml:space="preserve">accès Internet </w:t>
      </w:r>
      <w:r w:rsidR="008D0305" w:rsidRPr="00383BEE">
        <w:rPr>
          <w:lang w:val="fr-FR"/>
        </w:rPr>
        <w:t>(</w:t>
      </w:r>
      <w:r w:rsidR="00004914" w:rsidRPr="00383BEE">
        <w:rPr>
          <w:lang w:val="fr-FR"/>
        </w:rPr>
        <w:t>FAI)</w:t>
      </w:r>
      <w:r w:rsidR="008D0305" w:rsidRPr="00383BEE">
        <w:rPr>
          <w:lang w:val="fr-FR"/>
        </w:rPr>
        <w:t xml:space="preserve"> </w:t>
      </w:r>
      <w:r w:rsidR="00375730" w:rsidRPr="00383BEE">
        <w:rPr>
          <w:lang w:val="fr-FR"/>
        </w:rPr>
        <w:t>des États</w:t>
      </w:r>
      <w:r w:rsidR="00F40A5D" w:rsidRPr="00383BEE">
        <w:rPr>
          <w:lang w:val="fr-FR"/>
        </w:rPr>
        <w:noBreakHyphen/>
      </w:r>
      <w:r w:rsidR="00375730" w:rsidRPr="00383BEE">
        <w:rPr>
          <w:lang w:val="fr-FR"/>
        </w:rPr>
        <w:t>Unis</w:t>
      </w:r>
      <w:r w:rsidR="00D2430A" w:rsidRPr="00383BEE">
        <w:rPr>
          <w:lang w:val="fr-FR"/>
        </w:rPr>
        <w:t xml:space="preserve"> d’Amérique</w:t>
      </w:r>
      <w:r w:rsidR="00375730" w:rsidRPr="00383BEE">
        <w:rPr>
          <w:lang w:val="fr-FR"/>
        </w:rPr>
        <w:t xml:space="preserve"> (Comcast, AT&amp;T, </w:t>
      </w:r>
      <w:proofErr w:type="spellStart"/>
      <w:r w:rsidR="00375730" w:rsidRPr="00383BEE">
        <w:rPr>
          <w:lang w:val="fr-FR"/>
        </w:rPr>
        <w:t>Verizon</w:t>
      </w:r>
      <w:proofErr w:type="spellEnd"/>
      <w:r w:rsidR="00375730" w:rsidRPr="00383BEE">
        <w:rPr>
          <w:lang w:val="fr-FR"/>
        </w:rPr>
        <w:t>, Time</w:t>
      </w:r>
      <w:r w:rsidR="00375730" w:rsidRPr="002D09EA">
        <w:rPr>
          <w:lang w:val="fr-FR"/>
        </w:rPr>
        <w:t xml:space="preserve"> Warner </w:t>
      </w:r>
      <w:proofErr w:type="spellStart"/>
      <w:r w:rsidR="00375730" w:rsidRPr="002D09EA">
        <w:rPr>
          <w:lang w:val="fr-FR"/>
        </w:rPr>
        <w:t>Cable</w:t>
      </w:r>
      <w:proofErr w:type="spellEnd"/>
      <w:r w:rsidR="00375730" w:rsidRPr="002D09EA">
        <w:rPr>
          <w:lang w:val="fr-FR"/>
        </w:rPr>
        <w:t xml:space="preserve"> et </w:t>
      </w:r>
      <w:proofErr w:type="spellStart"/>
      <w:r w:rsidR="00375730" w:rsidRPr="002D09EA">
        <w:rPr>
          <w:lang w:val="fr-FR"/>
        </w:rPr>
        <w:t>Cablevision</w:t>
      </w:r>
      <w:proofErr w:type="spellEnd"/>
      <w:r w:rsidR="00375730" w:rsidRPr="002D09EA">
        <w:rPr>
          <w:lang w:val="fr-FR"/>
        </w:rPr>
        <w:t>).</w:t>
      </w:r>
    </w:p>
    <w:p w:rsidR="00DA419F" w:rsidRPr="002D09EA" w:rsidRDefault="00DA419F" w:rsidP="00E262DB">
      <w:pPr>
        <w:pStyle w:val="ONUMFS"/>
        <w:rPr>
          <w:lang w:val="fr-FR"/>
        </w:rPr>
      </w:pPr>
      <w:r w:rsidRPr="002D09EA">
        <w:rPr>
          <w:lang w:val="fr-FR"/>
        </w:rPr>
        <w:t>L</w:t>
      </w:r>
      <w:r w:rsidR="00191ADA" w:rsidRPr="002D09EA">
        <w:rPr>
          <w:lang w:val="fr-FR"/>
        </w:rPr>
        <w:t>’</w:t>
      </w:r>
      <w:r w:rsidRPr="002D09EA">
        <w:rPr>
          <w:lang w:val="fr-FR"/>
        </w:rPr>
        <w:t>accord sur lequel se fondent le programme et</w:t>
      </w:r>
      <w:r w:rsidR="00191ADA" w:rsidRPr="002D09EA">
        <w:rPr>
          <w:lang w:val="fr-FR"/>
        </w:rPr>
        <w:t xml:space="preserve"> le </w:t>
      </w:r>
      <w:r w:rsidR="000D7641" w:rsidRPr="002D09EA">
        <w:rPr>
          <w:lang w:val="fr-FR"/>
        </w:rPr>
        <w:t>C</w:t>
      </w:r>
      <w:r w:rsidR="007A4A37">
        <w:rPr>
          <w:lang w:val="fr-FR"/>
        </w:rPr>
        <w:t>CI</w:t>
      </w:r>
      <w:r w:rsidRPr="002D09EA">
        <w:rPr>
          <w:lang w:val="fr-FR"/>
        </w:rPr>
        <w:t xml:space="preserve"> s</w:t>
      </w:r>
      <w:r w:rsidR="00191ADA" w:rsidRPr="002D09EA">
        <w:rPr>
          <w:lang w:val="fr-FR"/>
        </w:rPr>
        <w:t>’</w:t>
      </w:r>
      <w:r w:rsidRPr="002D09EA">
        <w:rPr>
          <w:lang w:val="fr-FR"/>
        </w:rPr>
        <w:t>inscrit en complément de la législation des États</w:t>
      </w:r>
      <w:r w:rsidR="00F40A5D" w:rsidRPr="002D09EA">
        <w:rPr>
          <w:lang w:val="fr-FR"/>
        </w:rPr>
        <w:noBreakHyphen/>
      </w:r>
      <w:r w:rsidRPr="002D09EA">
        <w:rPr>
          <w:lang w:val="fr-FR"/>
        </w:rPr>
        <w:t>Unis</w:t>
      </w:r>
      <w:r w:rsidR="00D2430A" w:rsidRPr="002D09EA">
        <w:rPr>
          <w:lang w:val="fr-FR"/>
        </w:rPr>
        <w:t xml:space="preserve"> d’Amérique</w:t>
      </w:r>
      <w:r w:rsidRPr="002D09EA">
        <w:rPr>
          <w:lang w:val="fr-FR"/>
        </w:rPr>
        <w:t xml:space="preserve">, </w:t>
      </w:r>
      <w:r w:rsidR="00191ADA" w:rsidRPr="002D09EA">
        <w:rPr>
          <w:lang w:val="fr-FR"/>
        </w:rPr>
        <w:t>à savoir</w:t>
      </w:r>
      <w:r w:rsidRPr="002D09EA">
        <w:rPr>
          <w:lang w:val="fr-FR"/>
        </w:rPr>
        <w:t xml:space="preserve"> la loi de</w:t>
      </w:r>
      <w:r w:rsidR="00D2430A" w:rsidRPr="002D09EA">
        <w:rPr>
          <w:lang w:val="fr-FR"/>
        </w:rPr>
        <w:t> </w:t>
      </w:r>
      <w:r w:rsidRPr="002D09EA">
        <w:rPr>
          <w:lang w:val="fr-FR"/>
        </w:rPr>
        <w:t xml:space="preserve">1998 </w:t>
      </w:r>
      <w:r w:rsidR="00D2430A" w:rsidRPr="002D09EA">
        <w:rPr>
          <w:lang w:val="fr-FR"/>
        </w:rPr>
        <w:t>“</w:t>
      </w:r>
      <w:r w:rsidRPr="002D09EA">
        <w:rPr>
          <w:lang w:val="fr-FR"/>
        </w:rPr>
        <w:t xml:space="preserve">Digital </w:t>
      </w:r>
      <w:proofErr w:type="spellStart"/>
      <w:r w:rsidRPr="002D09EA">
        <w:rPr>
          <w:lang w:val="fr-FR"/>
        </w:rPr>
        <w:t>Millennium</w:t>
      </w:r>
      <w:proofErr w:type="spellEnd"/>
      <w:r w:rsidRPr="002D09EA">
        <w:rPr>
          <w:lang w:val="fr-FR"/>
        </w:rPr>
        <w:t xml:space="preserve"> Copyright </w:t>
      </w:r>
      <w:proofErr w:type="spellStart"/>
      <w:r w:rsidRPr="002D09EA">
        <w:rPr>
          <w:lang w:val="fr-FR"/>
        </w:rPr>
        <w:t>Act</w:t>
      </w:r>
      <w:proofErr w:type="spellEnd"/>
      <w:r w:rsidR="00D2430A" w:rsidRPr="002D09EA">
        <w:rPr>
          <w:lang w:val="fr-FR"/>
        </w:rPr>
        <w:t>”</w:t>
      </w:r>
      <w:r w:rsidRPr="002D09EA">
        <w:rPr>
          <w:lang w:val="fr-FR"/>
        </w:rPr>
        <w:t xml:space="preserve"> (DMCA)</w:t>
      </w:r>
      <w:r w:rsidRPr="002D09EA">
        <w:rPr>
          <w:rFonts w:cs="Times New Roman"/>
          <w:vertAlign w:val="superscript"/>
          <w:lang w:val="fr-FR"/>
        </w:rPr>
        <w:footnoteReference w:id="4"/>
      </w:r>
      <w:r w:rsidRPr="002D09EA">
        <w:rPr>
          <w:lang w:val="fr-FR"/>
        </w:rPr>
        <w:t>.  Le titre</w:t>
      </w:r>
      <w:r w:rsidR="00D2430A" w:rsidRPr="002D09EA">
        <w:rPr>
          <w:lang w:val="fr-FR"/>
        </w:rPr>
        <w:t> </w:t>
      </w:r>
      <w:r w:rsidRPr="002D09EA">
        <w:rPr>
          <w:lang w:val="fr-FR"/>
        </w:rPr>
        <w:t>II de</w:t>
      </w:r>
      <w:r w:rsidR="00191ADA" w:rsidRPr="002D09EA">
        <w:rPr>
          <w:lang w:val="fr-FR"/>
        </w:rPr>
        <w:t xml:space="preserve"> la DMC</w:t>
      </w:r>
      <w:r w:rsidRPr="002D09EA">
        <w:rPr>
          <w:lang w:val="fr-FR"/>
        </w:rPr>
        <w:t>A ajoute une nouvelle section (512) à la loi des États</w:t>
      </w:r>
      <w:r w:rsidR="00F40A5D" w:rsidRPr="002D09EA">
        <w:rPr>
          <w:lang w:val="fr-FR"/>
        </w:rPr>
        <w:noBreakHyphen/>
      </w:r>
      <w:r w:rsidRPr="002D09EA">
        <w:rPr>
          <w:lang w:val="fr-FR"/>
        </w:rPr>
        <w:t>Unis</w:t>
      </w:r>
      <w:r w:rsidR="00D2430A" w:rsidRPr="002D09EA">
        <w:rPr>
          <w:lang w:val="fr-FR"/>
        </w:rPr>
        <w:t xml:space="preserve"> d’Amérique</w:t>
      </w:r>
      <w:r w:rsidRPr="002D09EA">
        <w:rPr>
          <w:lang w:val="fr-FR"/>
        </w:rPr>
        <w:t xml:space="preserve"> sur le droit d</w:t>
      </w:r>
      <w:r w:rsidR="00191ADA" w:rsidRPr="002D09EA">
        <w:rPr>
          <w:lang w:val="fr-FR"/>
        </w:rPr>
        <w:t>’</w:t>
      </w:r>
      <w:r w:rsidRPr="002D09EA">
        <w:rPr>
          <w:lang w:val="fr-FR"/>
        </w:rPr>
        <w:t xml:space="preserve">auteur alors en vigueur (Copyright </w:t>
      </w:r>
      <w:proofErr w:type="spellStart"/>
      <w:r w:rsidRPr="002D09EA">
        <w:rPr>
          <w:lang w:val="fr-FR"/>
        </w:rPr>
        <w:t>Act</w:t>
      </w:r>
      <w:proofErr w:type="spellEnd"/>
      <w:r w:rsidRPr="002D09EA">
        <w:rPr>
          <w:rFonts w:cs="Times New Roman"/>
          <w:vertAlign w:val="superscript"/>
          <w:lang w:val="fr-FR"/>
        </w:rPr>
        <w:footnoteReference w:id="5"/>
      </w:r>
      <w:r w:rsidR="008D0305" w:rsidRPr="002D09EA">
        <w:rPr>
          <w:lang w:val="fr-FR"/>
        </w:rPr>
        <w:t xml:space="preserve">), </w:t>
      </w:r>
      <w:r w:rsidR="008D0305" w:rsidRPr="00383BEE">
        <w:rPr>
          <w:lang w:val="fr-FR"/>
        </w:rPr>
        <w:t>qui vise à limiter la responsabilité des fournisseurs de services (tels que</w:t>
      </w:r>
      <w:r w:rsidR="00191ADA" w:rsidRPr="00383BEE">
        <w:rPr>
          <w:lang w:val="fr-FR"/>
        </w:rPr>
        <w:t xml:space="preserve"> les FAI</w:t>
      </w:r>
      <w:r w:rsidR="008D0305" w:rsidRPr="00383BEE">
        <w:rPr>
          <w:lang w:val="fr-FR"/>
        </w:rPr>
        <w:t>)</w:t>
      </w:r>
      <w:r w:rsidR="008E6C4E" w:rsidRPr="00383BEE">
        <w:rPr>
          <w:lang w:val="fr-FR"/>
        </w:rPr>
        <w:t xml:space="preserve"> en matière</w:t>
      </w:r>
      <w:r w:rsidR="008E6C4E" w:rsidRPr="002D09EA">
        <w:rPr>
          <w:lang w:val="fr-FR"/>
        </w:rPr>
        <w:t xml:space="preserve"> </w:t>
      </w:r>
      <w:r w:rsidR="00BA22C3" w:rsidRPr="002D09EA">
        <w:rPr>
          <w:lang w:val="fr-FR"/>
        </w:rPr>
        <w:t>d</w:t>
      </w:r>
      <w:r w:rsidR="00191ADA" w:rsidRPr="002D09EA">
        <w:rPr>
          <w:lang w:val="fr-FR"/>
        </w:rPr>
        <w:t>’</w:t>
      </w:r>
      <w:r w:rsidR="00BA22C3" w:rsidRPr="002D09EA">
        <w:rPr>
          <w:lang w:val="fr-FR"/>
        </w:rPr>
        <w:t>atteinte au</w:t>
      </w:r>
      <w:r w:rsidR="008E6C4E" w:rsidRPr="002D09EA">
        <w:rPr>
          <w:lang w:val="fr-FR"/>
        </w:rPr>
        <w:t xml:space="preserve"> droit d</w:t>
      </w:r>
      <w:r w:rsidR="00191ADA" w:rsidRPr="002D09EA">
        <w:rPr>
          <w:lang w:val="fr-FR"/>
        </w:rPr>
        <w:t>’</w:t>
      </w:r>
      <w:r w:rsidR="008E6C4E" w:rsidRPr="002D09EA">
        <w:rPr>
          <w:lang w:val="fr-FR"/>
        </w:rPr>
        <w:t>auteur, dès lors qu</w:t>
      </w:r>
      <w:r w:rsidR="00191ADA" w:rsidRPr="002D09EA">
        <w:rPr>
          <w:lang w:val="fr-FR"/>
        </w:rPr>
        <w:t>’</w:t>
      </w:r>
      <w:r w:rsidR="008E6C4E" w:rsidRPr="002D09EA">
        <w:rPr>
          <w:lang w:val="fr-FR"/>
        </w:rPr>
        <w:t>ils remplissent deux</w:t>
      </w:r>
      <w:r w:rsidR="00D2430A" w:rsidRPr="002D09EA">
        <w:rPr>
          <w:lang w:val="fr-FR"/>
        </w:rPr>
        <w:t> </w:t>
      </w:r>
      <w:r w:rsidR="008E6C4E" w:rsidRPr="002D09EA">
        <w:rPr>
          <w:lang w:val="fr-FR"/>
        </w:rPr>
        <w:t>conditions globales</w:t>
      </w:r>
      <w:r w:rsidR="00D2430A" w:rsidRPr="002D09EA">
        <w:rPr>
          <w:lang w:val="fr-FR"/>
        </w:rPr>
        <w:t> </w:t>
      </w:r>
      <w:r w:rsidR="008E6C4E" w:rsidRPr="002D09EA">
        <w:rPr>
          <w:lang w:val="fr-FR"/>
        </w:rPr>
        <w:t>: 1)</w:t>
      </w:r>
      <w:r w:rsidR="00A23FF1" w:rsidRPr="002D09EA">
        <w:rPr>
          <w:lang w:val="fr-FR"/>
        </w:rPr>
        <w:t> </w:t>
      </w:r>
      <w:r w:rsidR="008E6C4E" w:rsidRPr="002D09EA">
        <w:rPr>
          <w:lang w:val="fr-FR"/>
        </w:rPr>
        <w:t xml:space="preserve">ils doivent </w:t>
      </w:r>
      <w:r w:rsidR="00D2430A" w:rsidRPr="002D09EA">
        <w:rPr>
          <w:lang w:val="fr-FR"/>
        </w:rPr>
        <w:t>“</w:t>
      </w:r>
      <w:r w:rsidR="008E6C4E" w:rsidRPr="002D09EA">
        <w:rPr>
          <w:lang w:val="fr-FR"/>
        </w:rPr>
        <w:t xml:space="preserve">adopter et mettre en œuvre, dans des conditions raisonnables et appropriées, une politique de résiliation des comptes des abonnés commettant des </w:t>
      </w:r>
      <w:r w:rsidR="00702702">
        <w:rPr>
          <w:lang w:val="fr-FR"/>
        </w:rPr>
        <w:t>atteintes</w:t>
      </w:r>
      <w:r w:rsidR="008E6C4E" w:rsidRPr="002D09EA">
        <w:rPr>
          <w:lang w:val="fr-FR"/>
        </w:rPr>
        <w:t xml:space="preserve"> répétées</w:t>
      </w:r>
      <w:r w:rsidR="00D2430A" w:rsidRPr="002D09EA">
        <w:rPr>
          <w:lang w:val="fr-FR"/>
        </w:rPr>
        <w:t>”</w:t>
      </w:r>
      <w:r w:rsidR="008E6C4E" w:rsidRPr="002D09EA">
        <w:rPr>
          <w:lang w:val="fr-FR"/>
        </w:rPr>
        <w:t>, et</w:t>
      </w:r>
      <w:r w:rsidR="00A23FF1" w:rsidRPr="002D09EA">
        <w:rPr>
          <w:lang w:val="fr-FR"/>
        </w:rPr>
        <w:t> 2) </w:t>
      </w:r>
      <w:r w:rsidR="00D2430A" w:rsidRPr="002D09EA">
        <w:rPr>
          <w:lang w:val="fr-FR"/>
        </w:rPr>
        <w:t>“</w:t>
      </w:r>
      <w:r w:rsidR="008E6C4E" w:rsidRPr="002D09EA">
        <w:rPr>
          <w:lang w:val="fr-FR"/>
        </w:rPr>
        <w:t xml:space="preserve">prendre en compte les </w:t>
      </w:r>
      <w:r w:rsidR="00D2430A" w:rsidRPr="002D09EA">
        <w:rPr>
          <w:lang w:val="fr-FR"/>
        </w:rPr>
        <w:t>“</w:t>
      </w:r>
      <w:r w:rsidR="008E6C4E" w:rsidRPr="002D09EA">
        <w:rPr>
          <w:lang w:val="fr-FR"/>
        </w:rPr>
        <w:t>mesures techniques standard</w:t>
      </w:r>
      <w:r w:rsidR="00D2430A" w:rsidRPr="002D09EA">
        <w:rPr>
          <w:lang w:val="fr-FR"/>
        </w:rPr>
        <w:t>”</w:t>
      </w:r>
      <w:r w:rsidR="008E6C4E" w:rsidRPr="002D09EA">
        <w:rPr>
          <w:lang w:val="fr-FR"/>
        </w:rPr>
        <w:t xml:space="preserve"> sans les </w:t>
      </w:r>
      <w:r w:rsidR="0024465E" w:rsidRPr="002D09EA">
        <w:rPr>
          <w:lang w:val="fr-FR"/>
        </w:rPr>
        <w:t>contourner</w:t>
      </w:r>
      <w:r w:rsidR="00D2430A" w:rsidRPr="002D09EA">
        <w:rPr>
          <w:lang w:val="fr-FR"/>
        </w:rPr>
        <w:t>”</w:t>
      </w:r>
      <w:r w:rsidR="008E6C4E" w:rsidRPr="002D09EA">
        <w:rPr>
          <w:lang w:val="fr-FR"/>
        </w:rPr>
        <w:t xml:space="preserve"> (section</w:t>
      </w:r>
      <w:r w:rsidR="00D2430A" w:rsidRPr="002D09EA">
        <w:rPr>
          <w:lang w:val="fr-FR"/>
        </w:rPr>
        <w:t> </w:t>
      </w:r>
      <w:r w:rsidR="008E6C4E" w:rsidRPr="002D09EA">
        <w:rPr>
          <w:lang w:val="fr-FR"/>
        </w:rPr>
        <w:t>512</w:t>
      </w:r>
      <w:r w:rsidR="00376D6A" w:rsidRPr="002D09EA">
        <w:rPr>
          <w:lang w:val="fr-FR"/>
        </w:rPr>
        <w:t>.</w:t>
      </w:r>
      <w:r w:rsidR="008E6C4E" w:rsidRPr="002D09EA">
        <w:rPr>
          <w:lang w:val="fr-FR"/>
        </w:rPr>
        <w:t>i))</w:t>
      </w:r>
      <w:r w:rsidR="008E6C4E" w:rsidRPr="002D09EA">
        <w:rPr>
          <w:rFonts w:cs="Times New Roman"/>
          <w:vertAlign w:val="superscript"/>
          <w:lang w:val="fr-FR"/>
        </w:rPr>
        <w:footnoteReference w:id="6"/>
      </w:r>
      <w:r w:rsidR="008E6C4E" w:rsidRPr="002D09EA">
        <w:rPr>
          <w:lang w:val="fr-FR"/>
        </w:rPr>
        <w:t>.</w:t>
      </w:r>
    </w:p>
    <w:p w:rsidR="00943DD2" w:rsidRPr="002D09EA" w:rsidRDefault="00B71D58" w:rsidP="00E262DB">
      <w:pPr>
        <w:pStyle w:val="ONUMFS"/>
        <w:rPr>
          <w:lang w:val="fr-FR"/>
        </w:rPr>
      </w:pPr>
      <w:r w:rsidRPr="002D09EA">
        <w:rPr>
          <w:lang w:val="fr-FR"/>
        </w:rPr>
        <w:t xml:space="preserve">Le </w:t>
      </w:r>
      <w:r w:rsidR="00943DD2" w:rsidRPr="002D09EA">
        <w:rPr>
          <w:lang w:val="fr-FR"/>
        </w:rPr>
        <w:t xml:space="preserve">Center for Copyright Information </w:t>
      </w:r>
      <w:r w:rsidRPr="002D09EA">
        <w:rPr>
          <w:lang w:val="fr-FR"/>
        </w:rPr>
        <w:t>créé en vertu de l</w:t>
      </w:r>
      <w:r w:rsidR="00191ADA" w:rsidRPr="002D09EA">
        <w:rPr>
          <w:lang w:val="fr-FR"/>
        </w:rPr>
        <w:t>’</w:t>
      </w:r>
      <w:r w:rsidRPr="002D09EA">
        <w:rPr>
          <w:lang w:val="fr-FR"/>
        </w:rPr>
        <w:t>accord a pour buts la mise à disposition de ressources pédagogiques et la supervision technique.</w:t>
      </w:r>
    </w:p>
    <w:p w:rsidR="00FD6FC2" w:rsidRPr="002D09EA" w:rsidRDefault="00BA22C3" w:rsidP="00E262DB">
      <w:pPr>
        <w:pStyle w:val="ONUMFS"/>
        <w:rPr>
          <w:lang w:val="fr-FR"/>
        </w:rPr>
      </w:pPr>
      <w:bookmarkStart w:id="4" w:name="_GoBack"/>
      <w:r w:rsidRPr="002D09EA">
        <w:rPr>
          <w:lang w:val="fr-FR"/>
        </w:rPr>
        <w:t>Aux termes de l</w:t>
      </w:r>
      <w:r w:rsidR="00191ADA" w:rsidRPr="002D09EA">
        <w:rPr>
          <w:lang w:val="fr-FR"/>
        </w:rPr>
        <w:t>’</w:t>
      </w:r>
      <w:r w:rsidRPr="002D09EA">
        <w:rPr>
          <w:lang w:val="fr-FR"/>
        </w:rPr>
        <w:t>accord</w:t>
      </w:r>
      <w:r w:rsidR="00D2430A" w:rsidRPr="002D09EA">
        <w:rPr>
          <w:lang w:val="fr-FR"/>
        </w:rPr>
        <w:t> </w:t>
      </w:r>
      <w:r w:rsidR="00FD6FC2" w:rsidRPr="002D09EA">
        <w:rPr>
          <w:lang w:val="fr-FR"/>
        </w:rPr>
        <w:t>:</w:t>
      </w:r>
    </w:p>
    <w:bookmarkEnd w:id="4"/>
    <w:p w:rsidR="00BA22C3" w:rsidRPr="00383BEE" w:rsidRDefault="00BA22C3" w:rsidP="00DD4DD5">
      <w:pPr>
        <w:numPr>
          <w:ilvl w:val="0"/>
          <w:numId w:val="3"/>
        </w:numPr>
        <w:tabs>
          <w:tab w:val="left" w:pos="1134"/>
        </w:tabs>
        <w:spacing w:after="100" w:afterAutospacing="1"/>
        <w:ind w:left="567" w:firstLine="0"/>
        <w:rPr>
          <w:bCs/>
          <w:szCs w:val="22"/>
        </w:rPr>
      </w:pPr>
      <w:r w:rsidRPr="002D09EA">
        <w:rPr>
          <w:bCs/>
          <w:szCs w:val="22"/>
        </w:rPr>
        <w:t>Les titulaires de droits envoient des avis</w:t>
      </w:r>
      <w:r w:rsidR="00191ADA" w:rsidRPr="002D09EA">
        <w:rPr>
          <w:bCs/>
          <w:szCs w:val="22"/>
        </w:rPr>
        <w:t xml:space="preserve"> aux FAI</w:t>
      </w:r>
      <w:r w:rsidRPr="002D09EA">
        <w:rPr>
          <w:bCs/>
          <w:szCs w:val="22"/>
        </w:rPr>
        <w:t xml:space="preserve"> </w:t>
      </w:r>
      <w:r w:rsidR="00D2430A" w:rsidRPr="002D09EA">
        <w:rPr>
          <w:bCs/>
          <w:szCs w:val="22"/>
        </w:rPr>
        <w:t>–</w:t>
      </w:r>
      <w:r w:rsidRPr="002D09EA">
        <w:rPr>
          <w:bCs/>
          <w:szCs w:val="22"/>
        </w:rPr>
        <w:t xml:space="preserve"> qui les transmettent aux abonnés au moyen d</w:t>
      </w:r>
      <w:r w:rsidR="00191ADA" w:rsidRPr="002D09EA">
        <w:rPr>
          <w:bCs/>
          <w:szCs w:val="22"/>
        </w:rPr>
        <w:t>’</w:t>
      </w:r>
      <w:r w:rsidRPr="002D09EA">
        <w:rPr>
          <w:bCs/>
          <w:szCs w:val="22"/>
        </w:rPr>
        <w:t>un maximum de six</w:t>
      </w:r>
      <w:r w:rsidR="00D2430A" w:rsidRPr="002D09EA">
        <w:rPr>
          <w:bCs/>
          <w:szCs w:val="22"/>
        </w:rPr>
        <w:t> </w:t>
      </w:r>
      <w:r w:rsidRPr="002D09EA">
        <w:rPr>
          <w:bCs/>
          <w:szCs w:val="22"/>
        </w:rPr>
        <w:t xml:space="preserve">alertes.  Le programme </w:t>
      </w:r>
      <w:r w:rsidR="00662C2F" w:rsidRPr="002D09EA">
        <w:rPr>
          <w:bCs/>
          <w:szCs w:val="22"/>
        </w:rPr>
        <w:t>porte sur le</w:t>
      </w:r>
      <w:r w:rsidRPr="002D09EA">
        <w:rPr>
          <w:bCs/>
          <w:szCs w:val="22"/>
        </w:rPr>
        <w:t xml:space="preserve">s </w:t>
      </w:r>
      <w:r w:rsidR="00B35BAA" w:rsidRPr="002D09EA">
        <w:rPr>
          <w:bCs/>
          <w:szCs w:val="22"/>
        </w:rPr>
        <w:t>activité</w:t>
      </w:r>
      <w:r w:rsidR="00A26018" w:rsidRPr="002D09EA">
        <w:rPr>
          <w:bCs/>
          <w:szCs w:val="22"/>
        </w:rPr>
        <w:t>s</w:t>
      </w:r>
      <w:r w:rsidRPr="002D09EA">
        <w:rPr>
          <w:bCs/>
          <w:szCs w:val="22"/>
        </w:rPr>
        <w:t xml:space="preserve"> </w:t>
      </w:r>
      <w:r w:rsidR="00A26018" w:rsidRPr="002D09EA">
        <w:rPr>
          <w:bCs/>
          <w:szCs w:val="22"/>
        </w:rPr>
        <w:t>d</w:t>
      </w:r>
      <w:r w:rsidR="00191ADA" w:rsidRPr="002D09EA">
        <w:rPr>
          <w:bCs/>
          <w:szCs w:val="22"/>
        </w:rPr>
        <w:t>’</w:t>
      </w:r>
      <w:r w:rsidR="00A26018" w:rsidRPr="002D09EA">
        <w:rPr>
          <w:bCs/>
          <w:szCs w:val="22"/>
        </w:rPr>
        <w:t xml:space="preserve">échange </w:t>
      </w:r>
      <w:r w:rsidR="00A26018" w:rsidRPr="00383BEE">
        <w:rPr>
          <w:bCs/>
          <w:szCs w:val="22"/>
        </w:rPr>
        <w:t>de poste à poste (P2P) par des titulaires de compte câblés, résidentiels, clients de FAI.</w:t>
      </w:r>
    </w:p>
    <w:p w:rsidR="00A26018" w:rsidRPr="002D09EA" w:rsidRDefault="00A26018" w:rsidP="00DD4DD5">
      <w:pPr>
        <w:numPr>
          <w:ilvl w:val="0"/>
          <w:numId w:val="3"/>
        </w:numPr>
        <w:tabs>
          <w:tab w:val="left" w:pos="1134"/>
        </w:tabs>
        <w:spacing w:after="100" w:afterAutospacing="1"/>
        <w:ind w:left="567" w:firstLine="0"/>
        <w:rPr>
          <w:bCs/>
          <w:szCs w:val="22"/>
        </w:rPr>
      </w:pPr>
      <w:r w:rsidRPr="002D09EA">
        <w:rPr>
          <w:bCs/>
          <w:szCs w:val="22"/>
        </w:rPr>
        <w:t>Les alertes initiales ont un but pédagogique, mais les suivantes doivent faire l</w:t>
      </w:r>
      <w:r w:rsidR="00191ADA" w:rsidRPr="002D09EA">
        <w:rPr>
          <w:bCs/>
          <w:szCs w:val="22"/>
        </w:rPr>
        <w:t>’</w:t>
      </w:r>
      <w:r w:rsidRPr="002D09EA">
        <w:rPr>
          <w:bCs/>
          <w:szCs w:val="22"/>
        </w:rPr>
        <w:t>objet d</w:t>
      </w:r>
      <w:r w:rsidR="00191ADA" w:rsidRPr="002D09EA">
        <w:rPr>
          <w:bCs/>
          <w:szCs w:val="22"/>
        </w:rPr>
        <w:t>’</w:t>
      </w:r>
      <w:r w:rsidRPr="002D09EA">
        <w:rPr>
          <w:bCs/>
          <w:szCs w:val="22"/>
        </w:rPr>
        <w:t>un accusé de réception, et enfin, des mesures d</w:t>
      </w:r>
      <w:r w:rsidR="00191ADA" w:rsidRPr="002D09EA">
        <w:rPr>
          <w:bCs/>
          <w:szCs w:val="22"/>
        </w:rPr>
        <w:t>’</w:t>
      </w:r>
      <w:r w:rsidRPr="002D09EA">
        <w:rPr>
          <w:bCs/>
          <w:szCs w:val="22"/>
        </w:rPr>
        <w:t>atténuation sont prises à</w:t>
      </w:r>
      <w:r w:rsidR="00D2430A" w:rsidRPr="002D09EA">
        <w:rPr>
          <w:bCs/>
          <w:szCs w:val="22"/>
        </w:rPr>
        <w:t> </w:t>
      </w:r>
      <w:r w:rsidRPr="002D09EA">
        <w:rPr>
          <w:bCs/>
          <w:szCs w:val="22"/>
        </w:rPr>
        <w:t>l</w:t>
      </w:r>
      <w:r w:rsidR="00191ADA" w:rsidRPr="002D09EA">
        <w:rPr>
          <w:bCs/>
          <w:szCs w:val="22"/>
        </w:rPr>
        <w:t>’</w:t>
      </w:r>
      <w:r w:rsidRPr="002D09EA">
        <w:rPr>
          <w:bCs/>
          <w:szCs w:val="22"/>
        </w:rPr>
        <w:t>égard des contrevenants qui persistent, à moins que l</w:t>
      </w:r>
      <w:r w:rsidR="00191ADA" w:rsidRPr="002D09EA">
        <w:rPr>
          <w:bCs/>
          <w:szCs w:val="22"/>
        </w:rPr>
        <w:t>’</w:t>
      </w:r>
      <w:r w:rsidRPr="002D09EA">
        <w:rPr>
          <w:bCs/>
          <w:szCs w:val="22"/>
        </w:rPr>
        <w:t>abonné ne réussisse à contester les alertes d</w:t>
      </w:r>
      <w:r w:rsidR="00191ADA" w:rsidRPr="002D09EA">
        <w:rPr>
          <w:bCs/>
          <w:szCs w:val="22"/>
        </w:rPr>
        <w:t>’</w:t>
      </w:r>
      <w:r w:rsidRPr="002D09EA">
        <w:rPr>
          <w:bCs/>
          <w:szCs w:val="22"/>
        </w:rPr>
        <w:t xml:space="preserve">atténuation </w:t>
      </w:r>
      <w:r w:rsidR="00006D47" w:rsidRPr="002D09EA">
        <w:rPr>
          <w:bCs/>
          <w:szCs w:val="22"/>
        </w:rPr>
        <w:t>en invoquant la procédure d</w:t>
      </w:r>
      <w:r w:rsidR="00191ADA" w:rsidRPr="002D09EA">
        <w:rPr>
          <w:bCs/>
          <w:szCs w:val="22"/>
        </w:rPr>
        <w:t>’</w:t>
      </w:r>
      <w:r w:rsidR="00006D47" w:rsidRPr="002D09EA">
        <w:rPr>
          <w:bCs/>
          <w:szCs w:val="22"/>
        </w:rPr>
        <w:t>examen indépendant</w:t>
      </w:r>
      <w:r w:rsidR="00006D47" w:rsidRPr="002D09EA">
        <w:rPr>
          <w:bCs/>
          <w:szCs w:val="22"/>
          <w:vertAlign w:val="superscript"/>
        </w:rPr>
        <w:footnoteReference w:id="7"/>
      </w:r>
      <w:r w:rsidR="00006D47" w:rsidRPr="002D09EA">
        <w:rPr>
          <w:bCs/>
          <w:szCs w:val="22"/>
        </w:rPr>
        <w:t>.</w:t>
      </w:r>
    </w:p>
    <w:p w:rsidR="00006D47" w:rsidRPr="002D09EA" w:rsidRDefault="00006D47" w:rsidP="00DD4DD5">
      <w:pPr>
        <w:numPr>
          <w:ilvl w:val="0"/>
          <w:numId w:val="3"/>
        </w:numPr>
        <w:tabs>
          <w:tab w:val="left" w:pos="1134"/>
        </w:tabs>
        <w:spacing w:after="100" w:afterAutospacing="1"/>
        <w:ind w:left="567" w:firstLine="0"/>
        <w:rPr>
          <w:bCs/>
          <w:szCs w:val="22"/>
        </w:rPr>
      </w:pPr>
      <w:r w:rsidRPr="002D09EA">
        <w:rPr>
          <w:bCs/>
          <w:szCs w:val="22"/>
        </w:rPr>
        <w:t xml:space="preserve">Chaque partie assume ses propres frais de fonctionnement </w:t>
      </w:r>
      <w:r w:rsidR="00D2430A" w:rsidRPr="002D09EA">
        <w:rPr>
          <w:bCs/>
          <w:szCs w:val="22"/>
        </w:rPr>
        <w:t>–</w:t>
      </w:r>
      <w:r w:rsidRPr="002D09EA">
        <w:rPr>
          <w:bCs/>
          <w:szCs w:val="22"/>
        </w:rPr>
        <w:t xml:space="preserve"> et les frais des composantes pédagogiques, de l</w:t>
      </w:r>
      <w:r w:rsidR="00191ADA" w:rsidRPr="002D09EA">
        <w:rPr>
          <w:bCs/>
          <w:szCs w:val="22"/>
        </w:rPr>
        <w:t>’</w:t>
      </w:r>
      <w:r w:rsidRPr="002D09EA">
        <w:rPr>
          <w:bCs/>
          <w:szCs w:val="22"/>
        </w:rPr>
        <w:t>examen indépendant,</w:t>
      </w:r>
      <w:r w:rsidR="00191ADA" w:rsidRPr="002D09EA">
        <w:rPr>
          <w:bCs/>
          <w:szCs w:val="22"/>
        </w:rPr>
        <w:t xml:space="preserve"> du CCI</w:t>
      </w:r>
      <w:r w:rsidRPr="002D09EA">
        <w:rPr>
          <w:bCs/>
          <w:szCs w:val="22"/>
        </w:rPr>
        <w:t xml:space="preserve"> et d</w:t>
      </w:r>
      <w:r w:rsidR="00191ADA" w:rsidRPr="002D09EA">
        <w:rPr>
          <w:bCs/>
          <w:szCs w:val="22"/>
        </w:rPr>
        <w:t>’</w:t>
      </w:r>
      <w:r w:rsidRPr="002D09EA">
        <w:rPr>
          <w:bCs/>
          <w:szCs w:val="22"/>
        </w:rPr>
        <w:t>autres composantes de supervision/surveillance sont partagés.</w:t>
      </w:r>
    </w:p>
    <w:p w:rsidR="00FD6FC2" w:rsidRPr="002D09EA" w:rsidRDefault="00006D47" w:rsidP="00E262DB">
      <w:pPr>
        <w:pStyle w:val="ONUMFS"/>
        <w:rPr>
          <w:lang w:val="fr-FR"/>
        </w:rPr>
      </w:pPr>
      <w:r w:rsidRPr="002D09EA">
        <w:rPr>
          <w:lang w:val="fr-FR"/>
        </w:rPr>
        <w:lastRenderedPageBreak/>
        <w:t>Le</w:t>
      </w:r>
      <w:r w:rsidR="00662C2F" w:rsidRPr="002D09EA">
        <w:rPr>
          <w:lang w:val="fr-FR"/>
        </w:rPr>
        <w:t>s attributions</w:t>
      </w:r>
      <w:r w:rsidR="00191ADA" w:rsidRPr="002D09EA">
        <w:rPr>
          <w:lang w:val="fr-FR"/>
        </w:rPr>
        <w:t xml:space="preserve"> du CCI</w:t>
      </w:r>
      <w:r w:rsidRPr="002D09EA">
        <w:rPr>
          <w:lang w:val="fr-FR"/>
        </w:rPr>
        <w:t xml:space="preserve"> </w:t>
      </w:r>
      <w:r w:rsidR="00662C2F" w:rsidRPr="002D09EA">
        <w:rPr>
          <w:lang w:val="fr-FR"/>
        </w:rPr>
        <w:t>sont les</w:t>
      </w:r>
      <w:r w:rsidRPr="002D09EA">
        <w:rPr>
          <w:lang w:val="fr-FR"/>
        </w:rPr>
        <w:t xml:space="preserve"> suivantes</w:t>
      </w:r>
      <w:r w:rsidR="00D2430A" w:rsidRPr="002D09EA">
        <w:rPr>
          <w:lang w:val="fr-FR"/>
        </w:rPr>
        <w:t> </w:t>
      </w:r>
      <w:r w:rsidR="00FD6FC2" w:rsidRPr="002D09EA">
        <w:rPr>
          <w:lang w:val="fr-FR"/>
        </w:rPr>
        <w:t>:</w:t>
      </w:r>
    </w:p>
    <w:p w:rsidR="00191ADA" w:rsidRPr="002D09EA" w:rsidRDefault="00006D47" w:rsidP="00DD4DD5">
      <w:pPr>
        <w:numPr>
          <w:ilvl w:val="0"/>
          <w:numId w:val="5"/>
        </w:numPr>
        <w:tabs>
          <w:tab w:val="left" w:pos="1134"/>
        </w:tabs>
        <w:spacing w:after="100" w:afterAutospacing="1"/>
        <w:ind w:left="567" w:firstLine="0"/>
        <w:rPr>
          <w:bCs/>
          <w:szCs w:val="22"/>
        </w:rPr>
      </w:pPr>
      <w:r w:rsidRPr="002D09EA">
        <w:rPr>
          <w:bCs/>
          <w:i/>
          <w:iCs/>
          <w:szCs w:val="22"/>
        </w:rPr>
        <w:t>Diffuser des informations</w:t>
      </w:r>
      <w:r w:rsidR="00D2430A" w:rsidRPr="002D09EA">
        <w:rPr>
          <w:bCs/>
          <w:i/>
          <w:iCs/>
          <w:szCs w:val="22"/>
        </w:rPr>
        <w:t> </w:t>
      </w:r>
      <w:r w:rsidR="00FD6FC2" w:rsidRPr="002D09EA">
        <w:rPr>
          <w:bCs/>
          <w:i/>
          <w:iCs/>
          <w:szCs w:val="22"/>
        </w:rPr>
        <w:t xml:space="preserve">: </w:t>
      </w:r>
      <w:r w:rsidRPr="002D09EA">
        <w:rPr>
          <w:bCs/>
          <w:iCs/>
          <w:szCs w:val="22"/>
        </w:rPr>
        <w:t>sur la législation en matière de droit d</w:t>
      </w:r>
      <w:r w:rsidR="00191ADA" w:rsidRPr="002D09EA">
        <w:rPr>
          <w:bCs/>
          <w:iCs/>
          <w:szCs w:val="22"/>
        </w:rPr>
        <w:t>’</w:t>
      </w:r>
      <w:r w:rsidRPr="002D09EA">
        <w:rPr>
          <w:bCs/>
          <w:iCs/>
          <w:szCs w:val="22"/>
        </w:rPr>
        <w:t>auteur, les sources de contenu licite et l</w:t>
      </w:r>
      <w:r w:rsidR="00191ADA" w:rsidRPr="002D09EA">
        <w:rPr>
          <w:bCs/>
          <w:iCs/>
          <w:szCs w:val="22"/>
        </w:rPr>
        <w:t>’</w:t>
      </w:r>
      <w:r w:rsidRPr="002D09EA">
        <w:rPr>
          <w:bCs/>
          <w:iCs/>
          <w:szCs w:val="22"/>
        </w:rPr>
        <w:t>utilisation sans risque d</w:t>
      </w:r>
      <w:r w:rsidR="00191ADA" w:rsidRPr="002D09EA">
        <w:rPr>
          <w:bCs/>
          <w:iCs/>
          <w:szCs w:val="22"/>
        </w:rPr>
        <w:t>’</w:t>
      </w:r>
      <w:r w:rsidRPr="002D09EA">
        <w:rPr>
          <w:bCs/>
          <w:iCs/>
          <w:szCs w:val="22"/>
        </w:rPr>
        <w:t>Internet</w:t>
      </w:r>
      <w:r w:rsidR="00FD6FC2" w:rsidRPr="002D09EA">
        <w:rPr>
          <w:bCs/>
          <w:szCs w:val="22"/>
        </w:rPr>
        <w:t>.</w:t>
      </w:r>
    </w:p>
    <w:p w:rsidR="00006D47" w:rsidRPr="002D09EA" w:rsidRDefault="0024465E" w:rsidP="00DD4DD5">
      <w:pPr>
        <w:numPr>
          <w:ilvl w:val="0"/>
          <w:numId w:val="5"/>
        </w:numPr>
        <w:tabs>
          <w:tab w:val="left" w:pos="1134"/>
        </w:tabs>
        <w:spacing w:after="100" w:afterAutospacing="1"/>
        <w:ind w:left="567" w:firstLine="0"/>
        <w:rPr>
          <w:bCs/>
          <w:szCs w:val="22"/>
        </w:rPr>
      </w:pPr>
      <w:r w:rsidRPr="002D09EA">
        <w:rPr>
          <w:bCs/>
          <w:i/>
          <w:szCs w:val="22"/>
        </w:rPr>
        <w:t>Fournir un mécanisme d</w:t>
      </w:r>
      <w:r w:rsidR="00191ADA" w:rsidRPr="002D09EA">
        <w:rPr>
          <w:bCs/>
          <w:i/>
          <w:szCs w:val="22"/>
        </w:rPr>
        <w:t>’</w:t>
      </w:r>
      <w:r w:rsidRPr="002D09EA">
        <w:rPr>
          <w:bCs/>
          <w:i/>
          <w:szCs w:val="22"/>
        </w:rPr>
        <w:t>examen indépendant</w:t>
      </w:r>
      <w:r w:rsidR="00D2430A" w:rsidRPr="002D09EA">
        <w:rPr>
          <w:bCs/>
          <w:szCs w:val="22"/>
        </w:rPr>
        <w:t> </w:t>
      </w:r>
      <w:r w:rsidRPr="002D09EA">
        <w:rPr>
          <w:bCs/>
          <w:szCs w:val="22"/>
        </w:rPr>
        <w:t>: charger une entité appropriée d</w:t>
      </w:r>
      <w:r w:rsidR="00191ADA" w:rsidRPr="002D09EA">
        <w:rPr>
          <w:bCs/>
          <w:szCs w:val="22"/>
        </w:rPr>
        <w:t>’</w:t>
      </w:r>
      <w:r w:rsidRPr="002D09EA">
        <w:rPr>
          <w:bCs/>
          <w:szCs w:val="22"/>
        </w:rPr>
        <w:t>examiner les contestations d</w:t>
      </w:r>
      <w:r w:rsidR="00191ADA" w:rsidRPr="002D09EA">
        <w:rPr>
          <w:bCs/>
          <w:szCs w:val="22"/>
        </w:rPr>
        <w:t>’</w:t>
      </w:r>
      <w:r w:rsidRPr="002D09EA">
        <w:rPr>
          <w:bCs/>
          <w:szCs w:val="22"/>
        </w:rPr>
        <w:t>alertes par les abonnés et de statuer.</w:t>
      </w:r>
    </w:p>
    <w:p w:rsidR="0024465E" w:rsidRPr="002D09EA" w:rsidRDefault="0024465E" w:rsidP="00DD4DD5">
      <w:pPr>
        <w:numPr>
          <w:ilvl w:val="0"/>
          <w:numId w:val="5"/>
        </w:numPr>
        <w:tabs>
          <w:tab w:val="left" w:pos="1134"/>
        </w:tabs>
        <w:spacing w:after="100" w:afterAutospacing="1"/>
        <w:ind w:left="567" w:firstLine="0"/>
        <w:rPr>
          <w:bCs/>
          <w:szCs w:val="22"/>
        </w:rPr>
      </w:pPr>
      <w:r w:rsidRPr="002D09EA">
        <w:rPr>
          <w:bCs/>
          <w:i/>
          <w:szCs w:val="22"/>
        </w:rPr>
        <w:t>Exercer une supervision technique</w:t>
      </w:r>
      <w:r w:rsidR="00D2430A" w:rsidRPr="002D09EA">
        <w:rPr>
          <w:bCs/>
          <w:szCs w:val="22"/>
        </w:rPr>
        <w:t> </w:t>
      </w:r>
      <w:r w:rsidRPr="002D09EA">
        <w:rPr>
          <w:bCs/>
          <w:szCs w:val="22"/>
        </w:rPr>
        <w:t>: charger des experts indépendants d</w:t>
      </w:r>
      <w:r w:rsidR="00191ADA" w:rsidRPr="002D09EA">
        <w:rPr>
          <w:bCs/>
          <w:szCs w:val="22"/>
        </w:rPr>
        <w:t>’</w:t>
      </w:r>
      <w:r w:rsidRPr="002D09EA">
        <w:rPr>
          <w:bCs/>
          <w:szCs w:val="22"/>
        </w:rPr>
        <w:t xml:space="preserve">examiner les méthodes suivies pour cerner et vérifier les </w:t>
      </w:r>
      <w:r w:rsidR="00FE2C97">
        <w:rPr>
          <w:bCs/>
          <w:szCs w:val="22"/>
        </w:rPr>
        <w:t>atteintes</w:t>
      </w:r>
      <w:r w:rsidRPr="002D09EA">
        <w:rPr>
          <w:bCs/>
          <w:szCs w:val="22"/>
        </w:rPr>
        <w:t xml:space="preserve"> et de remonter jusqu</w:t>
      </w:r>
      <w:r w:rsidR="00191ADA" w:rsidRPr="002D09EA">
        <w:rPr>
          <w:bCs/>
          <w:szCs w:val="22"/>
        </w:rPr>
        <w:t>’</w:t>
      </w:r>
      <w:r w:rsidRPr="002D09EA">
        <w:rPr>
          <w:bCs/>
          <w:szCs w:val="22"/>
        </w:rPr>
        <w:t>aux comptes d</w:t>
      </w:r>
      <w:r w:rsidR="00191ADA" w:rsidRPr="002D09EA">
        <w:rPr>
          <w:bCs/>
          <w:szCs w:val="22"/>
        </w:rPr>
        <w:t>’</w:t>
      </w:r>
      <w:r w:rsidRPr="002D09EA">
        <w:rPr>
          <w:bCs/>
          <w:szCs w:val="22"/>
        </w:rPr>
        <w:t>abonnés.</w:t>
      </w:r>
    </w:p>
    <w:p w:rsidR="0024465E" w:rsidRPr="002D09EA" w:rsidRDefault="00B840D5" w:rsidP="00DD4DD5">
      <w:pPr>
        <w:numPr>
          <w:ilvl w:val="0"/>
          <w:numId w:val="5"/>
        </w:numPr>
        <w:tabs>
          <w:tab w:val="left" w:pos="1134"/>
        </w:tabs>
        <w:spacing w:after="100" w:afterAutospacing="1"/>
        <w:ind w:left="567" w:firstLine="0"/>
        <w:rPr>
          <w:bCs/>
          <w:szCs w:val="22"/>
        </w:rPr>
      </w:pPr>
      <w:r w:rsidRPr="002D09EA">
        <w:rPr>
          <w:bCs/>
          <w:i/>
          <w:szCs w:val="22"/>
        </w:rPr>
        <w:t>Dresser un bilan de</w:t>
      </w:r>
      <w:r w:rsidR="0024465E" w:rsidRPr="002D09EA">
        <w:rPr>
          <w:bCs/>
          <w:i/>
          <w:szCs w:val="22"/>
        </w:rPr>
        <w:t xml:space="preserve"> l</w:t>
      </w:r>
      <w:r w:rsidR="00191ADA" w:rsidRPr="002D09EA">
        <w:rPr>
          <w:bCs/>
          <w:i/>
          <w:szCs w:val="22"/>
        </w:rPr>
        <w:t>’</w:t>
      </w:r>
      <w:r w:rsidR="0024465E" w:rsidRPr="002D09EA">
        <w:rPr>
          <w:bCs/>
          <w:i/>
          <w:szCs w:val="22"/>
        </w:rPr>
        <w:t>efficacité</w:t>
      </w:r>
      <w:r w:rsidR="00D2430A" w:rsidRPr="002D09EA">
        <w:rPr>
          <w:bCs/>
          <w:szCs w:val="22"/>
        </w:rPr>
        <w:t> </w:t>
      </w:r>
      <w:r w:rsidR="0024465E" w:rsidRPr="002D09EA">
        <w:rPr>
          <w:bCs/>
          <w:szCs w:val="22"/>
        </w:rPr>
        <w:t>: surveiller et mesurer les progrès accomplis en matière d</w:t>
      </w:r>
      <w:r w:rsidR="00191ADA" w:rsidRPr="002D09EA">
        <w:rPr>
          <w:bCs/>
          <w:szCs w:val="22"/>
        </w:rPr>
        <w:t>’</w:t>
      </w:r>
      <w:r w:rsidR="0024465E" w:rsidRPr="002D09EA">
        <w:rPr>
          <w:bCs/>
          <w:szCs w:val="22"/>
        </w:rPr>
        <w:t>activité Internet, de comportement des consommateurs et de fonctionnement du programme, et en rendre compte</w:t>
      </w:r>
      <w:r w:rsidRPr="002D09EA">
        <w:rPr>
          <w:bCs/>
          <w:szCs w:val="22"/>
        </w:rPr>
        <w:t>.</w:t>
      </w:r>
    </w:p>
    <w:p w:rsidR="0024465E" w:rsidRPr="002D09EA" w:rsidRDefault="0024465E" w:rsidP="00DD4DD5">
      <w:pPr>
        <w:numPr>
          <w:ilvl w:val="0"/>
          <w:numId w:val="5"/>
        </w:numPr>
        <w:tabs>
          <w:tab w:val="left" w:pos="1134"/>
        </w:tabs>
        <w:spacing w:after="100" w:afterAutospacing="1"/>
        <w:ind w:left="567" w:firstLine="0"/>
        <w:rPr>
          <w:bCs/>
          <w:szCs w:val="22"/>
        </w:rPr>
      </w:pPr>
      <w:r w:rsidRPr="002D09EA">
        <w:rPr>
          <w:bCs/>
          <w:i/>
          <w:iCs/>
          <w:szCs w:val="22"/>
        </w:rPr>
        <w:t>Augmenter la p</w:t>
      </w:r>
      <w:r w:rsidR="00FD6FC2" w:rsidRPr="002D09EA">
        <w:rPr>
          <w:bCs/>
          <w:i/>
          <w:iCs/>
          <w:szCs w:val="22"/>
        </w:rPr>
        <w:t>articipation</w:t>
      </w:r>
      <w:r w:rsidR="00D2430A" w:rsidRPr="002D09EA">
        <w:rPr>
          <w:bCs/>
          <w:i/>
          <w:iCs/>
          <w:szCs w:val="22"/>
        </w:rPr>
        <w:t> </w:t>
      </w:r>
      <w:r w:rsidR="00FD6FC2" w:rsidRPr="002D09EA">
        <w:rPr>
          <w:bCs/>
          <w:i/>
          <w:iCs/>
          <w:szCs w:val="22"/>
        </w:rPr>
        <w:t xml:space="preserve">: </w:t>
      </w:r>
      <w:r w:rsidR="00FD6FC2" w:rsidRPr="002D09EA">
        <w:rPr>
          <w:bCs/>
          <w:szCs w:val="22"/>
        </w:rPr>
        <w:t>facilit</w:t>
      </w:r>
      <w:r w:rsidRPr="002D09EA">
        <w:rPr>
          <w:bCs/>
          <w:szCs w:val="22"/>
        </w:rPr>
        <w:t>er l</w:t>
      </w:r>
      <w:r w:rsidR="00191ADA" w:rsidRPr="002D09EA">
        <w:rPr>
          <w:bCs/>
          <w:szCs w:val="22"/>
        </w:rPr>
        <w:t>’</w:t>
      </w:r>
      <w:r w:rsidRPr="002D09EA">
        <w:rPr>
          <w:bCs/>
          <w:szCs w:val="22"/>
        </w:rPr>
        <w:t>adhésion</w:t>
      </w:r>
      <w:r w:rsidR="00191ADA" w:rsidRPr="002D09EA">
        <w:rPr>
          <w:bCs/>
          <w:szCs w:val="22"/>
        </w:rPr>
        <w:t xml:space="preserve"> des FAI</w:t>
      </w:r>
      <w:r w:rsidRPr="002D09EA">
        <w:rPr>
          <w:bCs/>
          <w:szCs w:val="22"/>
        </w:rPr>
        <w:t xml:space="preserve"> non participants et d</w:t>
      </w:r>
      <w:r w:rsidR="00191ADA" w:rsidRPr="002D09EA">
        <w:rPr>
          <w:bCs/>
          <w:szCs w:val="22"/>
        </w:rPr>
        <w:t>’</w:t>
      </w:r>
      <w:r w:rsidRPr="002D09EA">
        <w:rPr>
          <w:bCs/>
          <w:szCs w:val="22"/>
        </w:rPr>
        <w:t>autres titulaires de droits au travail</w:t>
      </w:r>
      <w:r w:rsidR="00191ADA" w:rsidRPr="002D09EA">
        <w:rPr>
          <w:bCs/>
          <w:szCs w:val="22"/>
        </w:rPr>
        <w:t xml:space="preserve"> du CCI</w:t>
      </w:r>
      <w:r w:rsidRPr="002D09EA">
        <w:rPr>
          <w:bCs/>
          <w:szCs w:val="22"/>
        </w:rPr>
        <w:t xml:space="preserve"> et au programme dans son ensemble.</w:t>
      </w:r>
    </w:p>
    <w:p w:rsidR="00B4745A" w:rsidRPr="002D09EA" w:rsidRDefault="00B4745A" w:rsidP="00E262DB">
      <w:pPr>
        <w:pStyle w:val="ONUMFS"/>
        <w:rPr>
          <w:lang w:val="fr-FR"/>
        </w:rPr>
      </w:pPr>
      <w:r w:rsidRPr="002D09EA">
        <w:rPr>
          <w:lang w:val="fr-FR"/>
        </w:rPr>
        <w:t>L</w:t>
      </w:r>
      <w:r w:rsidR="00FD6FC2" w:rsidRPr="002D09EA">
        <w:rPr>
          <w:lang w:val="fr-FR"/>
        </w:rPr>
        <w:t xml:space="preserve">e Copyright </w:t>
      </w:r>
      <w:proofErr w:type="spellStart"/>
      <w:r w:rsidR="00FD6FC2" w:rsidRPr="002D09EA">
        <w:rPr>
          <w:lang w:val="fr-FR"/>
        </w:rPr>
        <w:t>Alert</w:t>
      </w:r>
      <w:proofErr w:type="spellEnd"/>
      <w:r w:rsidR="00FD6FC2" w:rsidRPr="002D09EA">
        <w:rPr>
          <w:lang w:val="fr-FR"/>
        </w:rPr>
        <w:t xml:space="preserve"> System </w:t>
      </w:r>
      <w:r w:rsidRPr="002D09EA">
        <w:rPr>
          <w:lang w:val="fr-FR"/>
        </w:rPr>
        <w:t xml:space="preserve">a été </w:t>
      </w:r>
      <w:r w:rsidR="00FD6FC2" w:rsidRPr="002D09EA">
        <w:rPr>
          <w:lang w:val="fr-FR"/>
        </w:rPr>
        <w:t>la</w:t>
      </w:r>
      <w:r w:rsidRPr="002D09EA">
        <w:rPr>
          <w:lang w:val="fr-FR"/>
        </w:rPr>
        <w:t xml:space="preserve">ncé à la fin </w:t>
      </w:r>
      <w:r w:rsidR="00191ADA" w:rsidRPr="002D09EA">
        <w:rPr>
          <w:lang w:val="fr-FR"/>
        </w:rPr>
        <w:t>février 20</w:t>
      </w:r>
      <w:r w:rsidR="00FD6FC2" w:rsidRPr="002D09EA">
        <w:rPr>
          <w:lang w:val="fr-FR"/>
        </w:rPr>
        <w:t xml:space="preserve">13 </w:t>
      </w:r>
      <w:r w:rsidRPr="002D09EA">
        <w:rPr>
          <w:lang w:val="fr-FR"/>
        </w:rPr>
        <w:t>et, à la veille de son premier anniversaire,</w:t>
      </w:r>
      <w:r w:rsidR="00191ADA" w:rsidRPr="002D09EA">
        <w:rPr>
          <w:lang w:val="fr-FR"/>
        </w:rPr>
        <w:t xml:space="preserve"> le CCI</w:t>
      </w:r>
      <w:r w:rsidRPr="002D09EA">
        <w:rPr>
          <w:lang w:val="fr-FR"/>
        </w:rPr>
        <w:t xml:space="preserve"> est en train d</w:t>
      </w:r>
      <w:r w:rsidR="00191ADA" w:rsidRPr="002D09EA">
        <w:rPr>
          <w:lang w:val="fr-FR"/>
        </w:rPr>
        <w:t>’</w:t>
      </w:r>
      <w:r w:rsidRPr="002D09EA">
        <w:rPr>
          <w:lang w:val="fr-FR"/>
        </w:rPr>
        <w:t xml:space="preserve">évaluer les progrès accomplis, en vue de la </w:t>
      </w:r>
      <w:r w:rsidR="00B840D5" w:rsidRPr="002D09EA">
        <w:rPr>
          <w:lang w:val="fr-FR"/>
        </w:rPr>
        <w:t>publication</w:t>
      </w:r>
      <w:r w:rsidRPr="002D09EA">
        <w:rPr>
          <w:lang w:val="fr-FR"/>
        </w:rPr>
        <w:t xml:space="preserve"> d</w:t>
      </w:r>
      <w:r w:rsidR="00191ADA" w:rsidRPr="002D09EA">
        <w:rPr>
          <w:lang w:val="fr-FR"/>
        </w:rPr>
        <w:t>’</w:t>
      </w:r>
      <w:r w:rsidRPr="002D09EA">
        <w:rPr>
          <w:lang w:val="fr-FR"/>
        </w:rPr>
        <w:t>un rapport.</w:t>
      </w:r>
    </w:p>
    <w:p w:rsidR="00FD6FC2" w:rsidRPr="002D09EA" w:rsidRDefault="00FD6FC2" w:rsidP="00DD4DD5">
      <w:pPr>
        <w:pStyle w:val="Heading3"/>
        <w:numPr>
          <w:ilvl w:val="0"/>
          <w:numId w:val="6"/>
        </w:numPr>
        <w:tabs>
          <w:tab w:val="left" w:pos="567"/>
        </w:tabs>
        <w:ind w:left="0" w:firstLine="0"/>
      </w:pPr>
      <w:proofErr w:type="spellStart"/>
      <w:r w:rsidRPr="002D09EA">
        <w:t>Operation</w:t>
      </w:r>
      <w:proofErr w:type="spellEnd"/>
      <w:r w:rsidRPr="002D09EA">
        <w:t xml:space="preserve"> </w:t>
      </w:r>
      <w:proofErr w:type="spellStart"/>
      <w:r w:rsidRPr="002D09EA">
        <w:t>Creative</w:t>
      </w:r>
      <w:proofErr w:type="spellEnd"/>
      <w:r w:rsidRPr="002D09EA">
        <w:t xml:space="preserve"> </w:t>
      </w:r>
      <w:r w:rsidR="00B4745A" w:rsidRPr="002D09EA">
        <w:t>(Royaume</w:t>
      </w:r>
      <w:r w:rsidR="00F40A5D" w:rsidRPr="002D09EA">
        <w:noBreakHyphen/>
      </w:r>
      <w:r w:rsidR="00B4745A" w:rsidRPr="002D09EA">
        <w:t>Uni)</w:t>
      </w:r>
    </w:p>
    <w:p w:rsidR="00FD6FC2" w:rsidRPr="002D09EA" w:rsidRDefault="00FD6FC2" w:rsidP="00DD4DD5">
      <w:pPr>
        <w:tabs>
          <w:tab w:val="left" w:pos="540"/>
        </w:tabs>
        <w:rPr>
          <w:bCs/>
          <w:szCs w:val="22"/>
        </w:rPr>
      </w:pPr>
    </w:p>
    <w:p w:rsidR="00B4745A" w:rsidRPr="002D09EA" w:rsidRDefault="00FD6FC2" w:rsidP="00E262DB">
      <w:pPr>
        <w:pStyle w:val="ONUMFS"/>
        <w:rPr>
          <w:lang w:val="fr-FR"/>
        </w:rPr>
      </w:pPr>
      <w:proofErr w:type="spellStart"/>
      <w:r w:rsidRPr="002D09EA">
        <w:rPr>
          <w:lang w:val="fr-FR"/>
        </w:rPr>
        <w:t>Operation</w:t>
      </w:r>
      <w:proofErr w:type="spellEnd"/>
      <w:r w:rsidRPr="002D09EA">
        <w:rPr>
          <w:lang w:val="fr-FR"/>
        </w:rPr>
        <w:t xml:space="preserve"> </w:t>
      </w:r>
      <w:proofErr w:type="spellStart"/>
      <w:r w:rsidRPr="002D09EA">
        <w:rPr>
          <w:lang w:val="fr-FR"/>
        </w:rPr>
        <w:t>Creative</w:t>
      </w:r>
      <w:proofErr w:type="spellEnd"/>
      <w:r w:rsidRPr="002D09EA">
        <w:rPr>
          <w:lang w:val="fr-FR"/>
        </w:rPr>
        <w:t xml:space="preserve"> </w:t>
      </w:r>
      <w:r w:rsidR="00B4745A" w:rsidRPr="002D09EA">
        <w:rPr>
          <w:lang w:val="fr-FR"/>
        </w:rPr>
        <w:t>est un partenariat entre le service de la police de la ville de Londres (plus précisément l</w:t>
      </w:r>
      <w:r w:rsidR="00191ADA" w:rsidRPr="002D09EA">
        <w:rPr>
          <w:lang w:val="fr-FR"/>
        </w:rPr>
        <w:t>’</w:t>
      </w:r>
      <w:r w:rsidR="00B4745A" w:rsidRPr="002D09EA">
        <w:rPr>
          <w:lang w:val="fr-FR"/>
        </w:rPr>
        <w:t xml:space="preserve">Unité de lutte contre les infractions à la propriété intellectuelle (Police </w:t>
      </w:r>
      <w:proofErr w:type="spellStart"/>
      <w:r w:rsidR="00B4745A" w:rsidRPr="002D09EA">
        <w:rPr>
          <w:lang w:val="fr-FR"/>
        </w:rPr>
        <w:t>Intellectual</w:t>
      </w:r>
      <w:proofErr w:type="spellEnd"/>
      <w:r w:rsidR="00B4745A" w:rsidRPr="002D09EA">
        <w:rPr>
          <w:lang w:val="fr-FR"/>
        </w:rPr>
        <w:t xml:space="preserve"> </w:t>
      </w:r>
      <w:proofErr w:type="spellStart"/>
      <w:r w:rsidR="00B4745A" w:rsidRPr="002D09EA">
        <w:rPr>
          <w:lang w:val="fr-FR"/>
        </w:rPr>
        <w:t>Property</w:t>
      </w:r>
      <w:proofErr w:type="spellEnd"/>
      <w:r w:rsidR="00B4745A" w:rsidRPr="002D09EA">
        <w:rPr>
          <w:lang w:val="fr-FR"/>
        </w:rPr>
        <w:t xml:space="preserve"> Crime Unit, </w:t>
      </w:r>
      <w:bookmarkStart w:id="5" w:name="hit3"/>
      <w:bookmarkEnd w:id="5"/>
      <w:r w:rsidR="00B4745A" w:rsidRPr="002D09EA">
        <w:rPr>
          <w:lang w:val="fr-FR"/>
        </w:rPr>
        <w:t>PIPCU)), le secteur britannique de la publicité (représenté par l</w:t>
      </w:r>
      <w:r w:rsidR="00191ADA" w:rsidRPr="002D09EA">
        <w:rPr>
          <w:lang w:val="fr-FR"/>
        </w:rPr>
        <w:t>’</w:t>
      </w:r>
      <w:r w:rsidR="00B4745A" w:rsidRPr="002D09EA">
        <w:rPr>
          <w:lang w:val="fr-FR"/>
        </w:rPr>
        <w:t xml:space="preserve">Internet </w:t>
      </w:r>
      <w:proofErr w:type="spellStart"/>
      <w:r w:rsidR="00B4745A" w:rsidRPr="002D09EA">
        <w:rPr>
          <w:lang w:val="fr-FR"/>
        </w:rPr>
        <w:t>Advertising</w:t>
      </w:r>
      <w:proofErr w:type="spellEnd"/>
      <w:r w:rsidR="00B4745A" w:rsidRPr="002D09EA">
        <w:rPr>
          <w:lang w:val="fr-FR"/>
        </w:rPr>
        <w:t xml:space="preserve"> Bureau UK (IAB UK), l</w:t>
      </w:r>
      <w:r w:rsidR="00191ADA" w:rsidRPr="002D09EA">
        <w:rPr>
          <w:lang w:val="fr-FR"/>
        </w:rPr>
        <w:t>’</w:t>
      </w:r>
      <w:proofErr w:type="spellStart"/>
      <w:r w:rsidR="00B4745A" w:rsidRPr="002D09EA">
        <w:rPr>
          <w:lang w:val="fr-FR"/>
        </w:rPr>
        <w:t>Incorporated</w:t>
      </w:r>
      <w:proofErr w:type="spellEnd"/>
      <w:r w:rsidR="00B4745A" w:rsidRPr="002D09EA">
        <w:rPr>
          <w:lang w:val="fr-FR"/>
        </w:rPr>
        <w:t xml:space="preserve"> Society of British </w:t>
      </w:r>
      <w:proofErr w:type="spellStart"/>
      <w:r w:rsidR="00B4745A" w:rsidRPr="002D09EA">
        <w:rPr>
          <w:lang w:val="fr-FR"/>
        </w:rPr>
        <w:t>Advertisers</w:t>
      </w:r>
      <w:proofErr w:type="spellEnd"/>
      <w:r w:rsidR="00B4745A" w:rsidRPr="002D09EA">
        <w:rPr>
          <w:lang w:val="fr-FR"/>
        </w:rPr>
        <w:t xml:space="preserve"> (ISBA) et l</w:t>
      </w:r>
      <w:r w:rsidR="00191ADA" w:rsidRPr="002D09EA">
        <w:rPr>
          <w:lang w:val="fr-FR"/>
        </w:rPr>
        <w:t>’</w:t>
      </w:r>
      <w:r w:rsidR="00B4745A" w:rsidRPr="002D09EA">
        <w:rPr>
          <w:bCs/>
          <w:lang w:val="fr-FR"/>
        </w:rPr>
        <w:t xml:space="preserve">Institute of </w:t>
      </w:r>
      <w:proofErr w:type="spellStart"/>
      <w:r w:rsidR="00B4745A" w:rsidRPr="002D09EA">
        <w:rPr>
          <w:bCs/>
          <w:lang w:val="fr-FR"/>
        </w:rPr>
        <w:t>Practitioners</w:t>
      </w:r>
      <w:proofErr w:type="spellEnd"/>
      <w:r w:rsidR="00B4745A" w:rsidRPr="002D09EA">
        <w:rPr>
          <w:bCs/>
          <w:lang w:val="fr-FR"/>
        </w:rPr>
        <w:t xml:space="preserve"> in </w:t>
      </w:r>
      <w:proofErr w:type="spellStart"/>
      <w:r w:rsidR="00B4745A" w:rsidRPr="002D09EA">
        <w:rPr>
          <w:lang w:val="fr-FR"/>
        </w:rPr>
        <w:t>Advertising</w:t>
      </w:r>
      <w:proofErr w:type="spellEnd"/>
      <w:r w:rsidR="00B4745A" w:rsidRPr="002D09EA">
        <w:rPr>
          <w:lang w:val="fr-FR"/>
        </w:rPr>
        <w:t xml:space="preserve"> (IPA)), et les titulaires de droits (représentés par</w:t>
      </w:r>
      <w:r w:rsidR="00191ADA" w:rsidRPr="002D09EA">
        <w:rPr>
          <w:lang w:val="fr-FR"/>
        </w:rPr>
        <w:t xml:space="preserve"> la FAC</w:t>
      </w:r>
      <w:r w:rsidR="00B4745A" w:rsidRPr="002D09EA">
        <w:rPr>
          <w:lang w:val="fr-FR"/>
        </w:rPr>
        <w:t>T (</w:t>
      </w:r>
      <w:proofErr w:type="spellStart"/>
      <w:r w:rsidR="00B4745A" w:rsidRPr="002D09EA">
        <w:rPr>
          <w:lang w:val="fr-FR"/>
        </w:rPr>
        <w:t>Federation</w:t>
      </w:r>
      <w:proofErr w:type="spellEnd"/>
      <w:r w:rsidR="00B4745A" w:rsidRPr="002D09EA">
        <w:rPr>
          <w:lang w:val="fr-FR"/>
        </w:rPr>
        <w:t xml:space="preserve"> </w:t>
      </w:r>
      <w:proofErr w:type="spellStart"/>
      <w:r w:rsidR="00B4745A" w:rsidRPr="002D09EA">
        <w:rPr>
          <w:lang w:val="fr-FR"/>
        </w:rPr>
        <w:t>Against</w:t>
      </w:r>
      <w:proofErr w:type="spellEnd"/>
      <w:r w:rsidR="00B4745A" w:rsidRPr="002D09EA">
        <w:rPr>
          <w:lang w:val="fr-FR"/>
        </w:rPr>
        <w:t xml:space="preserve"> Copyright </w:t>
      </w:r>
      <w:proofErr w:type="spellStart"/>
      <w:r w:rsidR="00B4745A" w:rsidRPr="002D09EA">
        <w:rPr>
          <w:lang w:val="fr-FR"/>
        </w:rPr>
        <w:t>Theft</w:t>
      </w:r>
      <w:proofErr w:type="spellEnd"/>
      <w:r w:rsidR="00B4745A" w:rsidRPr="002D09EA">
        <w:rPr>
          <w:lang w:val="fr-FR"/>
        </w:rPr>
        <w:t>),</w:t>
      </w:r>
      <w:r w:rsidR="00191ADA" w:rsidRPr="002D09EA">
        <w:rPr>
          <w:lang w:val="fr-FR"/>
        </w:rPr>
        <w:t xml:space="preserve"> la BPI</w:t>
      </w:r>
      <w:r w:rsidR="00B4745A" w:rsidRPr="002D09EA">
        <w:rPr>
          <w:lang w:val="fr-FR"/>
        </w:rPr>
        <w:t xml:space="preserve"> (British </w:t>
      </w:r>
      <w:proofErr w:type="spellStart"/>
      <w:r w:rsidR="00B4745A" w:rsidRPr="002D09EA">
        <w:rPr>
          <w:lang w:val="fr-FR"/>
        </w:rPr>
        <w:t>Recorded</w:t>
      </w:r>
      <w:proofErr w:type="spellEnd"/>
      <w:r w:rsidR="00B4745A" w:rsidRPr="002D09EA">
        <w:rPr>
          <w:lang w:val="fr-FR"/>
        </w:rPr>
        <w:t xml:space="preserve"> Music </w:t>
      </w:r>
      <w:proofErr w:type="spellStart"/>
      <w:r w:rsidR="00B4745A" w:rsidRPr="002D09EA">
        <w:rPr>
          <w:lang w:val="fr-FR"/>
        </w:rPr>
        <w:t>Industry</w:t>
      </w:r>
      <w:proofErr w:type="spellEnd"/>
      <w:r w:rsidR="00B4745A" w:rsidRPr="002D09EA">
        <w:rPr>
          <w:lang w:val="fr-FR"/>
        </w:rPr>
        <w:t>), l</w:t>
      </w:r>
      <w:r w:rsidR="00191ADA" w:rsidRPr="002D09EA">
        <w:rPr>
          <w:lang w:val="fr-FR"/>
        </w:rPr>
        <w:t>’</w:t>
      </w:r>
      <w:r w:rsidR="00B4745A" w:rsidRPr="002D09EA">
        <w:rPr>
          <w:lang w:val="fr-FR"/>
        </w:rPr>
        <w:t>IFPI (</w:t>
      </w:r>
      <w:r w:rsidR="00B4745A" w:rsidRPr="002D09EA">
        <w:rPr>
          <w:shd w:val="clear" w:color="auto" w:fill="FFFFFF"/>
          <w:lang w:val="fr-FR"/>
        </w:rPr>
        <w:t xml:space="preserve">International </w:t>
      </w:r>
      <w:proofErr w:type="spellStart"/>
      <w:r w:rsidR="00B4745A" w:rsidRPr="002D09EA">
        <w:rPr>
          <w:shd w:val="clear" w:color="auto" w:fill="FFFFFF"/>
          <w:lang w:val="fr-FR"/>
        </w:rPr>
        <w:t>Federation</w:t>
      </w:r>
      <w:proofErr w:type="spellEnd"/>
      <w:r w:rsidR="00B4745A" w:rsidRPr="002D09EA">
        <w:rPr>
          <w:shd w:val="clear" w:color="auto" w:fill="FFFFFF"/>
          <w:lang w:val="fr-FR"/>
        </w:rPr>
        <w:t xml:space="preserve"> of the </w:t>
      </w:r>
      <w:proofErr w:type="spellStart"/>
      <w:r w:rsidR="00B4745A" w:rsidRPr="002D09EA">
        <w:rPr>
          <w:shd w:val="clear" w:color="auto" w:fill="FFFFFF"/>
          <w:lang w:val="fr-FR"/>
        </w:rPr>
        <w:t>Phonographic</w:t>
      </w:r>
      <w:proofErr w:type="spellEnd"/>
      <w:r w:rsidR="00B4745A" w:rsidRPr="002D09EA">
        <w:rPr>
          <w:shd w:val="clear" w:color="auto" w:fill="FFFFFF"/>
          <w:lang w:val="fr-FR"/>
        </w:rPr>
        <w:t xml:space="preserve"> </w:t>
      </w:r>
      <w:proofErr w:type="spellStart"/>
      <w:r w:rsidR="00B4745A" w:rsidRPr="002D09EA">
        <w:rPr>
          <w:shd w:val="clear" w:color="auto" w:fill="FFFFFF"/>
          <w:lang w:val="fr-FR"/>
        </w:rPr>
        <w:t>Industry</w:t>
      </w:r>
      <w:proofErr w:type="spellEnd"/>
      <w:r w:rsidR="00B4745A" w:rsidRPr="002D09EA">
        <w:rPr>
          <w:shd w:val="clear" w:color="auto" w:fill="FFFFFF"/>
          <w:lang w:val="fr-FR"/>
        </w:rPr>
        <w:t>) </w:t>
      </w:r>
      <w:r w:rsidR="00B4745A" w:rsidRPr="002D09EA">
        <w:rPr>
          <w:lang w:val="fr-FR"/>
        </w:rPr>
        <w:t xml:space="preserve">et la </w:t>
      </w:r>
      <w:proofErr w:type="spellStart"/>
      <w:r w:rsidR="00B4745A" w:rsidRPr="002D09EA">
        <w:rPr>
          <w:lang w:val="fr-FR"/>
        </w:rPr>
        <w:t>Publishers</w:t>
      </w:r>
      <w:proofErr w:type="spellEnd"/>
      <w:r w:rsidR="00B4745A" w:rsidRPr="002D09EA">
        <w:rPr>
          <w:lang w:val="fr-FR"/>
        </w:rPr>
        <w:t xml:space="preserve"> Association). </w:t>
      </w:r>
      <w:r w:rsidR="00191ADA" w:rsidRPr="002D09EA">
        <w:rPr>
          <w:lang w:val="fr-FR"/>
        </w:rPr>
        <w:t xml:space="preserve"> La PIP</w:t>
      </w:r>
      <w:r w:rsidR="00B4745A" w:rsidRPr="002D09EA">
        <w:rPr>
          <w:lang w:val="fr-FR"/>
        </w:rPr>
        <w:t>CU, financée initialement par l</w:t>
      </w:r>
      <w:r w:rsidR="00191ADA" w:rsidRPr="002D09EA">
        <w:rPr>
          <w:lang w:val="fr-FR"/>
        </w:rPr>
        <w:t>’</w:t>
      </w:r>
      <w:r w:rsidR="00B4745A" w:rsidRPr="002D09EA">
        <w:rPr>
          <w:lang w:val="fr-FR"/>
        </w:rPr>
        <w:t xml:space="preserve">Office de la </w:t>
      </w:r>
      <w:r w:rsidR="00B4745A" w:rsidRPr="002D09EA">
        <w:rPr>
          <w:szCs w:val="22"/>
          <w:lang w:val="fr-FR"/>
        </w:rPr>
        <w:t>propriété intellectuelle</w:t>
      </w:r>
      <w:r w:rsidR="00B4745A" w:rsidRPr="002D09EA">
        <w:rPr>
          <w:lang w:val="fr-FR"/>
        </w:rPr>
        <w:t xml:space="preserve"> du Royaume</w:t>
      </w:r>
      <w:r w:rsidR="00F40A5D" w:rsidRPr="002D09EA">
        <w:rPr>
          <w:lang w:val="fr-FR"/>
        </w:rPr>
        <w:noBreakHyphen/>
      </w:r>
      <w:r w:rsidR="00B4745A" w:rsidRPr="002D09EA">
        <w:rPr>
          <w:lang w:val="fr-FR"/>
        </w:rPr>
        <w:t xml:space="preserve">Uni (qui relève du </w:t>
      </w:r>
      <w:r w:rsidR="00B840D5" w:rsidRPr="002D09EA">
        <w:rPr>
          <w:lang w:val="fr-FR"/>
        </w:rPr>
        <w:t>Service des entreprises, de l</w:t>
      </w:r>
      <w:r w:rsidR="00191ADA" w:rsidRPr="002D09EA">
        <w:rPr>
          <w:lang w:val="fr-FR"/>
        </w:rPr>
        <w:t>’</w:t>
      </w:r>
      <w:r w:rsidR="00B840D5" w:rsidRPr="002D09EA">
        <w:rPr>
          <w:lang w:val="fr-FR"/>
        </w:rPr>
        <w:t xml:space="preserve">innovation et des qualifications </w:t>
      </w:r>
      <w:r w:rsidR="00D2430A" w:rsidRPr="002D09EA">
        <w:rPr>
          <w:lang w:val="fr-FR"/>
        </w:rPr>
        <w:t>–</w:t>
      </w:r>
      <w:r w:rsidR="00B840D5" w:rsidRPr="002D09EA">
        <w:rPr>
          <w:lang w:val="fr-FR"/>
        </w:rPr>
        <w:t xml:space="preserve"> </w:t>
      </w:r>
      <w:proofErr w:type="spellStart"/>
      <w:r w:rsidR="00B840D5" w:rsidRPr="002D09EA">
        <w:rPr>
          <w:lang w:val="fr-FR"/>
        </w:rPr>
        <w:t>Department</w:t>
      </w:r>
      <w:proofErr w:type="spellEnd"/>
      <w:r w:rsidR="00B840D5" w:rsidRPr="002D09EA">
        <w:rPr>
          <w:lang w:val="fr-FR"/>
        </w:rPr>
        <w:t xml:space="preserve"> for Business, Innovation and </w:t>
      </w:r>
      <w:proofErr w:type="spellStart"/>
      <w:r w:rsidR="00B840D5" w:rsidRPr="002D09EA">
        <w:rPr>
          <w:lang w:val="fr-FR"/>
        </w:rPr>
        <w:t>Skills</w:t>
      </w:r>
      <w:proofErr w:type="spellEnd"/>
      <w:r w:rsidR="00B840D5" w:rsidRPr="002D09EA">
        <w:rPr>
          <w:lang w:val="fr-FR"/>
        </w:rPr>
        <w:t xml:space="preserve">) a été créée dans le but de protéger les secteurs britanniques qui produisent des produits </w:t>
      </w:r>
      <w:r w:rsidR="00DA795D" w:rsidRPr="002D09EA">
        <w:rPr>
          <w:lang w:val="fr-FR"/>
        </w:rPr>
        <w:t>matériels</w:t>
      </w:r>
      <w:r w:rsidR="00B840D5" w:rsidRPr="002D09EA">
        <w:rPr>
          <w:lang w:val="fr-FR"/>
        </w:rPr>
        <w:t xml:space="preserve"> et du contenu en ligne et numérique</w:t>
      </w:r>
      <w:r w:rsidR="00DA795D" w:rsidRPr="002D09EA">
        <w:rPr>
          <w:lang w:val="fr-FR"/>
        </w:rPr>
        <w:t>, à la fois</w:t>
      </w:r>
      <w:r w:rsidR="00B840D5" w:rsidRPr="002D09EA">
        <w:rPr>
          <w:lang w:val="fr-FR"/>
        </w:rPr>
        <w:t xml:space="preserve"> légitimes et de qualité.</w:t>
      </w:r>
    </w:p>
    <w:p w:rsidR="00B840D5" w:rsidRPr="002D09EA" w:rsidRDefault="00B840D5" w:rsidP="00E262DB">
      <w:pPr>
        <w:pStyle w:val="ONUMFS"/>
        <w:rPr>
          <w:lang w:val="fr-FR"/>
        </w:rPr>
      </w:pPr>
      <w:r w:rsidRPr="002D09EA">
        <w:rPr>
          <w:lang w:val="fr-FR"/>
        </w:rPr>
        <w:t>L</w:t>
      </w:r>
      <w:r w:rsidR="00191ADA" w:rsidRPr="002D09EA">
        <w:rPr>
          <w:lang w:val="fr-FR"/>
        </w:rPr>
        <w:t>’</w:t>
      </w:r>
      <w:r w:rsidR="00FD6FC2" w:rsidRPr="002D09EA">
        <w:rPr>
          <w:lang w:val="fr-FR"/>
        </w:rPr>
        <w:t>objecti</w:t>
      </w:r>
      <w:r w:rsidRPr="002D09EA">
        <w:rPr>
          <w:lang w:val="fr-FR"/>
        </w:rPr>
        <w:t>f de ce mécanisme (qui a fait l</w:t>
      </w:r>
      <w:r w:rsidR="00191ADA" w:rsidRPr="002D09EA">
        <w:rPr>
          <w:lang w:val="fr-FR"/>
        </w:rPr>
        <w:t>’</w:t>
      </w:r>
      <w:r w:rsidRPr="002D09EA">
        <w:rPr>
          <w:lang w:val="fr-FR"/>
        </w:rPr>
        <w:t>objet d</w:t>
      </w:r>
      <w:r w:rsidR="00191ADA" w:rsidRPr="002D09EA">
        <w:rPr>
          <w:lang w:val="fr-FR"/>
        </w:rPr>
        <w:t>’</w:t>
      </w:r>
      <w:r w:rsidRPr="002D09EA">
        <w:rPr>
          <w:lang w:val="fr-FR"/>
        </w:rPr>
        <w:t>une annonce</w:t>
      </w:r>
      <w:r w:rsidRPr="002D09EA">
        <w:rPr>
          <w:rFonts w:cs="Times New Roman"/>
          <w:vertAlign w:val="superscript"/>
          <w:lang w:val="fr-FR"/>
        </w:rPr>
        <w:footnoteReference w:id="8"/>
      </w:r>
      <w:r w:rsidRPr="002D09EA">
        <w:rPr>
          <w:lang w:val="fr-FR"/>
        </w:rPr>
        <w:t xml:space="preserve"> et d</w:t>
      </w:r>
      <w:r w:rsidR="00C27BE6">
        <w:rPr>
          <w:lang w:val="fr-FR"/>
        </w:rPr>
        <w:t>e</w:t>
      </w:r>
      <w:r w:rsidRPr="002D09EA">
        <w:rPr>
          <w:lang w:val="fr-FR"/>
        </w:rPr>
        <w:t xml:space="preserve"> </w:t>
      </w:r>
      <w:r w:rsidR="00212A56" w:rsidRPr="002D09EA">
        <w:rPr>
          <w:lang w:val="fr-FR"/>
        </w:rPr>
        <w:t>rapport</w:t>
      </w:r>
      <w:r w:rsidR="00C27BE6">
        <w:rPr>
          <w:lang w:val="fr-FR"/>
        </w:rPr>
        <w:t>s</w:t>
      </w:r>
      <w:r w:rsidRPr="002D09EA">
        <w:rPr>
          <w:rFonts w:cs="Times New Roman"/>
          <w:vertAlign w:val="superscript"/>
          <w:lang w:val="fr-FR"/>
        </w:rPr>
        <w:footnoteReference w:id="9"/>
      </w:r>
      <w:r w:rsidRPr="002D09EA">
        <w:rPr>
          <w:lang w:val="fr-FR"/>
        </w:rPr>
        <w:t xml:space="preserve"> en </w:t>
      </w:r>
      <w:r w:rsidR="00191ADA" w:rsidRPr="002D09EA">
        <w:rPr>
          <w:lang w:val="fr-FR"/>
        </w:rPr>
        <w:t>décembre 20</w:t>
      </w:r>
      <w:r w:rsidRPr="002D09EA">
        <w:rPr>
          <w:lang w:val="fr-FR"/>
        </w:rPr>
        <w:t>13, à l</w:t>
      </w:r>
      <w:r w:rsidR="00191ADA" w:rsidRPr="002D09EA">
        <w:rPr>
          <w:lang w:val="fr-FR"/>
        </w:rPr>
        <w:t>’</w:t>
      </w:r>
      <w:r w:rsidRPr="002D09EA">
        <w:rPr>
          <w:lang w:val="fr-FR"/>
        </w:rPr>
        <w:t>issue d</w:t>
      </w:r>
      <w:r w:rsidR="00191ADA" w:rsidRPr="002D09EA">
        <w:rPr>
          <w:lang w:val="fr-FR"/>
        </w:rPr>
        <w:t>’</w:t>
      </w:r>
      <w:r w:rsidRPr="002D09EA">
        <w:rPr>
          <w:lang w:val="fr-FR"/>
        </w:rPr>
        <w:t>un essai pilote de trois</w:t>
      </w:r>
      <w:r w:rsidR="00D2430A" w:rsidRPr="002D09EA">
        <w:rPr>
          <w:lang w:val="fr-FR"/>
        </w:rPr>
        <w:t> </w:t>
      </w:r>
      <w:r w:rsidRPr="002D09EA">
        <w:rPr>
          <w:lang w:val="fr-FR"/>
        </w:rPr>
        <w:t xml:space="preserve">mois) est de </w:t>
      </w:r>
      <w:r w:rsidR="00D2430A" w:rsidRPr="002D09EA">
        <w:rPr>
          <w:lang w:val="fr-FR"/>
        </w:rPr>
        <w:t>“</w:t>
      </w:r>
      <w:r w:rsidRPr="002D09EA">
        <w:rPr>
          <w:lang w:val="fr-FR"/>
        </w:rPr>
        <w:t>cibler les sites</w:t>
      </w:r>
      <w:r w:rsidR="00D2430A" w:rsidRPr="002D09EA">
        <w:rPr>
          <w:lang w:val="fr-FR"/>
        </w:rPr>
        <w:t> </w:t>
      </w:r>
      <w:r w:rsidRPr="002D09EA">
        <w:rPr>
          <w:lang w:val="fr-FR"/>
        </w:rPr>
        <w:t>Web qui donnent un accès non autorisé à du contenu protégé par le droit d</w:t>
      </w:r>
      <w:r w:rsidR="00191ADA" w:rsidRPr="002D09EA">
        <w:rPr>
          <w:lang w:val="fr-FR"/>
        </w:rPr>
        <w:t>’</w:t>
      </w:r>
      <w:r w:rsidRPr="002D09EA">
        <w:rPr>
          <w:lang w:val="fr-FR"/>
        </w:rPr>
        <w:t>auteur</w:t>
      </w:r>
      <w:r w:rsidR="00D2430A" w:rsidRPr="002D09EA">
        <w:rPr>
          <w:lang w:val="fr-FR"/>
        </w:rPr>
        <w:t>”</w:t>
      </w:r>
      <w:r w:rsidRPr="002D09EA">
        <w:rPr>
          <w:lang w:val="fr-FR"/>
        </w:rPr>
        <w:t xml:space="preserve"> et qui tirent des recettes (souvent substantielles) de la publicité.  Les titulaires de droits identifient les sites</w:t>
      </w:r>
      <w:r w:rsidR="00D2430A" w:rsidRPr="002D09EA">
        <w:rPr>
          <w:lang w:val="fr-FR"/>
        </w:rPr>
        <w:t> </w:t>
      </w:r>
      <w:r w:rsidRPr="002D09EA">
        <w:rPr>
          <w:lang w:val="fr-FR"/>
        </w:rPr>
        <w:t>Web contrevenants et transmettent à</w:t>
      </w:r>
      <w:r w:rsidR="00191ADA" w:rsidRPr="002D09EA">
        <w:rPr>
          <w:lang w:val="fr-FR"/>
        </w:rPr>
        <w:t xml:space="preserve"> la PIP</w:t>
      </w:r>
      <w:r w:rsidRPr="002D09EA">
        <w:rPr>
          <w:lang w:val="fr-FR"/>
        </w:rPr>
        <w:t xml:space="preserve">CU des dossiers </w:t>
      </w:r>
      <w:r w:rsidR="00DA795D" w:rsidRPr="002D09EA">
        <w:rPr>
          <w:lang w:val="fr-FR"/>
        </w:rPr>
        <w:t xml:space="preserve">complets de preuves. </w:t>
      </w:r>
      <w:r w:rsidR="00B35BAA" w:rsidRPr="002D09EA">
        <w:rPr>
          <w:lang w:val="fr-FR"/>
        </w:rPr>
        <w:t xml:space="preserve"> </w:t>
      </w:r>
      <w:r w:rsidR="00DA795D" w:rsidRPr="002D09EA">
        <w:rPr>
          <w:lang w:val="fr-FR"/>
        </w:rPr>
        <w:t>Selon le communiqué de presse</w:t>
      </w:r>
      <w:r w:rsidR="00DA795D" w:rsidRPr="002D09EA">
        <w:rPr>
          <w:vertAlign w:val="superscript"/>
          <w:lang w:val="fr-FR"/>
        </w:rPr>
        <w:t>6</w:t>
      </w:r>
      <w:r w:rsidR="00DA795D" w:rsidRPr="002D09EA">
        <w:rPr>
          <w:lang w:val="fr-FR"/>
        </w:rPr>
        <w:t xml:space="preserve">, </w:t>
      </w:r>
      <w:r w:rsidR="00D2430A" w:rsidRPr="002D09EA">
        <w:rPr>
          <w:lang w:val="fr-FR"/>
        </w:rPr>
        <w:t>“</w:t>
      </w:r>
      <w:r w:rsidR="00DA795D" w:rsidRPr="002D09EA">
        <w:rPr>
          <w:lang w:val="fr-FR"/>
        </w:rPr>
        <w:t>une fois l</w:t>
      </w:r>
      <w:r w:rsidR="00191ADA" w:rsidRPr="002D09EA">
        <w:rPr>
          <w:lang w:val="fr-FR"/>
        </w:rPr>
        <w:t>’</w:t>
      </w:r>
      <w:r w:rsidR="00DA795D" w:rsidRPr="002D09EA">
        <w:rPr>
          <w:lang w:val="fr-FR"/>
        </w:rPr>
        <w:t>activité illicite confirmée par des analystes de la police de Londres, une procédure officielle</w:t>
      </w:r>
      <w:r w:rsidR="00376D6A" w:rsidRPr="002D09EA">
        <w:rPr>
          <w:lang w:val="fr-FR"/>
        </w:rPr>
        <w:t xml:space="preserve"> ‘</w:t>
      </w:r>
      <w:r w:rsidR="00DA795D" w:rsidRPr="002D09EA">
        <w:rPr>
          <w:lang w:val="fr-FR"/>
        </w:rPr>
        <w:t>de prévention et de dissuasion</w:t>
      </w:r>
      <w:r w:rsidR="00376D6A" w:rsidRPr="002D09EA">
        <w:rPr>
          <w:lang w:val="fr-FR"/>
        </w:rPr>
        <w:t>’</w:t>
      </w:r>
      <w:r w:rsidR="00DA795D" w:rsidRPr="002D09EA">
        <w:rPr>
          <w:lang w:val="fr-FR"/>
        </w:rPr>
        <w:t xml:space="preserve"> est engagée pour encourager les responsables des sites</w:t>
      </w:r>
      <w:r w:rsidR="00D2430A" w:rsidRPr="002D09EA">
        <w:rPr>
          <w:lang w:val="fr-FR"/>
        </w:rPr>
        <w:t> </w:t>
      </w:r>
      <w:r w:rsidR="00DA795D" w:rsidRPr="002D09EA">
        <w:rPr>
          <w:lang w:val="fr-FR"/>
        </w:rPr>
        <w:t>Web portant atteinte</w:t>
      </w:r>
      <w:r w:rsidR="00191ADA" w:rsidRPr="002D09EA">
        <w:rPr>
          <w:lang w:val="fr-FR"/>
        </w:rPr>
        <w:t xml:space="preserve"> aux </w:t>
      </w:r>
      <w:r w:rsidR="00883522">
        <w:rPr>
          <w:lang w:val="fr-FR"/>
        </w:rPr>
        <w:t>droits de propriété intellectuelle</w:t>
      </w:r>
      <w:r w:rsidR="00DA795D" w:rsidRPr="002D09EA">
        <w:rPr>
          <w:lang w:val="fr-FR"/>
        </w:rPr>
        <w:t xml:space="preserve"> à prendre contact avec la police, à changer de comportement et à commencer à opérer en toute légitimité. </w:t>
      </w:r>
      <w:r w:rsidR="00B35BAA" w:rsidRPr="002D09EA">
        <w:rPr>
          <w:lang w:val="fr-FR"/>
        </w:rPr>
        <w:t xml:space="preserve"> </w:t>
      </w:r>
      <w:r w:rsidR="00DA795D" w:rsidRPr="002D09EA">
        <w:rPr>
          <w:lang w:val="fr-FR"/>
        </w:rPr>
        <w:t xml:space="preserve">Les coordonnées des personnes qui ne se conforment pas à cette procédure sont ensuite transmises à un groupe de </w:t>
      </w:r>
      <w:r w:rsidR="00856B30">
        <w:rPr>
          <w:lang w:val="fr-FR"/>
        </w:rPr>
        <w:t>60</w:t>
      </w:r>
      <w:r w:rsidR="00DE551E">
        <w:rPr>
          <w:lang w:val="fr-FR"/>
        </w:rPr>
        <w:t> </w:t>
      </w:r>
      <w:r w:rsidR="00DA795D" w:rsidRPr="002D09EA">
        <w:rPr>
          <w:lang w:val="fr-FR"/>
        </w:rPr>
        <w:t>marques, agences et entreprises spécialisées dans les techniques publicitaires</w:t>
      </w:r>
      <w:r w:rsidR="00027E5B" w:rsidRPr="002D09EA">
        <w:rPr>
          <w:lang w:val="fr-FR"/>
        </w:rPr>
        <w:t xml:space="preserve">, </w:t>
      </w:r>
      <w:r w:rsidR="00212A56" w:rsidRPr="002D09EA">
        <w:rPr>
          <w:lang w:val="fr-FR"/>
        </w:rPr>
        <w:t>qui</w:t>
      </w:r>
      <w:r w:rsidR="00027E5B" w:rsidRPr="002D09EA">
        <w:rPr>
          <w:lang w:val="fr-FR"/>
        </w:rPr>
        <w:t xml:space="preserve"> sont invitées à cesser de faire de la publicité sur ces sites</w:t>
      </w:r>
      <w:r w:rsidR="00D2430A" w:rsidRPr="002D09EA">
        <w:rPr>
          <w:lang w:val="fr-FR"/>
        </w:rPr>
        <w:t>”</w:t>
      </w:r>
      <w:r w:rsidR="00DE551E">
        <w:rPr>
          <w:lang w:val="fr-FR"/>
        </w:rPr>
        <w:t>.</w:t>
      </w:r>
    </w:p>
    <w:p w:rsidR="00191ADA" w:rsidRPr="002D09EA" w:rsidRDefault="00027E5B" w:rsidP="00E262DB">
      <w:pPr>
        <w:pStyle w:val="ONUMFS"/>
        <w:rPr>
          <w:lang w:val="fr-FR"/>
        </w:rPr>
      </w:pPr>
      <w:r w:rsidRPr="002D09EA">
        <w:rPr>
          <w:lang w:val="fr-FR"/>
        </w:rPr>
        <w:lastRenderedPageBreak/>
        <w:t xml:space="preserve">La </w:t>
      </w:r>
      <w:r w:rsidR="00FD6FC2" w:rsidRPr="002D09EA">
        <w:rPr>
          <w:lang w:val="fr-FR"/>
        </w:rPr>
        <w:t xml:space="preserve">PIPCU </w:t>
      </w:r>
      <w:r w:rsidRPr="002D09EA">
        <w:rPr>
          <w:lang w:val="fr-FR"/>
        </w:rPr>
        <w:t>a publié les chiffres résultant de l</w:t>
      </w:r>
      <w:r w:rsidR="00191ADA" w:rsidRPr="002D09EA">
        <w:rPr>
          <w:lang w:val="fr-FR"/>
        </w:rPr>
        <w:t>’</w:t>
      </w:r>
      <w:r w:rsidRPr="002D09EA">
        <w:rPr>
          <w:lang w:val="fr-FR"/>
        </w:rPr>
        <w:t>examen de 61</w:t>
      </w:r>
      <w:r w:rsidR="00C43EEB">
        <w:rPr>
          <w:lang w:val="fr-FR"/>
        </w:rPr>
        <w:t> </w:t>
      </w:r>
      <w:r w:rsidRPr="002D09EA">
        <w:rPr>
          <w:lang w:val="fr-FR"/>
        </w:rPr>
        <w:t>sites</w:t>
      </w:r>
      <w:r w:rsidR="00D2430A" w:rsidRPr="002D09EA">
        <w:rPr>
          <w:lang w:val="fr-FR"/>
        </w:rPr>
        <w:t> </w:t>
      </w:r>
      <w:r w:rsidRPr="002D09EA">
        <w:rPr>
          <w:lang w:val="fr-FR"/>
        </w:rPr>
        <w:t>Web au cours de l</w:t>
      </w:r>
      <w:r w:rsidR="00191ADA" w:rsidRPr="002D09EA">
        <w:rPr>
          <w:lang w:val="fr-FR"/>
        </w:rPr>
        <w:t>’</w:t>
      </w:r>
      <w:r w:rsidRPr="002D09EA">
        <w:rPr>
          <w:lang w:val="fr-FR"/>
        </w:rPr>
        <w:t>essai pilote</w:t>
      </w:r>
      <w:r w:rsidR="00D2430A" w:rsidRPr="002D09EA">
        <w:rPr>
          <w:lang w:val="fr-FR"/>
        </w:rPr>
        <w:t> </w:t>
      </w:r>
      <w:r w:rsidRPr="002D09EA">
        <w:rPr>
          <w:lang w:val="fr-FR"/>
        </w:rPr>
        <w:t>:</w:t>
      </w:r>
    </w:p>
    <w:p w:rsidR="00027E5B" w:rsidRPr="002D09EA" w:rsidRDefault="00D2430A" w:rsidP="00DD4DD5">
      <w:pPr>
        <w:numPr>
          <w:ilvl w:val="0"/>
          <w:numId w:val="4"/>
        </w:numPr>
        <w:tabs>
          <w:tab w:val="left" w:pos="1134"/>
        </w:tabs>
        <w:spacing w:after="100" w:afterAutospacing="1"/>
        <w:ind w:left="567" w:firstLine="0"/>
        <w:contextualSpacing/>
        <w:rPr>
          <w:rFonts w:eastAsia="Calibri"/>
          <w:szCs w:val="22"/>
          <w:lang w:eastAsia="en-US"/>
        </w:rPr>
      </w:pPr>
      <w:r w:rsidRPr="002D09EA">
        <w:rPr>
          <w:rFonts w:eastAsia="Calibri"/>
          <w:szCs w:val="22"/>
          <w:lang w:eastAsia="en-US"/>
        </w:rPr>
        <w:t>“</w:t>
      </w:r>
      <w:r w:rsidR="00027E5B" w:rsidRPr="002D09EA">
        <w:rPr>
          <w:rFonts w:eastAsia="Calibri"/>
          <w:szCs w:val="22"/>
          <w:lang w:eastAsia="en-US"/>
        </w:rPr>
        <w:t>Au cours de l</w:t>
      </w:r>
      <w:r w:rsidR="00191ADA" w:rsidRPr="002D09EA">
        <w:rPr>
          <w:rFonts w:eastAsia="Calibri"/>
          <w:szCs w:val="22"/>
          <w:lang w:eastAsia="en-US"/>
        </w:rPr>
        <w:t>’</w:t>
      </w:r>
      <w:r w:rsidR="00027E5B" w:rsidRPr="002D09EA">
        <w:rPr>
          <w:rFonts w:eastAsia="Calibri"/>
          <w:szCs w:val="22"/>
          <w:lang w:eastAsia="en-US"/>
        </w:rPr>
        <w:t>essai pilote, les annonces publicitaires de marques connues ont diminué de 12</w:t>
      </w:r>
      <w:r w:rsidRPr="002D09EA">
        <w:rPr>
          <w:rFonts w:eastAsia="Calibri"/>
          <w:szCs w:val="22"/>
          <w:lang w:eastAsia="en-US"/>
        </w:rPr>
        <w:t>%</w:t>
      </w:r>
      <w:r w:rsidR="00027E5B" w:rsidRPr="002D09EA">
        <w:rPr>
          <w:rFonts w:eastAsia="Calibri"/>
          <w:szCs w:val="22"/>
          <w:lang w:eastAsia="en-US"/>
        </w:rPr>
        <w:t>;</w:t>
      </w:r>
    </w:p>
    <w:p w:rsidR="00FD6FC2" w:rsidRPr="002D09EA" w:rsidRDefault="00FD6FC2" w:rsidP="00DD4DD5">
      <w:pPr>
        <w:spacing w:after="100" w:afterAutospacing="1"/>
        <w:ind w:left="567"/>
        <w:contextualSpacing/>
        <w:rPr>
          <w:rFonts w:eastAsia="Calibri"/>
          <w:szCs w:val="22"/>
          <w:lang w:eastAsia="en-US"/>
        </w:rPr>
      </w:pPr>
    </w:p>
    <w:p w:rsidR="00027E5B" w:rsidRPr="002D09EA" w:rsidRDefault="00DE551E" w:rsidP="00DD4DD5">
      <w:pPr>
        <w:numPr>
          <w:ilvl w:val="0"/>
          <w:numId w:val="4"/>
        </w:numPr>
        <w:tabs>
          <w:tab w:val="left" w:pos="1134"/>
        </w:tabs>
        <w:spacing w:after="100" w:afterAutospacing="1"/>
        <w:ind w:left="567" w:firstLine="0"/>
        <w:contextualSpacing/>
        <w:rPr>
          <w:rFonts w:eastAsia="Calibri"/>
          <w:szCs w:val="22"/>
          <w:lang w:eastAsia="en-US"/>
        </w:rPr>
      </w:pPr>
      <w:r>
        <w:rPr>
          <w:rFonts w:eastAsia="Calibri"/>
          <w:szCs w:val="22"/>
          <w:lang w:eastAsia="en-US"/>
        </w:rPr>
        <w:t>“</w:t>
      </w:r>
      <w:r w:rsidR="00027E5B" w:rsidRPr="002D09EA">
        <w:rPr>
          <w:rFonts w:eastAsia="Calibri"/>
          <w:szCs w:val="22"/>
          <w:lang w:eastAsia="en-US"/>
        </w:rPr>
        <w:t xml:space="preserve">Les </w:t>
      </w:r>
      <w:r w:rsidR="00212A56" w:rsidRPr="002D09EA">
        <w:rPr>
          <w:rFonts w:eastAsia="Calibri"/>
          <w:szCs w:val="22"/>
          <w:lang w:eastAsia="en-US"/>
        </w:rPr>
        <w:t>annonces publicitaire</w:t>
      </w:r>
      <w:r w:rsidR="00027E5B" w:rsidRPr="002D09EA">
        <w:rPr>
          <w:rFonts w:eastAsia="Calibri"/>
          <w:szCs w:val="22"/>
          <w:lang w:eastAsia="en-US"/>
        </w:rPr>
        <w:t xml:space="preserve">s qui </w:t>
      </w:r>
      <w:r w:rsidR="00B35BAA" w:rsidRPr="002D09EA">
        <w:rPr>
          <w:rFonts w:eastAsia="Calibri"/>
          <w:szCs w:val="22"/>
          <w:lang w:eastAsia="en-US"/>
        </w:rPr>
        <w:t>a</w:t>
      </w:r>
      <w:r w:rsidR="00027E5B" w:rsidRPr="002D09EA">
        <w:rPr>
          <w:rFonts w:eastAsia="Calibri"/>
          <w:szCs w:val="22"/>
          <w:lang w:eastAsia="en-US"/>
        </w:rPr>
        <w:t>mènent l</w:t>
      </w:r>
      <w:r w:rsidR="00191ADA" w:rsidRPr="002D09EA">
        <w:rPr>
          <w:rFonts w:eastAsia="Calibri"/>
          <w:szCs w:val="22"/>
          <w:lang w:eastAsia="en-US"/>
        </w:rPr>
        <w:t>’</w:t>
      </w:r>
      <w:r w:rsidR="00027E5B" w:rsidRPr="002D09EA">
        <w:rPr>
          <w:rFonts w:eastAsia="Calibri"/>
          <w:szCs w:val="22"/>
          <w:lang w:eastAsia="en-US"/>
        </w:rPr>
        <w:t>internaute sur des sites explicites réservés aux adultes ou qui les exposent à des logiciels malveillants ont augmenté de 39</w:t>
      </w:r>
      <w:r w:rsidR="00D2430A" w:rsidRPr="002D09EA">
        <w:rPr>
          <w:rFonts w:eastAsia="Calibri"/>
          <w:szCs w:val="22"/>
          <w:lang w:eastAsia="en-US"/>
        </w:rPr>
        <w:t>%</w:t>
      </w:r>
      <w:r w:rsidR="00027E5B" w:rsidRPr="002D09EA">
        <w:rPr>
          <w:rFonts w:eastAsia="Calibri"/>
          <w:szCs w:val="22"/>
          <w:lang w:eastAsia="en-US"/>
        </w:rPr>
        <w:t xml:space="preserve"> au cours de l</w:t>
      </w:r>
      <w:r w:rsidR="00191ADA" w:rsidRPr="002D09EA">
        <w:rPr>
          <w:rFonts w:eastAsia="Calibri"/>
          <w:szCs w:val="22"/>
          <w:lang w:eastAsia="en-US"/>
        </w:rPr>
        <w:t>’</w:t>
      </w:r>
      <w:r w:rsidR="00027E5B" w:rsidRPr="002D09EA">
        <w:rPr>
          <w:rFonts w:eastAsia="Calibri"/>
          <w:szCs w:val="22"/>
          <w:lang w:eastAsia="en-US"/>
        </w:rPr>
        <w:t xml:space="preserve">essai pilote, ce qui </w:t>
      </w:r>
      <w:r w:rsidR="00B35BAA" w:rsidRPr="002D09EA">
        <w:rPr>
          <w:rFonts w:eastAsia="Calibri"/>
          <w:szCs w:val="22"/>
          <w:lang w:eastAsia="en-US"/>
        </w:rPr>
        <w:t>laisse à penser</w:t>
      </w:r>
      <w:r w:rsidR="00027E5B" w:rsidRPr="002D09EA">
        <w:rPr>
          <w:rFonts w:eastAsia="Calibri"/>
          <w:szCs w:val="22"/>
          <w:lang w:eastAsia="en-US"/>
        </w:rPr>
        <w:t xml:space="preserve"> que les propriétaires de ces sites s</w:t>
      </w:r>
      <w:r w:rsidR="00191ADA" w:rsidRPr="002D09EA">
        <w:rPr>
          <w:rFonts w:eastAsia="Calibri"/>
          <w:szCs w:val="22"/>
          <w:lang w:eastAsia="en-US"/>
        </w:rPr>
        <w:t>’</w:t>
      </w:r>
      <w:r w:rsidR="00027E5B" w:rsidRPr="002D09EA">
        <w:rPr>
          <w:rFonts w:eastAsia="Calibri"/>
          <w:szCs w:val="22"/>
          <w:lang w:eastAsia="en-US"/>
        </w:rPr>
        <w:t>efforcent de maintenir leurs flux de recettes lorsque des marques connues retirent leurs publicités;</w:t>
      </w:r>
    </w:p>
    <w:p w:rsidR="00FD6FC2" w:rsidRPr="002D09EA" w:rsidRDefault="00FD6FC2" w:rsidP="00DD4DD5">
      <w:pPr>
        <w:tabs>
          <w:tab w:val="left" w:pos="1134"/>
        </w:tabs>
        <w:spacing w:after="100" w:afterAutospacing="1"/>
        <w:ind w:left="567"/>
        <w:contextualSpacing/>
        <w:rPr>
          <w:rFonts w:eastAsia="Calibri"/>
          <w:szCs w:val="22"/>
          <w:lang w:eastAsia="en-US"/>
        </w:rPr>
      </w:pPr>
    </w:p>
    <w:p w:rsidR="00027E5B" w:rsidRPr="002D09EA" w:rsidRDefault="00DE551E" w:rsidP="00DD4DD5">
      <w:pPr>
        <w:numPr>
          <w:ilvl w:val="0"/>
          <w:numId w:val="4"/>
        </w:numPr>
        <w:tabs>
          <w:tab w:val="left" w:pos="1134"/>
        </w:tabs>
        <w:spacing w:after="100" w:afterAutospacing="1"/>
        <w:ind w:left="567" w:firstLine="0"/>
        <w:contextualSpacing/>
        <w:rPr>
          <w:rFonts w:eastAsia="Calibri"/>
          <w:szCs w:val="22"/>
          <w:lang w:eastAsia="en-US"/>
        </w:rPr>
      </w:pPr>
      <w:r>
        <w:rPr>
          <w:rFonts w:eastAsia="Calibri"/>
          <w:szCs w:val="22"/>
          <w:lang w:eastAsia="en-US"/>
        </w:rPr>
        <w:t>“</w:t>
      </w:r>
      <w:r w:rsidR="00027E5B" w:rsidRPr="002D09EA">
        <w:rPr>
          <w:rFonts w:eastAsia="Calibri"/>
          <w:szCs w:val="22"/>
          <w:lang w:eastAsia="en-US"/>
        </w:rPr>
        <w:t>Près de la moitié</w:t>
      </w:r>
      <w:r w:rsidR="00FD6FC2" w:rsidRPr="002D09EA">
        <w:rPr>
          <w:rFonts w:eastAsia="Calibri"/>
          <w:szCs w:val="22"/>
          <w:lang w:eastAsia="en-US"/>
        </w:rPr>
        <w:t xml:space="preserve"> (46</w:t>
      </w:r>
      <w:r w:rsidR="00D2430A" w:rsidRPr="002D09EA">
        <w:rPr>
          <w:rFonts w:eastAsia="Calibri"/>
          <w:szCs w:val="22"/>
          <w:lang w:eastAsia="en-US"/>
        </w:rPr>
        <w:t>%</w:t>
      </w:r>
      <w:r w:rsidR="00FD6FC2" w:rsidRPr="002D09EA">
        <w:rPr>
          <w:rFonts w:eastAsia="Calibri"/>
          <w:szCs w:val="22"/>
          <w:lang w:eastAsia="en-US"/>
        </w:rPr>
        <w:t xml:space="preserve">) </w:t>
      </w:r>
      <w:r w:rsidR="00027E5B" w:rsidRPr="002D09EA">
        <w:rPr>
          <w:rFonts w:eastAsia="Calibri"/>
          <w:szCs w:val="22"/>
          <w:lang w:eastAsia="en-US"/>
        </w:rPr>
        <w:t xml:space="preserve">du nombre total de publicités insérées sur les sites </w:t>
      </w:r>
      <w:r w:rsidR="00326056">
        <w:rPr>
          <w:rFonts w:eastAsia="Calibri"/>
          <w:szCs w:val="22"/>
          <w:lang w:eastAsia="en-US"/>
        </w:rPr>
        <w:t>concernait</w:t>
      </w:r>
      <w:r w:rsidR="00027E5B" w:rsidRPr="002D09EA">
        <w:rPr>
          <w:rFonts w:eastAsia="Calibri"/>
          <w:szCs w:val="22"/>
          <w:lang w:eastAsia="en-US"/>
        </w:rPr>
        <w:t xml:space="preserve"> des marques inconnues ou non identifiées qui invitaient les internautes à cliquer, les renvoyant souvent à des arnaques frauduleuses</w:t>
      </w:r>
      <w:r>
        <w:rPr>
          <w:rFonts w:eastAsia="Calibri"/>
          <w:szCs w:val="22"/>
          <w:lang w:eastAsia="en-US"/>
        </w:rPr>
        <w:t>”</w:t>
      </w:r>
      <w:r w:rsidR="00027E5B" w:rsidRPr="002D09EA">
        <w:rPr>
          <w:rFonts w:eastAsia="Calibri"/>
          <w:szCs w:val="22"/>
          <w:lang w:eastAsia="en-US"/>
        </w:rPr>
        <w:t>.</w:t>
      </w:r>
    </w:p>
    <w:p w:rsidR="00FD6FC2" w:rsidRPr="002D09EA" w:rsidRDefault="00FD6FC2" w:rsidP="00DD4DD5">
      <w:pPr>
        <w:spacing w:after="160" w:line="256" w:lineRule="auto"/>
        <w:contextualSpacing/>
        <w:rPr>
          <w:rFonts w:eastAsia="Calibri"/>
          <w:szCs w:val="22"/>
          <w:lang w:eastAsia="en-US"/>
        </w:rPr>
      </w:pPr>
    </w:p>
    <w:p w:rsidR="0073283A" w:rsidRPr="002D09EA" w:rsidRDefault="0073283A" w:rsidP="00E262DB">
      <w:pPr>
        <w:pStyle w:val="ONUMFS"/>
        <w:rPr>
          <w:lang w:val="fr-FR"/>
        </w:rPr>
      </w:pPr>
      <w:r w:rsidRPr="002D09EA">
        <w:rPr>
          <w:lang w:val="fr-FR"/>
        </w:rPr>
        <w:t>La phase suivante du programme ciblait les sites</w:t>
      </w:r>
      <w:r w:rsidR="00D2430A" w:rsidRPr="002D09EA">
        <w:rPr>
          <w:lang w:val="fr-FR"/>
        </w:rPr>
        <w:t> </w:t>
      </w:r>
      <w:r w:rsidRPr="002D09EA">
        <w:rPr>
          <w:lang w:val="fr-FR"/>
        </w:rPr>
        <w:t xml:space="preserve">Web qui </w:t>
      </w:r>
      <w:r w:rsidR="00212A56" w:rsidRPr="002D09EA">
        <w:rPr>
          <w:lang w:val="fr-FR"/>
        </w:rPr>
        <w:t>persistaient à commettre</w:t>
      </w:r>
      <w:r w:rsidRPr="002D09EA">
        <w:rPr>
          <w:lang w:val="fr-FR"/>
        </w:rPr>
        <w:t xml:space="preserve"> des infractions </w:t>
      </w:r>
      <w:r w:rsidR="00D2430A" w:rsidRPr="002D09EA">
        <w:rPr>
          <w:lang w:val="fr-FR"/>
        </w:rPr>
        <w:t>–</w:t>
      </w:r>
      <w:r w:rsidRPr="002D09EA">
        <w:rPr>
          <w:lang w:val="fr-FR"/>
        </w:rPr>
        <w:t xml:space="preserve"> par le biais de lettres officielles envoyées par</w:t>
      </w:r>
      <w:r w:rsidR="00191ADA" w:rsidRPr="002D09EA">
        <w:rPr>
          <w:lang w:val="fr-FR"/>
        </w:rPr>
        <w:t xml:space="preserve"> la PIP</w:t>
      </w:r>
      <w:r w:rsidRPr="002D09EA">
        <w:rPr>
          <w:lang w:val="fr-FR"/>
        </w:rPr>
        <w:t xml:space="preserve">CU </w:t>
      </w:r>
      <w:r w:rsidR="00D2430A" w:rsidRPr="002D09EA">
        <w:rPr>
          <w:lang w:val="fr-FR"/>
        </w:rPr>
        <w:t>“</w:t>
      </w:r>
      <w:r w:rsidRPr="002D09EA">
        <w:rPr>
          <w:lang w:val="fr-FR"/>
        </w:rPr>
        <w:t>à des services d</w:t>
      </w:r>
      <w:r w:rsidR="00191ADA" w:rsidRPr="002D09EA">
        <w:rPr>
          <w:lang w:val="fr-FR"/>
        </w:rPr>
        <w:t>’</w:t>
      </w:r>
      <w:r w:rsidRPr="002D09EA">
        <w:rPr>
          <w:lang w:val="fr-FR"/>
        </w:rPr>
        <w:t>enregistrement des noms de domaine, expliquant qu</w:t>
      </w:r>
      <w:r w:rsidR="00191ADA" w:rsidRPr="002D09EA">
        <w:rPr>
          <w:lang w:val="fr-FR"/>
        </w:rPr>
        <w:t>’</w:t>
      </w:r>
      <w:r w:rsidRPr="002D09EA">
        <w:rPr>
          <w:lang w:val="fr-FR"/>
        </w:rPr>
        <w:t>ils hébergeaient des sites qui facilitent les atteintes au droit d</w:t>
      </w:r>
      <w:r w:rsidR="00191ADA" w:rsidRPr="002D09EA">
        <w:rPr>
          <w:lang w:val="fr-FR"/>
        </w:rPr>
        <w:t>’</w:t>
      </w:r>
      <w:r w:rsidRPr="002D09EA">
        <w:rPr>
          <w:lang w:val="fr-FR"/>
        </w:rPr>
        <w:t xml:space="preserve">auteur en vertu du droit britannique et qui ne respectent </w:t>
      </w:r>
      <w:r w:rsidR="00AE687C">
        <w:rPr>
          <w:lang w:val="fr-FR"/>
        </w:rPr>
        <w:t xml:space="preserve">potentiellement </w:t>
      </w:r>
      <w:r w:rsidRPr="002D09EA">
        <w:rPr>
          <w:lang w:val="fr-FR"/>
        </w:rPr>
        <w:t>pas leurs conditions</w:t>
      </w:r>
      <w:r w:rsidR="008B14CB">
        <w:rPr>
          <w:lang w:val="fr-FR"/>
        </w:rPr>
        <w:t xml:space="preserve"> générales</w:t>
      </w:r>
      <w:r w:rsidRPr="002D09EA">
        <w:rPr>
          <w:lang w:val="fr-FR"/>
        </w:rPr>
        <w:t>.  Ces services étaient ensuite invités à suspendre ces sites jusqu</w:t>
      </w:r>
      <w:r w:rsidR="00191ADA" w:rsidRPr="002D09EA">
        <w:rPr>
          <w:lang w:val="fr-FR"/>
        </w:rPr>
        <w:t>’</w:t>
      </w:r>
      <w:r w:rsidRPr="002D09EA">
        <w:rPr>
          <w:lang w:val="fr-FR"/>
        </w:rPr>
        <w:t>à nouvel ordre</w:t>
      </w:r>
      <w:r w:rsidR="00D2430A" w:rsidRPr="002D09EA">
        <w:rPr>
          <w:lang w:val="fr-FR"/>
        </w:rPr>
        <w:t>”</w:t>
      </w:r>
      <w:r w:rsidRPr="002D09EA">
        <w:rPr>
          <w:vertAlign w:val="superscript"/>
          <w:lang w:val="fr-FR"/>
        </w:rPr>
        <w:t>6</w:t>
      </w:r>
      <w:r w:rsidRPr="002D09EA">
        <w:rPr>
          <w:lang w:val="fr-FR"/>
        </w:rPr>
        <w:t>.  Au moment de l</w:t>
      </w:r>
      <w:r w:rsidR="00191ADA" w:rsidRPr="002D09EA">
        <w:rPr>
          <w:lang w:val="fr-FR"/>
        </w:rPr>
        <w:t>’</w:t>
      </w:r>
      <w:r w:rsidRPr="002D09EA">
        <w:rPr>
          <w:lang w:val="fr-FR"/>
        </w:rPr>
        <w:t>annonce, ces sites faisaient encore l</w:t>
      </w:r>
      <w:r w:rsidR="00191ADA" w:rsidRPr="002D09EA">
        <w:rPr>
          <w:lang w:val="fr-FR"/>
        </w:rPr>
        <w:t>’</w:t>
      </w:r>
      <w:r w:rsidRPr="002D09EA">
        <w:rPr>
          <w:lang w:val="fr-FR"/>
        </w:rPr>
        <w:t>objet d</w:t>
      </w:r>
      <w:r w:rsidR="00191ADA" w:rsidRPr="002D09EA">
        <w:rPr>
          <w:lang w:val="fr-FR"/>
        </w:rPr>
        <w:t>’</w:t>
      </w:r>
      <w:r w:rsidRPr="002D09EA">
        <w:rPr>
          <w:lang w:val="fr-FR"/>
        </w:rPr>
        <w:t>une</w:t>
      </w:r>
      <w:r w:rsidR="00E145DD" w:rsidRPr="002D09EA">
        <w:rPr>
          <w:lang w:val="fr-FR"/>
        </w:rPr>
        <w:t xml:space="preserve"> enquête par les agents de</w:t>
      </w:r>
      <w:r w:rsidR="00191ADA" w:rsidRPr="002D09EA">
        <w:rPr>
          <w:lang w:val="fr-FR"/>
        </w:rPr>
        <w:t xml:space="preserve"> la PIP</w:t>
      </w:r>
      <w:r w:rsidR="00E145DD" w:rsidRPr="002D09EA">
        <w:rPr>
          <w:lang w:val="fr-FR"/>
        </w:rPr>
        <w:t xml:space="preserve">CU </w:t>
      </w:r>
      <w:r w:rsidR="00D2430A" w:rsidRPr="002D09EA">
        <w:rPr>
          <w:lang w:val="fr-FR"/>
        </w:rPr>
        <w:t>–</w:t>
      </w:r>
      <w:r w:rsidR="00E145DD" w:rsidRPr="002D09EA">
        <w:rPr>
          <w:lang w:val="fr-FR"/>
        </w:rPr>
        <w:t xml:space="preserve"> mais le communiqué de presse de</w:t>
      </w:r>
      <w:r w:rsidR="00191ADA" w:rsidRPr="002D09EA">
        <w:rPr>
          <w:lang w:val="fr-FR"/>
        </w:rPr>
        <w:t xml:space="preserve"> la PIP</w:t>
      </w:r>
      <w:r w:rsidR="00E145DD" w:rsidRPr="002D09EA">
        <w:rPr>
          <w:lang w:val="fr-FR"/>
        </w:rPr>
        <w:t>CU</w:t>
      </w:r>
      <w:r w:rsidR="00E145DD" w:rsidRPr="002D09EA">
        <w:rPr>
          <w:vertAlign w:val="superscript"/>
          <w:lang w:val="fr-FR"/>
        </w:rPr>
        <w:t xml:space="preserve">6 </w:t>
      </w:r>
      <w:r w:rsidR="00E145DD" w:rsidRPr="002D09EA">
        <w:rPr>
          <w:lang w:val="fr-FR"/>
        </w:rPr>
        <w:t xml:space="preserve">notait que </w:t>
      </w:r>
      <w:r w:rsidR="00D2430A" w:rsidRPr="002D09EA">
        <w:rPr>
          <w:lang w:val="fr-FR"/>
        </w:rPr>
        <w:t>“</w:t>
      </w:r>
      <w:r w:rsidR="00E145DD" w:rsidRPr="002D09EA">
        <w:rPr>
          <w:lang w:val="fr-FR"/>
        </w:rPr>
        <w:t>40 sites</w:t>
      </w:r>
      <w:r w:rsidR="00D2430A" w:rsidRPr="002D09EA">
        <w:rPr>
          <w:lang w:val="fr-FR"/>
        </w:rPr>
        <w:t> </w:t>
      </w:r>
      <w:r w:rsidR="00E145DD" w:rsidRPr="002D09EA">
        <w:rPr>
          <w:lang w:val="fr-FR"/>
        </w:rPr>
        <w:t>Web nationaux et internationaux étaient suspendus par les services</w:t>
      </w:r>
      <w:r w:rsidR="00E145DD" w:rsidRPr="002D09EA">
        <w:rPr>
          <w:rFonts w:ascii="Times New Roman" w:hAnsi="Times New Roman" w:cs="Times New Roman"/>
          <w:lang w:val="fr-FR"/>
        </w:rPr>
        <w:t xml:space="preserve"> </w:t>
      </w:r>
      <w:r w:rsidR="00E145DD" w:rsidRPr="002D09EA">
        <w:rPr>
          <w:lang w:val="fr-FR"/>
        </w:rPr>
        <w:t>d</w:t>
      </w:r>
      <w:r w:rsidR="00191ADA" w:rsidRPr="002D09EA">
        <w:rPr>
          <w:lang w:val="fr-FR"/>
        </w:rPr>
        <w:t>’</w:t>
      </w:r>
      <w:r w:rsidR="00E145DD" w:rsidRPr="002D09EA">
        <w:rPr>
          <w:lang w:val="fr-FR"/>
        </w:rPr>
        <w:t>enregistrement des noms de domaine</w:t>
      </w:r>
      <w:r w:rsidR="00D2430A" w:rsidRPr="002D09EA">
        <w:rPr>
          <w:lang w:val="fr-FR"/>
        </w:rPr>
        <w:t>”</w:t>
      </w:r>
      <w:r w:rsidR="00E145DD" w:rsidRPr="002D09EA">
        <w:rPr>
          <w:lang w:val="fr-FR"/>
        </w:rPr>
        <w:t>.</w:t>
      </w:r>
    </w:p>
    <w:p w:rsidR="00191ADA" w:rsidRPr="002D09EA" w:rsidRDefault="00FD6FC2" w:rsidP="00E262DB">
      <w:pPr>
        <w:pStyle w:val="ONUMFS"/>
        <w:rPr>
          <w:lang w:val="fr-FR"/>
        </w:rPr>
      </w:pPr>
      <w:proofErr w:type="spellStart"/>
      <w:r w:rsidRPr="002D09EA">
        <w:rPr>
          <w:lang w:val="fr-FR"/>
        </w:rPr>
        <w:t>Operation</w:t>
      </w:r>
      <w:proofErr w:type="spellEnd"/>
      <w:r w:rsidRPr="002D09EA">
        <w:rPr>
          <w:lang w:val="fr-FR"/>
        </w:rPr>
        <w:t xml:space="preserve"> </w:t>
      </w:r>
      <w:proofErr w:type="spellStart"/>
      <w:r w:rsidRPr="002D09EA">
        <w:rPr>
          <w:lang w:val="fr-FR"/>
        </w:rPr>
        <w:t>Creative</w:t>
      </w:r>
      <w:proofErr w:type="spellEnd"/>
      <w:r w:rsidRPr="002D09EA">
        <w:rPr>
          <w:lang w:val="fr-FR"/>
        </w:rPr>
        <w:t xml:space="preserve"> </w:t>
      </w:r>
      <w:r w:rsidR="00E145DD" w:rsidRPr="002D09EA">
        <w:rPr>
          <w:lang w:val="fr-FR"/>
        </w:rPr>
        <w:t>poursuit la mise à jour d</w:t>
      </w:r>
      <w:r w:rsidR="00191ADA" w:rsidRPr="002D09EA">
        <w:rPr>
          <w:lang w:val="fr-FR"/>
        </w:rPr>
        <w:t>’</w:t>
      </w:r>
      <w:r w:rsidR="00E145DD" w:rsidRPr="002D09EA">
        <w:rPr>
          <w:lang w:val="fr-FR"/>
        </w:rPr>
        <w:t>une liste de</w:t>
      </w:r>
      <w:r w:rsidRPr="002D09EA">
        <w:rPr>
          <w:lang w:val="fr-FR"/>
        </w:rPr>
        <w:t xml:space="preserve"> sites</w:t>
      </w:r>
      <w:r w:rsidR="00212A56" w:rsidRPr="002D09EA">
        <w:rPr>
          <w:lang w:val="fr-FR"/>
        </w:rPr>
        <w:t xml:space="preserve">, </w:t>
      </w:r>
      <w:r w:rsidR="00E145DD" w:rsidRPr="002D09EA">
        <w:rPr>
          <w:lang w:val="fr-FR"/>
        </w:rPr>
        <w:t>et d</w:t>
      </w:r>
      <w:r w:rsidR="00191ADA" w:rsidRPr="002D09EA">
        <w:rPr>
          <w:lang w:val="fr-FR"/>
        </w:rPr>
        <w:t>’</w:t>
      </w:r>
      <w:r w:rsidR="00E145DD" w:rsidRPr="002D09EA">
        <w:rPr>
          <w:lang w:val="fr-FR"/>
        </w:rPr>
        <w:t>autres titulaires de droits suivent ses activités avec intérêt.</w:t>
      </w:r>
    </w:p>
    <w:p w:rsidR="00FD6FC2" w:rsidRPr="002D09EA" w:rsidRDefault="00E145DD" w:rsidP="00DD4DD5">
      <w:pPr>
        <w:pStyle w:val="Heading4"/>
      </w:pPr>
      <w:r w:rsidRPr="002D09EA">
        <w:t>La s</w:t>
      </w:r>
      <w:r w:rsidR="00FD6FC2" w:rsidRPr="002D09EA">
        <w:t>ection</w:t>
      </w:r>
      <w:r w:rsidR="00D2430A" w:rsidRPr="002D09EA">
        <w:t> </w:t>
      </w:r>
      <w:r w:rsidR="00FD6FC2" w:rsidRPr="002D09EA">
        <w:t>B (</w:t>
      </w:r>
      <w:r w:rsidRPr="002D09EA">
        <w:t>voir ci</w:t>
      </w:r>
      <w:r w:rsidR="00F40A5D" w:rsidRPr="002D09EA">
        <w:noBreakHyphen/>
      </w:r>
      <w:r w:rsidRPr="002D09EA">
        <w:t>après</w:t>
      </w:r>
      <w:r w:rsidR="00FD6FC2" w:rsidRPr="002D09EA">
        <w:t xml:space="preserve">) </w:t>
      </w:r>
      <w:r w:rsidRPr="002D09EA">
        <w:t xml:space="preserve">analyse plus avant certains </w:t>
      </w:r>
      <w:r w:rsidR="00FD6FC2" w:rsidRPr="002D09EA">
        <w:t xml:space="preserve">aspects </w:t>
      </w:r>
      <w:r w:rsidRPr="002D09EA">
        <w:t>de ces deux</w:t>
      </w:r>
      <w:r w:rsidR="00D2430A" w:rsidRPr="002D09EA">
        <w:t> </w:t>
      </w:r>
      <w:r w:rsidRPr="002D09EA">
        <w:t>mécanismes</w:t>
      </w:r>
      <w:r w:rsidR="00FD6FC2" w:rsidRPr="002D09EA">
        <w:t>.</w:t>
      </w:r>
    </w:p>
    <w:p w:rsidR="00FD6FC2" w:rsidRPr="002D09EA" w:rsidRDefault="00E145DD" w:rsidP="00DD4DD5">
      <w:pPr>
        <w:pStyle w:val="Heading3"/>
        <w:numPr>
          <w:ilvl w:val="0"/>
          <w:numId w:val="6"/>
        </w:numPr>
        <w:tabs>
          <w:tab w:val="left" w:pos="567"/>
          <w:tab w:val="left" w:pos="1134"/>
        </w:tabs>
        <w:ind w:left="0" w:firstLine="0"/>
      </w:pPr>
      <w:r w:rsidRPr="002D09EA">
        <w:t>Princip</w:t>
      </w:r>
      <w:r w:rsidR="00A27057" w:rsidRPr="002D09EA">
        <w:t>es</w:t>
      </w:r>
      <w:r w:rsidRPr="002D09EA">
        <w:t xml:space="preserve"> de bonnes pratiques appliqués au Royaume</w:t>
      </w:r>
      <w:r w:rsidR="00F40A5D" w:rsidRPr="002D09EA">
        <w:noBreakHyphen/>
      </w:r>
      <w:r w:rsidRPr="002D09EA">
        <w:t>Uni</w:t>
      </w:r>
    </w:p>
    <w:p w:rsidR="00FD6FC2" w:rsidRPr="002D09EA" w:rsidRDefault="00FD6FC2" w:rsidP="00DD4DD5">
      <w:pPr>
        <w:tabs>
          <w:tab w:val="left" w:pos="540"/>
          <w:tab w:val="left" w:pos="567"/>
        </w:tabs>
        <w:rPr>
          <w:bCs/>
          <w:szCs w:val="22"/>
        </w:rPr>
      </w:pPr>
    </w:p>
    <w:p w:rsidR="00E145DD" w:rsidRPr="002D09EA" w:rsidRDefault="00E145DD" w:rsidP="00E262DB">
      <w:pPr>
        <w:pStyle w:val="ONUMFS"/>
        <w:rPr>
          <w:lang w:val="fr-FR"/>
        </w:rPr>
      </w:pPr>
      <w:r w:rsidRPr="002D09EA">
        <w:rPr>
          <w:lang w:val="fr-FR"/>
        </w:rPr>
        <w:t xml:space="preserve">À </w:t>
      </w:r>
      <w:r w:rsidR="00C16277">
        <w:rPr>
          <w:lang w:val="fr-FR"/>
        </w:rPr>
        <w:t xml:space="preserve">la </w:t>
      </w:r>
      <w:r w:rsidRPr="002D09EA">
        <w:rPr>
          <w:lang w:val="fr-FR"/>
        </w:rPr>
        <w:t>mi</w:t>
      </w:r>
      <w:r w:rsidR="00F40A5D" w:rsidRPr="002D09EA">
        <w:rPr>
          <w:lang w:val="fr-FR"/>
        </w:rPr>
        <w:noBreakHyphen/>
      </w:r>
      <w:r w:rsidRPr="002D09EA">
        <w:rPr>
          <w:lang w:val="fr-FR"/>
        </w:rPr>
        <w:t>décembre, peu après la publication de l</w:t>
      </w:r>
      <w:r w:rsidR="00191ADA" w:rsidRPr="002D09EA">
        <w:rPr>
          <w:lang w:val="fr-FR"/>
        </w:rPr>
        <w:t>’</w:t>
      </w:r>
      <w:r w:rsidRPr="002D09EA">
        <w:rPr>
          <w:lang w:val="fr-FR"/>
        </w:rPr>
        <w:t xml:space="preserve">annonce par </w:t>
      </w:r>
      <w:proofErr w:type="spellStart"/>
      <w:r w:rsidRPr="002D09EA">
        <w:rPr>
          <w:lang w:val="fr-FR"/>
        </w:rPr>
        <w:t>Operation</w:t>
      </w:r>
      <w:proofErr w:type="spellEnd"/>
      <w:r w:rsidRPr="002D09EA">
        <w:rPr>
          <w:lang w:val="fr-FR"/>
        </w:rPr>
        <w:t xml:space="preserve"> </w:t>
      </w:r>
      <w:proofErr w:type="spellStart"/>
      <w:r w:rsidRPr="002D09EA">
        <w:rPr>
          <w:lang w:val="fr-FR"/>
        </w:rPr>
        <w:t>Creative</w:t>
      </w:r>
      <w:proofErr w:type="spellEnd"/>
      <w:r w:rsidRPr="002D09EA">
        <w:rPr>
          <w:lang w:val="fr-FR"/>
        </w:rPr>
        <w:t>, le secteur britannique de la p</w:t>
      </w:r>
      <w:r w:rsidR="00CA0CDF" w:rsidRPr="002D09EA">
        <w:rPr>
          <w:lang w:val="fr-FR"/>
        </w:rPr>
        <w:t>ublicité</w:t>
      </w:r>
      <w:r w:rsidR="00D702D3" w:rsidRPr="002D09EA">
        <w:rPr>
          <w:lang w:val="fr-FR"/>
        </w:rPr>
        <w:t xml:space="preserve"> a annoncé la conclusion d</w:t>
      </w:r>
      <w:r w:rsidR="00191ADA" w:rsidRPr="002D09EA">
        <w:rPr>
          <w:lang w:val="fr-FR"/>
        </w:rPr>
        <w:t>’</w:t>
      </w:r>
      <w:r w:rsidR="00D702D3" w:rsidRPr="002D09EA">
        <w:rPr>
          <w:lang w:val="fr-FR"/>
        </w:rPr>
        <w:t xml:space="preserve">un accord relatif aux principes de bonnes pratiques et aux accords primaires auxquels participent des acteurs majeurs tels que Google </w:t>
      </w:r>
      <w:proofErr w:type="spellStart"/>
      <w:r w:rsidR="00D702D3" w:rsidRPr="002D09EA">
        <w:rPr>
          <w:lang w:val="fr-FR"/>
        </w:rPr>
        <w:t>DoubleClick</w:t>
      </w:r>
      <w:proofErr w:type="spellEnd"/>
      <w:r w:rsidR="00D702D3" w:rsidRPr="002D09EA">
        <w:rPr>
          <w:lang w:val="fr-FR"/>
        </w:rPr>
        <w:t xml:space="preserve"> Ad Exchange, Yahoo, Fox Networks </w:t>
      </w:r>
      <w:r w:rsidR="00326056">
        <w:rPr>
          <w:lang w:val="fr-FR"/>
        </w:rPr>
        <w:t>et</w:t>
      </w:r>
      <w:r w:rsidR="00D702D3" w:rsidRPr="002D09EA">
        <w:rPr>
          <w:lang w:val="fr-FR"/>
        </w:rPr>
        <w:t xml:space="preserve"> Microsoft</w:t>
      </w:r>
      <w:r w:rsidR="00D702D3" w:rsidRPr="002D09EA">
        <w:rPr>
          <w:rFonts w:cs="Times New Roman"/>
          <w:vertAlign w:val="superscript"/>
          <w:lang w:val="fr-FR"/>
        </w:rPr>
        <w:footnoteReference w:id="10"/>
      </w:r>
      <w:r w:rsidR="00D702D3" w:rsidRPr="002D09EA">
        <w:rPr>
          <w:lang w:val="fr-FR"/>
        </w:rPr>
        <w:t>.</w:t>
      </w:r>
    </w:p>
    <w:p w:rsidR="00D702D3" w:rsidRPr="002D09EA" w:rsidRDefault="00D702D3" w:rsidP="00E262DB">
      <w:pPr>
        <w:pStyle w:val="ONUMFS"/>
        <w:rPr>
          <w:lang w:val="fr-FR"/>
        </w:rPr>
      </w:pPr>
      <w:r w:rsidRPr="002D09EA">
        <w:rPr>
          <w:lang w:val="fr-FR"/>
        </w:rPr>
        <w:t xml:space="preserve">Cette annonce a été faite par le Digital </w:t>
      </w:r>
      <w:proofErr w:type="spellStart"/>
      <w:r w:rsidRPr="002D09EA">
        <w:rPr>
          <w:lang w:val="fr-FR"/>
        </w:rPr>
        <w:t>Trading</w:t>
      </w:r>
      <w:proofErr w:type="spellEnd"/>
      <w:r w:rsidRPr="002D09EA">
        <w:rPr>
          <w:lang w:val="fr-FR"/>
        </w:rPr>
        <w:t xml:space="preserve"> Standards Group (DTSG) – groupe britannique qui fédère des représentants de tout le marché de la publicité numérique, y</w:t>
      </w:r>
      <w:r w:rsidR="00D2430A" w:rsidRPr="002D09EA">
        <w:rPr>
          <w:lang w:val="fr-FR"/>
        </w:rPr>
        <w:t> </w:t>
      </w:r>
      <w:r w:rsidRPr="002D09EA">
        <w:rPr>
          <w:lang w:val="fr-FR"/>
        </w:rPr>
        <w:t>compris des organismes professionnels, l</w:t>
      </w:r>
      <w:r w:rsidR="00191ADA" w:rsidRPr="002D09EA">
        <w:rPr>
          <w:lang w:val="fr-FR"/>
        </w:rPr>
        <w:t>’</w:t>
      </w:r>
      <w:r w:rsidRPr="002D09EA">
        <w:rPr>
          <w:shd w:val="clear" w:color="auto" w:fill="FFFFFF"/>
          <w:lang w:val="fr-FR"/>
        </w:rPr>
        <w:t xml:space="preserve">Association of Online </w:t>
      </w:r>
      <w:proofErr w:type="spellStart"/>
      <w:r w:rsidRPr="002D09EA">
        <w:rPr>
          <w:shd w:val="clear" w:color="auto" w:fill="FFFFFF"/>
          <w:lang w:val="fr-FR"/>
        </w:rPr>
        <w:t>Publishers</w:t>
      </w:r>
      <w:proofErr w:type="spellEnd"/>
      <w:r w:rsidRPr="002D09EA">
        <w:rPr>
          <w:shd w:val="clear" w:color="auto" w:fill="FFFFFF"/>
          <w:lang w:val="fr-FR"/>
        </w:rPr>
        <w:t xml:space="preserve"> (AOP), ISBA –</w:t>
      </w:r>
      <w:r w:rsidR="006B03E3">
        <w:rPr>
          <w:shd w:val="clear" w:color="auto" w:fill="FFFFFF"/>
          <w:lang w:val="fr-FR"/>
        </w:rPr>
        <w:t xml:space="preserve"> </w:t>
      </w:r>
      <w:r w:rsidRPr="002D09EA">
        <w:rPr>
          <w:shd w:val="clear" w:color="auto" w:fill="FFFFFF"/>
          <w:lang w:val="fr-FR"/>
        </w:rPr>
        <w:t xml:space="preserve">Voice of British </w:t>
      </w:r>
      <w:proofErr w:type="spellStart"/>
      <w:r w:rsidRPr="002D09EA">
        <w:rPr>
          <w:shd w:val="clear" w:color="auto" w:fill="FFFFFF"/>
          <w:lang w:val="fr-FR"/>
        </w:rPr>
        <w:t>Advertisers</w:t>
      </w:r>
      <w:proofErr w:type="spellEnd"/>
      <w:r w:rsidRPr="002D09EA">
        <w:rPr>
          <w:shd w:val="clear" w:color="auto" w:fill="FFFFFF"/>
          <w:lang w:val="fr-FR"/>
        </w:rPr>
        <w:t xml:space="preserve">, </w:t>
      </w:r>
      <w:r w:rsidR="002D3004" w:rsidRPr="002D09EA">
        <w:rPr>
          <w:shd w:val="clear" w:color="auto" w:fill="FFFFFF"/>
          <w:lang w:val="fr-FR"/>
        </w:rPr>
        <w:t>l</w:t>
      </w:r>
      <w:r w:rsidR="00191ADA" w:rsidRPr="002D09EA">
        <w:rPr>
          <w:shd w:val="clear" w:color="auto" w:fill="FFFFFF"/>
          <w:lang w:val="fr-FR"/>
        </w:rPr>
        <w:t>’</w:t>
      </w:r>
      <w:r w:rsidRPr="002D09EA">
        <w:rPr>
          <w:shd w:val="clear" w:color="auto" w:fill="FFFFFF"/>
          <w:lang w:val="fr-FR"/>
        </w:rPr>
        <w:t xml:space="preserve">Institute of </w:t>
      </w:r>
      <w:proofErr w:type="spellStart"/>
      <w:r w:rsidRPr="002D09EA">
        <w:rPr>
          <w:shd w:val="clear" w:color="auto" w:fill="FFFFFF"/>
          <w:lang w:val="fr-FR"/>
        </w:rPr>
        <w:t>Practitioners</w:t>
      </w:r>
      <w:proofErr w:type="spellEnd"/>
      <w:r w:rsidRPr="002D09EA">
        <w:rPr>
          <w:shd w:val="clear" w:color="auto" w:fill="FFFFFF"/>
          <w:lang w:val="fr-FR"/>
        </w:rPr>
        <w:t xml:space="preserve"> in </w:t>
      </w:r>
      <w:proofErr w:type="spellStart"/>
      <w:r w:rsidRPr="002D09EA">
        <w:rPr>
          <w:shd w:val="clear" w:color="auto" w:fill="FFFFFF"/>
          <w:lang w:val="fr-FR"/>
        </w:rPr>
        <w:t>Advertising</w:t>
      </w:r>
      <w:proofErr w:type="spellEnd"/>
      <w:r w:rsidRPr="002D09EA">
        <w:rPr>
          <w:shd w:val="clear" w:color="auto" w:fill="FFFFFF"/>
          <w:lang w:val="fr-FR"/>
        </w:rPr>
        <w:t xml:space="preserve"> (IPA) </w:t>
      </w:r>
      <w:r w:rsidR="002D3004" w:rsidRPr="00E76437">
        <w:rPr>
          <w:shd w:val="clear" w:color="auto" w:fill="FFFFFF"/>
          <w:lang w:val="fr-FR"/>
        </w:rPr>
        <w:t>et l</w:t>
      </w:r>
      <w:r w:rsidR="00191ADA" w:rsidRPr="00E76437">
        <w:rPr>
          <w:shd w:val="clear" w:color="auto" w:fill="FFFFFF"/>
          <w:lang w:val="fr-FR"/>
        </w:rPr>
        <w:t>’</w:t>
      </w:r>
      <w:r w:rsidR="002D3004" w:rsidRPr="00E76437">
        <w:rPr>
          <w:shd w:val="clear" w:color="auto" w:fill="FFFFFF"/>
          <w:lang w:val="fr-FR"/>
        </w:rPr>
        <w:t xml:space="preserve">Internet </w:t>
      </w:r>
      <w:proofErr w:type="spellStart"/>
      <w:r w:rsidR="002D3004" w:rsidRPr="00E76437">
        <w:rPr>
          <w:shd w:val="clear" w:color="auto" w:fill="FFFFFF"/>
          <w:lang w:val="fr-FR"/>
        </w:rPr>
        <w:t>Advertising</w:t>
      </w:r>
      <w:proofErr w:type="spellEnd"/>
      <w:r w:rsidR="002D3004" w:rsidRPr="00E76437">
        <w:rPr>
          <w:shd w:val="clear" w:color="auto" w:fill="FFFFFF"/>
          <w:lang w:val="fr-FR"/>
        </w:rPr>
        <w:t xml:space="preserve"> Bureau (</w:t>
      </w:r>
      <w:r w:rsidRPr="00E76437">
        <w:rPr>
          <w:shd w:val="clear" w:color="auto" w:fill="FFFFFF"/>
          <w:lang w:val="fr-FR"/>
        </w:rPr>
        <w:t xml:space="preserve">IAB </w:t>
      </w:r>
      <w:r w:rsidRPr="002D09EA">
        <w:rPr>
          <w:shd w:val="clear" w:color="auto" w:fill="FFFFFF"/>
          <w:lang w:val="fr-FR"/>
        </w:rPr>
        <w:t>UK</w:t>
      </w:r>
      <w:r w:rsidR="002D3004" w:rsidRPr="002D09EA">
        <w:rPr>
          <w:shd w:val="clear" w:color="auto" w:fill="FFFFFF"/>
          <w:lang w:val="fr-FR"/>
        </w:rPr>
        <w:t>)</w:t>
      </w:r>
      <w:r w:rsidRPr="002D09EA">
        <w:rPr>
          <w:shd w:val="clear" w:color="auto" w:fill="FFFFFF"/>
          <w:lang w:val="fr-FR"/>
        </w:rPr>
        <w:t>.</w:t>
      </w:r>
      <w:r w:rsidR="002D3004" w:rsidRPr="002D09EA">
        <w:rPr>
          <w:shd w:val="clear" w:color="auto" w:fill="FFFFFF"/>
          <w:lang w:val="fr-FR"/>
        </w:rPr>
        <w:t xml:space="preserve">  L</w:t>
      </w:r>
      <w:r w:rsidR="00191ADA" w:rsidRPr="002D09EA">
        <w:rPr>
          <w:shd w:val="clear" w:color="auto" w:fill="FFFFFF"/>
          <w:lang w:val="fr-FR"/>
        </w:rPr>
        <w:t>’</w:t>
      </w:r>
      <w:r w:rsidR="002D3004" w:rsidRPr="002D09EA">
        <w:rPr>
          <w:shd w:val="clear" w:color="auto" w:fill="FFFFFF"/>
          <w:lang w:val="fr-FR"/>
        </w:rPr>
        <w:t xml:space="preserve">objectif est de </w:t>
      </w:r>
      <w:r w:rsidR="00D2430A" w:rsidRPr="002D09EA">
        <w:rPr>
          <w:shd w:val="clear" w:color="auto" w:fill="FFFFFF"/>
          <w:lang w:val="fr-FR"/>
        </w:rPr>
        <w:t>“</w:t>
      </w:r>
      <w:r w:rsidR="002D3004" w:rsidRPr="002D09EA">
        <w:rPr>
          <w:shd w:val="clear" w:color="auto" w:fill="FFFFFF"/>
          <w:lang w:val="fr-FR"/>
        </w:rPr>
        <w:t>réduire le risque lié au placement d</w:t>
      </w:r>
      <w:r w:rsidR="00191ADA" w:rsidRPr="002D09EA">
        <w:rPr>
          <w:shd w:val="clear" w:color="auto" w:fill="FFFFFF"/>
          <w:lang w:val="fr-FR"/>
        </w:rPr>
        <w:t>’</w:t>
      </w:r>
      <w:r w:rsidR="002D3004" w:rsidRPr="002D09EA">
        <w:rPr>
          <w:shd w:val="clear" w:color="auto" w:fill="FFFFFF"/>
          <w:lang w:val="fr-FR"/>
        </w:rPr>
        <w:t>affichages publicitaires</w:t>
      </w:r>
      <w:r w:rsidR="00D2430A" w:rsidRPr="002D09EA">
        <w:rPr>
          <w:shd w:val="clear" w:color="auto" w:fill="FFFFFF"/>
          <w:lang w:val="fr-FR"/>
        </w:rPr>
        <w:t>”</w:t>
      </w:r>
      <w:r w:rsidR="002D3004" w:rsidRPr="002D09EA">
        <w:rPr>
          <w:shd w:val="clear" w:color="auto" w:fill="FFFFFF"/>
          <w:vertAlign w:val="superscript"/>
          <w:lang w:val="fr-FR"/>
        </w:rPr>
        <w:t>8</w:t>
      </w:r>
      <w:r w:rsidR="002D3004" w:rsidRPr="002D09EA">
        <w:rPr>
          <w:shd w:val="clear" w:color="auto" w:fill="FFFFFF"/>
          <w:lang w:val="fr-FR"/>
        </w:rPr>
        <w:t>.</w:t>
      </w:r>
    </w:p>
    <w:p w:rsidR="00DD4DD5" w:rsidRPr="002D09EA" w:rsidRDefault="00DD4DD5" w:rsidP="00DD4DD5">
      <w:pPr>
        <w:pStyle w:val="ONUME"/>
        <w:numPr>
          <w:ilvl w:val="0"/>
          <w:numId w:val="0"/>
        </w:numPr>
      </w:pPr>
    </w:p>
    <w:p w:rsidR="00191ADA" w:rsidRPr="002D09EA" w:rsidRDefault="00FD6FC2" w:rsidP="00DD4DD5">
      <w:pPr>
        <w:pStyle w:val="Heading1"/>
      </w:pPr>
      <w:r w:rsidRPr="002D09EA">
        <w:t>B.</w:t>
      </w:r>
      <w:r w:rsidRPr="002D09EA">
        <w:tab/>
        <w:t>A</w:t>
      </w:r>
      <w:r w:rsidR="00C16277">
        <w:t xml:space="preserve">nalyse </w:t>
      </w:r>
      <w:r w:rsidR="002D3004" w:rsidRPr="002D09EA">
        <w:t>succincte des deux</w:t>
      </w:r>
      <w:r w:rsidR="00D2430A" w:rsidRPr="002D09EA">
        <w:t> </w:t>
      </w:r>
      <w:r w:rsidR="002D3004" w:rsidRPr="002D09EA">
        <w:t>principaux mécanismes volontaires décrits dans le présent document</w:t>
      </w:r>
    </w:p>
    <w:p w:rsidR="00FD6FC2" w:rsidRPr="002D09EA" w:rsidRDefault="00FD6FC2" w:rsidP="00DD4DD5">
      <w:pPr>
        <w:tabs>
          <w:tab w:val="left" w:pos="540"/>
        </w:tabs>
        <w:rPr>
          <w:bCs/>
          <w:szCs w:val="22"/>
        </w:rPr>
      </w:pPr>
    </w:p>
    <w:p w:rsidR="00FD6FC2" w:rsidRPr="002D09EA" w:rsidRDefault="00DD4DD5" w:rsidP="00E262DB">
      <w:pPr>
        <w:pStyle w:val="ONUMFS"/>
        <w:rPr>
          <w:bCs/>
          <w:szCs w:val="22"/>
          <w:lang w:val="fr-FR"/>
        </w:rPr>
      </w:pPr>
      <w:r w:rsidRPr="002D09EA">
        <w:rPr>
          <w:lang w:val="fr-FR"/>
        </w:rPr>
        <w:t xml:space="preserve">Chacun des mécanismes volontaires </w:t>
      </w:r>
      <w:r w:rsidR="00326056">
        <w:rPr>
          <w:lang w:val="fr-FR"/>
        </w:rPr>
        <w:t>décrits</w:t>
      </w:r>
      <w:r w:rsidRPr="002D09EA">
        <w:rPr>
          <w:lang w:val="fr-FR"/>
        </w:rPr>
        <w:t xml:space="preserve"> aux paragraphes précédents est analysé au regard des critères suivants</w:t>
      </w:r>
      <w:r w:rsidR="00D2430A" w:rsidRPr="002D09EA">
        <w:rPr>
          <w:lang w:val="fr-FR"/>
        </w:rPr>
        <w:t> </w:t>
      </w:r>
      <w:r w:rsidRPr="002D09EA">
        <w:rPr>
          <w:lang w:val="fr-FR"/>
        </w:rPr>
        <w:t>:</w:t>
      </w:r>
    </w:p>
    <w:p w:rsidR="00FD6FC2" w:rsidRPr="002D09EA" w:rsidRDefault="00FD6FC2" w:rsidP="00DD4DD5">
      <w:pPr>
        <w:numPr>
          <w:ilvl w:val="1"/>
          <w:numId w:val="2"/>
        </w:numPr>
        <w:tabs>
          <w:tab w:val="left" w:pos="1134"/>
        </w:tabs>
        <w:spacing w:line="276" w:lineRule="auto"/>
        <w:ind w:left="567" w:firstLine="0"/>
        <w:rPr>
          <w:bCs/>
          <w:szCs w:val="22"/>
        </w:rPr>
      </w:pPr>
      <w:r w:rsidRPr="002D09EA">
        <w:rPr>
          <w:b/>
          <w:bCs/>
          <w:szCs w:val="22"/>
        </w:rPr>
        <w:lastRenderedPageBreak/>
        <w:t>Form</w:t>
      </w:r>
      <w:r w:rsidR="005B5648" w:rsidRPr="002D09EA">
        <w:rPr>
          <w:b/>
          <w:bCs/>
          <w:szCs w:val="22"/>
        </w:rPr>
        <w:t>e</w:t>
      </w:r>
      <w:r w:rsidR="00D2430A" w:rsidRPr="002D09EA">
        <w:rPr>
          <w:bCs/>
          <w:szCs w:val="22"/>
        </w:rPr>
        <w:t> </w:t>
      </w:r>
      <w:r w:rsidR="005B5648" w:rsidRPr="002D09EA">
        <w:rPr>
          <w:bCs/>
          <w:szCs w:val="22"/>
        </w:rPr>
        <w:t>: quelle forme revêt le mécanisme</w:t>
      </w:r>
      <w:r w:rsidRPr="002D09EA">
        <w:rPr>
          <w:bCs/>
          <w:szCs w:val="22"/>
        </w:rPr>
        <w:t>?</w:t>
      </w:r>
    </w:p>
    <w:p w:rsidR="00FD6FC2" w:rsidRPr="002D09EA" w:rsidRDefault="00FD6FC2" w:rsidP="00DD4DD5">
      <w:pPr>
        <w:numPr>
          <w:ilvl w:val="1"/>
          <w:numId w:val="2"/>
        </w:numPr>
        <w:tabs>
          <w:tab w:val="left" w:pos="1134"/>
        </w:tabs>
        <w:spacing w:line="276" w:lineRule="auto"/>
        <w:ind w:left="1134" w:hanging="567"/>
        <w:rPr>
          <w:bCs/>
          <w:szCs w:val="22"/>
        </w:rPr>
      </w:pPr>
      <w:r w:rsidRPr="002D09EA">
        <w:rPr>
          <w:b/>
          <w:bCs/>
          <w:szCs w:val="22"/>
        </w:rPr>
        <w:t>Participants</w:t>
      </w:r>
      <w:r w:rsidR="00D2430A" w:rsidRPr="002D09EA">
        <w:rPr>
          <w:bCs/>
          <w:szCs w:val="22"/>
        </w:rPr>
        <w:t> </w:t>
      </w:r>
      <w:r w:rsidRPr="002D09EA">
        <w:rPr>
          <w:bCs/>
          <w:szCs w:val="22"/>
        </w:rPr>
        <w:t xml:space="preserve">: </w:t>
      </w:r>
      <w:r w:rsidR="002D3004" w:rsidRPr="002D09EA">
        <w:rPr>
          <w:bCs/>
          <w:szCs w:val="22"/>
        </w:rPr>
        <w:t>à quelles entités s</w:t>
      </w:r>
      <w:r w:rsidR="00191ADA" w:rsidRPr="002D09EA">
        <w:rPr>
          <w:bCs/>
          <w:szCs w:val="22"/>
        </w:rPr>
        <w:t>’</w:t>
      </w:r>
      <w:r w:rsidR="002D3004" w:rsidRPr="002D09EA">
        <w:rPr>
          <w:bCs/>
          <w:szCs w:val="22"/>
        </w:rPr>
        <w:t>applique le mécanisme, et de quelle manière sont</w:t>
      </w:r>
      <w:r w:rsidR="00F40A5D" w:rsidRPr="002D09EA">
        <w:rPr>
          <w:bCs/>
          <w:szCs w:val="22"/>
        </w:rPr>
        <w:noBreakHyphen/>
      </w:r>
      <w:r w:rsidR="002D3004" w:rsidRPr="002D09EA">
        <w:rPr>
          <w:bCs/>
          <w:szCs w:val="22"/>
        </w:rPr>
        <w:t xml:space="preserve">elles </w:t>
      </w:r>
      <w:r w:rsidR="00D2430A" w:rsidRPr="002D09EA">
        <w:rPr>
          <w:bCs/>
          <w:szCs w:val="22"/>
        </w:rPr>
        <w:t>“</w:t>
      </w:r>
      <w:r w:rsidR="002D3004" w:rsidRPr="002D09EA">
        <w:rPr>
          <w:bCs/>
          <w:szCs w:val="22"/>
        </w:rPr>
        <w:t>recrutées</w:t>
      </w:r>
      <w:r w:rsidR="00D2430A" w:rsidRPr="002D09EA">
        <w:rPr>
          <w:bCs/>
          <w:szCs w:val="22"/>
        </w:rPr>
        <w:t>”</w:t>
      </w:r>
      <w:r w:rsidR="002D3004" w:rsidRPr="002D09EA">
        <w:rPr>
          <w:bCs/>
          <w:szCs w:val="22"/>
        </w:rPr>
        <w:t>?</w:t>
      </w:r>
    </w:p>
    <w:p w:rsidR="00FD6FC2" w:rsidRPr="002D09EA" w:rsidRDefault="005B5648" w:rsidP="00DD4DD5">
      <w:pPr>
        <w:numPr>
          <w:ilvl w:val="1"/>
          <w:numId w:val="2"/>
        </w:numPr>
        <w:tabs>
          <w:tab w:val="left" w:pos="1134"/>
        </w:tabs>
        <w:spacing w:line="276" w:lineRule="auto"/>
        <w:ind w:left="567" w:firstLine="0"/>
        <w:rPr>
          <w:bCs/>
          <w:szCs w:val="22"/>
        </w:rPr>
      </w:pPr>
      <w:r w:rsidRPr="002D09EA">
        <w:rPr>
          <w:b/>
        </w:rPr>
        <w:t>Droits</w:t>
      </w:r>
      <w:r w:rsidR="00D2430A" w:rsidRPr="00FC3974">
        <w:t> </w:t>
      </w:r>
      <w:r w:rsidRPr="00FC3974">
        <w:t>:</w:t>
      </w:r>
      <w:r w:rsidRPr="002D09EA">
        <w:t xml:space="preserve"> quels droits de propriété intel</w:t>
      </w:r>
      <w:r w:rsidR="00212A56" w:rsidRPr="002D09EA">
        <w:t>lectuelle le mécanisme concerne</w:t>
      </w:r>
      <w:r w:rsidR="00F40A5D" w:rsidRPr="002D09EA">
        <w:noBreakHyphen/>
      </w:r>
      <w:r w:rsidRPr="002D09EA">
        <w:t>t</w:t>
      </w:r>
      <w:r w:rsidR="00F40A5D" w:rsidRPr="002D09EA">
        <w:noBreakHyphen/>
      </w:r>
      <w:r w:rsidRPr="002D09EA">
        <w:t>il?</w:t>
      </w:r>
    </w:p>
    <w:p w:rsidR="005B5648" w:rsidRPr="002D09EA" w:rsidRDefault="005B5648" w:rsidP="00DD4DD5">
      <w:pPr>
        <w:numPr>
          <w:ilvl w:val="1"/>
          <w:numId w:val="2"/>
        </w:numPr>
        <w:tabs>
          <w:tab w:val="left" w:pos="1134"/>
        </w:tabs>
        <w:spacing w:line="276" w:lineRule="auto"/>
        <w:ind w:left="1134" w:hanging="567"/>
        <w:rPr>
          <w:bCs/>
          <w:szCs w:val="22"/>
        </w:rPr>
      </w:pPr>
      <w:r w:rsidRPr="002D09EA">
        <w:rPr>
          <w:b/>
        </w:rPr>
        <w:t xml:space="preserve">Conditions pour obtenir </w:t>
      </w:r>
      <w:r w:rsidR="00CC0C5E">
        <w:rPr>
          <w:b/>
        </w:rPr>
        <w:t>des mesures correctives</w:t>
      </w:r>
      <w:r w:rsidR="00D2430A" w:rsidRPr="002D09EA">
        <w:t> </w:t>
      </w:r>
      <w:r w:rsidRPr="002D09EA">
        <w:t>: quels éléments un titulaire de droits doit</w:t>
      </w:r>
      <w:r w:rsidR="00F40A5D" w:rsidRPr="002D09EA">
        <w:noBreakHyphen/>
      </w:r>
      <w:r w:rsidRPr="002D09EA">
        <w:t xml:space="preserve">il apporter pour obtenir </w:t>
      </w:r>
      <w:r w:rsidR="00CC0C5E">
        <w:t>des mesures correctives</w:t>
      </w:r>
      <w:r w:rsidRPr="002D09EA">
        <w:t xml:space="preserve"> en vertu du mécanisme?</w:t>
      </w:r>
    </w:p>
    <w:p w:rsidR="00FD6FC2" w:rsidRPr="002D09EA" w:rsidRDefault="00DD4DD5" w:rsidP="004A4B47">
      <w:pPr>
        <w:numPr>
          <w:ilvl w:val="1"/>
          <w:numId w:val="2"/>
        </w:numPr>
        <w:tabs>
          <w:tab w:val="left" w:pos="1134"/>
        </w:tabs>
        <w:spacing w:line="276" w:lineRule="auto"/>
        <w:ind w:left="1134" w:hanging="567"/>
        <w:rPr>
          <w:bCs/>
          <w:szCs w:val="22"/>
        </w:rPr>
      </w:pPr>
      <w:r w:rsidRPr="002D09EA">
        <w:rPr>
          <w:b/>
        </w:rPr>
        <w:t xml:space="preserve">Type de </w:t>
      </w:r>
      <w:r w:rsidR="00CC0C5E">
        <w:rPr>
          <w:b/>
        </w:rPr>
        <w:t>mesures correctives</w:t>
      </w:r>
      <w:r w:rsidR="00D2430A" w:rsidRPr="002D09EA">
        <w:t> </w:t>
      </w:r>
      <w:r w:rsidR="005B5648" w:rsidRPr="002D09EA">
        <w:t xml:space="preserve">: quel type de </w:t>
      </w:r>
      <w:r w:rsidR="00CC0C5E">
        <w:t>mesures correctives</w:t>
      </w:r>
      <w:r w:rsidRPr="002D09EA">
        <w:t xml:space="preserve"> </w:t>
      </w:r>
      <w:r w:rsidR="005B5648" w:rsidRPr="002D09EA">
        <w:t>ou quel résultat permet le mécanisme?</w:t>
      </w:r>
    </w:p>
    <w:p w:rsidR="005B5648" w:rsidRPr="002D09EA" w:rsidRDefault="005B5648" w:rsidP="00DD4DD5">
      <w:pPr>
        <w:numPr>
          <w:ilvl w:val="1"/>
          <w:numId w:val="2"/>
        </w:numPr>
        <w:tabs>
          <w:tab w:val="left" w:pos="1134"/>
        </w:tabs>
        <w:spacing w:line="276" w:lineRule="auto"/>
        <w:ind w:left="1134" w:hanging="567"/>
        <w:rPr>
          <w:bCs/>
          <w:szCs w:val="22"/>
        </w:rPr>
      </w:pPr>
      <w:r w:rsidRPr="002D09EA">
        <w:rPr>
          <w:b/>
        </w:rPr>
        <w:t>Procédures de décision</w:t>
      </w:r>
      <w:r w:rsidR="00D2430A" w:rsidRPr="002D09EA">
        <w:t> </w:t>
      </w:r>
      <w:r w:rsidRPr="002D09EA">
        <w:t>: par qui et sur quelles bases sont prises les décisions en vertu du mécanisme</w:t>
      </w:r>
      <w:r w:rsidRPr="002D09EA">
        <w:rPr>
          <w:bCs/>
          <w:szCs w:val="22"/>
        </w:rPr>
        <w:t>?</w:t>
      </w:r>
    </w:p>
    <w:p w:rsidR="00191ADA" w:rsidRPr="002D09EA" w:rsidRDefault="005B5648" w:rsidP="00DD4DD5">
      <w:pPr>
        <w:numPr>
          <w:ilvl w:val="1"/>
          <w:numId w:val="2"/>
        </w:numPr>
        <w:tabs>
          <w:tab w:val="left" w:pos="1134"/>
        </w:tabs>
        <w:spacing w:line="276" w:lineRule="auto"/>
        <w:ind w:left="567" w:firstLine="0"/>
        <w:rPr>
          <w:bCs/>
          <w:szCs w:val="22"/>
        </w:rPr>
      </w:pPr>
      <w:r w:rsidRPr="002D09EA">
        <w:rPr>
          <w:b/>
        </w:rPr>
        <w:t>Recours</w:t>
      </w:r>
      <w:r w:rsidR="00D2430A" w:rsidRPr="002D09EA">
        <w:t> </w:t>
      </w:r>
      <w:r w:rsidRPr="002D09EA">
        <w:t>: le mécanisme permet</w:t>
      </w:r>
      <w:r w:rsidR="00F40A5D" w:rsidRPr="002D09EA">
        <w:noBreakHyphen/>
      </w:r>
      <w:r w:rsidRPr="002D09EA">
        <w:t>il de contester une décision</w:t>
      </w:r>
      <w:r w:rsidR="00FD6FC2" w:rsidRPr="002D09EA">
        <w:rPr>
          <w:bCs/>
          <w:szCs w:val="22"/>
        </w:rPr>
        <w:t>?</w:t>
      </w:r>
    </w:p>
    <w:p w:rsidR="00FD6FC2" w:rsidRPr="002D09EA" w:rsidRDefault="005B5648" w:rsidP="00DD4DD5">
      <w:pPr>
        <w:numPr>
          <w:ilvl w:val="1"/>
          <w:numId w:val="2"/>
        </w:numPr>
        <w:tabs>
          <w:tab w:val="left" w:pos="1134"/>
        </w:tabs>
        <w:spacing w:line="276" w:lineRule="auto"/>
        <w:ind w:left="567" w:firstLine="0"/>
        <w:rPr>
          <w:bCs/>
          <w:szCs w:val="22"/>
        </w:rPr>
      </w:pPr>
      <w:r w:rsidRPr="002D09EA">
        <w:rPr>
          <w:b/>
        </w:rPr>
        <w:t>Transparence</w:t>
      </w:r>
      <w:r w:rsidR="00D2430A" w:rsidRPr="002D09EA">
        <w:t> </w:t>
      </w:r>
      <w:r w:rsidRPr="002D09EA">
        <w:t>: les résultats auxquels le mécanisme aboutit sont</w:t>
      </w:r>
      <w:r w:rsidR="00F40A5D" w:rsidRPr="002D09EA">
        <w:noBreakHyphen/>
      </w:r>
      <w:r w:rsidRPr="002D09EA">
        <w:t>ils publiés</w:t>
      </w:r>
      <w:r w:rsidR="00FD6FC2" w:rsidRPr="002D09EA">
        <w:rPr>
          <w:bCs/>
          <w:szCs w:val="22"/>
        </w:rPr>
        <w:t>?</w:t>
      </w:r>
    </w:p>
    <w:p w:rsidR="00FD6FC2" w:rsidRPr="002D09EA" w:rsidRDefault="00DD4DD5" w:rsidP="00DD4DD5">
      <w:pPr>
        <w:numPr>
          <w:ilvl w:val="1"/>
          <w:numId w:val="2"/>
        </w:numPr>
        <w:tabs>
          <w:tab w:val="left" w:pos="1134"/>
        </w:tabs>
        <w:spacing w:line="276" w:lineRule="auto"/>
        <w:ind w:left="567" w:firstLine="0"/>
        <w:rPr>
          <w:bCs/>
          <w:szCs w:val="22"/>
        </w:rPr>
      </w:pPr>
      <w:r w:rsidRPr="002D09EA">
        <w:rPr>
          <w:b/>
        </w:rPr>
        <w:t>Objectifs</w:t>
      </w:r>
      <w:r w:rsidR="005B5648" w:rsidRPr="002D09EA">
        <w:rPr>
          <w:b/>
        </w:rPr>
        <w:t xml:space="preserve"> du mécanisme</w:t>
      </w:r>
      <w:r w:rsidR="00D2430A" w:rsidRPr="002D09EA">
        <w:t> </w:t>
      </w:r>
      <w:r w:rsidR="005B5648" w:rsidRPr="002D09EA">
        <w:t>: pour quelles raisons le mécanisme a</w:t>
      </w:r>
      <w:r w:rsidR="00F40A5D" w:rsidRPr="002D09EA">
        <w:noBreakHyphen/>
      </w:r>
      <w:r w:rsidR="005B5648" w:rsidRPr="002D09EA">
        <w:t>t</w:t>
      </w:r>
      <w:r w:rsidR="00F40A5D" w:rsidRPr="002D09EA">
        <w:noBreakHyphen/>
      </w:r>
      <w:r w:rsidR="005B5648" w:rsidRPr="002D09EA">
        <w:t>il été adopté</w:t>
      </w:r>
      <w:r w:rsidR="00FD6FC2" w:rsidRPr="002D09EA">
        <w:rPr>
          <w:bCs/>
          <w:szCs w:val="22"/>
        </w:rPr>
        <w:t>?</w:t>
      </w:r>
    </w:p>
    <w:p w:rsidR="00FD6FC2" w:rsidRPr="004A59D7" w:rsidRDefault="00FD6FC2" w:rsidP="004A59D7"/>
    <w:p w:rsidR="00FD6FC2" w:rsidRPr="002D09EA" w:rsidRDefault="00FD6FC2" w:rsidP="00DD4DD5">
      <w:pPr>
        <w:numPr>
          <w:ilvl w:val="0"/>
          <w:numId w:val="7"/>
        </w:numPr>
        <w:tabs>
          <w:tab w:val="left" w:pos="1134"/>
        </w:tabs>
        <w:ind w:left="567" w:firstLine="0"/>
        <w:rPr>
          <w:b/>
          <w:bCs/>
          <w:szCs w:val="22"/>
        </w:rPr>
      </w:pPr>
      <w:r w:rsidRPr="002D09EA">
        <w:rPr>
          <w:b/>
          <w:bCs/>
          <w:szCs w:val="22"/>
        </w:rPr>
        <w:t>Form</w:t>
      </w:r>
      <w:r w:rsidR="005B5648" w:rsidRPr="002D09EA">
        <w:rPr>
          <w:b/>
          <w:bCs/>
          <w:szCs w:val="22"/>
        </w:rPr>
        <w:t>e</w:t>
      </w:r>
    </w:p>
    <w:p w:rsidR="00FD6FC2" w:rsidRPr="002D09EA" w:rsidRDefault="00FD6FC2" w:rsidP="00DD4DD5">
      <w:pPr>
        <w:tabs>
          <w:tab w:val="left" w:pos="540"/>
        </w:tabs>
        <w:ind w:left="540"/>
        <w:rPr>
          <w:bCs/>
          <w:szCs w:val="22"/>
        </w:rPr>
      </w:pPr>
    </w:p>
    <w:p w:rsidR="007D383C" w:rsidRPr="002D09EA" w:rsidRDefault="007D383C" w:rsidP="00DD4DD5">
      <w:pPr>
        <w:tabs>
          <w:tab w:val="left" w:pos="540"/>
        </w:tabs>
        <w:ind w:left="540"/>
        <w:rPr>
          <w:bCs/>
          <w:szCs w:val="22"/>
        </w:rPr>
      </w:pPr>
      <w:r w:rsidRPr="002D09EA">
        <w:rPr>
          <w:bCs/>
          <w:szCs w:val="22"/>
        </w:rPr>
        <w:t>Les deux</w:t>
      </w:r>
      <w:r w:rsidR="00D2430A" w:rsidRPr="002D09EA">
        <w:rPr>
          <w:bCs/>
          <w:szCs w:val="22"/>
        </w:rPr>
        <w:t> </w:t>
      </w:r>
      <w:r w:rsidRPr="002D09EA">
        <w:rPr>
          <w:bCs/>
          <w:szCs w:val="22"/>
        </w:rPr>
        <w:t xml:space="preserve">principaux mécanismes (le Copyright </w:t>
      </w:r>
      <w:proofErr w:type="spellStart"/>
      <w:r w:rsidRPr="002D09EA">
        <w:rPr>
          <w:bCs/>
          <w:szCs w:val="22"/>
        </w:rPr>
        <w:t>Alert</w:t>
      </w:r>
      <w:proofErr w:type="spellEnd"/>
      <w:r w:rsidRPr="002D09EA">
        <w:rPr>
          <w:bCs/>
          <w:szCs w:val="22"/>
        </w:rPr>
        <w:t xml:space="preserve"> System aux </w:t>
      </w:r>
      <w:r w:rsidRPr="002D09EA">
        <w:t>États</w:t>
      </w:r>
      <w:r w:rsidR="00F40A5D" w:rsidRPr="002D09EA">
        <w:noBreakHyphen/>
      </w:r>
      <w:r w:rsidRPr="002D09EA">
        <w:t>Unis d</w:t>
      </w:r>
      <w:r w:rsidR="00191ADA" w:rsidRPr="002D09EA">
        <w:t>’</w:t>
      </w:r>
      <w:r w:rsidRPr="002D09EA">
        <w:t>Amérique</w:t>
      </w:r>
      <w:r w:rsidRPr="002D09EA">
        <w:rPr>
          <w:bCs/>
          <w:szCs w:val="22"/>
        </w:rPr>
        <w:t xml:space="preserve"> et </w:t>
      </w:r>
      <w:proofErr w:type="spellStart"/>
      <w:r w:rsidRPr="002D09EA">
        <w:rPr>
          <w:bCs/>
          <w:szCs w:val="22"/>
        </w:rPr>
        <w:t>Operation</w:t>
      </w:r>
      <w:proofErr w:type="spellEnd"/>
      <w:r w:rsidRPr="002D09EA">
        <w:rPr>
          <w:bCs/>
          <w:szCs w:val="22"/>
        </w:rPr>
        <w:t xml:space="preserve"> </w:t>
      </w:r>
      <w:proofErr w:type="spellStart"/>
      <w:r w:rsidRPr="002D09EA">
        <w:rPr>
          <w:bCs/>
          <w:szCs w:val="22"/>
        </w:rPr>
        <w:t>Creative</w:t>
      </w:r>
      <w:proofErr w:type="spellEnd"/>
      <w:r w:rsidRPr="002D09EA">
        <w:rPr>
          <w:bCs/>
          <w:szCs w:val="22"/>
        </w:rPr>
        <w:t xml:space="preserve"> au Royaume</w:t>
      </w:r>
      <w:r w:rsidR="00F40A5D" w:rsidRPr="002D09EA">
        <w:rPr>
          <w:bCs/>
          <w:szCs w:val="22"/>
        </w:rPr>
        <w:noBreakHyphen/>
      </w:r>
      <w:r w:rsidRPr="002D09EA">
        <w:rPr>
          <w:bCs/>
          <w:szCs w:val="22"/>
        </w:rPr>
        <w:t xml:space="preserve">Uni) sont décrits succinctement sous leur forme opérationnelle, </w:t>
      </w:r>
      <w:r w:rsidRPr="002D09EA">
        <w:t>c</w:t>
      </w:r>
      <w:r w:rsidR="00191ADA" w:rsidRPr="002D09EA">
        <w:t>’</w:t>
      </w:r>
      <w:r w:rsidRPr="002D09EA">
        <w:t>est</w:t>
      </w:r>
      <w:r w:rsidR="00F40A5D" w:rsidRPr="002D09EA">
        <w:noBreakHyphen/>
      </w:r>
      <w:r w:rsidRPr="002D09EA">
        <w:t>à</w:t>
      </w:r>
      <w:r w:rsidR="00F40A5D" w:rsidRPr="002D09EA">
        <w:noBreakHyphen/>
      </w:r>
      <w:r w:rsidRPr="002D09EA">
        <w:t>dire tels</w:t>
      </w:r>
      <w:r w:rsidRPr="002D09EA">
        <w:rPr>
          <w:bCs/>
          <w:szCs w:val="22"/>
        </w:rPr>
        <w:t xml:space="preserve"> qu</w:t>
      </w:r>
      <w:r w:rsidR="00191ADA" w:rsidRPr="002D09EA">
        <w:rPr>
          <w:bCs/>
          <w:szCs w:val="22"/>
        </w:rPr>
        <w:t>’</w:t>
      </w:r>
      <w:r w:rsidRPr="002D09EA">
        <w:rPr>
          <w:bCs/>
          <w:szCs w:val="22"/>
        </w:rPr>
        <w:t>ils sont effectivement appliqués par les participants.</w:t>
      </w:r>
    </w:p>
    <w:p w:rsidR="00FD6FC2" w:rsidRPr="002D09EA" w:rsidRDefault="00FD6FC2" w:rsidP="00DD4DD5">
      <w:pPr>
        <w:tabs>
          <w:tab w:val="left" w:pos="540"/>
        </w:tabs>
        <w:rPr>
          <w:bCs/>
          <w:szCs w:val="22"/>
        </w:rPr>
      </w:pPr>
    </w:p>
    <w:p w:rsidR="00FD6FC2" w:rsidRPr="002D09EA" w:rsidRDefault="00FD6FC2" w:rsidP="00DD4DD5">
      <w:pPr>
        <w:numPr>
          <w:ilvl w:val="0"/>
          <w:numId w:val="7"/>
        </w:numPr>
        <w:tabs>
          <w:tab w:val="left" w:pos="1134"/>
        </w:tabs>
        <w:ind w:left="567" w:firstLine="0"/>
        <w:rPr>
          <w:b/>
          <w:bCs/>
          <w:szCs w:val="22"/>
        </w:rPr>
      </w:pPr>
      <w:r w:rsidRPr="002D09EA">
        <w:rPr>
          <w:b/>
          <w:bCs/>
          <w:szCs w:val="22"/>
        </w:rPr>
        <w:t>Participants</w:t>
      </w:r>
    </w:p>
    <w:p w:rsidR="00FD6FC2" w:rsidRPr="002D09EA" w:rsidRDefault="00FD6FC2" w:rsidP="00DD4DD5">
      <w:pPr>
        <w:tabs>
          <w:tab w:val="left" w:pos="540"/>
        </w:tabs>
        <w:ind w:left="540"/>
        <w:rPr>
          <w:bCs/>
          <w:szCs w:val="22"/>
        </w:rPr>
      </w:pPr>
    </w:p>
    <w:p w:rsidR="007D383C" w:rsidRPr="002D09EA" w:rsidRDefault="007D383C" w:rsidP="00DD4DD5">
      <w:pPr>
        <w:tabs>
          <w:tab w:val="left" w:pos="540"/>
        </w:tabs>
        <w:ind w:left="540"/>
        <w:rPr>
          <w:bCs/>
          <w:szCs w:val="22"/>
        </w:rPr>
      </w:pPr>
      <w:r w:rsidRPr="002D09EA">
        <w:rPr>
          <w:bCs/>
          <w:szCs w:val="22"/>
        </w:rPr>
        <w:t>S</w:t>
      </w:r>
      <w:r w:rsidR="00191ADA" w:rsidRPr="002D09EA">
        <w:rPr>
          <w:bCs/>
          <w:szCs w:val="22"/>
        </w:rPr>
        <w:t>’</w:t>
      </w:r>
      <w:r w:rsidRPr="002D09EA">
        <w:rPr>
          <w:bCs/>
          <w:szCs w:val="22"/>
        </w:rPr>
        <w:t xml:space="preserve">agissant du Copyright </w:t>
      </w:r>
      <w:proofErr w:type="spellStart"/>
      <w:r w:rsidRPr="002D09EA">
        <w:rPr>
          <w:bCs/>
          <w:szCs w:val="22"/>
        </w:rPr>
        <w:t>Alert</w:t>
      </w:r>
      <w:proofErr w:type="spellEnd"/>
      <w:r w:rsidRPr="002D09EA">
        <w:rPr>
          <w:bCs/>
          <w:szCs w:val="22"/>
        </w:rPr>
        <w:t xml:space="preserve"> System, les titulaires individuels de droits participent au programme du fait de leur adhésion à l</w:t>
      </w:r>
      <w:r w:rsidR="00191ADA" w:rsidRPr="002D09EA">
        <w:rPr>
          <w:bCs/>
          <w:szCs w:val="22"/>
        </w:rPr>
        <w:t>’</w:t>
      </w:r>
      <w:r w:rsidRPr="002D09EA">
        <w:rPr>
          <w:bCs/>
          <w:szCs w:val="22"/>
        </w:rPr>
        <w:t>une des associations professionnelles mentionnées.  Quant à eux, les représentants de</w:t>
      </w:r>
      <w:r w:rsidR="00191ADA" w:rsidRPr="002D09EA">
        <w:rPr>
          <w:bCs/>
          <w:szCs w:val="22"/>
        </w:rPr>
        <w:t xml:space="preserve"> la MPA</w:t>
      </w:r>
      <w:r w:rsidRPr="002D09EA">
        <w:rPr>
          <w:bCs/>
          <w:szCs w:val="22"/>
        </w:rPr>
        <w:t>A et de</w:t>
      </w:r>
      <w:r w:rsidR="00191ADA" w:rsidRPr="002D09EA">
        <w:rPr>
          <w:bCs/>
          <w:szCs w:val="22"/>
        </w:rPr>
        <w:t xml:space="preserve"> la RIA</w:t>
      </w:r>
      <w:r w:rsidRPr="002D09EA">
        <w:rPr>
          <w:bCs/>
          <w:szCs w:val="22"/>
        </w:rPr>
        <w:t>A qui ont participé à la négociation du programme se sont adressés</w:t>
      </w:r>
      <w:r w:rsidR="00191ADA" w:rsidRPr="002D09EA">
        <w:rPr>
          <w:bCs/>
          <w:szCs w:val="22"/>
        </w:rPr>
        <w:t xml:space="preserve"> aux FAI</w:t>
      </w:r>
      <w:r w:rsidRPr="002D09EA">
        <w:rPr>
          <w:bCs/>
          <w:szCs w:val="22"/>
        </w:rPr>
        <w:t xml:space="preserve"> pour solliciter leur participation volontaire.</w:t>
      </w:r>
    </w:p>
    <w:p w:rsidR="007D383C" w:rsidRPr="002D09EA" w:rsidRDefault="007D383C" w:rsidP="00DD4DD5">
      <w:pPr>
        <w:tabs>
          <w:tab w:val="left" w:pos="540"/>
        </w:tabs>
        <w:ind w:left="540"/>
        <w:rPr>
          <w:bCs/>
          <w:szCs w:val="22"/>
        </w:rPr>
      </w:pPr>
    </w:p>
    <w:p w:rsidR="007D383C" w:rsidRPr="002D09EA" w:rsidRDefault="007D383C" w:rsidP="00DD4DD5">
      <w:pPr>
        <w:tabs>
          <w:tab w:val="left" w:pos="540"/>
        </w:tabs>
        <w:ind w:left="540"/>
        <w:rPr>
          <w:bCs/>
          <w:szCs w:val="22"/>
        </w:rPr>
      </w:pPr>
      <w:r w:rsidRPr="002D09EA">
        <w:rPr>
          <w:bCs/>
          <w:szCs w:val="22"/>
        </w:rPr>
        <w:t xml:space="preserve">Les titulaires de droits participent au programme </w:t>
      </w:r>
      <w:proofErr w:type="spellStart"/>
      <w:r w:rsidRPr="002D09EA">
        <w:rPr>
          <w:bCs/>
          <w:szCs w:val="22"/>
        </w:rPr>
        <w:t>Operation</w:t>
      </w:r>
      <w:proofErr w:type="spellEnd"/>
      <w:r w:rsidRPr="002D09EA">
        <w:rPr>
          <w:bCs/>
          <w:szCs w:val="22"/>
        </w:rPr>
        <w:t xml:space="preserve"> </w:t>
      </w:r>
      <w:proofErr w:type="spellStart"/>
      <w:r w:rsidRPr="002D09EA">
        <w:rPr>
          <w:bCs/>
          <w:szCs w:val="22"/>
        </w:rPr>
        <w:t>Creative</w:t>
      </w:r>
      <w:proofErr w:type="spellEnd"/>
      <w:r w:rsidRPr="002D09EA">
        <w:rPr>
          <w:bCs/>
          <w:szCs w:val="22"/>
        </w:rPr>
        <w:t xml:space="preserve"> du fait de leur adhésion à l</w:t>
      </w:r>
      <w:r w:rsidR="00191ADA" w:rsidRPr="002D09EA">
        <w:rPr>
          <w:bCs/>
          <w:szCs w:val="22"/>
        </w:rPr>
        <w:t>’</w:t>
      </w:r>
      <w:r w:rsidRPr="002D09EA">
        <w:rPr>
          <w:bCs/>
          <w:szCs w:val="22"/>
        </w:rPr>
        <w:t>une des associations professionnelles mentionnées, et les membres du secteur de la publicité reçoivent, de la part de leurs associations respectives, des informations qui les invitent individuellement à participer au programme.</w:t>
      </w:r>
    </w:p>
    <w:p w:rsidR="00FD6FC2" w:rsidRPr="002D09EA" w:rsidRDefault="00FD6FC2" w:rsidP="00DD4DD5">
      <w:pPr>
        <w:tabs>
          <w:tab w:val="left" w:pos="540"/>
        </w:tabs>
        <w:ind w:left="540"/>
        <w:rPr>
          <w:bCs/>
          <w:szCs w:val="22"/>
        </w:rPr>
      </w:pPr>
    </w:p>
    <w:p w:rsidR="00191ADA" w:rsidRPr="002D09EA" w:rsidRDefault="007D383C" w:rsidP="00DD4DD5">
      <w:pPr>
        <w:tabs>
          <w:tab w:val="left" w:pos="540"/>
        </w:tabs>
        <w:ind w:left="540"/>
        <w:rPr>
          <w:bCs/>
          <w:szCs w:val="22"/>
        </w:rPr>
      </w:pPr>
      <w:r w:rsidRPr="002D09EA">
        <w:rPr>
          <w:bCs/>
          <w:szCs w:val="22"/>
        </w:rPr>
        <w:t xml:space="preserve">Parmi les autres participants à </w:t>
      </w:r>
      <w:proofErr w:type="spellStart"/>
      <w:r w:rsidRPr="002D09EA">
        <w:rPr>
          <w:bCs/>
          <w:szCs w:val="22"/>
        </w:rPr>
        <w:t>Operation</w:t>
      </w:r>
      <w:proofErr w:type="spellEnd"/>
      <w:r w:rsidRPr="002D09EA">
        <w:rPr>
          <w:bCs/>
          <w:szCs w:val="22"/>
        </w:rPr>
        <w:t xml:space="preserve"> </w:t>
      </w:r>
      <w:proofErr w:type="spellStart"/>
      <w:r w:rsidRPr="002D09EA">
        <w:rPr>
          <w:bCs/>
          <w:szCs w:val="22"/>
        </w:rPr>
        <w:t>Creative</w:t>
      </w:r>
      <w:proofErr w:type="spellEnd"/>
      <w:r w:rsidRPr="002D09EA">
        <w:rPr>
          <w:bCs/>
          <w:szCs w:val="22"/>
        </w:rPr>
        <w:t xml:space="preserve"> figurent des unités d</w:t>
      </w:r>
      <w:r w:rsidR="00191ADA" w:rsidRPr="002D09EA">
        <w:rPr>
          <w:bCs/>
          <w:szCs w:val="22"/>
        </w:rPr>
        <w:t>’</w:t>
      </w:r>
      <w:r w:rsidRPr="002D09EA">
        <w:rPr>
          <w:bCs/>
          <w:szCs w:val="22"/>
        </w:rPr>
        <w:t>enregistrement des noms de domaine et d</w:t>
      </w:r>
      <w:r w:rsidR="00191ADA" w:rsidRPr="002D09EA">
        <w:rPr>
          <w:bCs/>
          <w:szCs w:val="22"/>
        </w:rPr>
        <w:t>’</w:t>
      </w:r>
      <w:r w:rsidRPr="002D09EA">
        <w:rPr>
          <w:bCs/>
          <w:szCs w:val="22"/>
        </w:rPr>
        <w:t xml:space="preserve">autres services </w:t>
      </w:r>
      <w:r w:rsidR="00A60C18" w:rsidRPr="002D09EA">
        <w:rPr>
          <w:bCs/>
          <w:szCs w:val="22"/>
        </w:rPr>
        <w:t>intervenant dans la qualification de sites</w:t>
      </w:r>
      <w:r w:rsidR="00D2430A" w:rsidRPr="002D09EA">
        <w:rPr>
          <w:bCs/>
          <w:szCs w:val="22"/>
        </w:rPr>
        <w:t> </w:t>
      </w:r>
      <w:r w:rsidR="00A60C18" w:rsidRPr="002D09EA">
        <w:rPr>
          <w:bCs/>
          <w:szCs w:val="22"/>
        </w:rPr>
        <w:t>Web sur lesquels des publicités ont été trouvées.  Ces entités et personnes reçoivent des courriers de la part de</w:t>
      </w:r>
      <w:r w:rsidR="00191ADA" w:rsidRPr="002D09EA">
        <w:rPr>
          <w:bCs/>
          <w:szCs w:val="22"/>
        </w:rPr>
        <w:t xml:space="preserve"> la PIP</w:t>
      </w:r>
      <w:r w:rsidR="00A60C18" w:rsidRPr="002D09EA">
        <w:rPr>
          <w:bCs/>
          <w:szCs w:val="22"/>
        </w:rPr>
        <w:t>CU, une fois qu</w:t>
      </w:r>
      <w:r w:rsidR="00191ADA" w:rsidRPr="002D09EA">
        <w:rPr>
          <w:bCs/>
          <w:szCs w:val="22"/>
        </w:rPr>
        <w:t>’</w:t>
      </w:r>
      <w:r w:rsidR="00A60C18" w:rsidRPr="002D09EA">
        <w:rPr>
          <w:bCs/>
          <w:szCs w:val="22"/>
        </w:rPr>
        <w:t xml:space="preserve">un site est </w:t>
      </w:r>
      <w:r w:rsidR="00212A56" w:rsidRPr="002D09EA">
        <w:rPr>
          <w:bCs/>
          <w:szCs w:val="22"/>
        </w:rPr>
        <w:t>jugé</w:t>
      </w:r>
      <w:r w:rsidR="00A60C18" w:rsidRPr="002D09EA">
        <w:rPr>
          <w:bCs/>
          <w:szCs w:val="22"/>
        </w:rPr>
        <w:t xml:space="preserve"> remplir les conditions requises pour participer au programme.</w:t>
      </w:r>
    </w:p>
    <w:p w:rsidR="00FD6FC2" w:rsidRPr="002D09EA" w:rsidRDefault="00FD6FC2" w:rsidP="00DD4DD5">
      <w:pPr>
        <w:tabs>
          <w:tab w:val="left" w:pos="540"/>
        </w:tabs>
        <w:ind w:left="540"/>
        <w:rPr>
          <w:bCs/>
          <w:szCs w:val="22"/>
        </w:rPr>
      </w:pPr>
    </w:p>
    <w:p w:rsidR="00FD6FC2" w:rsidRPr="002D09EA" w:rsidRDefault="005B5648" w:rsidP="00DD4DD5">
      <w:pPr>
        <w:numPr>
          <w:ilvl w:val="0"/>
          <w:numId w:val="7"/>
        </w:numPr>
        <w:tabs>
          <w:tab w:val="left" w:pos="1134"/>
        </w:tabs>
        <w:ind w:left="567" w:firstLine="0"/>
        <w:rPr>
          <w:b/>
          <w:bCs/>
          <w:szCs w:val="22"/>
        </w:rPr>
      </w:pPr>
      <w:r w:rsidRPr="002D09EA">
        <w:rPr>
          <w:b/>
          <w:bCs/>
          <w:szCs w:val="22"/>
        </w:rPr>
        <w:t>Droits</w:t>
      </w:r>
    </w:p>
    <w:p w:rsidR="00FD6FC2" w:rsidRPr="002D09EA" w:rsidRDefault="00FD6FC2" w:rsidP="00DD4DD5">
      <w:pPr>
        <w:keepNext/>
        <w:tabs>
          <w:tab w:val="left" w:pos="540"/>
        </w:tabs>
        <w:ind w:left="540"/>
        <w:rPr>
          <w:bCs/>
          <w:szCs w:val="22"/>
        </w:rPr>
      </w:pPr>
    </w:p>
    <w:p w:rsidR="00A60C18" w:rsidRPr="002D09EA" w:rsidRDefault="00A60C18" w:rsidP="00DD4DD5">
      <w:pPr>
        <w:tabs>
          <w:tab w:val="left" w:pos="540"/>
        </w:tabs>
        <w:ind w:left="540"/>
        <w:rPr>
          <w:bCs/>
          <w:szCs w:val="22"/>
        </w:rPr>
      </w:pPr>
      <w:r w:rsidRPr="002D09EA">
        <w:rPr>
          <w:bCs/>
          <w:szCs w:val="22"/>
        </w:rPr>
        <w:t>Le système volontaire d</w:t>
      </w:r>
      <w:r w:rsidR="00191ADA" w:rsidRPr="002D09EA">
        <w:rPr>
          <w:bCs/>
          <w:szCs w:val="22"/>
        </w:rPr>
        <w:t>’</w:t>
      </w:r>
      <w:r w:rsidRPr="002D09EA">
        <w:rPr>
          <w:bCs/>
          <w:szCs w:val="22"/>
        </w:rPr>
        <w:t xml:space="preserve">alerte Copyright </w:t>
      </w:r>
      <w:proofErr w:type="spellStart"/>
      <w:r w:rsidRPr="002D09EA">
        <w:rPr>
          <w:bCs/>
          <w:szCs w:val="22"/>
        </w:rPr>
        <w:t>Alert</w:t>
      </w:r>
      <w:proofErr w:type="spellEnd"/>
      <w:r w:rsidRPr="002D09EA">
        <w:rPr>
          <w:bCs/>
          <w:szCs w:val="22"/>
        </w:rPr>
        <w:t xml:space="preserve"> System visant essentiellement à déceler les cas d</w:t>
      </w:r>
      <w:r w:rsidR="00191ADA" w:rsidRPr="002D09EA">
        <w:rPr>
          <w:bCs/>
          <w:szCs w:val="22"/>
        </w:rPr>
        <w:t>’</w:t>
      </w:r>
      <w:r w:rsidRPr="002D09EA">
        <w:rPr>
          <w:bCs/>
          <w:szCs w:val="22"/>
        </w:rPr>
        <w:t>atteinte au droit d</w:t>
      </w:r>
      <w:r w:rsidR="00191ADA" w:rsidRPr="002D09EA">
        <w:rPr>
          <w:bCs/>
          <w:szCs w:val="22"/>
        </w:rPr>
        <w:t>’</w:t>
      </w:r>
      <w:r w:rsidRPr="002D09EA">
        <w:rPr>
          <w:bCs/>
          <w:szCs w:val="22"/>
        </w:rPr>
        <w:t xml:space="preserve">auteur </w:t>
      </w:r>
      <w:r w:rsidR="00212A56" w:rsidRPr="002D09EA">
        <w:rPr>
          <w:bCs/>
          <w:szCs w:val="22"/>
        </w:rPr>
        <w:t>protégeant</w:t>
      </w:r>
      <w:r w:rsidRPr="002D09EA">
        <w:rPr>
          <w:bCs/>
          <w:szCs w:val="22"/>
        </w:rPr>
        <w:t xml:space="preserve"> du contenu audiovisuel et musical, à les vérifier et à en aviser</w:t>
      </w:r>
      <w:r w:rsidR="00191ADA" w:rsidRPr="002D09EA">
        <w:rPr>
          <w:bCs/>
          <w:szCs w:val="22"/>
        </w:rPr>
        <w:t xml:space="preserve"> les FAI</w:t>
      </w:r>
      <w:r w:rsidRPr="002D09EA">
        <w:rPr>
          <w:bCs/>
          <w:szCs w:val="22"/>
        </w:rPr>
        <w:t>, il porte principalement sur le droit d</w:t>
      </w:r>
      <w:r w:rsidR="00191ADA" w:rsidRPr="002D09EA">
        <w:rPr>
          <w:bCs/>
          <w:szCs w:val="22"/>
        </w:rPr>
        <w:t>’</w:t>
      </w:r>
      <w:r w:rsidRPr="002D09EA">
        <w:rPr>
          <w:bCs/>
          <w:szCs w:val="22"/>
        </w:rPr>
        <w:t>auteur, y</w:t>
      </w:r>
      <w:r w:rsidR="00D2430A" w:rsidRPr="002D09EA">
        <w:rPr>
          <w:bCs/>
          <w:szCs w:val="22"/>
        </w:rPr>
        <w:t> </w:t>
      </w:r>
      <w:r w:rsidRPr="002D09EA">
        <w:rPr>
          <w:bCs/>
          <w:szCs w:val="22"/>
        </w:rPr>
        <w:t>compris l</w:t>
      </w:r>
      <w:r w:rsidR="00191ADA" w:rsidRPr="002D09EA">
        <w:rPr>
          <w:bCs/>
          <w:szCs w:val="22"/>
        </w:rPr>
        <w:t>’</w:t>
      </w:r>
      <w:r w:rsidRPr="002D09EA">
        <w:rPr>
          <w:bCs/>
          <w:szCs w:val="22"/>
        </w:rPr>
        <w:t>exploitation et la mise à disposition de contenu protégé.</w:t>
      </w:r>
    </w:p>
    <w:p w:rsidR="00FD6FC2" w:rsidRPr="002D09EA" w:rsidRDefault="00FD6FC2" w:rsidP="001F6249">
      <w:pPr>
        <w:tabs>
          <w:tab w:val="left" w:pos="540"/>
        </w:tabs>
        <w:ind w:left="567"/>
        <w:rPr>
          <w:bCs/>
          <w:szCs w:val="22"/>
        </w:rPr>
      </w:pPr>
    </w:p>
    <w:p w:rsidR="00A60C18" w:rsidRPr="002D09EA" w:rsidRDefault="00A60C18" w:rsidP="00320417">
      <w:pPr>
        <w:tabs>
          <w:tab w:val="left" w:pos="540"/>
        </w:tabs>
        <w:ind w:left="540"/>
        <w:rPr>
          <w:bCs/>
          <w:szCs w:val="22"/>
        </w:rPr>
      </w:pPr>
      <w:r w:rsidRPr="002D09EA">
        <w:rPr>
          <w:bCs/>
          <w:szCs w:val="22"/>
        </w:rPr>
        <w:t>S</w:t>
      </w:r>
      <w:r w:rsidR="00191ADA" w:rsidRPr="002D09EA">
        <w:rPr>
          <w:bCs/>
          <w:szCs w:val="22"/>
        </w:rPr>
        <w:t>’</w:t>
      </w:r>
      <w:r w:rsidRPr="002D09EA">
        <w:rPr>
          <w:bCs/>
          <w:szCs w:val="22"/>
        </w:rPr>
        <w:t>agissant d</w:t>
      </w:r>
      <w:r w:rsidR="00191ADA" w:rsidRPr="002D09EA">
        <w:rPr>
          <w:bCs/>
          <w:szCs w:val="22"/>
        </w:rPr>
        <w:t>’</w:t>
      </w:r>
      <w:proofErr w:type="spellStart"/>
      <w:r w:rsidR="00FD6FC2" w:rsidRPr="002D09EA">
        <w:rPr>
          <w:bCs/>
          <w:szCs w:val="22"/>
        </w:rPr>
        <w:t>Operation</w:t>
      </w:r>
      <w:proofErr w:type="spellEnd"/>
      <w:r w:rsidR="00FD6FC2" w:rsidRPr="002D09EA">
        <w:rPr>
          <w:bCs/>
          <w:szCs w:val="22"/>
        </w:rPr>
        <w:t xml:space="preserve"> </w:t>
      </w:r>
      <w:proofErr w:type="spellStart"/>
      <w:r w:rsidR="00FD6FC2" w:rsidRPr="002D09EA">
        <w:rPr>
          <w:bCs/>
          <w:szCs w:val="22"/>
        </w:rPr>
        <w:t>Creative</w:t>
      </w:r>
      <w:proofErr w:type="spellEnd"/>
      <w:r w:rsidR="00FD6FC2" w:rsidRPr="002D09EA">
        <w:rPr>
          <w:bCs/>
          <w:szCs w:val="22"/>
        </w:rPr>
        <w:t xml:space="preserve">, </w:t>
      </w:r>
      <w:r w:rsidR="00223E7A" w:rsidRPr="002D09EA">
        <w:rPr>
          <w:bCs/>
          <w:szCs w:val="22"/>
        </w:rPr>
        <w:t>les droits sont plus étendus puisque, par nature, le programme vise la présence en ligne de</w:t>
      </w:r>
      <w:r w:rsidR="00A83E74" w:rsidRPr="002D09EA">
        <w:rPr>
          <w:bCs/>
          <w:szCs w:val="22"/>
        </w:rPr>
        <w:t xml:space="preserve"> moyens d</w:t>
      </w:r>
      <w:r w:rsidR="00191ADA" w:rsidRPr="002D09EA">
        <w:rPr>
          <w:bCs/>
          <w:szCs w:val="22"/>
        </w:rPr>
        <w:t>’</w:t>
      </w:r>
      <w:r w:rsidR="00A83E74" w:rsidRPr="002D09EA">
        <w:rPr>
          <w:bCs/>
          <w:szCs w:val="22"/>
        </w:rPr>
        <w:t>identification de</w:t>
      </w:r>
      <w:r w:rsidR="00223E7A" w:rsidRPr="002D09EA">
        <w:rPr>
          <w:bCs/>
          <w:szCs w:val="22"/>
        </w:rPr>
        <w:t xml:space="preserve"> la marque de l</w:t>
      </w:r>
      <w:r w:rsidR="00191ADA" w:rsidRPr="002D09EA">
        <w:rPr>
          <w:bCs/>
          <w:szCs w:val="22"/>
        </w:rPr>
        <w:t>’</w:t>
      </w:r>
      <w:r w:rsidR="00223E7A" w:rsidRPr="002D09EA">
        <w:rPr>
          <w:bCs/>
          <w:szCs w:val="22"/>
        </w:rPr>
        <w:t>annonceur et du produit</w:t>
      </w:r>
      <w:r w:rsidR="00A83E74" w:rsidRPr="002D09EA">
        <w:rPr>
          <w:bCs/>
          <w:szCs w:val="22"/>
        </w:rPr>
        <w:t>.  C</w:t>
      </w:r>
      <w:r w:rsidR="00191ADA" w:rsidRPr="002D09EA">
        <w:rPr>
          <w:bCs/>
          <w:szCs w:val="22"/>
        </w:rPr>
        <w:t>’</w:t>
      </w:r>
      <w:r w:rsidR="00A83E74" w:rsidRPr="002D09EA">
        <w:rPr>
          <w:bCs/>
          <w:szCs w:val="22"/>
        </w:rPr>
        <w:t>est ce dont</w:t>
      </w:r>
      <w:r w:rsidR="00223E7A" w:rsidRPr="002D09EA">
        <w:rPr>
          <w:bCs/>
          <w:szCs w:val="22"/>
        </w:rPr>
        <w:t xml:space="preserve"> témoignent la présence d</w:t>
      </w:r>
      <w:r w:rsidR="00191ADA" w:rsidRPr="002D09EA">
        <w:rPr>
          <w:bCs/>
          <w:szCs w:val="22"/>
        </w:rPr>
        <w:t>’</w:t>
      </w:r>
      <w:r w:rsidR="00223E7A" w:rsidRPr="002D09EA">
        <w:rPr>
          <w:bCs/>
          <w:szCs w:val="22"/>
        </w:rPr>
        <w:t xml:space="preserve">annonces publicitaires comportant des marques </w:t>
      </w:r>
      <w:r w:rsidR="000623E4">
        <w:rPr>
          <w:bCs/>
          <w:szCs w:val="22"/>
        </w:rPr>
        <w:t>enregistrées</w:t>
      </w:r>
      <w:r w:rsidR="00223E7A" w:rsidRPr="002D09EA">
        <w:rPr>
          <w:bCs/>
          <w:szCs w:val="22"/>
        </w:rPr>
        <w:t xml:space="preserve"> ou non, de</w:t>
      </w:r>
      <w:r w:rsidR="00A83E74" w:rsidRPr="002D09EA">
        <w:rPr>
          <w:bCs/>
          <w:szCs w:val="22"/>
        </w:rPr>
        <w:t>s</w:t>
      </w:r>
      <w:r w:rsidR="00223E7A" w:rsidRPr="002D09EA">
        <w:rPr>
          <w:bCs/>
          <w:szCs w:val="22"/>
        </w:rPr>
        <w:t xml:space="preserve"> logos ou d</w:t>
      </w:r>
      <w:r w:rsidR="00191ADA" w:rsidRPr="002D09EA">
        <w:rPr>
          <w:bCs/>
          <w:szCs w:val="22"/>
        </w:rPr>
        <w:t>’</w:t>
      </w:r>
      <w:r w:rsidR="00223E7A" w:rsidRPr="002D09EA">
        <w:rPr>
          <w:bCs/>
          <w:szCs w:val="22"/>
        </w:rPr>
        <w:t>autres attributs d</w:t>
      </w:r>
      <w:r w:rsidR="00191ADA" w:rsidRPr="002D09EA">
        <w:rPr>
          <w:bCs/>
          <w:szCs w:val="22"/>
        </w:rPr>
        <w:t>’</w:t>
      </w:r>
      <w:r w:rsidR="00223E7A" w:rsidRPr="002D09EA">
        <w:rPr>
          <w:bCs/>
          <w:szCs w:val="22"/>
        </w:rPr>
        <w:t xml:space="preserve">identification, ainsi que </w:t>
      </w:r>
      <w:r w:rsidR="00544696">
        <w:rPr>
          <w:bCs/>
          <w:szCs w:val="22"/>
        </w:rPr>
        <w:t xml:space="preserve">l’utilisation </w:t>
      </w:r>
      <w:r w:rsidR="00223E7A" w:rsidRPr="002D09EA">
        <w:rPr>
          <w:bCs/>
          <w:szCs w:val="22"/>
        </w:rPr>
        <w:t>d</w:t>
      </w:r>
      <w:r w:rsidR="00191ADA" w:rsidRPr="002D09EA">
        <w:rPr>
          <w:bCs/>
          <w:szCs w:val="22"/>
        </w:rPr>
        <w:t>’</w:t>
      </w:r>
      <w:r w:rsidR="00223E7A" w:rsidRPr="002D09EA">
        <w:rPr>
          <w:bCs/>
          <w:szCs w:val="22"/>
        </w:rPr>
        <w:t>autres formes de propriété intellectuelle, notamment le droit d</w:t>
      </w:r>
      <w:r w:rsidR="00191ADA" w:rsidRPr="002D09EA">
        <w:rPr>
          <w:bCs/>
          <w:szCs w:val="22"/>
        </w:rPr>
        <w:t>’</w:t>
      </w:r>
      <w:r w:rsidR="00223E7A" w:rsidRPr="002D09EA">
        <w:rPr>
          <w:bCs/>
          <w:szCs w:val="22"/>
        </w:rPr>
        <w:t xml:space="preserve">auteur, </w:t>
      </w:r>
      <w:r w:rsidR="00544696">
        <w:rPr>
          <w:bCs/>
          <w:szCs w:val="22"/>
        </w:rPr>
        <w:t>l</w:t>
      </w:r>
      <w:r w:rsidR="00223E7A" w:rsidRPr="002D09EA">
        <w:rPr>
          <w:bCs/>
          <w:szCs w:val="22"/>
        </w:rPr>
        <w:t xml:space="preserve">es dessins et modèles et </w:t>
      </w:r>
      <w:r w:rsidR="00544696">
        <w:rPr>
          <w:bCs/>
          <w:szCs w:val="22"/>
        </w:rPr>
        <w:t>l</w:t>
      </w:r>
      <w:r w:rsidR="00223E7A" w:rsidRPr="002D09EA">
        <w:rPr>
          <w:bCs/>
          <w:szCs w:val="22"/>
        </w:rPr>
        <w:t>es brevets.</w:t>
      </w:r>
    </w:p>
    <w:p w:rsidR="00FD6FC2" w:rsidRPr="002D09EA" w:rsidRDefault="00FD6FC2" w:rsidP="00DD4DD5">
      <w:pPr>
        <w:tabs>
          <w:tab w:val="left" w:pos="540"/>
        </w:tabs>
        <w:ind w:left="540"/>
        <w:rPr>
          <w:bCs/>
          <w:szCs w:val="22"/>
        </w:rPr>
      </w:pPr>
    </w:p>
    <w:p w:rsidR="00191ADA" w:rsidRPr="002D09EA" w:rsidRDefault="00A83E74" w:rsidP="00DD4DD5">
      <w:pPr>
        <w:tabs>
          <w:tab w:val="left" w:pos="540"/>
        </w:tabs>
        <w:ind w:left="540"/>
      </w:pPr>
      <w:r w:rsidRPr="002D09EA">
        <w:rPr>
          <w:bCs/>
          <w:szCs w:val="22"/>
        </w:rPr>
        <w:lastRenderedPageBreak/>
        <w:t>Ces deux</w:t>
      </w:r>
      <w:r w:rsidR="00D2430A" w:rsidRPr="002D09EA">
        <w:rPr>
          <w:bCs/>
          <w:szCs w:val="22"/>
        </w:rPr>
        <w:t> </w:t>
      </w:r>
      <w:r w:rsidRPr="002D09EA">
        <w:rPr>
          <w:bCs/>
          <w:szCs w:val="22"/>
        </w:rPr>
        <w:t xml:space="preserve">mécanismes assurent, de par leur configuration respective, la protection des droits des individus (par exemple le droit </w:t>
      </w:r>
      <w:r w:rsidRPr="002D09EA">
        <w:t xml:space="preserve">au respect de la vie privée et le droit de recours) dans les limites autorisées par les accords proprement dits </w:t>
      </w:r>
      <w:r w:rsidR="00091892">
        <w:t>et/</w:t>
      </w:r>
      <w:r w:rsidRPr="002D09EA">
        <w:t xml:space="preserve">ou par la législation sur laquelle ils se </w:t>
      </w:r>
      <w:proofErr w:type="gramStart"/>
      <w:r w:rsidRPr="002D09EA">
        <w:t>fondent</w:t>
      </w:r>
      <w:proofErr w:type="gramEnd"/>
      <w:r w:rsidRPr="002D09EA">
        <w:t>.  Ainsi, des titulaires de droits ne peuvent avoir connaissance de l</w:t>
      </w:r>
      <w:r w:rsidR="00191ADA" w:rsidRPr="002D09EA">
        <w:t>’</w:t>
      </w:r>
      <w:r w:rsidRPr="002D09EA">
        <w:t>identité d</w:t>
      </w:r>
      <w:r w:rsidR="00191ADA" w:rsidRPr="002D09EA">
        <w:t>’</w:t>
      </w:r>
      <w:r w:rsidRPr="002D09EA">
        <w:t>un client d</w:t>
      </w:r>
      <w:r w:rsidR="00191ADA" w:rsidRPr="002D09EA">
        <w:t>’</w:t>
      </w:r>
      <w:r w:rsidRPr="002D09EA">
        <w:t>un FAI sans ordonnance d</w:t>
      </w:r>
      <w:r w:rsidR="00191ADA" w:rsidRPr="002D09EA">
        <w:t>’</w:t>
      </w:r>
      <w:r w:rsidRPr="002D09EA">
        <w:t>un tribunal.</w:t>
      </w:r>
    </w:p>
    <w:p w:rsidR="00FD6FC2" w:rsidRPr="002D09EA" w:rsidRDefault="00FD6FC2" w:rsidP="00FC3974">
      <w:pPr>
        <w:ind w:left="567"/>
        <w:rPr>
          <w:b/>
          <w:bCs/>
          <w:iCs/>
          <w:szCs w:val="22"/>
        </w:rPr>
      </w:pPr>
    </w:p>
    <w:p w:rsidR="00FD6FC2" w:rsidRPr="002D09EA" w:rsidRDefault="005B5648" w:rsidP="00DD4DD5">
      <w:pPr>
        <w:numPr>
          <w:ilvl w:val="0"/>
          <w:numId w:val="7"/>
        </w:numPr>
        <w:tabs>
          <w:tab w:val="left" w:pos="1134"/>
        </w:tabs>
        <w:ind w:left="567" w:firstLine="0"/>
        <w:rPr>
          <w:b/>
          <w:bCs/>
          <w:szCs w:val="22"/>
        </w:rPr>
      </w:pPr>
      <w:r w:rsidRPr="002D09EA">
        <w:rPr>
          <w:b/>
        </w:rPr>
        <w:t xml:space="preserve">Conditions pour obtenir </w:t>
      </w:r>
      <w:r w:rsidR="00FA03B7">
        <w:rPr>
          <w:b/>
        </w:rPr>
        <w:t>des mesures correctives</w:t>
      </w:r>
    </w:p>
    <w:p w:rsidR="00FD6FC2" w:rsidRPr="002D09EA" w:rsidRDefault="00FD6FC2" w:rsidP="00DD4DD5">
      <w:pPr>
        <w:tabs>
          <w:tab w:val="left" w:pos="1134"/>
        </w:tabs>
        <w:ind w:left="567"/>
        <w:rPr>
          <w:b/>
          <w:bCs/>
          <w:szCs w:val="22"/>
        </w:rPr>
      </w:pPr>
    </w:p>
    <w:p w:rsidR="000A48E2" w:rsidRPr="002D09EA" w:rsidRDefault="00A83E74" w:rsidP="00DD4DD5">
      <w:pPr>
        <w:ind w:left="567"/>
        <w:rPr>
          <w:szCs w:val="22"/>
        </w:rPr>
      </w:pPr>
      <w:r w:rsidRPr="002D09EA">
        <w:rPr>
          <w:szCs w:val="22"/>
        </w:rPr>
        <w:t>Dans le cas du</w:t>
      </w:r>
      <w:r w:rsidR="00FD6FC2" w:rsidRPr="002D09EA">
        <w:rPr>
          <w:szCs w:val="22"/>
        </w:rPr>
        <w:t xml:space="preserve"> Copyright </w:t>
      </w:r>
      <w:proofErr w:type="spellStart"/>
      <w:r w:rsidR="00FD6FC2" w:rsidRPr="002D09EA">
        <w:rPr>
          <w:szCs w:val="22"/>
        </w:rPr>
        <w:t>Alert</w:t>
      </w:r>
      <w:proofErr w:type="spellEnd"/>
      <w:r w:rsidR="00FD6FC2" w:rsidRPr="002D09EA">
        <w:rPr>
          <w:szCs w:val="22"/>
        </w:rPr>
        <w:t xml:space="preserve"> System, </w:t>
      </w:r>
      <w:r w:rsidR="000A48E2" w:rsidRPr="002D09EA">
        <w:rPr>
          <w:szCs w:val="22"/>
        </w:rPr>
        <w:t xml:space="preserve">les titulaires de droits </w:t>
      </w:r>
      <w:r w:rsidR="00FD6FC2" w:rsidRPr="002D09EA">
        <w:rPr>
          <w:szCs w:val="22"/>
        </w:rPr>
        <w:t>(o</w:t>
      </w:r>
      <w:r w:rsidR="000A48E2" w:rsidRPr="002D09EA">
        <w:rPr>
          <w:szCs w:val="22"/>
        </w:rPr>
        <w:t>u leurs représentants qualifiés) dressent la liste de leurs actifs</w:t>
      </w:r>
      <w:r w:rsidR="00BB0589" w:rsidRPr="002D09EA">
        <w:rPr>
          <w:szCs w:val="22"/>
        </w:rPr>
        <w:t xml:space="preserve"> de propriété intellectuelle</w:t>
      </w:r>
      <w:r w:rsidR="000A48E2" w:rsidRPr="002D09EA">
        <w:rPr>
          <w:szCs w:val="22"/>
        </w:rPr>
        <w:t xml:space="preserve"> (dans le cas du segment audiovisuel, il s</w:t>
      </w:r>
      <w:r w:rsidR="00191ADA" w:rsidRPr="002D09EA">
        <w:rPr>
          <w:szCs w:val="22"/>
        </w:rPr>
        <w:t>’</w:t>
      </w:r>
      <w:r w:rsidR="000A48E2" w:rsidRPr="002D09EA">
        <w:rPr>
          <w:szCs w:val="22"/>
        </w:rPr>
        <w:t>agit des versions intégrales de films et d</w:t>
      </w:r>
      <w:r w:rsidR="00191ADA" w:rsidRPr="002D09EA">
        <w:rPr>
          <w:szCs w:val="22"/>
        </w:rPr>
        <w:t>’</w:t>
      </w:r>
      <w:r w:rsidR="000A48E2" w:rsidRPr="002D09EA">
        <w:rPr>
          <w:szCs w:val="22"/>
        </w:rPr>
        <w:t>émissions de télévision, et, dans celui de la musique, de la version intégrale d</w:t>
      </w:r>
      <w:r w:rsidR="00191ADA" w:rsidRPr="002D09EA">
        <w:rPr>
          <w:szCs w:val="22"/>
        </w:rPr>
        <w:t>’</w:t>
      </w:r>
      <w:r w:rsidR="000A48E2" w:rsidRPr="002D09EA">
        <w:rPr>
          <w:szCs w:val="22"/>
        </w:rPr>
        <w:t>albums ou de pistes musicales) aux fins de la surveillance et de la production d</w:t>
      </w:r>
      <w:r w:rsidR="00191ADA" w:rsidRPr="002D09EA">
        <w:rPr>
          <w:szCs w:val="22"/>
        </w:rPr>
        <w:t>’</w:t>
      </w:r>
      <w:r w:rsidR="000A48E2" w:rsidRPr="002D09EA">
        <w:rPr>
          <w:szCs w:val="22"/>
        </w:rPr>
        <w:t>avis envoyés</w:t>
      </w:r>
      <w:r w:rsidR="00191ADA" w:rsidRPr="002D09EA">
        <w:rPr>
          <w:szCs w:val="22"/>
        </w:rPr>
        <w:t xml:space="preserve"> aux FAI</w:t>
      </w:r>
      <w:r w:rsidR="000A48E2" w:rsidRPr="002D09EA">
        <w:rPr>
          <w:szCs w:val="22"/>
        </w:rPr>
        <w:t xml:space="preserve"> participants lorsque des cas d</w:t>
      </w:r>
      <w:r w:rsidR="00191ADA" w:rsidRPr="002D09EA">
        <w:rPr>
          <w:szCs w:val="22"/>
        </w:rPr>
        <w:t>’</w:t>
      </w:r>
      <w:r w:rsidR="000A48E2" w:rsidRPr="002D09EA">
        <w:rPr>
          <w:szCs w:val="22"/>
        </w:rPr>
        <w:t>atteinte au droit d</w:t>
      </w:r>
      <w:r w:rsidR="00191ADA" w:rsidRPr="002D09EA">
        <w:rPr>
          <w:szCs w:val="22"/>
        </w:rPr>
        <w:t>’</w:t>
      </w:r>
      <w:r w:rsidR="000A48E2" w:rsidRPr="002D09EA">
        <w:rPr>
          <w:szCs w:val="22"/>
        </w:rPr>
        <w:t xml:space="preserve">auteur associé sont décelés dans des réseaux </w:t>
      </w:r>
      <w:r w:rsidR="00B35BAA" w:rsidRPr="002D09EA">
        <w:t>de poste à poste</w:t>
      </w:r>
      <w:r w:rsidR="000A48E2" w:rsidRPr="002D09EA">
        <w:t xml:space="preserve"> (P2P)</w:t>
      </w:r>
      <w:r w:rsidR="000A48E2" w:rsidRPr="002D09EA">
        <w:rPr>
          <w:szCs w:val="22"/>
        </w:rPr>
        <w:t xml:space="preserve"> et </w:t>
      </w:r>
      <w:r w:rsidR="00074C8D">
        <w:rPr>
          <w:szCs w:val="22"/>
        </w:rPr>
        <w:t>confirmés</w:t>
      </w:r>
      <w:r w:rsidR="000A48E2" w:rsidRPr="002D09EA">
        <w:rPr>
          <w:szCs w:val="22"/>
        </w:rPr>
        <w:t xml:space="preserve">. </w:t>
      </w:r>
      <w:r w:rsidR="00F83069" w:rsidRPr="002D09EA">
        <w:rPr>
          <w:szCs w:val="22"/>
        </w:rPr>
        <w:t xml:space="preserve"> </w:t>
      </w:r>
      <w:r w:rsidR="000A48E2" w:rsidRPr="002D09EA">
        <w:rPr>
          <w:szCs w:val="22"/>
        </w:rPr>
        <w:t>La propriété des différents actifs doit être confirmée par avance, et étayée par un certificat de droit d</w:t>
      </w:r>
      <w:r w:rsidR="00191ADA" w:rsidRPr="002D09EA">
        <w:rPr>
          <w:szCs w:val="22"/>
        </w:rPr>
        <w:t>’</w:t>
      </w:r>
      <w:r w:rsidR="000A48E2" w:rsidRPr="002D09EA">
        <w:rPr>
          <w:szCs w:val="22"/>
        </w:rPr>
        <w:t>auteur en cours de validité ou tout autre document pertinent.</w:t>
      </w:r>
    </w:p>
    <w:p w:rsidR="00FD6FC2" w:rsidRPr="002D09EA" w:rsidRDefault="00FD6FC2" w:rsidP="00DD4DD5">
      <w:pPr>
        <w:ind w:left="567"/>
        <w:rPr>
          <w:szCs w:val="22"/>
        </w:rPr>
      </w:pPr>
    </w:p>
    <w:p w:rsidR="000A48E2" w:rsidRPr="002D09EA" w:rsidRDefault="000A48E2" w:rsidP="00DD4DD5">
      <w:pPr>
        <w:ind w:left="567"/>
        <w:rPr>
          <w:szCs w:val="22"/>
        </w:rPr>
      </w:pPr>
      <w:r w:rsidRPr="002D09EA">
        <w:rPr>
          <w:szCs w:val="22"/>
        </w:rPr>
        <w:t>Dans le cas d</w:t>
      </w:r>
      <w:r w:rsidR="00191ADA" w:rsidRPr="002D09EA">
        <w:rPr>
          <w:szCs w:val="22"/>
        </w:rPr>
        <w:t>’</w:t>
      </w:r>
      <w:proofErr w:type="spellStart"/>
      <w:r w:rsidRPr="002D09EA">
        <w:rPr>
          <w:bCs/>
          <w:szCs w:val="22"/>
        </w:rPr>
        <w:t>Operation</w:t>
      </w:r>
      <w:proofErr w:type="spellEnd"/>
      <w:r w:rsidRPr="002D09EA">
        <w:rPr>
          <w:bCs/>
          <w:szCs w:val="22"/>
        </w:rPr>
        <w:t xml:space="preserve"> </w:t>
      </w:r>
      <w:proofErr w:type="spellStart"/>
      <w:r w:rsidRPr="002D09EA">
        <w:rPr>
          <w:bCs/>
          <w:szCs w:val="22"/>
        </w:rPr>
        <w:t>Creative</w:t>
      </w:r>
      <w:proofErr w:type="spellEnd"/>
      <w:r w:rsidRPr="002D09EA">
        <w:rPr>
          <w:bCs/>
          <w:szCs w:val="22"/>
        </w:rPr>
        <w:t xml:space="preserve">, </w:t>
      </w:r>
      <w:r w:rsidRPr="002D09EA">
        <w:rPr>
          <w:szCs w:val="22"/>
        </w:rPr>
        <w:t>les titulaires de droits ou leurs représentants procèdent à l</w:t>
      </w:r>
      <w:r w:rsidR="00191ADA" w:rsidRPr="002D09EA">
        <w:rPr>
          <w:szCs w:val="22"/>
        </w:rPr>
        <w:t>’</w:t>
      </w:r>
      <w:r w:rsidRPr="002D09EA">
        <w:rPr>
          <w:szCs w:val="22"/>
        </w:rPr>
        <w:t>examen exhaustif du contenu mis à disposition sur les sites</w:t>
      </w:r>
      <w:r w:rsidR="00D2430A" w:rsidRPr="002D09EA">
        <w:rPr>
          <w:szCs w:val="22"/>
        </w:rPr>
        <w:t> </w:t>
      </w:r>
      <w:r w:rsidRPr="002D09EA">
        <w:rPr>
          <w:szCs w:val="22"/>
        </w:rPr>
        <w:t>Web, afin de déterminer si ceux</w:t>
      </w:r>
      <w:r w:rsidR="00F40A5D" w:rsidRPr="002D09EA">
        <w:rPr>
          <w:szCs w:val="22"/>
        </w:rPr>
        <w:noBreakHyphen/>
      </w:r>
      <w:r w:rsidRPr="002D09EA">
        <w:rPr>
          <w:szCs w:val="22"/>
        </w:rPr>
        <w:t xml:space="preserve">ci </w:t>
      </w:r>
      <w:r w:rsidR="00F83069" w:rsidRPr="002D09EA">
        <w:rPr>
          <w:szCs w:val="22"/>
        </w:rPr>
        <w:t>remplissent les conditions de saisie de</w:t>
      </w:r>
      <w:r w:rsidR="00191ADA" w:rsidRPr="002D09EA">
        <w:rPr>
          <w:szCs w:val="22"/>
        </w:rPr>
        <w:t xml:space="preserve"> la PIP</w:t>
      </w:r>
      <w:r w:rsidR="00F83069" w:rsidRPr="002D09EA">
        <w:rPr>
          <w:szCs w:val="22"/>
        </w:rPr>
        <w:t xml:space="preserve">CU.  Le niveau de preuve à apporter est extrêmement élevé.  Les éléments doivent être suffisamment probants pour être recevables dans une poursuite pénale. </w:t>
      </w:r>
      <w:r w:rsidR="00191ADA" w:rsidRPr="002D09EA">
        <w:rPr>
          <w:szCs w:val="22"/>
        </w:rPr>
        <w:t xml:space="preserve"> La PIP</w:t>
      </w:r>
      <w:r w:rsidR="00C77C0B" w:rsidRPr="002D09EA">
        <w:rPr>
          <w:szCs w:val="22"/>
        </w:rPr>
        <w:t>CU applique un modèle rigoureux d</w:t>
      </w:r>
      <w:r w:rsidR="00191ADA" w:rsidRPr="002D09EA">
        <w:rPr>
          <w:szCs w:val="22"/>
        </w:rPr>
        <w:t>’</w:t>
      </w:r>
      <w:r w:rsidR="00C77C0B" w:rsidRPr="002D09EA">
        <w:rPr>
          <w:szCs w:val="22"/>
        </w:rPr>
        <w:t xml:space="preserve">assurance qualité au niveau des enquêtes, et veille à ce que toutes les allégations soient étayées par des éléments de preuve obtenus de manière licite et par une déclaration du titulaire de droits ou </w:t>
      </w:r>
      <w:r w:rsidR="007E4424">
        <w:rPr>
          <w:szCs w:val="22"/>
        </w:rPr>
        <w:t xml:space="preserve">de </w:t>
      </w:r>
      <w:r w:rsidR="00C77C0B" w:rsidRPr="002D09EA">
        <w:rPr>
          <w:szCs w:val="22"/>
        </w:rPr>
        <w:t xml:space="preserve">son </w:t>
      </w:r>
      <w:r w:rsidR="00C77C0B" w:rsidRPr="002D09EA">
        <w:t>représentant</w:t>
      </w:r>
      <w:r w:rsidR="00C77C0B" w:rsidRPr="002D09EA">
        <w:rPr>
          <w:szCs w:val="22"/>
        </w:rPr>
        <w:t xml:space="preserve"> désigné.</w:t>
      </w:r>
    </w:p>
    <w:p w:rsidR="00FD6FC2" w:rsidRPr="002D09EA" w:rsidRDefault="00FD6FC2" w:rsidP="00DD4DD5">
      <w:pPr>
        <w:ind w:left="567"/>
        <w:rPr>
          <w:szCs w:val="22"/>
        </w:rPr>
      </w:pPr>
    </w:p>
    <w:p w:rsidR="00191ADA" w:rsidRPr="002D09EA" w:rsidRDefault="00DD4DD5" w:rsidP="00DD4DD5">
      <w:pPr>
        <w:numPr>
          <w:ilvl w:val="0"/>
          <w:numId w:val="7"/>
        </w:numPr>
        <w:tabs>
          <w:tab w:val="left" w:pos="1134"/>
        </w:tabs>
        <w:ind w:left="567" w:firstLine="0"/>
        <w:rPr>
          <w:b/>
        </w:rPr>
      </w:pPr>
      <w:r w:rsidRPr="002D09EA">
        <w:rPr>
          <w:b/>
        </w:rPr>
        <w:t xml:space="preserve">Type de </w:t>
      </w:r>
      <w:r w:rsidR="00FA03B7">
        <w:rPr>
          <w:b/>
        </w:rPr>
        <w:t>mesures correctives</w:t>
      </w:r>
    </w:p>
    <w:p w:rsidR="00477896" w:rsidRPr="002D09EA" w:rsidRDefault="00477896" w:rsidP="00DD4DD5">
      <w:pPr>
        <w:ind w:left="567"/>
        <w:rPr>
          <w:b/>
          <w:bCs/>
          <w:szCs w:val="22"/>
        </w:rPr>
      </w:pPr>
    </w:p>
    <w:p w:rsidR="00477896" w:rsidRPr="002D09EA" w:rsidRDefault="00477896" w:rsidP="00DD4DD5">
      <w:pPr>
        <w:ind w:left="567"/>
        <w:rPr>
          <w:iCs/>
          <w:szCs w:val="22"/>
        </w:rPr>
      </w:pPr>
      <w:r w:rsidRPr="002D09EA">
        <w:rPr>
          <w:bCs/>
          <w:szCs w:val="22"/>
        </w:rPr>
        <w:t>Dans le</w:t>
      </w:r>
      <w:r w:rsidRPr="002D09EA">
        <w:rPr>
          <w:b/>
          <w:bCs/>
          <w:szCs w:val="22"/>
        </w:rPr>
        <w:t xml:space="preserve"> </w:t>
      </w:r>
      <w:r w:rsidR="00FD6FC2" w:rsidRPr="002D09EA">
        <w:rPr>
          <w:iCs/>
          <w:szCs w:val="22"/>
        </w:rPr>
        <w:t xml:space="preserve">Copyright </w:t>
      </w:r>
      <w:proofErr w:type="spellStart"/>
      <w:r w:rsidR="00FD6FC2" w:rsidRPr="002D09EA">
        <w:rPr>
          <w:iCs/>
          <w:szCs w:val="22"/>
        </w:rPr>
        <w:t>Alert</w:t>
      </w:r>
      <w:proofErr w:type="spellEnd"/>
      <w:r w:rsidR="00FD6FC2" w:rsidRPr="002D09EA">
        <w:rPr>
          <w:iCs/>
          <w:szCs w:val="22"/>
        </w:rPr>
        <w:t xml:space="preserve"> System, </w:t>
      </w:r>
      <w:r w:rsidRPr="002D09EA">
        <w:rPr>
          <w:iCs/>
          <w:szCs w:val="22"/>
        </w:rPr>
        <w:t xml:space="preserve">les </w:t>
      </w:r>
      <w:r w:rsidR="00FA03B7">
        <w:rPr>
          <w:iCs/>
          <w:szCs w:val="22"/>
        </w:rPr>
        <w:t>mesures correctives</w:t>
      </w:r>
      <w:r w:rsidRPr="002D09EA">
        <w:rPr>
          <w:iCs/>
          <w:szCs w:val="22"/>
        </w:rPr>
        <w:t xml:space="preserve"> disponibles comprennent la production d</w:t>
      </w:r>
      <w:r w:rsidR="00191ADA" w:rsidRPr="002D09EA">
        <w:rPr>
          <w:iCs/>
          <w:szCs w:val="22"/>
        </w:rPr>
        <w:t>’</w:t>
      </w:r>
      <w:r w:rsidRPr="002D09EA">
        <w:rPr>
          <w:iCs/>
          <w:szCs w:val="22"/>
        </w:rPr>
        <w:t>avis à envoyer</w:t>
      </w:r>
      <w:r w:rsidR="00191ADA" w:rsidRPr="002D09EA">
        <w:rPr>
          <w:iCs/>
          <w:szCs w:val="22"/>
        </w:rPr>
        <w:t xml:space="preserve"> aux FAI</w:t>
      </w:r>
      <w:r w:rsidRPr="002D09EA">
        <w:rPr>
          <w:iCs/>
          <w:szCs w:val="22"/>
        </w:rPr>
        <w:t xml:space="preserve"> participants et, selon le statut du compte du client</w:t>
      </w:r>
      <w:r w:rsidR="00191ADA" w:rsidRPr="002D09EA">
        <w:rPr>
          <w:iCs/>
          <w:szCs w:val="22"/>
        </w:rPr>
        <w:t xml:space="preserve"> du FAI</w:t>
      </w:r>
      <w:r w:rsidRPr="002D09EA">
        <w:rPr>
          <w:iCs/>
          <w:szCs w:val="22"/>
        </w:rPr>
        <w:t xml:space="preserve"> qui a été jugé correspondre à l</w:t>
      </w:r>
      <w:r w:rsidR="00191ADA" w:rsidRPr="002D09EA">
        <w:rPr>
          <w:iCs/>
          <w:szCs w:val="22"/>
        </w:rPr>
        <w:t>’</w:t>
      </w:r>
      <w:r w:rsidRPr="002D09EA">
        <w:rPr>
          <w:iCs/>
          <w:szCs w:val="22"/>
        </w:rPr>
        <w:t>adresse IP confirmée comme étant applicable à chaque cas, l</w:t>
      </w:r>
      <w:r w:rsidR="00191ADA" w:rsidRPr="002D09EA">
        <w:rPr>
          <w:iCs/>
          <w:szCs w:val="22"/>
        </w:rPr>
        <w:t>’</w:t>
      </w:r>
      <w:r w:rsidRPr="002D09EA">
        <w:rPr>
          <w:iCs/>
          <w:szCs w:val="22"/>
        </w:rPr>
        <w:t>envoi d</w:t>
      </w:r>
      <w:r w:rsidR="00191ADA" w:rsidRPr="002D09EA">
        <w:rPr>
          <w:iCs/>
          <w:szCs w:val="22"/>
        </w:rPr>
        <w:t>’</w:t>
      </w:r>
      <w:r w:rsidRPr="002D09EA">
        <w:rPr>
          <w:iCs/>
          <w:szCs w:val="22"/>
        </w:rPr>
        <w:t>une alerte au titulaire du compte ou l</w:t>
      </w:r>
      <w:r w:rsidR="00191ADA" w:rsidRPr="002D09EA">
        <w:rPr>
          <w:iCs/>
          <w:szCs w:val="22"/>
        </w:rPr>
        <w:t>’</w:t>
      </w:r>
      <w:r w:rsidRPr="002D09EA">
        <w:rPr>
          <w:iCs/>
          <w:szCs w:val="22"/>
        </w:rPr>
        <w:t>application d</w:t>
      </w:r>
      <w:r w:rsidR="00191ADA" w:rsidRPr="002D09EA">
        <w:rPr>
          <w:iCs/>
          <w:szCs w:val="22"/>
        </w:rPr>
        <w:t>’</w:t>
      </w:r>
      <w:r w:rsidRPr="002D09EA">
        <w:rPr>
          <w:iCs/>
          <w:szCs w:val="22"/>
        </w:rPr>
        <w:t>une mesure d</w:t>
      </w:r>
      <w:r w:rsidR="00191ADA" w:rsidRPr="002D09EA">
        <w:rPr>
          <w:iCs/>
          <w:szCs w:val="22"/>
        </w:rPr>
        <w:t>’</w:t>
      </w:r>
      <w:r w:rsidRPr="002D09EA">
        <w:rPr>
          <w:iCs/>
          <w:szCs w:val="22"/>
        </w:rPr>
        <w:t>atténuation.</w:t>
      </w:r>
    </w:p>
    <w:p w:rsidR="00FD6FC2" w:rsidRPr="002D09EA" w:rsidRDefault="00FD6FC2" w:rsidP="00DD4DD5">
      <w:pPr>
        <w:ind w:left="567"/>
        <w:rPr>
          <w:iCs/>
          <w:szCs w:val="22"/>
        </w:rPr>
      </w:pPr>
    </w:p>
    <w:p w:rsidR="00477896" w:rsidRPr="002D09EA" w:rsidRDefault="00477896" w:rsidP="00DD4DD5">
      <w:pPr>
        <w:ind w:left="567"/>
        <w:rPr>
          <w:iCs/>
          <w:szCs w:val="22"/>
        </w:rPr>
      </w:pPr>
      <w:r w:rsidRPr="002D09EA">
        <w:rPr>
          <w:iCs/>
          <w:szCs w:val="22"/>
        </w:rPr>
        <w:t>Dans le cas d</w:t>
      </w:r>
      <w:r w:rsidR="00191ADA" w:rsidRPr="002D09EA">
        <w:rPr>
          <w:iCs/>
          <w:szCs w:val="22"/>
        </w:rPr>
        <w:t>’</w:t>
      </w:r>
      <w:proofErr w:type="spellStart"/>
      <w:r w:rsidRPr="002D09EA">
        <w:rPr>
          <w:bCs/>
          <w:iCs/>
          <w:szCs w:val="22"/>
        </w:rPr>
        <w:t>Operation</w:t>
      </w:r>
      <w:proofErr w:type="spellEnd"/>
      <w:r w:rsidRPr="002D09EA">
        <w:rPr>
          <w:bCs/>
          <w:iCs/>
          <w:szCs w:val="22"/>
        </w:rPr>
        <w:t xml:space="preserve"> </w:t>
      </w:r>
      <w:proofErr w:type="spellStart"/>
      <w:r w:rsidRPr="002D09EA">
        <w:rPr>
          <w:bCs/>
          <w:iCs/>
          <w:szCs w:val="22"/>
        </w:rPr>
        <w:t>Creative</w:t>
      </w:r>
      <w:proofErr w:type="spellEnd"/>
      <w:r w:rsidRPr="002D09EA">
        <w:rPr>
          <w:bCs/>
          <w:iCs/>
          <w:szCs w:val="22"/>
        </w:rPr>
        <w:t xml:space="preserve">, les </w:t>
      </w:r>
      <w:r w:rsidR="00FA03B7">
        <w:rPr>
          <w:bCs/>
          <w:iCs/>
          <w:szCs w:val="22"/>
        </w:rPr>
        <w:t>mesures correctives</w:t>
      </w:r>
      <w:r w:rsidRPr="002D09EA">
        <w:rPr>
          <w:bCs/>
          <w:iCs/>
          <w:szCs w:val="22"/>
        </w:rPr>
        <w:t xml:space="preserve"> </w:t>
      </w:r>
      <w:r w:rsidR="00D421F9" w:rsidRPr="002D09EA">
        <w:rPr>
          <w:bCs/>
          <w:iCs/>
          <w:szCs w:val="22"/>
        </w:rPr>
        <w:t xml:space="preserve">applicables aux annonceurs et aux </w:t>
      </w:r>
      <w:r w:rsidR="00972FC1">
        <w:rPr>
          <w:bCs/>
          <w:iCs/>
          <w:szCs w:val="22"/>
        </w:rPr>
        <w:t>titulaires</w:t>
      </w:r>
      <w:r w:rsidR="00D421F9" w:rsidRPr="002D09EA">
        <w:rPr>
          <w:bCs/>
          <w:iCs/>
          <w:szCs w:val="22"/>
        </w:rPr>
        <w:t xml:space="preserve"> de marques </w:t>
      </w:r>
      <w:r w:rsidR="00D2430A" w:rsidRPr="002D09EA">
        <w:rPr>
          <w:bCs/>
          <w:iCs/>
          <w:szCs w:val="22"/>
        </w:rPr>
        <w:t>–</w:t>
      </w:r>
      <w:r w:rsidR="00D421F9" w:rsidRPr="002D09EA">
        <w:rPr>
          <w:bCs/>
          <w:iCs/>
          <w:szCs w:val="22"/>
        </w:rPr>
        <w:t xml:space="preserve"> ainsi qu</w:t>
      </w:r>
      <w:r w:rsidR="00191ADA" w:rsidRPr="002D09EA">
        <w:rPr>
          <w:bCs/>
          <w:iCs/>
          <w:szCs w:val="22"/>
        </w:rPr>
        <w:t>’</w:t>
      </w:r>
      <w:r w:rsidR="00D421F9" w:rsidRPr="002D09EA">
        <w:rPr>
          <w:bCs/>
          <w:iCs/>
          <w:szCs w:val="22"/>
        </w:rPr>
        <w:t>aux titulaires de droits associés au contenu proposé sur les sites</w:t>
      </w:r>
      <w:r w:rsidR="00D2430A" w:rsidRPr="002D09EA">
        <w:rPr>
          <w:bCs/>
          <w:iCs/>
          <w:szCs w:val="22"/>
        </w:rPr>
        <w:t> </w:t>
      </w:r>
      <w:r w:rsidR="00D421F9" w:rsidRPr="002D09EA">
        <w:rPr>
          <w:bCs/>
          <w:iCs/>
          <w:szCs w:val="22"/>
        </w:rPr>
        <w:t xml:space="preserve">Web concernés </w:t>
      </w:r>
      <w:r w:rsidR="00D2430A" w:rsidRPr="002D09EA">
        <w:rPr>
          <w:bCs/>
          <w:iCs/>
          <w:szCs w:val="22"/>
        </w:rPr>
        <w:t>–</w:t>
      </w:r>
      <w:r w:rsidR="00D421F9" w:rsidRPr="002D09EA">
        <w:rPr>
          <w:bCs/>
          <w:iCs/>
          <w:szCs w:val="22"/>
        </w:rPr>
        <w:t xml:space="preserve"> sont déterminées à l</w:t>
      </w:r>
      <w:r w:rsidR="00191ADA" w:rsidRPr="002D09EA">
        <w:rPr>
          <w:bCs/>
          <w:iCs/>
          <w:szCs w:val="22"/>
        </w:rPr>
        <w:t>’</w:t>
      </w:r>
      <w:r w:rsidR="00D421F9" w:rsidRPr="002D09EA">
        <w:rPr>
          <w:bCs/>
          <w:iCs/>
          <w:szCs w:val="22"/>
        </w:rPr>
        <w:t>issue d</w:t>
      </w:r>
      <w:r w:rsidR="00191ADA" w:rsidRPr="002D09EA">
        <w:rPr>
          <w:bCs/>
          <w:iCs/>
          <w:szCs w:val="22"/>
        </w:rPr>
        <w:t>’</w:t>
      </w:r>
      <w:r w:rsidR="00D421F9" w:rsidRPr="002D09EA">
        <w:rPr>
          <w:bCs/>
          <w:iCs/>
          <w:szCs w:val="22"/>
        </w:rPr>
        <w:t>une évaluation approfondie de chaque cas par</w:t>
      </w:r>
      <w:r w:rsidR="00191ADA" w:rsidRPr="002D09EA">
        <w:rPr>
          <w:bCs/>
          <w:iCs/>
          <w:szCs w:val="22"/>
        </w:rPr>
        <w:t xml:space="preserve"> la PIP</w:t>
      </w:r>
      <w:r w:rsidR="00D421F9" w:rsidRPr="002D09EA">
        <w:rPr>
          <w:bCs/>
          <w:iCs/>
          <w:szCs w:val="22"/>
        </w:rPr>
        <w:t>CU et, le cas échéant, de la notification adressée aux unités d</w:t>
      </w:r>
      <w:r w:rsidR="00191ADA" w:rsidRPr="002D09EA">
        <w:rPr>
          <w:bCs/>
          <w:iCs/>
          <w:szCs w:val="22"/>
        </w:rPr>
        <w:t>’</w:t>
      </w:r>
      <w:r w:rsidR="00D421F9" w:rsidRPr="002D09EA">
        <w:rPr>
          <w:bCs/>
          <w:iCs/>
          <w:szCs w:val="22"/>
        </w:rPr>
        <w:t>enregistrement des noms de domaine et d</w:t>
      </w:r>
      <w:r w:rsidR="00191ADA" w:rsidRPr="002D09EA">
        <w:rPr>
          <w:bCs/>
          <w:iCs/>
          <w:szCs w:val="22"/>
        </w:rPr>
        <w:t>’</w:t>
      </w:r>
      <w:r w:rsidR="00D421F9" w:rsidRPr="002D09EA">
        <w:rPr>
          <w:bCs/>
          <w:iCs/>
          <w:szCs w:val="22"/>
        </w:rPr>
        <w:t xml:space="preserve">autres personnes associées à ces sites.  </w:t>
      </w:r>
      <w:r w:rsidR="00B3763C">
        <w:rPr>
          <w:bCs/>
          <w:iCs/>
          <w:szCs w:val="22"/>
        </w:rPr>
        <w:t>On </w:t>
      </w:r>
      <w:r w:rsidR="00A7685F" w:rsidRPr="002D09EA">
        <w:rPr>
          <w:bCs/>
          <w:iCs/>
          <w:szCs w:val="22"/>
        </w:rPr>
        <w:t>espère ainsi que ces unités d</w:t>
      </w:r>
      <w:r w:rsidR="00191ADA" w:rsidRPr="002D09EA">
        <w:rPr>
          <w:bCs/>
          <w:iCs/>
          <w:szCs w:val="22"/>
        </w:rPr>
        <w:t>’</w:t>
      </w:r>
      <w:r w:rsidR="00A7685F" w:rsidRPr="002D09EA">
        <w:rPr>
          <w:bCs/>
          <w:iCs/>
          <w:szCs w:val="22"/>
        </w:rPr>
        <w:t>enregistrement prendront ensuite la décision de suspendre ces sites jusqu</w:t>
      </w:r>
      <w:r w:rsidR="00191ADA" w:rsidRPr="002D09EA">
        <w:rPr>
          <w:bCs/>
          <w:iCs/>
          <w:szCs w:val="22"/>
        </w:rPr>
        <w:t>’</w:t>
      </w:r>
      <w:r w:rsidR="00A7685F" w:rsidRPr="002D09EA">
        <w:rPr>
          <w:bCs/>
          <w:iCs/>
          <w:szCs w:val="22"/>
        </w:rPr>
        <w:t>à nouvel ordre.  Cette démarche va également dans le sens de l</w:t>
      </w:r>
      <w:r w:rsidR="00191ADA" w:rsidRPr="002D09EA">
        <w:rPr>
          <w:bCs/>
          <w:iCs/>
          <w:szCs w:val="22"/>
        </w:rPr>
        <w:t>’</w:t>
      </w:r>
      <w:r w:rsidR="00A7685F" w:rsidRPr="002D09EA">
        <w:rPr>
          <w:bCs/>
          <w:iCs/>
          <w:szCs w:val="22"/>
        </w:rPr>
        <w:t xml:space="preserve">intérêt général si les annonceurs, les </w:t>
      </w:r>
      <w:r w:rsidR="00281D21">
        <w:rPr>
          <w:bCs/>
          <w:iCs/>
          <w:szCs w:val="22"/>
        </w:rPr>
        <w:t>titulaires</w:t>
      </w:r>
      <w:r w:rsidR="00A7685F" w:rsidRPr="002D09EA">
        <w:rPr>
          <w:bCs/>
          <w:iCs/>
          <w:szCs w:val="22"/>
        </w:rPr>
        <w:t xml:space="preserve"> de marques et leurs </w:t>
      </w:r>
      <w:r w:rsidR="00A7685F" w:rsidRPr="002D09EA">
        <w:t>représentants</w:t>
      </w:r>
      <w:r w:rsidR="00A7685F" w:rsidRPr="002D09EA">
        <w:rPr>
          <w:bCs/>
          <w:iCs/>
          <w:szCs w:val="22"/>
        </w:rPr>
        <w:t xml:space="preserve"> sont mieux avertis de l</w:t>
      </w:r>
      <w:r w:rsidR="00191ADA" w:rsidRPr="002D09EA">
        <w:rPr>
          <w:bCs/>
          <w:iCs/>
          <w:szCs w:val="22"/>
        </w:rPr>
        <w:t>’</w:t>
      </w:r>
      <w:r w:rsidR="00A7685F" w:rsidRPr="002D09EA">
        <w:rPr>
          <w:bCs/>
          <w:iCs/>
          <w:szCs w:val="22"/>
        </w:rPr>
        <w:t>existence de sites malhonnêtes et s</w:t>
      </w:r>
      <w:r w:rsidR="00191ADA" w:rsidRPr="002D09EA">
        <w:rPr>
          <w:bCs/>
          <w:iCs/>
          <w:szCs w:val="22"/>
        </w:rPr>
        <w:t>’</w:t>
      </w:r>
      <w:r w:rsidR="00A7685F" w:rsidRPr="002D09EA">
        <w:rPr>
          <w:bCs/>
          <w:iCs/>
          <w:szCs w:val="22"/>
        </w:rPr>
        <w:t>ils veillent davantage à ne pas autoriser leur représentation sur ces sites (et par conséquent, s</w:t>
      </w:r>
      <w:r w:rsidR="00191ADA" w:rsidRPr="002D09EA">
        <w:rPr>
          <w:bCs/>
          <w:iCs/>
          <w:szCs w:val="22"/>
        </w:rPr>
        <w:t>’</w:t>
      </w:r>
      <w:r w:rsidR="00A7685F" w:rsidRPr="002D09EA">
        <w:rPr>
          <w:bCs/>
          <w:iCs/>
          <w:szCs w:val="22"/>
        </w:rPr>
        <w:t>ils ne contribuent pas à faire gagner de l</w:t>
      </w:r>
      <w:r w:rsidR="00191ADA" w:rsidRPr="002D09EA">
        <w:rPr>
          <w:bCs/>
          <w:iCs/>
          <w:szCs w:val="22"/>
        </w:rPr>
        <w:t>’</w:t>
      </w:r>
      <w:r w:rsidR="00A7685F" w:rsidRPr="002D09EA">
        <w:rPr>
          <w:bCs/>
          <w:iCs/>
          <w:szCs w:val="22"/>
        </w:rPr>
        <w:t>argent à ces sites).</w:t>
      </w:r>
    </w:p>
    <w:p w:rsidR="00FD6FC2" w:rsidRPr="002D09EA" w:rsidRDefault="00FD6FC2" w:rsidP="00DD4DD5">
      <w:pPr>
        <w:ind w:left="567"/>
        <w:rPr>
          <w:iCs/>
          <w:szCs w:val="22"/>
        </w:rPr>
      </w:pPr>
    </w:p>
    <w:p w:rsidR="00191ADA" w:rsidRPr="002D09EA" w:rsidRDefault="005B5648" w:rsidP="00DD4DD5">
      <w:pPr>
        <w:numPr>
          <w:ilvl w:val="0"/>
          <w:numId w:val="7"/>
        </w:numPr>
        <w:tabs>
          <w:tab w:val="left" w:pos="1134"/>
        </w:tabs>
        <w:ind w:left="567" w:firstLine="0"/>
        <w:rPr>
          <w:b/>
        </w:rPr>
      </w:pPr>
      <w:r w:rsidRPr="002D09EA">
        <w:rPr>
          <w:b/>
        </w:rPr>
        <w:t>Procédures de décision</w:t>
      </w:r>
    </w:p>
    <w:p w:rsidR="00FD6FC2" w:rsidRPr="002D09EA" w:rsidRDefault="00FD6FC2" w:rsidP="00FC3974">
      <w:pPr>
        <w:ind w:left="567"/>
        <w:rPr>
          <w:b/>
          <w:iCs/>
          <w:szCs w:val="22"/>
        </w:rPr>
      </w:pPr>
    </w:p>
    <w:p w:rsidR="00A7685F" w:rsidRPr="002D09EA" w:rsidRDefault="00A7685F" w:rsidP="00DD4DD5">
      <w:pPr>
        <w:ind w:left="567"/>
        <w:rPr>
          <w:bCs/>
          <w:szCs w:val="22"/>
        </w:rPr>
      </w:pPr>
      <w:r w:rsidRPr="002D09EA">
        <w:rPr>
          <w:bCs/>
          <w:szCs w:val="22"/>
        </w:rPr>
        <w:t>Le</w:t>
      </w:r>
      <w:r w:rsidR="00FD6FC2" w:rsidRPr="002D09EA">
        <w:rPr>
          <w:bCs/>
          <w:szCs w:val="22"/>
        </w:rPr>
        <w:t xml:space="preserve"> Copyright </w:t>
      </w:r>
      <w:proofErr w:type="spellStart"/>
      <w:r w:rsidR="00FD6FC2" w:rsidRPr="002D09EA">
        <w:rPr>
          <w:bCs/>
          <w:szCs w:val="22"/>
        </w:rPr>
        <w:t>Alert</w:t>
      </w:r>
      <w:proofErr w:type="spellEnd"/>
      <w:r w:rsidR="00FD6FC2" w:rsidRPr="002D09EA">
        <w:rPr>
          <w:bCs/>
          <w:szCs w:val="22"/>
        </w:rPr>
        <w:t xml:space="preserve"> System </w:t>
      </w:r>
      <w:r w:rsidRPr="002D09EA">
        <w:rPr>
          <w:bCs/>
          <w:szCs w:val="22"/>
        </w:rPr>
        <w:t>et</w:t>
      </w:r>
      <w:r w:rsidR="00FD6FC2" w:rsidRPr="002D09EA">
        <w:rPr>
          <w:bCs/>
          <w:szCs w:val="22"/>
        </w:rPr>
        <w:t xml:space="preserve"> </w:t>
      </w:r>
      <w:proofErr w:type="spellStart"/>
      <w:r w:rsidR="00FD6FC2" w:rsidRPr="002D09EA">
        <w:rPr>
          <w:bCs/>
          <w:szCs w:val="22"/>
        </w:rPr>
        <w:t>Operation</w:t>
      </w:r>
      <w:proofErr w:type="spellEnd"/>
      <w:r w:rsidR="00FD6FC2" w:rsidRPr="002D09EA">
        <w:rPr>
          <w:bCs/>
          <w:szCs w:val="22"/>
        </w:rPr>
        <w:t xml:space="preserve"> </w:t>
      </w:r>
      <w:proofErr w:type="spellStart"/>
      <w:r w:rsidR="00FD6FC2" w:rsidRPr="002D09EA">
        <w:rPr>
          <w:bCs/>
          <w:szCs w:val="22"/>
        </w:rPr>
        <w:t>Creative</w:t>
      </w:r>
      <w:proofErr w:type="spellEnd"/>
      <w:r w:rsidRPr="002D09EA">
        <w:rPr>
          <w:bCs/>
          <w:szCs w:val="22"/>
        </w:rPr>
        <w:t xml:space="preserve"> </w:t>
      </w:r>
      <w:r w:rsidR="00BB0589" w:rsidRPr="002D09EA">
        <w:rPr>
          <w:bCs/>
          <w:szCs w:val="22"/>
        </w:rPr>
        <w:t xml:space="preserve">exigent </w:t>
      </w:r>
      <w:r w:rsidR="00B85401" w:rsidRPr="002D09EA">
        <w:rPr>
          <w:bCs/>
          <w:szCs w:val="22"/>
        </w:rPr>
        <w:t>un travail substantiel de préparation et d</w:t>
      </w:r>
      <w:r w:rsidR="00191ADA" w:rsidRPr="002D09EA">
        <w:rPr>
          <w:bCs/>
          <w:szCs w:val="22"/>
        </w:rPr>
        <w:t>’</w:t>
      </w:r>
      <w:r w:rsidR="00B85401" w:rsidRPr="002D09EA">
        <w:rPr>
          <w:bCs/>
          <w:szCs w:val="22"/>
        </w:rPr>
        <w:t>enquête pour savo</w:t>
      </w:r>
      <w:r w:rsidR="00BB0589" w:rsidRPr="002D09EA">
        <w:rPr>
          <w:bCs/>
          <w:szCs w:val="22"/>
        </w:rPr>
        <w:t>i</w:t>
      </w:r>
      <w:r w:rsidR="00B85401" w:rsidRPr="002D09EA">
        <w:rPr>
          <w:bCs/>
          <w:szCs w:val="22"/>
        </w:rPr>
        <w:t xml:space="preserve">r si une suite </w:t>
      </w:r>
      <w:r w:rsidR="00B3763C">
        <w:rPr>
          <w:bCs/>
          <w:szCs w:val="22"/>
        </w:rPr>
        <w:t>doit être donnée à un cas.  Les </w:t>
      </w:r>
      <w:r w:rsidR="00B85401" w:rsidRPr="002D09EA">
        <w:rPr>
          <w:bCs/>
          <w:szCs w:val="22"/>
        </w:rPr>
        <w:t>deux</w:t>
      </w:r>
      <w:r w:rsidR="00D2430A" w:rsidRPr="002D09EA">
        <w:rPr>
          <w:bCs/>
          <w:szCs w:val="22"/>
        </w:rPr>
        <w:t> </w:t>
      </w:r>
      <w:r w:rsidR="00B85401" w:rsidRPr="002D09EA">
        <w:rPr>
          <w:bCs/>
          <w:szCs w:val="22"/>
        </w:rPr>
        <w:t>programmes permettent de constituer un dossier officiel sur la justification des poursuites et leur issue.</w:t>
      </w:r>
    </w:p>
    <w:p w:rsidR="00FD6FC2" w:rsidRPr="002D09EA" w:rsidRDefault="00FD6FC2" w:rsidP="00DD4DD5">
      <w:pPr>
        <w:ind w:left="567"/>
        <w:rPr>
          <w:bCs/>
          <w:szCs w:val="22"/>
        </w:rPr>
      </w:pPr>
    </w:p>
    <w:p w:rsidR="00B85401" w:rsidRPr="002D09EA" w:rsidRDefault="00B85401" w:rsidP="00DD4DD5">
      <w:pPr>
        <w:ind w:left="567"/>
        <w:rPr>
          <w:bCs/>
          <w:szCs w:val="22"/>
        </w:rPr>
      </w:pPr>
      <w:r w:rsidRPr="002D09EA">
        <w:rPr>
          <w:bCs/>
          <w:szCs w:val="22"/>
        </w:rPr>
        <w:lastRenderedPageBreak/>
        <w:t>Dans le</w:t>
      </w:r>
      <w:r w:rsidR="00FD6FC2" w:rsidRPr="002D09EA">
        <w:rPr>
          <w:bCs/>
          <w:szCs w:val="22"/>
        </w:rPr>
        <w:t xml:space="preserve"> Copyright </w:t>
      </w:r>
      <w:proofErr w:type="spellStart"/>
      <w:r w:rsidR="00FD6FC2" w:rsidRPr="002D09EA">
        <w:rPr>
          <w:bCs/>
          <w:szCs w:val="22"/>
        </w:rPr>
        <w:t>Alert</w:t>
      </w:r>
      <w:proofErr w:type="spellEnd"/>
      <w:r w:rsidR="00FD6FC2" w:rsidRPr="002D09EA">
        <w:rPr>
          <w:bCs/>
          <w:szCs w:val="22"/>
        </w:rPr>
        <w:t xml:space="preserve"> System, </w:t>
      </w:r>
      <w:r w:rsidRPr="002D09EA">
        <w:rPr>
          <w:bCs/>
          <w:szCs w:val="22"/>
        </w:rPr>
        <w:t>les cas individuels d</w:t>
      </w:r>
      <w:r w:rsidR="00191ADA" w:rsidRPr="002D09EA">
        <w:rPr>
          <w:bCs/>
          <w:szCs w:val="22"/>
        </w:rPr>
        <w:t>’</w:t>
      </w:r>
      <w:r w:rsidRPr="002D09EA">
        <w:rPr>
          <w:bCs/>
          <w:szCs w:val="22"/>
        </w:rPr>
        <w:t>activité</w:t>
      </w:r>
      <w:r w:rsidR="00BB0589" w:rsidRPr="002D09EA">
        <w:rPr>
          <w:bCs/>
          <w:szCs w:val="22"/>
        </w:rPr>
        <w:t>s</w:t>
      </w:r>
      <w:r w:rsidRPr="002D09EA">
        <w:rPr>
          <w:bCs/>
          <w:szCs w:val="22"/>
        </w:rPr>
        <w:t xml:space="preserve"> sur les réseaux P2P qui concerne</w:t>
      </w:r>
      <w:r w:rsidR="00BB0589" w:rsidRPr="002D09EA">
        <w:rPr>
          <w:bCs/>
          <w:szCs w:val="22"/>
        </w:rPr>
        <w:t>nt</w:t>
      </w:r>
      <w:r w:rsidRPr="002D09EA">
        <w:rPr>
          <w:bCs/>
          <w:szCs w:val="22"/>
        </w:rPr>
        <w:t xml:space="preserve"> des actifs inscrits sur la liste des titulaires de droits et devant faire l</w:t>
      </w:r>
      <w:r w:rsidR="00191ADA" w:rsidRPr="002D09EA">
        <w:rPr>
          <w:bCs/>
          <w:szCs w:val="22"/>
        </w:rPr>
        <w:t>’</w:t>
      </w:r>
      <w:r w:rsidRPr="002D09EA">
        <w:rPr>
          <w:bCs/>
          <w:szCs w:val="22"/>
        </w:rPr>
        <w:t>objet d</w:t>
      </w:r>
      <w:r w:rsidR="00191ADA" w:rsidRPr="002D09EA">
        <w:rPr>
          <w:bCs/>
          <w:szCs w:val="22"/>
        </w:rPr>
        <w:t>’</w:t>
      </w:r>
      <w:r w:rsidRPr="002D09EA">
        <w:rPr>
          <w:bCs/>
          <w:szCs w:val="22"/>
        </w:rPr>
        <w:t>une surveillance sont soigneusement analysés de manière à s</w:t>
      </w:r>
      <w:r w:rsidR="00191ADA" w:rsidRPr="002D09EA">
        <w:rPr>
          <w:bCs/>
          <w:szCs w:val="22"/>
        </w:rPr>
        <w:t>’</w:t>
      </w:r>
      <w:r w:rsidRPr="002D09EA">
        <w:rPr>
          <w:bCs/>
          <w:szCs w:val="22"/>
        </w:rPr>
        <w:t>assurer que le contenu effectif concerné porte atteinte à ces droits et que, dans chaque cas, il a effectivement été partagé par l</w:t>
      </w:r>
      <w:r w:rsidR="00191ADA" w:rsidRPr="002D09EA">
        <w:rPr>
          <w:bCs/>
          <w:szCs w:val="22"/>
        </w:rPr>
        <w:t>’</w:t>
      </w:r>
      <w:r w:rsidRPr="002D09EA">
        <w:rPr>
          <w:bCs/>
          <w:szCs w:val="22"/>
        </w:rPr>
        <w:t>adresse IP en question.  Tout cas vérifié</w:t>
      </w:r>
      <w:r w:rsidR="00B35BAA" w:rsidRPr="002D09EA">
        <w:rPr>
          <w:bCs/>
          <w:szCs w:val="22"/>
        </w:rPr>
        <w:t>,</w:t>
      </w:r>
      <w:r w:rsidRPr="002D09EA">
        <w:rPr>
          <w:bCs/>
          <w:szCs w:val="22"/>
        </w:rPr>
        <w:t xml:space="preserve"> à l</w:t>
      </w:r>
      <w:r w:rsidR="00191ADA" w:rsidRPr="002D09EA">
        <w:rPr>
          <w:bCs/>
          <w:szCs w:val="22"/>
        </w:rPr>
        <w:t>’</w:t>
      </w:r>
      <w:r w:rsidRPr="002D09EA">
        <w:rPr>
          <w:bCs/>
          <w:szCs w:val="22"/>
        </w:rPr>
        <w:t>origine de l</w:t>
      </w:r>
      <w:r w:rsidR="00191ADA" w:rsidRPr="002D09EA">
        <w:rPr>
          <w:bCs/>
          <w:szCs w:val="22"/>
        </w:rPr>
        <w:t>’</w:t>
      </w:r>
      <w:r w:rsidRPr="002D09EA">
        <w:rPr>
          <w:bCs/>
          <w:szCs w:val="22"/>
        </w:rPr>
        <w:t>envoi d</w:t>
      </w:r>
      <w:r w:rsidR="00191ADA" w:rsidRPr="002D09EA">
        <w:rPr>
          <w:bCs/>
          <w:szCs w:val="22"/>
        </w:rPr>
        <w:t>’</w:t>
      </w:r>
      <w:r w:rsidRPr="002D09EA">
        <w:rPr>
          <w:bCs/>
          <w:szCs w:val="22"/>
        </w:rPr>
        <w:t>un avis</w:t>
      </w:r>
      <w:r w:rsidR="00191ADA" w:rsidRPr="002D09EA">
        <w:rPr>
          <w:bCs/>
          <w:szCs w:val="22"/>
        </w:rPr>
        <w:t xml:space="preserve"> au FAI</w:t>
      </w:r>
      <w:r w:rsidRPr="002D09EA">
        <w:rPr>
          <w:bCs/>
          <w:szCs w:val="22"/>
        </w:rPr>
        <w:t xml:space="preserve"> participant (puis, éventuellement, l</w:t>
      </w:r>
      <w:r w:rsidR="00191ADA" w:rsidRPr="002D09EA">
        <w:rPr>
          <w:bCs/>
          <w:szCs w:val="22"/>
        </w:rPr>
        <w:t>’</w:t>
      </w:r>
      <w:r w:rsidRPr="002D09EA">
        <w:rPr>
          <w:bCs/>
          <w:szCs w:val="22"/>
        </w:rPr>
        <w:t>envoi d</w:t>
      </w:r>
      <w:r w:rsidR="00191ADA" w:rsidRPr="002D09EA">
        <w:rPr>
          <w:bCs/>
          <w:szCs w:val="22"/>
        </w:rPr>
        <w:t>’</w:t>
      </w:r>
      <w:r w:rsidRPr="002D09EA">
        <w:rPr>
          <w:bCs/>
          <w:szCs w:val="22"/>
        </w:rPr>
        <w:t>une alerte au compte du client de ce FAI)</w:t>
      </w:r>
      <w:r w:rsidR="00B35BAA" w:rsidRPr="002D09EA">
        <w:rPr>
          <w:bCs/>
          <w:szCs w:val="22"/>
        </w:rPr>
        <w:t>,</w:t>
      </w:r>
      <w:r w:rsidRPr="002D09EA">
        <w:rPr>
          <w:bCs/>
          <w:szCs w:val="22"/>
        </w:rPr>
        <w:t xml:space="preserve"> est étayé par un </w:t>
      </w:r>
      <w:r w:rsidR="00672CCE" w:rsidRPr="002D09EA">
        <w:rPr>
          <w:bCs/>
          <w:szCs w:val="22"/>
        </w:rPr>
        <w:t xml:space="preserve">dossier constitué de multiples </w:t>
      </w:r>
      <w:r w:rsidRPr="002D09EA">
        <w:rPr>
          <w:bCs/>
          <w:szCs w:val="22"/>
        </w:rPr>
        <w:t>éléments de preuve</w:t>
      </w:r>
      <w:r w:rsidR="00672CCE" w:rsidRPr="002D09EA">
        <w:rPr>
          <w:bCs/>
          <w:szCs w:val="22"/>
        </w:rPr>
        <w:t xml:space="preserve"> et contenant les détails numériques de la transaction, en clair et déchiffrables par ordinateur, l</w:t>
      </w:r>
      <w:r w:rsidR="00191ADA" w:rsidRPr="002D09EA">
        <w:rPr>
          <w:bCs/>
          <w:szCs w:val="22"/>
        </w:rPr>
        <w:t>’</w:t>
      </w:r>
      <w:r w:rsidR="00672CCE" w:rsidRPr="002D09EA">
        <w:rPr>
          <w:bCs/>
          <w:szCs w:val="22"/>
        </w:rPr>
        <w:t>échange effectif de données entre les postes et le contenu réel partagé.  Ces éléments de preuve sont résumés dans les avis adressés</w:t>
      </w:r>
      <w:r w:rsidR="00191ADA" w:rsidRPr="002D09EA">
        <w:rPr>
          <w:bCs/>
          <w:szCs w:val="22"/>
        </w:rPr>
        <w:t xml:space="preserve"> aux FAI</w:t>
      </w:r>
      <w:r w:rsidR="00672CCE" w:rsidRPr="002D09EA">
        <w:rPr>
          <w:bCs/>
          <w:szCs w:val="22"/>
        </w:rPr>
        <w:t xml:space="preserve"> et les alertes envoyées aux clients, et sont mis à la disposition des examinateurs indépendants à des fins d</w:t>
      </w:r>
      <w:r w:rsidR="00191ADA" w:rsidRPr="002D09EA">
        <w:rPr>
          <w:bCs/>
          <w:szCs w:val="22"/>
        </w:rPr>
        <w:t>’</w:t>
      </w:r>
      <w:r w:rsidR="00672CCE" w:rsidRPr="002D09EA">
        <w:rPr>
          <w:bCs/>
          <w:szCs w:val="22"/>
        </w:rPr>
        <w:t>inspection.</w:t>
      </w:r>
    </w:p>
    <w:p w:rsidR="00FD6FC2" w:rsidRPr="002D09EA" w:rsidRDefault="00FD6FC2" w:rsidP="00DD4DD5">
      <w:pPr>
        <w:ind w:left="567"/>
        <w:rPr>
          <w:bCs/>
          <w:szCs w:val="22"/>
        </w:rPr>
      </w:pPr>
    </w:p>
    <w:p w:rsidR="00672CCE" w:rsidRPr="002D09EA" w:rsidRDefault="00672CCE" w:rsidP="00DD4DD5">
      <w:pPr>
        <w:ind w:left="567"/>
        <w:rPr>
          <w:bCs/>
          <w:szCs w:val="22"/>
        </w:rPr>
      </w:pPr>
      <w:r w:rsidRPr="002D09EA">
        <w:rPr>
          <w:bCs/>
          <w:szCs w:val="22"/>
        </w:rPr>
        <w:t>S</w:t>
      </w:r>
      <w:r w:rsidR="00191ADA" w:rsidRPr="002D09EA">
        <w:rPr>
          <w:bCs/>
          <w:szCs w:val="22"/>
        </w:rPr>
        <w:t>’</w:t>
      </w:r>
      <w:r w:rsidRPr="002D09EA">
        <w:rPr>
          <w:bCs/>
          <w:szCs w:val="22"/>
        </w:rPr>
        <w:t>agissant d</w:t>
      </w:r>
      <w:r w:rsidR="00191ADA" w:rsidRPr="002D09EA">
        <w:rPr>
          <w:bCs/>
          <w:szCs w:val="22"/>
        </w:rPr>
        <w:t>’</w:t>
      </w:r>
      <w:proofErr w:type="spellStart"/>
      <w:r w:rsidR="00FD6FC2" w:rsidRPr="002D09EA">
        <w:rPr>
          <w:bCs/>
          <w:szCs w:val="22"/>
        </w:rPr>
        <w:t>Operation</w:t>
      </w:r>
      <w:proofErr w:type="spellEnd"/>
      <w:r w:rsidR="00FD6FC2" w:rsidRPr="002D09EA">
        <w:rPr>
          <w:bCs/>
          <w:szCs w:val="22"/>
        </w:rPr>
        <w:t xml:space="preserve"> </w:t>
      </w:r>
      <w:proofErr w:type="spellStart"/>
      <w:r w:rsidR="00FD6FC2" w:rsidRPr="002D09EA">
        <w:rPr>
          <w:bCs/>
          <w:szCs w:val="22"/>
        </w:rPr>
        <w:t>Creative</w:t>
      </w:r>
      <w:proofErr w:type="spellEnd"/>
      <w:r w:rsidR="00FD6FC2" w:rsidRPr="002D09EA">
        <w:rPr>
          <w:bCs/>
          <w:szCs w:val="22"/>
        </w:rPr>
        <w:t xml:space="preserve">, </w:t>
      </w:r>
      <w:r w:rsidRPr="002D09EA">
        <w:rPr>
          <w:bCs/>
          <w:szCs w:val="22"/>
        </w:rPr>
        <w:t>les agents de</w:t>
      </w:r>
      <w:r w:rsidR="00191ADA" w:rsidRPr="002D09EA">
        <w:rPr>
          <w:bCs/>
          <w:szCs w:val="22"/>
        </w:rPr>
        <w:t xml:space="preserve"> la PIP</w:t>
      </w:r>
      <w:r w:rsidR="00FD6FC2" w:rsidRPr="002D09EA">
        <w:rPr>
          <w:bCs/>
          <w:szCs w:val="22"/>
        </w:rPr>
        <w:t>CU</w:t>
      </w:r>
      <w:r w:rsidRPr="002D09EA">
        <w:rPr>
          <w:bCs/>
          <w:szCs w:val="22"/>
        </w:rPr>
        <w:t xml:space="preserve"> procèdent à l</w:t>
      </w:r>
      <w:r w:rsidR="00191ADA" w:rsidRPr="002D09EA">
        <w:rPr>
          <w:bCs/>
          <w:szCs w:val="22"/>
        </w:rPr>
        <w:t>’</w:t>
      </w:r>
      <w:r w:rsidRPr="002D09EA">
        <w:rPr>
          <w:bCs/>
          <w:szCs w:val="22"/>
        </w:rPr>
        <w:t>examen et prennent des décisions sur la base des dossiers de preuve relatifs aux sites</w:t>
      </w:r>
      <w:r w:rsidR="00D2430A" w:rsidRPr="002D09EA">
        <w:rPr>
          <w:bCs/>
          <w:szCs w:val="22"/>
        </w:rPr>
        <w:t> </w:t>
      </w:r>
      <w:r w:rsidRPr="002D09EA">
        <w:rPr>
          <w:bCs/>
          <w:szCs w:val="22"/>
        </w:rPr>
        <w:t>Web que leur remettent les titulaires de droits, ainsi qu</w:t>
      </w:r>
      <w:r w:rsidR="00191ADA" w:rsidRPr="002D09EA">
        <w:rPr>
          <w:bCs/>
          <w:szCs w:val="22"/>
        </w:rPr>
        <w:t>’</w:t>
      </w:r>
      <w:r w:rsidRPr="002D09EA">
        <w:rPr>
          <w:bCs/>
          <w:szCs w:val="22"/>
        </w:rPr>
        <w:t>en fonction de leurs propres renseignements.  Ces éléments de preuve initiaux et ultérieurs et ces renseignements sont détenus par</w:t>
      </w:r>
      <w:r w:rsidR="00191ADA" w:rsidRPr="002D09EA">
        <w:rPr>
          <w:bCs/>
          <w:szCs w:val="22"/>
        </w:rPr>
        <w:t xml:space="preserve"> la PIP</w:t>
      </w:r>
      <w:r w:rsidRPr="002D09EA">
        <w:rPr>
          <w:bCs/>
          <w:szCs w:val="22"/>
        </w:rPr>
        <w:t>CU, en qualité d</w:t>
      </w:r>
      <w:r w:rsidR="00191ADA" w:rsidRPr="002D09EA">
        <w:rPr>
          <w:bCs/>
          <w:szCs w:val="22"/>
        </w:rPr>
        <w:t>’</w:t>
      </w:r>
      <w:r w:rsidRPr="002D09EA">
        <w:rPr>
          <w:bCs/>
          <w:szCs w:val="22"/>
        </w:rPr>
        <w:t>organisme chargé de l</w:t>
      </w:r>
      <w:r w:rsidR="00191ADA" w:rsidRPr="002D09EA">
        <w:rPr>
          <w:bCs/>
          <w:szCs w:val="22"/>
        </w:rPr>
        <w:t>’</w:t>
      </w:r>
      <w:r w:rsidRPr="002D09EA">
        <w:rPr>
          <w:bCs/>
          <w:szCs w:val="22"/>
        </w:rPr>
        <w:t>application de la loi, mais l</w:t>
      </w:r>
      <w:r w:rsidR="00191ADA" w:rsidRPr="002D09EA">
        <w:rPr>
          <w:bCs/>
          <w:szCs w:val="22"/>
        </w:rPr>
        <w:t>’</w:t>
      </w:r>
      <w:r w:rsidRPr="002D09EA">
        <w:rPr>
          <w:bCs/>
          <w:szCs w:val="22"/>
        </w:rPr>
        <w:t>inclusion du nom d</w:t>
      </w:r>
      <w:r w:rsidR="00191ADA" w:rsidRPr="002D09EA">
        <w:rPr>
          <w:bCs/>
          <w:szCs w:val="22"/>
        </w:rPr>
        <w:t>’</w:t>
      </w:r>
      <w:r w:rsidRPr="002D09EA">
        <w:rPr>
          <w:bCs/>
          <w:szCs w:val="22"/>
        </w:rPr>
        <w:t>un site</w:t>
      </w:r>
      <w:r w:rsidR="00D2430A" w:rsidRPr="002D09EA">
        <w:rPr>
          <w:bCs/>
          <w:szCs w:val="22"/>
        </w:rPr>
        <w:t> </w:t>
      </w:r>
      <w:r w:rsidRPr="002D09EA">
        <w:rPr>
          <w:bCs/>
          <w:szCs w:val="22"/>
        </w:rPr>
        <w:t xml:space="preserve">Web dans le registre mis à la disposition des entités du secteur publicitaire confirme </w:t>
      </w:r>
      <w:r w:rsidR="00EA422C" w:rsidRPr="002D09EA">
        <w:rPr>
          <w:bCs/>
          <w:szCs w:val="22"/>
        </w:rPr>
        <w:t>à</w:t>
      </w:r>
      <w:r w:rsidR="00191ADA" w:rsidRPr="002D09EA">
        <w:rPr>
          <w:bCs/>
          <w:szCs w:val="22"/>
        </w:rPr>
        <w:t xml:space="preserve"> la PIP</w:t>
      </w:r>
      <w:r w:rsidR="00EA422C" w:rsidRPr="002D09EA">
        <w:rPr>
          <w:bCs/>
          <w:szCs w:val="22"/>
        </w:rPr>
        <w:t>CU que le niveau de preuve exigé a été atteint dans chaque cas.</w:t>
      </w:r>
    </w:p>
    <w:p w:rsidR="00672CCE" w:rsidRPr="002D09EA" w:rsidRDefault="00672CCE" w:rsidP="00FC3974">
      <w:pPr>
        <w:ind w:left="567"/>
        <w:rPr>
          <w:b/>
          <w:bCs/>
          <w:szCs w:val="22"/>
        </w:rPr>
      </w:pPr>
    </w:p>
    <w:p w:rsidR="00FD6FC2" w:rsidRPr="002D09EA" w:rsidRDefault="005B5648" w:rsidP="00DD4DD5">
      <w:pPr>
        <w:numPr>
          <w:ilvl w:val="0"/>
          <w:numId w:val="7"/>
        </w:numPr>
        <w:tabs>
          <w:tab w:val="left" w:pos="1134"/>
        </w:tabs>
        <w:ind w:left="567" w:firstLine="0"/>
        <w:rPr>
          <w:b/>
          <w:bCs/>
          <w:szCs w:val="22"/>
        </w:rPr>
      </w:pPr>
      <w:r w:rsidRPr="002D09EA">
        <w:rPr>
          <w:b/>
          <w:bCs/>
          <w:szCs w:val="22"/>
        </w:rPr>
        <w:t>Recours</w:t>
      </w:r>
    </w:p>
    <w:p w:rsidR="00FD6FC2" w:rsidRPr="002D09EA" w:rsidRDefault="00FD6FC2" w:rsidP="00FC3974">
      <w:pPr>
        <w:ind w:left="567"/>
        <w:rPr>
          <w:b/>
          <w:bCs/>
          <w:szCs w:val="22"/>
        </w:rPr>
      </w:pPr>
    </w:p>
    <w:p w:rsidR="00EA422C" w:rsidRPr="002D09EA" w:rsidRDefault="00EA422C" w:rsidP="00DD4DD5">
      <w:pPr>
        <w:ind w:left="567"/>
      </w:pPr>
      <w:r w:rsidRPr="002D09EA">
        <w:t>Les deux</w:t>
      </w:r>
      <w:r w:rsidR="00D2430A" w:rsidRPr="002D09EA">
        <w:t> </w:t>
      </w:r>
      <w:r w:rsidRPr="002D09EA">
        <w:t>mécanismes volontaires ménagent des voies de recours aux personnes concernées.</w:t>
      </w:r>
    </w:p>
    <w:p w:rsidR="00FD6FC2" w:rsidRPr="002D09EA" w:rsidRDefault="00FD6FC2" w:rsidP="00DD4DD5">
      <w:pPr>
        <w:ind w:left="567"/>
      </w:pPr>
    </w:p>
    <w:p w:rsidR="00EA422C" w:rsidRPr="002D09EA" w:rsidRDefault="00EA422C" w:rsidP="00DD4DD5">
      <w:pPr>
        <w:ind w:left="567"/>
      </w:pPr>
      <w:r w:rsidRPr="002D09EA">
        <w:t>Dans le</w:t>
      </w:r>
      <w:r w:rsidR="00FD6FC2" w:rsidRPr="002D09EA">
        <w:t xml:space="preserve"> Copyright </w:t>
      </w:r>
      <w:proofErr w:type="spellStart"/>
      <w:r w:rsidR="00FD6FC2" w:rsidRPr="002D09EA">
        <w:t>Alert</w:t>
      </w:r>
      <w:proofErr w:type="spellEnd"/>
      <w:r w:rsidR="00FD6FC2" w:rsidRPr="002D09EA">
        <w:t xml:space="preserve"> System, </w:t>
      </w:r>
      <w:r w:rsidRPr="002D09EA">
        <w:t>les clients</w:t>
      </w:r>
      <w:r w:rsidR="00191ADA" w:rsidRPr="002D09EA">
        <w:t xml:space="preserve"> des FAI</w:t>
      </w:r>
      <w:r w:rsidRPr="002D09EA">
        <w:t xml:space="preserve"> qui reçoivent des alertes d</w:t>
      </w:r>
      <w:r w:rsidR="00191ADA" w:rsidRPr="002D09EA">
        <w:t>’</w:t>
      </w:r>
      <w:r w:rsidRPr="002D09EA">
        <w:t>atténuation (dernière phase du programme)</w:t>
      </w:r>
      <w:r w:rsidR="00A00D83" w:rsidRPr="002D09EA">
        <w:t xml:space="preserve"> ont le droit de solliciter un </w:t>
      </w:r>
      <w:r w:rsidR="00D2430A" w:rsidRPr="002D09EA">
        <w:t>“</w:t>
      </w:r>
      <w:r w:rsidR="00A00D83" w:rsidRPr="002D09EA">
        <w:t>examen indépendant</w:t>
      </w:r>
      <w:r w:rsidR="00D2430A" w:rsidRPr="002D09EA">
        <w:t>”</w:t>
      </w:r>
      <w:r w:rsidR="00A00D83" w:rsidRPr="002D09EA">
        <w:t xml:space="preserve"> de ces alertes et d</w:t>
      </w:r>
      <w:r w:rsidR="00191ADA" w:rsidRPr="002D09EA">
        <w:t>’</w:t>
      </w:r>
      <w:r w:rsidR="00A00D83" w:rsidRPr="002D09EA">
        <w:t>autres alertes</w:t>
      </w:r>
      <w:r w:rsidR="00A00D83" w:rsidRPr="002D09EA">
        <w:rPr>
          <w:vertAlign w:val="superscript"/>
        </w:rPr>
        <w:t>5</w:t>
      </w:r>
      <w:r w:rsidR="00A00D83" w:rsidRPr="002D09EA">
        <w:t>.  La procédure d</w:t>
      </w:r>
      <w:r w:rsidR="00191ADA" w:rsidRPr="002D09EA">
        <w:t>’</w:t>
      </w:r>
      <w:r w:rsidR="00A00D83" w:rsidRPr="002D09EA">
        <w:t>examen indépendant est gérée par l</w:t>
      </w:r>
      <w:r w:rsidR="00191ADA" w:rsidRPr="002D09EA">
        <w:t>’</w:t>
      </w:r>
      <w:r w:rsidR="00A00D83" w:rsidRPr="002D09EA">
        <w:t>American Arbitration Association (AAA)</w:t>
      </w:r>
      <w:r w:rsidR="00A00D83" w:rsidRPr="002D09EA">
        <w:rPr>
          <w:rFonts w:cs="Times New Roman"/>
          <w:vertAlign w:val="superscript"/>
        </w:rPr>
        <w:footnoteReference w:id="11"/>
      </w:r>
      <w:r w:rsidR="00A00D83" w:rsidRPr="002D09EA">
        <w:t xml:space="preserve"> –</w:t>
      </w:r>
      <w:r w:rsidR="00BB0589" w:rsidRPr="002D09EA">
        <w:t xml:space="preserve"> l</w:t>
      </w:r>
      <w:r w:rsidR="00191ADA" w:rsidRPr="002D09EA">
        <w:t>’</w:t>
      </w:r>
      <w:r w:rsidR="00BB0589" w:rsidRPr="002D09EA">
        <w:t>un</w:t>
      </w:r>
      <w:r w:rsidR="00A00D83" w:rsidRPr="002D09EA">
        <w:t xml:space="preserve"> des premi</w:t>
      </w:r>
      <w:r w:rsidR="00BB0589" w:rsidRPr="002D09EA">
        <w:t>ers gisements</w:t>
      </w:r>
      <w:r w:rsidR="00A00D83" w:rsidRPr="002D09EA">
        <w:t xml:space="preserve"> d</w:t>
      </w:r>
      <w:r w:rsidR="00191ADA" w:rsidRPr="002D09EA">
        <w:t>’</w:t>
      </w:r>
      <w:r w:rsidR="00A00D83" w:rsidRPr="002D09EA">
        <w:t>expertise du monde pour ce type de service d</w:t>
      </w:r>
      <w:r w:rsidR="00191ADA" w:rsidRPr="002D09EA">
        <w:t>’</w:t>
      </w:r>
      <w:r w:rsidR="00A00D83" w:rsidRPr="002D09EA">
        <w:t>évaluation et d</w:t>
      </w:r>
      <w:r w:rsidR="00191ADA" w:rsidRPr="002D09EA">
        <w:t>’</w:t>
      </w:r>
      <w:r w:rsidR="00A00D83" w:rsidRPr="002D09EA">
        <w:t xml:space="preserve">examen </w:t>
      </w:r>
      <w:r w:rsidR="00D2430A" w:rsidRPr="002D09EA">
        <w:t>–</w:t>
      </w:r>
      <w:r w:rsidR="00A00D83" w:rsidRPr="002D09EA">
        <w:t xml:space="preserve"> et conduite de manière entièrement distincte des attributions ou du fonctionnement</w:t>
      </w:r>
      <w:r w:rsidR="00191ADA" w:rsidRPr="002D09EA">
        <w:t xml:space="preserve"> du CCI</w:t>
      </w:r>
      <w:r w:rsidR="00A00D83" w:rsidRPr="002D09EA">
        <w:t>.</w:t>
      </w:r>
    </w:p>
    <w:p w:rsidR="00FD6FC2" w:rsidRPr="002D09EA" w:rsidRDefault="00FD6FC2" w:rsidP="00DD4DD5">
      <w:pPr>
        <w:ind w:left="567"/>
      </w:pPr>
    </w:p>
    <w:p w:rsidR="00A00D83" w:rsidRPr="002D09EA" w:rsidRDefault="00A00D83" w:rsidP="00DD4DD5">
      <w:pPr>
        <w:ind w:left="567"/>
      </w:pPr>
      <w:r w:rsidRPr="002D09EA">
        <w:t>Les propriétaires ou opérateurs de sites</w:t>
      </w:r>
      <w:r w:rsidR="00D2430A" w:rsidRPr="002D09EA">
        <w:t> </w:t>
      </w:r>
      <w:r w:rsidRPr="002D09EA">
        <w:t>Web ont toujours la faculté de contester l</w:t>
      </w:r>
      <w:r w:rsidR="00191ADA" w:rsidRPr="002D09EA">
        <w:t>’</w:t>
      </w:r>
      <w:r w:rsidRPr="002D09EA">
        <w:t>activité opérationnelle de</w:t>
      </w:r>
      <w:r w:rsidR="00191ADA" w:rsidRPr="002D09EA">
        <w:t xml:space="preserve"> la PIP</w:t>
      </w:r>
      <w:r w:rsidRPr="002D09EA">
        <w:t>CU.</w:t>
      </w:r>
      <w:r w:rsidR="006659D6" w:rsidRPr="002D09EA">
        <w:t xml:space="preserve"> </w:t>
      </w:r>
      <w:r w:rsidRPr="002D09EA">
        <w:t xml:space="preserve"> L</w:t>
      </w:r>
      <w:r w:rsidR="00191ADA" w:rsidRPr="002D09EA">
        <w:t>’</w:t>
      </w:r>
      <w:r w:rsidRPr="002D09EA">
        <w:t>agence et les titulaires de droits restent vigilants quant à l</w:t>
      </w:r>
      <w:r w:rsidR="00191ADA" w:rsidRPr="002D09EA">
        <w:t>’</w:t>
      </w:r>
      <w:r w:rsidRPr="002D09EA">
        <w:t>activité des sites;  ainsi, dès lors qu</w:t>
      </w:r>
      <w:r w:rsidR="00191ADA" w:rsidRPr="002D09EA">
        <w:t>’</w:t>
      </w:r>
      <w:r w:rsidRPr="002D09EA">
        <w:t>il est prouvé qu</w:t>
      </w:r>
      <w:r w:rsidR="00191ADA" w:rsidRPr="002D09EA">
        <w:t>’</w:t>
      </w:r>
      <w:r w:rsidRPr="002D09EA">
        <w:t>un site ne répond plus aux conditions requises pour participer au programme, il est supprimé avec effet immédiat.</w:t>
      </w:r>
    </w:p>
    <w:p w:rsidR="00FD6FC2" w:rsidRPr="002D09EA" w:rsidRDefault="00FD6FC2" w:rsidP="00FC3974">
      <w:pPr>
        <w:ind w:left="567"/>
        <w:rPr>
          <w:b/>
        </w:rPr>
      </w:pPr>
    </w:p>
    <w:p w:rsidR="00FD6FC2" w:rsidRPr="002D09EA" w:rsidRDefault="005B5648" w:rsidP="00DD4DD5">
      <w:pPr>
        <w:numPr>
          <w:ilvl w:val="0"/>
          <w:numId w:val="7"/>
        </w:numPr>
        <w:tabs>
          <w:tab w:val="left" w:pos="1134"/>
        </w:tabs>
        <w:ind w:left="567" w:firstLine="0"/>
        <w:rPr>
          <w:b/>
          <w:bCs/>
          <w:szCs w:val="22"/>
        </w:rPr>
      </w:pPr>
      <w:r w:rsidRPr="002D09EA">
        <w:rPr>
          <w:b/>
          <w:bCs/>
          <w:szCs w:val="22"/>
        </w:rPr>
        <w:t>Transparence</w:t>
      </w:r>
    </w:p>
    <w:p w:rsidR="00FD6FC2" w:rsidRPr="002D09EA" w:rsidRDefault="00FD6FC2" w:rsidP="00FC3974">
      <w:pPr>
        <w:ind w:left="567"/>
        <w:rPr>
          <w:b/>
        </w:rPr>
      </w:pPr>
    </w:p>
    <w:p w:rsidR="00023782" w:rsidRPr="002D09EA" w:rsidRDefault="00023782" w:rsidP="00DD4DD5">
      <w:pPr>
        <w:ind w:left="567"/>
      </w:pPr>
      <w:r w:rsidRPr="002D09EA">
        <w:t xml:space="preserve">Le </w:t>
      </w:r>
      <w:r w:rsidR="00FD6FC2" w:rsidRPr="002D09EA">
        <w:t>CCI (</w:t>
      </w:r>
      <w:r w:rsidRPr="002D09EA">
        <w:t xml:space="preserve">sur son </w:t>
      </w:r>
      <w:r w:rsidR="00FD6FC2" w:rsidRPr="002D09EA">
        <w:t>site</w:t>
      </w:r>
      <w:r w:rsidR="00D2430A" w:rsidRPr="002D09EA">
        <w:t> </w:t>
      </w:r>
      <w:r w:rsidRPr="002D09EA">
        <w:t>Web</w:t>
      </w:r>
      <w:r w:rsidR="00FD6FC2" w:rsidRPr="002D09EA">
        <w:rPr>
          <w:vertAlign w:val="superscript"/>
        </w:rPr>
        <w:t>1</w:t>
      </w:r>
      <w:r w:rsidR="00FD6FC2" w:rsidRPr="002D09EA">
        <w:t xml:space="preserve"> </w:t>
      </w:r>
      <w:r w:rsidRPr="002D09EA">
        <w:t>et par des déclarations publiques</w:t>
      </w:r>
      <w:r w:rsidR="00FD6FC2" w:rsidRPr="002D09EA">
        <w:t xml:space="preserve">) </w:t>
      </w:r>
      <w:r w:rsidRPr="002D09EA">
        <w:t>et les titulaires de droits participant au</w:t>
      </w:r>
      <w:r w:rsidR="00FD6FC2" w:rsidRPr="002D09EA">
        <w:t xml:space="preserve"> Copyright </w:t>
      </w:r>
      <w:proofErr w:type="spellStart"/>
      <w:r w:rsidR="00FD6FC2" w:rsidRPr="002D09EA">
        <w:t>Alert</w:t>
      </w:r>
      <w:proofErr w:type="spellEnd"/>
      <w:r w:rsidR="00FD6FC2" w:rsidRPr="002D09EA">
        <w:t xml:space="preserve"> System </w:t>
      </w:r>
      <w:r w:rsidRPr="002D09EA">
        <w:t>présentent des informations claires sur le fonctionnement des réseaux de poste à poste (P2P) et les modalités d</w:t>
      </w:r>
      <w:r w:rsidR="00191ADA" w:rsidRPr="002D09EA">
        <w:t>’</w:t>
      </w:r>
      <w:r w:rsidRPr="002D09EA">
        <w:t>identification et de vérification des cas à l</w:t>
      </w:r>
      <w:r w:rsidR="00191ADA" w:rsidRPr="002D09EA">
        <w:t>’</w:t>
      </w:r>
      <w:r w:rsidRPr="002D09EA">
        <w:t>origine d</w:t>
      </w:r>
      <w:r w:rsidR="00191ADA" w:rsidRPr="002D09EA">
        <w:t>’</w:t>
      </w:r>
      <w:r w:rsidRPr="002D09EA">
        <w:t>avis et d</w:t>
      </w:r>
      <w:r w:rsidR="00191ADA" w:rsidRPr="002D09EA">
        <w:t>’</w:t>
      </w:r>
      <w:r w:rsidRPr="002D09EA">
        <w:t xml:space="preserve">alertes.  Le dispositif prévoit aussi des </w:t>
      </w:r>
      <w:r w:rsidR="00D2430A" w:rsidRPr="002D09EA">
        <w:t>“</w:t>
      </w:r>
      <w:r w:rsidRPr="002D09EA">
        <w:t>délais de grâce</w:t>
      </w:r>
      <w:r w:rsidR="00D2430A" w:rsidRPr="002D09EA">
        <w:t>”</w:t>
      </w:r>
      <w:r w:rsidRPr="002D09EA">
        <w:t xml:space="preserve"> entre </w:t>
      </w:r>
      <w:r w:rsidR="00546C8C">
        <w:t xml:space="preserve">les </w:t>
      </w:r>
      <w:r w:rsidRPr="002D09EA">
        <w:t xml:space="preserve">alertes </w:t>
      </w:r>
      <w:r w:rsidR="00D2430A" w:rsidRPr="002D09EA">
        <w:t>–</w:t>
      </w:r>
      <w:r w:rsidRPr="002D09EA">
        <w:t xml:space="preserve"> </w:t>
      </w:r>
      <w:r w:rsidR="00546C8C">
        <w:t xml:space="preserve">afin de donner </w:t>
      </w:r>
      <w:r w:rsidRPr="002D09EA">
        <w:t>aux consommateurs</w:t>
      </w:r>
      <w:r w:rsidR="00546C8C">
        <w:t>, par exemple,</w:t>
      </w:r>
      <w:r w:rsidRPr="002D09EA">
        <w:t xml:space="preserve"> le temps d</w:t>
      </w:r>
      <w:r w:rsidR="00191ADA" w:rsidRPr="002D09EA">
        <w:t>’</w:t>
      </w:r>
      <w:r w:rsidRPr="002D09EA">
        <w:t>examiner la configuration de leur propre réseau à domicile pour s</w:t>
      </w:r>
      <w:r w:rsidR="00191ADA" w:rsidRPr="002D09EA">
        <w:t>’</w:t>
      </w:r>
      <w:r w:rsidRPr="002D09EA">
        <w:t>assurer qu</w:t>
      </w:r>
      <w:r w:rsidR="00191ADA" w:rsidRPr="002D09EA">
        <w:t>’</w:t>
      </w:r>
      <w:r w:rsidRPr="002D09EA">
        <w:t>il est à l</w:t>
      </w:r>
      <w:r w:rsidR="00191ADA" w:rsidRPr="002D09EA">
        <w:t>’</w:t>
      </w:r>
      <w:r w:rsidRPr="002D09EA">
        <w:t>abri de toute utilisation non autorisée ou involontaire et pour conseiller des enfants ou d</w:t>
      </w:r>
      <w:r w:rsidR="00191ADA" w:rsidRPr="002D09EA">
        <w:t>’</w:t>
      </w:r>
      <w:r w:rsidRPr="002D09EA">
        <w:t>autres personnes qui sont autorisés à utiliser la connexion Internet mais qui peuvent (sciemment ou non) interagir avec un contenu frauduleux ou le partager.</w:t>
      </w:r>
    </w:p>
    <w:p w:rsidR="00FD6FC2" w:rsidRPr="002D09EA" w:rsidRDefault="00FD6FC2" w:rsidP="00DD4DD5">
      <w:pPr>
        <w:ind w:left="567"/>
      </w:pPr>
    </w:p>
    <w:p w:rsidR="006659D6" w:rsidRPr="002D09EA" w:rsidRDefault="006659D6" w:rsidP="00DD4DD5">
      <w:pPr>
        <w:ind w:left="567"/>
      </w:pPr>
      <w:r w:rsidRPr="002D09EA">
        <w:lastRenderedPageBreak/>
        <w:t>Du fait qu</w:t>
      </w:r>
      <w:r w:rsidR="007E0E33">
        <w:t>’</w:t>
      </w:r>
      <w:proofErr w:type="spellStart"/>
      <w:r w:rsidR="007E0E33">
        <w:t>Operation</w:t>
      </w:r>
      <w:proofErr w:type="spellEnd"/>
      <w:r w:rsidR="007E0E33">
        <w:t xml:space="preserve"> </w:t>
      </w:r>
      <w:proofErr w:type="spellStart"/>
      <w:r w:rsidR="007E0E33">
        <w:t>Creative</w:t>
      </w:r>
      <w:proofErr w:type="spellEnd"/>
      <w:r w:rsidR="007E0E33">
        <w:t xml:space="preserve"> </w:t>
      </w:r>
      <w:r w:rsidRPr="002D09EA">
        <w:t>est géré par un organisme britannique d</w:t>
      </w:r>
      <w:r w:rsidR="00191ADA" w:rsidRPr="002D09EA">
        <w:t>’</w:t>
      </w:r>
      <w:r w:rsidRPr="002D09EA">
        <w:t xml:space="preserve">application de la loi, </w:t>
      </w:r>
      <w:r w:rsidR="007E0E33">
        <w:t>son</w:t>
      </w:r>
      <w:r w:rsidRPr="002D09EA">
        <w:t xml:space="preserve"> niveau de transparence </w:t>
      </w:r>
      <w:r w:rsidRPr="002D09EA">
        <w:rPr>
          <w:bCs/>
          <w:szCs w:val="22"/>
        </w:rPr>
        <w:t xml:space="preserve">est différent de celui du </w:t>
      </w:r>
      <w:r w:rsidRPr="002D09EA">
        <w:t xml:space="preserve">Copyright </w:t>
      </w:r>
      <w:proofErr w:type="spellStart"/>
      <w:r w:rsidRPr="002D09EA">
        <w:t>Alert</w:t>
      </w:r>
      <w:proofErr w:type="spellEnd"/>
      <w:r w:rsidRPr="002D09EA">
        <w:t xml:space="preserve"> System.  Toutefois, ainsi que noté plus haut, les propriétaires/opérateurs de sites</w:t>
      </w:r>
      <w:r w:rsidR="00D2430A" w:rsidRPr="002D09EA">
        <w:t> </w:t>
      </w:r>
      <w:r w:rsidRPr="002D09EA">
        <w:t>Web ont toujours la possibilité d</w:t>
      </w:r>
      <w:r w:rsidR="00191ADA" w:rsidRPr="002D09EA">
        <w:t>’</w:t>
      </w:r>
      <w:r w:rsidRPr="002D09EA">
        <w:t>engager une procédure à l</w:t>
      </w:r>
      <w:r w:rsidR="00191ADA" w:rsidRPr="002D09EA">
        <w:t>’</w:t>
      </w:r>
      <w:r w:rsidRPr="002D09EA">
        <w:t>encontre d</w:t>
      </w:r>
      <w:r w:rsidR="00191ADA" w:rsidRPr="002D09EA">
        <w:t>’</w:t>
      </w:r>
      <w:r w:rsidRPr="002D09EA">
        <w:t>une décision de</w:t>
      </w:r>
      <w:r w:rsidR="00191ADA" w:rsidRPr="002D09EA">
        <w:t xml:space="preserve"> la PIP</w:t>
      </w:r>
      <w:r w:rsidRPr="002D09EA">
        <w:t>CU et d</w:t>
      </w:r>
      <w:r w:rsidR="00191ADA" w:rsidRPr="002D09EA">
        <w:t>’</w:t>
      </w:r>
      <w:r w:rsidRPr="002D09EA">
        <w:t>examiner la question plus avant.</w:t>
      </w:r>
    </w:p>
    <w:p w:rsidR="00FD6FC2" w:rsidRPr="002D09EA" w:rsidRDefault="00FD6FC2" w:rsidP="00FC3974">
      <w:pPr>
        <w:ind w:left="567"/>
        <w:rPr>
          <w:b/>
        </w:rPr>
      </w:pPr>
    </w:p>
    <w:p w:rsidR="00191ADA" w:rsidRPr="002D09EA" w:rsidRDefault="00DD4DD5" w:rsidP="00DD4DD5">
      <w:pPr>
        <w:numPr>
          <w:ilvl w:val="0"/>
          <w:numId w:val="7"/>
        </w:numPr>
        <w:tabs>
          <w:tab w:val="left" w:pos="1134"/>
        </w:tabs>
        <w:ind w:left="567" w:firstLine="0"/>
        <w:rPr>
          <w:b/>
        </w:rPr>
      </w:pPr>
      <w:r w:rsidRPr="002D09EA">
        <w:rPr>
          <w:b/>
        </w:rPr>
        <w:t>Objectifs</w:t>
      </w:r>
      <w:r w:rsidR="005B5648" w:rsidRPr="002D09EA">
        <w:rPr>
          <w:b/>
        </w:rPr>
        <w:t xml:space="preserve"> du mécanisme</w:t>
      </w:r>
    </w:p>
    <w:p w:rsidR="00FD6FC2" w:rsidRPr="002D09EA" w:rsidRDefault="00FD6FC2" w:rsidP="00FC3974">
      <w:pPr>
        <w:ind w:left="567"/>
        <w:rPr>
          <w:b/>
        </w:rPr>
      </w:pPr>
    </w:p>
    <w:p w:rsidR="006659D6" w:rsidRPr="002D09EA" w:rsidRDefault="006659D6" w:rsidP="00DD4DD5">
      <w:pPr>
        <w:ind w:left="567"/>
      </w:pPr>
      <w:r w:rsidRPr="002D09EA">
        <w:t>Les mécanismes volontaires examinés dans le présent document poursuivent plusieurs objectifs, notamment (et surtout) l</w:t>
      </w:r>
      <w:r w:rsidR="00191ADA" w:rsidRPr="002D09EA">
        <w:t>’</w:t>
      </w:r>
      <w:r w:rsidRPr="002D09EA">
        <w:t xml:space="preserve">éducation, la protection des actifs de </w:t>
      </w:r>
      <w:r w:rsidRPr="002D09EA">
        <w:rPr>
          <w:szCs w:val="22"/>
        </w:rPr>
        <w:t>propriété intellectuelle</w:t>
      </w:r>
      <w:r w:rsidRPr="002D09EA">
        <w:t xml:space="preserve"> des titulaires de droits et le désir de faire en sorte que les programmes d</w:t>
      </w:r>
      <w:r w:rsidR="00191ADA" w:rsidRPr="002D09EA">
        <w:t>’</w:t>
      </w:r>
      <w:r w:rsidRPr="002D09EA">
        <w:t>application de la loi et de protection soient conçus et gérés d</w:t>
      </w:r>
      <w:r w:rsidR="00191ADA" w:rsidRPr="002D09EA">
        <w:t>’</w:t>
      </w:r>
      <w:r w:rsidRPr="002D09EA">
        <w:t xml:space="preserve">une manière pratique et acceptable pour les participants, tout en tenant compte de leurs capacités et de leur </w:t>
      </w:r>
      <w:r w:rsidR="00D2430A" w:rsidRPr="002D09EA">
        <w:t>“</w:t>
      </w:r>
      <w:r w:rsidRPr="002D09EA">
        <w:t>personnalité</w:t>
      </w:r>
      <w:r w:rsidR="00D2430A" w:rsidRPr="002D09EA">
        <w:t>”</w:t>
      </w:r>
      <w:r w:rsidRPr="002D09EA">
        <w:t xml:space="preserve"> morale (au lieu de leur être imposés uniquement par la loi ou un tribunal).</w:t>
      </w:r>
    </w:p>
    <w:p w:rsidR="00FD6FC2" w:rsidRPr="002D09EA" w:rsidRDefault="00FD6FC2" w:rsidP="00DD4DD5">
      <w:pPr>
        <w:ind w:left="567"/>
        <w:rPr>
          <w:bCs/>
          <w:szCs w:val="22"/>
        </w:rPr>
      </w:pPr>
    </w:p>
    <w:p w:rsidR="007043BA" w:rsidRPr="002D09EA" w:rsidRDefault="007043BA" w:rsidP="00DD4DD5">
      <w:pPr>
        <w:ind w:left="567"/>
        <w:rPr>
          <w:bCs/>
          <w:szCs w:val="22"/>
        </w:rPr>
      </w:pPr>
      <w:r w:rsidRPr="002D09EA">
        <w:rPr>
          <w:bCs/>
          <w:szCs w:val="22"/>
        </w:rPr>
        <w:t>Pour ce qui est de l</w:t>
      </w:r>
      <w:r w:rsidR="00191ADA" w:rsidRPr="002D09EA">
        <w:rPr>
          <w:bCs/>
          <w:szCs w:val="22"/>
        </w:rPr>
        <w:t>’</w:t>
      </w:r>
      <w:r w:rsidRPr="002D09EA">
        <w:rPr>
          <w:bCs/>
          <w:szCs w:val="22"/>
        </w:rPr>
        <w:t xml:space="preserve">éducation, les </w:t>
      </w:r>
      <w:r w:rsidR="00D2430A" w:rsidRPr="002D09EA">
        <w:rPr>
          <w:bCs/>
          <w:szCs w:val="22"/>
        </w:rPr>
        <w:t>“</w:t>
      </w:r>
      <w:r w:rsidRPr="002D09EA">
        <w:rPr>
          <w:bCs/>
          <w:szCs w:val="22"/>
        </w:rPr>
        <w:t>utilisateurs</w:t>
      </w:r>
      <w:r w:rsidR="00D2430A" w:rsidRPr="002D09EA">
        <w:rPr>
          <w:bCs/>
          <w:szCs w:val="22"/>
        </w:rPr>
        <w:t>”</w:t>
      </w:r>
      <w:r w:rsidRPr="002D09EA">
        <w:rPr>
          <w:bCs/>
          <w:szCs w:val="22"/>
        </w:rPr>
        <w:t xml:space="preserve"> primaires participant au Copyright </w:t>
      </w:r>
      <w:proofErr w:type="spellStart"/>
      <w:r w:rsidRPr="002D09EA">
        <w:rPr>
          <w:bCs/>
          <w:szCs w:val="22"/>
        </w:rPr>
        <w:t>Alert</w:t>
      </w:r>
      <w:proofErr w:type="spellEnd"/>
      <w:r w:rsidRPr="002D09EA">
        <w:rPr>
          <w:bCs/>
          <w:szCs w:val="22"/>
        </w:rPr>
        <w:t xml:space="preserve"> System sont les titulaires de comptes auprès</w:t>
      </w:r>
      <w:r w:rsidR="00191ADA" w:rsidRPr="002D09EA">
        <w:rPr>
          <w:bCs/>
          <w:szCs w:val="22"/>
        </w:rPr>
        <w:t xml:space="preserve"> des FAI</w:t>
      </w:r>
      <w:r w:rsidRPr="002D09EA">
        <w:rPr>
          <w:bCs/>
          <w:szCs w:val="22"/>
        </w:rPr>
        <w:t xml:space="preserve"> (voire d</w:t>
      </w:r>
      <w:r w:rsidR="00191ADA" w:rsidRPr="002D09EA">
        <w:rPr>
          <w:bCs/>
          <w:szCs w:val="22"/>
        </w:rPr>
        <w:t>’</w:t>
      </w:r>
      <w:r w:rsidRPr="002D09EA">
        <w:rPr>
          <w:bCs/>
          <w:szCs w:val="22"/>
        </w:rPr>
        <w:t xml:space="preserve">autres utilisateurs des comptes) qui reçoivent des alertes, ainsi que la </w:t>
      </w:r>
      <w:r w:rsidRPr="002D09EA">
        <w:t>population</w:t>
      </w:r>
      <w:r w:rsidRPr="002D09EA">
        <w:rPr>
          <w:bCs/>
          <w:szCs w:val="22"/>
        </w:rPr>
        <w:t xml:space="preserve"> générale des consommateurs.  Le but n</w:t>
      </w:r>
      <w:r w:rsidR="00191ADA" w:rsidRPr="002D09EA">
        <w:rPr>
          <w:bCs/>
          <w:szCs w:val="22"/>
        </w:rPr>
        <w:t>’</w:t>
      </w:r>
      <w:r w:rsidRPr="002D09EA">
        <w:rPr>
          <w:bCs/>
          <w:szCs w:val="22"/>
        </w:rPr>
        <w:t>est toutefois pas de faire passer un message punitif ni de se concentrer sur les mesures d</w:t>
      </w:r>
      <w:r w:rsidR="00191ADA" w:rsidRPr="002D09EA">
        <w:rPr>
          <w:bCs/>
          <w:szCs w:val="22"/>
        </w:rPr>
        <w:t>’</w:t>
      </w:r>
      <w:r w:rsidRPr="002D09EA">
        <w:rPr>
          <w:bCs/>
          <w:szCs w:val="22"/>
        </w:rPr>
        <w:t>atténuation</w:t>
      </w:r>
      <w:r w:rsidRPr="002D09EA">
        <w:rPr>
          <w:rFonts w:cs="Times New Roman"/>
          <w:bCs/>
          <w:szCs w:val="22"/>
          <w:vertAlign w:val="superscript"/>
        </w:rPr>
        <w:footnoteReference w:id="12"/>
      </w:r>
      <w:r w:rsidRPr="002D09EA">
        <w:rPr>
          <w:bCs/>
          <w:szCs w:val="22"/>
        </w:rPr>
        <w:t xml:space="preserve"> prévues par le programme.  L</w:t>
      </w:r>
      <w:r w:rsidR="00191ADA" w:rsidRPr="002D09EA">
        <w:rPr>
          <w:bCs/>
          <w:szCs w:val="22"/>
        </w:rPr>
        <w:t>’</w:t>
      </w:r>
      <w:r w:rsidRPr="002D09EA">
        <w:rPr>
          <w:bCs/>
          <w:szCs w:val="22"/>
        </w:rPr>
        <w:t xml:space="preserve">objectif est </w:t>
      </w:r>
      <w:r w:rsidR="005A1F8A">
        <w:rPr>
          <w:bCs/>
          <w:szCs w:val="22"/>
        </w:rPr>
        <w:t>plutôt</w:t>
      </w:r>
      <w:r w:rsidRPr="002D09EA">
        <w:rPr>
          <w:bCs/>
          <w:szCs w:val="22"/>
        </w:rPr>
        <w:t>, par le truchement</w:t>
      </w:r>
      <w:r w:rsidR="00191ADA" w:rsidRPr="002D09EA">
        <w:rPr>
          <w:bCs/>
          <w:szCs w:val="22"/>
        </w:rPr>
        <w:t xml:space="preserve"> du CCI</w:t>
      </w:r>
      <w:r w:rsidRPr="002D09EA">
        <w:rPr>
          <w:bCs/>
          <w:szCs w:val="22"/>
        </w:rPr>
        <w:t xml:space="preserve"> proprement dit</w:t>
      </w:r>
      <w:r w:rsidRPr="002D09EA">
        <w:rPr>
          <w:rFonts w:cs="Times New Roman"/>
          <w:bCs/>
          <w:szCs w:val="22"/>
          <w:vertAlign w:val="superscript"/>
        </w:rPr>
        <w:footnoteReference w:id="13"/>
      </w:r>
      <w:r w:rsidRPr="002D09EA">
        <w:rPr>
          <w:bCs/>
          <w:szCs w:val="22"/>
        </w:rPr>
        <w:t xml:space="preserve"> et à l</w:t>
      </w:r>
      <w:r w:rsidR="00191ADA" w:rsidRPr="002D09EA">
        <w:rPr>
          <w:bCs/>
          <w:szCs w:val="22"/>
        </w:rPr>
        <w:t>’</w:t>
      </w:r>
      <w:r w:rsidRPr="002D09EA">
        <w:rPr>
          <w:bCs/>
          <w:szCs w:val="22"/>
        </w:rPr>
        <w:t>aide de ressources propres au secteur et de campagnes conduites par les titulaires de droits participants</w:t>
      </w:r>
      <w:r w:rsidRPr="002D09EA">
        <w:rPr>
          <w:rFonts w:cs="Times New Roman"/>
          <w:bCs/>
          <w:szCs w:val="22"/>
          <w:vertAlign w:val="superscript"/>
        </w:rPr>
        <w:footnoteReference w:id="14"/>
      </w:r>
      <w:r w:rsidRPr="002D09EA">
        <w:rPr>
          <w:bCs/>
          <w:szCs w:val="22"/>
        </w:rPr>
        <w:t>, d</w:t>
      </w:r>
      <w:r w:rsidR="00191ADA" w:rsidRPr="002D09EA">
        <w:rPr>
          <w:bCs/>
          <w:szCs w:val="22"/>
        </w:rPr>
        <w:t>’</w:t>
      </w:r>
      <w:r w:rsidRPr="002D09EA">
        <w:rPr>
          <w:bCs/>
          <w:szCs w:val="22"/>
        </w:rPr>
        <w:t>encourager les consommateurs à cibler les nombreuses sources de contenu licite (de tous types, et non limitées à des f</w:t>
      </w:r>
      <w:r w:rsidRPr="002D09EA">
        <w:t>onctions de téléchargement) qui sont à leur disposition aux États</w:t>
      </w:r>
      <w:r w:rsidR="00F40A5D" w:rsidRPr="002D09EA">
        <w:noBreakHyphen/>
      </w:r>
      <w:r w:rsidRPr="002D09EA">
        <w:t>Unis d</w:t>
      </w:r>
      <w:r w:rsidR="00191ADA" w:rsidRPr="002D09EA">
        <w:t>’</w:t>
      </w:r>
      <w:r w:rsidRPr="002D09EA">
        <w:t>Amérique.</w:t>
      </w:r>
      <w:r w:rsidRPr="002D09EA">
        <w:rPr>
          <w:bCs/>
          <w:szCs w:val="22"/>
        </w:rPr>
        <w:t xml:space="preserve">  Le système fournit également des orientations sur les risques que les logiciels malveillants et d</w:t>
      </w:r>
      <w:r w:rsidR="00191ADA" w:rsidRPr="002D09EA">
        <w:rPr>
          <w:bCs/>
          <w:szCs w:val="22"/>
        </w:rPr>
        <w:t>’</w:t>
      </w:r>
      <w:r w:rsidRPr="002D09EA">
        <w:rPr>
          <w:bCs/>
          <w:szCs w:val="22"/>
        </w:rPr>
        <w:t xml:space="preserve">autres éléments pouvant se trouver sur les réseaux de poste à poste peuvent faire courir aux consommateurs. </w:t>
      </w:r>
      <w:r w:rsidR="00191ADA" w:rsidRPr="002D09EA">
        <w:rPr>
          <w:bCs/>
          <w:szCs w:val="22"/>
        </w:rPr>
        <w:t xml:space="preserve"> Le CCI</w:t>
      </w:r>
      <w:r w:rsidRPr="002D09EA">
        <w:rPr>
          <w:bCs/>
          <w:szCs w:val="22"/>
        </w:rPr>
        <w:t xml:space="preserve"> envisage d</w:t>
      </w:r>
      <w:r w:rsidR="00191ADA" w:rsidRPr="002D09EA">
        <w:rPr>
          <w:bCs/>
          <w:szCs w:val="22"/>
        </w:rPr>
        <w:t>’</w:t>
      </w:r>
      <w:r w:rsidRPr="002D09EA">
        <w:rPr>
          <w:bCs/>
          <w:szCs w:val="22"/>
        </w:rPr>
        <w:t>élargir son mandat pédagogique au cours de l</w:t>
      </w:r>
      <w:r w:rsidR="00191ADA" w:rsidRPr="002D09EA">
        <w:rPr>
          <w:bCs/>
          <w:szCs w:val="22"/>
        </w:rPr>
        <w:t>’</w:t>
      </w:r>
      <w:r w:rsidRPr="002D09EA">
        <w:rPr>
          <w:bCs/>
          <w:szCs w:val="22"/>
        </w:rPr>
        <w:t>année prochaine, notamment en mettant des ressources à la disposition des éducateurs.</w:t>
      </w:r>
    </w:p>
    <w:p w:rsidR="00FD6FC2" w:rsidRPr="002D09EA" w:rsidRDefault="00FD6FC2" w:rsidP="00DD4DD5">
      <w:pPr>
        <w:ind w:left="567"/>
        <w:rPr>
          <w:bCs/>
          <w:szCs w:val="22"/>
        </w:rPr>
      </w:pPr>
    </w:p>
    <w:p w:rsidR="00191ADA" w:rsidRPr="002D09EA" w:rsidRDefault="007043BA" w:rsidP="00DD4DD5">
      <w:pPr>
        <w:ind w:left="567"/>
        <w:rPr>
          <w:bCs/>
          <w:szCs w:val="22"/>
        </w:rPr>
      </w:pPr>
      <w:r w:rsidRPr="002D09EA">
        <w:rPr>
          <w:bCs/>
          <w:szCs w:val="22"/>
        </w:rPr>
        <w:t>En ce qui concerne</w:t>
      </w:r>
      <w:r w:rsidR="00FD6FC2" w:rsidRPr="002D09EA">
        <w:rPr>
          <w:bCs/>
          <w:szCs w:val="22"/>
        </w:rPr>
        <w:t xml:space="preserve"> </w:t>
      </w:r>
      <w:proofErr w:type="spellStart"/>
      <w:r w:rsidR="00FD6FC2" w:rsidRPr="002D09EA">
        <w:rPr>
          <w:bCs/>
          <w:szCs w:val="22"/>
        </w:rPr>
        <w:t>Operation</w:t>
      </w:r>
      <w:proofErr w:type="spellEnd"/>
      <w:r w:rsidR="00FD6FC2" w:rsidRPr="002D09EA">
        <w:rPr>
          <w:bCs/>
          <w:szCs w:val="22"/>
        </w:rPr>
        <w:t xml:space="preserve"> </w:t>
      </w:r>
      <w:proofErr w:type="spellStart"/>
      <w:r w:rsidR="00FD6FC2" w:rsidRPr="002D09EA">
        <w:rPr>
          <w:bCs/>
          <w:szCs w:val="22"/>
        </w:rPr>
        <w:t>Creative</w:t>
      </w:r>
      <w:proofErr w:type="spellEnd"/>
      <w:r w:rsidR="00FD6FC2" w:rsidRPr="002D09EA">
        <w:rPr>
          <w:bCs/>
          <w:szCs w:val="22"/>
        </w:rPr>
        <w:t xml:space="preserve"> </w:t>
      </w:r>
      <w:r w:rsidRPr="002D09EA">
        <w:rPr>
          <w:bCs/>
          <w:szCs w:val="22"/>
        </w:rPr>
        <w:t>et</w:t>
      </w:r>
      <w:r w:rsidR="00191ADA" w:rsidRPr="002D09EA">
        <w:rPr>
          <w:bCs/>
          <w:szCs w:val="22"/>
        </w:rPr>
        <w:t xml:space="preserve"> le DTS</w:t>
      </w:r>
      <w:r w:rsidR="00FD6FC2" w:rsidRPr="002D09EA">
        <w:rPr>
          <w:bCs/>
          <w:szCs w:val="22"/>
        </w:rPr>
        <w:t xml:space="preserve">G </w:t>
      </w:r>
      <w:r w:rsidR="00B04E54" w:rsidRPr="002D09EA">
        <w:rPr>
          <w:bCs/>
          <w:szCs w:val="22"/>
        </w:rPr>
        <w:t xml:space="preserve">chargé des </w:t>
      </w:r>
      <w:r w:rsidR="00D2430A" w:rsidRPr="002D09EA">
        <w:rPr>
          <w:bCs/>
          <w:szCs w:val="22"/>
        </w:rPr>
        <w:t>“</w:t>
      </w:r>
      <w:r w:rsidR="00B04E54" w:rsidRPr="002D09EA">
        <w:rPr>
          <w:bCs/>
          <w:i/>
          <w:szCs w:val="22"/>
        </w:rPr>
        <w:t>Princip</w:t>
      </w:r>
      <w:r w:rsidR="00FD6FC2" w:rsidRPr="002D09EA">
        <w:rPr>
          <w:bCs/>
          <w:i/>
          <w:szCs w:val="22"/>
        </w:rPr>
        <w:t>es</w:t>
      </w:r>
      <w:r w:rsidR="00B04E54" w:rsidRPr="002D09EA">
        <w:rPr>
          <w:bCs/>
          <w:i/>
          <w:szCs w:val="22"/>
        </w:rPr>
        <w:t xml:space="preserve"> de bonnes pratiques et accords primaires</w:t>
      </w:r>
      <w:r w:rsidR="00D2430A" w:rsidRPr="002D09EA">
        <w:rPr>
          <w:bCs/>
          <w:i/>
          <w:szCs w:val="22"/>
        </w:rPr>
        <w:t>”</w:t>
      </w:r>
      <w:r w:rsidR="00FD6FC2" w:rsidRPr="002D09EA">
        <w:rPr>
          <w:bCs/>
          <w:szCs w:val="22"/>
          <w:vertAlign w:val="superscript"/>
        </w:rPr>
        <w:t>8</w:t>
      </w:r>
      <w:r w:rsidR="00FD6FC2" w:rsidRPr="002D09EA">
        <w:rPr>
          <w:bCs/>
          <w:szCs w:val="22"/>
        </w:rPr>
        <w:t xml:space="preserve">, </w:t>
      </w:r>
      <w:r w:rsidR="00B04E54" w:rsidRPr="002D09EA">
        <w:rPr>
          <w:bCs/>
          <w:szCs w:val="22"/>
        </w:rPr>
        <w:t xml:space="preserve">les </w:t>
      </w:r>
      <w:r w:rsidR="00D2430A" w:rsidRPr="002D09EA">
        <w:rPr>
          <w:bCs/>
          <w:szCs w:val="22"/>
        </w:rPr>
        <w:t>“</w:t>
      </w:r>
      <w:r w:rsidR="00B04E54" w:rsidRPr="002D09EA">
        <w:rPr>
          <w:bCs/>
          <w:szCs w:val="22"/>
        </w:rPr>
        <w:t>utilisateurs</w:t>
      </w:r>
      <w:r w:rsidR="00D2430A" w:rsidRPr="002D09EA">
        <w:rPr>
          <w:bCs/>
          <w:szCs w:val="22"/>
        </w:rPr>
        <w:t>”</w:t>
      </w:r>
      <w:r w:rsidR="00B04E54" w:rsidRPr="002D09EA">
        <w:rPr>
          <w:bCs/>
          <w:szCs w:val="22"/>
        </w:rPr>
        <w:t xml:space="preserve"> primaires</w:t>
      </w:r>
      <w:r w:rsidR="002F18CC" w:rsidRPr="002D09EA">
        <w:rPr>
          <w:bCs/>
          <w:szCs w:val="22"/>
        </w:rPr>
        <w:t>,</w:t>
      </w:r>
      <w:r w:rsidR="00B04E54" w:rsidRPr="002D09EA">
        <w:rPr>
          <w:bCs/>
          <w:szCs w:val="22"/>
        </w:rPr>
        <w:t xml:space="preserve"> destinataires des messages pédagogiques</w:t>
      </w:r>
      <w:r w:rsidR="002F18CC" w:rsidRPr="002D09EA">
        <w:rPr>
          <w:bCs/>
          <w:szCs w:val="22"/>
        </w:rPr>
        <w:t>,</w:t>
      </w:r>
      <w:r w:rsidR="00B04E54" w:rsidRPr="002D09EA">
        <w:rPr>
          <w:bCs/>
          <w:szCs w:val="22"/>
        </w:rPr>
        <w:t xml:space="preserve"> sont les membres de l</w:t>
      </w:r>
      <w:r w:rsidR="00191ADA" w:rsidRPr="002D09EA">
        <w:rPr>
          <w:bCs/>
          <w:szCs w:val="22"/>
        </w:rPr>
        <w:t>’</w:t>
      </w:r>
      <w:r w:rsidR="00B04E54" w:rsidRPr="002D09EA">
        <w:rPr>
          <w:bCs/>
          <w:szCs w:val="22"/>
        </w:rPr>
        <w:t>industrie de la publicité qui ont été avisés de l</w:t>
      </w:r>
      <w:r w:rsidR="00191ADA" w:rsidRPr="002D09EA">
        <w:rPr>
          <w:bCs/>
          <w:szCs w:val="22"/>
        </w:rPr>
        <w:t>’</w:t>
      </w:r>
      <w:r w:rsidR="00B04E54" w:rsidRPr="002D09EA">
        <w:rPr>
          <w:bCs/>
          <w:szCs w:val="22"/>
        </w:rPr>
        <w:t>activité de sites</w:t>
      </w:r>
      <w:r w:rsidR="00D2430A" w:rsidRPr="002D09EA">
        <w:rPr>
          <w:bCs/>
          <w:szCs w:val="22"/>
        </w:rPr>
        <w:t> </w:t>
      </w:r>
      <w:r w:rsidR="00B04E54" w:rsidRPr="002D09EA">
        <w:rPr>
          <w:bCs/>
          <w:szCs w:val="22"/>
        </w:rPr>
        <w:t>Web frauduleux et encouragés à revoir leurs habitudes de placement d</w:t>
      </w:r>
      <w:r w:rsidR="00191ADA" w:rsidRPr="002D09EA">
        <w:rPr>
          <w:bCs/>
          <w:szCs w:val="22"/>
        </w:rPr>
        <w:t>’</w:t>
      </w:r>
      <w:r w:rsidR="00B04E54" w:rsidRPr="002D09EA">
        <w:rPr>
          <w:bCs/>
          <w:szCs w:val="22"/>
        </w:rPr>
        <w:t>annonces, de manière à éviter ce genre de sites (y</w:t>
      </w:r>
      <w:r w:rsidR="00D2430A" w:rsidRPr="002D09EA">
        <w:rPr>
          <w:bCs/>
          <w:szCs w:val="22"/>
        </w:rPr>
        <w:t> </w:t>
      </w:r>
      <w:r w:rsidR="00B04E54" w:rsidRPr="002D09EA">
        <w:rPr>
          <w:bCs/>
          <w:szCs w:val="22"/>
        </w:rPr>
        <w:t>compris ceux qui sont dénoncés par</w:t>
      </w:r>
      <w:r w:rsidR="00191ADA" w:rsidRPr="002D09EA">
        <w:rPr>
          <w:bCs/>
          <w:szCs w:val="22"/>
        </w:rPr>
        <w:t xml:space="preserve"> la PIP</w:t>
      </w:r>
      <w:r w:rsidR="00B04E54" w:rsidRPr="002D09EA">
        <w:rPr>
          <w:bCs/>
          <w:szCs w:val="22"/>
        </w:rPr>
        <w:t>CU).</w:t>
      </w:r>
    </w:p>
    <w:p w:rsidR="00FD6FC2" w:rsidRPr="002D09EA" w:rsidRDefault="00FD6FC2" w:rsidP="00DD4DD5">
      <w:pPr>
        <w:ind w:left="567"/>
        <w:rPr>
          <w:bCs/>
          <w:szCs w:val="22"/>
        </w:rPr>
      </w:pPr>
    </w:p>
    <w:p w:rsidR="00B04E54" w:rsidRPr="002D09EA" w:rsidRDefault="00B04E54" w:rsidP="00DD4DD5">
      <w:pPr>
        <w:ind w:left="567"/>
        <w:rPr>
          <w:bCs/>
          <w:szCs w:val="22"/>
        </w:rPr>
      </w:pPr>
      <w:r w:rsidRPr="002D09EA">
        <w:rPr>
          <w:bCs/>
          <w:szCs w:val="22"/>
        </w:rPr>
        <w:t>Les titulaires de droits estiment que, si les consommateurs sont clairement informés des pratiques qui portent atteinte au droit d</w:t>
      </w:r>
      <w:r w:rsidR="00191ADA" w:rsidRPr="002D09EA">
        <w:rPr>
          <w:bCs/>
          <w:szCs w:val="22"/>
        </w:rPr>
        <w:t>’</w:t>
      </w:r>
      <w:r w:rsidRPr="002D09EA">
        <w:rPr>
          <w:bCs/>
          <w:szCs w:val="22"/>
        </w:rPr>
        <w:t xml:space="preserve">auteur </w:t>
      </w:r>
      <w:r w:rsidR="00D2430A" w:rsidRPr="002D09EA">
        <w:rPr>
          <w:bCs/>
          <w:szCs w:val="22"/>
        </w:rPr>
        <w:t>–</w:t>
      </w:r>
      <w:r w:rsidRPr="002D09EA">
        <w:rPr>
          <w:bCs/>
          <w:szCs w:val="22"/>
        </w:rPr>
        <w:t xml:space="preserve"> en particulier la manière dont certaines entités et personnes utilisent les marchés commerciaux et proposent des produits visant à encourager l</w:t>
      </w:r>
      <w:r w:rsidR="00191ADA" w:rsidRPr="002D09EA">
        <w:rPr>
          <w:bCs/>
          <w:szCs w:val="22"/>
        </w:rPr>
        <w:t>’</w:t>
      </w:r>
      <w:r w:rsidRPr="002D09EA">
        <w:rPr>
          <w:bCs/>
          <w:szCs w:val="22"/>
        </w:rPr>
        <w:t>activité illicite de tiers afin d</w:t>
      </w:r>
      <w:r w:rsidR="00191ADA" w:rsidRPr="002D09EA">
        <w:rPr>
          <w:bCs/>
          <w:szCs w:val="22"/>
        </w:rPr>
        <w:t>’</w:t>
      </w:r>
      <w:r w:rsidRPr="002D09EA">
        <w:rPr>
          <w:bCs/>
          <w:szCs w:val="22"/>
        </w:rPr>
        <w:t xml:space="preserve">en tirer des recettes (et souvent des profits substantiels) pour leur propre compte </w:t>
      </w:r>
      <w:r w:rsidR="00D2430A" w:rsidRPr="002D09EA">
        <w:rPr>
          <w:bCs/>
          <w:szCs w:val="22"/>
        </w:rPr>
        <w:t>–</w:t>
      </w:r>
      <w:r w:rsidRPr="002D09EA">
        <w:rPr>
          <w:bCs/>
          <w:szCs w:val="22"/>
        </w:rPr>
        <w:t xml:space="preserve"> ils choisiront généralement la légalité. </w:t>
      </w:r>
      <w:r w:rsidR="00B35BAA" w:rsidRPr="002D09EA">
        <w:rPr>
          <w:bCs/>
          <w:szCs w:val="22"/>
        </w:rPr>
        <w:t xml:space="preserve"> </w:t>
      </w:r>
      <w:r w:rsidR="00DB49D6">
        <w:rPr>
          <w:bCs/>
          <w:szCs w:val="22"/>
        </w:rPr>
        <w:t>Cela </w:t>
      </w:r>
      <w:r w:rsidRPr="002D09EA">
        <w:rPr>
          <w:bCs/>
          <w:szCs w:val="22"/>
        </w:rPr>
        <w:t xml:space="preserve">devrait, par voie de conséquence, réduire le niveau des </w:t>
      </w:r>
      <w:r w:rsidR="003F6D3A">
        <w:rPr>
          <w:bCs/>
          <w:szCs w:val="22"/>
        </w:rPr>
        <w:t>atteintes</w:t>
      </w:r>
      <w:r w:rsidRPr="002D09EA">
        <w:rPr>
          <w:bCs/>
          <w:szCs w:val="22"/>
        </w:rPr>
        <w:t xml:space="preserve"> et relever celui de la consommation de contenu licite.</w:t>
      </w:r>
    </w:p>
    <w:p w:rsidR="00FD6FC2" w:rsidRPr="002D09EA" w:rsidRDefault="00FD6FC2" w:rsidP="00DD4DD5">
      <w:pPr>
        <w:ind w:left="567"/>
        <w:rPr>
          <w:bCs/>
          <w:szCs w:val="22"/>
        </w:rPr>
      </w:pPr>
    </w:p>
    <w:p w:rsidR="002E6055" w:rsidRPr="002D09EA" w:rsidRDefault="002E6055" w:rsidP="00DD4DD5">
      <w:pPr>
        <w:ind w:left="567"/>
        <w:rPr>
          <w:bCs/>
          <w:szCs w:val="22"/>
        </w:rPr>
      </w:pPr>
      <w:r w:rsidRPr="002D09EA">
        <w:rPr>
          <w:bCs/>
          <w:szCs w:val="22"/>
        </w:rPr>
        <w:t>Pour des mécanismes tels que les deux</w:t>
      </w:r>
      <w:r w:rsidR="00D2430A" w:rsidRPr="002D09EA">
        <w:rPr>
          <w:bCs/>
          <w:szCs w:val="22"/>
        </w:rPr>
        <w:t> </w:t>
      </w:r>
      <w:r w:rsidRPr="002D09EA">
        <w:rPr>
          <w:bCs/>
          <w:szCs w:val="22"/>
        </w:rPr>
        <w:t xml:space="preserve">dispositifs décrits dans le présent document, un fonctionnement efficace est essentiel. </w:t>
      </w:r>
      <w:r w:rsidR="00B35BAA" w:rsidRPr="002D09EA">
        <w:rPr>
          <w:bCs/>
          <w:szCs w:val="22"/>
        </w:rPr>
        <w:t xml:space="preserve"> </w:t>
      </w:r>
      <w:r w:rsidRPr="002D09EA">
        <w:rPr>
          <w:bCs/>
          <w:szCs w:val="22"/>
        </w:rPr>
        <w:t>Ces systèmes do</w:t>
      </w:r>
      <w:r w:rsidR="002F18CC" w:rsidRPr="002D09EA">
        <w:rPr>
          <w:bCs/>
          <w:szCs w:val="22"/>
        </w:rPr>
        <w:t xml:space="preserve">ivent fonctionner sans faille;  garantir </w:t>
      </w:r>
      <w:r w:rsidRPr="002D09EA">
        <w:rPr>
          <w:bCs/>
          <w:szCs w:val="22"/>
        </w:rPr>
        <w:t xml:space="preserve">la confidentialité et </w:t>
      </w:r>
      <w:r w:rsidR="003F6D3A">
        <w:rPr>
          <w:bCs/>
          <w:szCs w:val="22"/>
        </w:rPr>
        <w:t xml:space="preserve">protéger </w:t>
      </w:r>
      <w:r w:rsidRPr="002D09EA">
        <w:rPr>
          <w:bCs/>
          <w:szCs w:val="22"/>
        </w:rPr>
        <w:t xml:space="preserve">les données des personnes et entreprises; </w:t>
      </w:r>
      <w:r w:rsidR="00D2430A" w:rsidRPr="002D09EA">
        <w:rPr>
          <w:bCs/>
          <w:szCs w:val="22"/>
        </w:rPr>
        <w:t xml:space="preserve"> </w:t>
      </w:r>
      <w:r w:rsidR="002F18CC" w:rsidRPr="002D09EA">
        <w:rPr>
          <w:bCs/>
          <w:szCs w:val="22"/>
        </w:rPr>
        <w:t xml:space="preserve">assurer </w:t>
      </w:r>
      <w:r w:rsidRPr="002D09EA">
        <w:rPr>
          <w:bCs/>
          <w:szCs w:val="22"/>
        </w:rPr>
        <w:t>l</w:t>
      </w:r>
      <w:r w:rsidR="00191ADA" w:rsidRPr="002D09EA">
        <w:rPr>
          <w:bCs/>
          <w:szCs w:val="22"/>
        </w:rPr>
        <w:t>’</w:t>
      </w:r>
      <w:r w:rsidRPr="002D09EA">
        <w:rPr>
          <w:bCs/>
          <w:szCs w:val="22"/>
        </w:rPr>
        <w:t xml:space="preserve">envoi </w:t>
      </w:r>
      <w:r w:rsidR="00D2430A" w:rsidRPr="002D09EA">
        <w:rPr>
          <w:bCs/>
          <w:szCs w:val="22"/>
        </w:rPr>
        <w:t>“</w:t>
      </w:r>
      <w:r w:rsidR="002F18CC" w:rsidRPr="002D09EA">
        <w:rPr>
          <w:bCs/>
          <w:szCs w:val="22"/>
        </w:rPr>
        <w:t>convivial</w:t>
      </w:r>
      <w:r w:rsidR="00D2430A" w:rsidRPr="002D09EA">
        <w:rPr>
          <w:bCs/>
          <w:szCs w:val="22"/>
        </w:rPr>
        <w:t>”</w:t>
      </w:r>
      <w:r w:rsidR="002F18CC" w:rsidRPr="002D09EA">
        <w:rPr>
          <w:bCs/>
          <w:szCs w:val="22"/>
        </w:rPr>
        <w:t xml:space="preserve">, faire en sorte que </w:t>
      </w:r>
      <w:r w:rsidR="003F6D3A">
        <w:rPr>
          <w:bCs/>
          <w:szCs w:val="22"/>
        </w:rPr>
        <w:t xml:space="preserve">le degré de </w:t>
      </w:r>
      <w:r w:rsidRPr="002D09EA">
        <w:rPr>
          <w:bCs/>
          <w:szCs w:val="22"/>
        </w:rPr>
        <w:t xml:space="preserve"> transparence </w:t>
      </w:r>
      <w:r w:rsidR="003F6D3A">
        <w:rPr>
          <w:bCs/>
          <w:szCs w:val="22"/>
        </w:rPr>
        <w:t xml:space="preserve">soit </w:t>
      </w:r>
      <w:r w:rsidRPr="002D09EA">
        <w:rPr>
          <w:bCs/>
          <w:szCs w:val="22"/>
        </w:rPr>
        <w:t>optimal, et</w:t>
      </w:r>
      <w:r w:rsidR="002F18CC" w:rsidRPr="002D09EA">
        <w:rPr>
          <w:bCs/>
          <w:szCs w:val="22"/>
        </w:rPr>
        <w:t xml:space="preserve"> que </w:t>
      </w:r>
      <w:r w:rsidRPr="002D09EA">
        <w:rPr>
          <w:bCs/>
          <w:szCs w:val="22"/>
        </w:rPr>
        <w:t xml:space="preserve">les </w:t>
      </w:r>
      <w:r w:rsidRPr="002D09EA">
        <w:rPr>
          <w:bCs/>
          <w:szCs w:val="22"/>
        </w:rPr>
        <w:lastRenderedPageBreak/>
        <w:t>ressources d</w:t>
      </w:r>
      <w:r w:rsidR="00191ADA" w:rsidRPr="002D09EA">
        <w:rPr>
          <w:bCs/>
          <w:szCs w:val="22"/>
        </w:rPr>
        <w:t>’</w:t>
      </w:r>
      <w:r w:rsidRPr="002D09EA">
        <w:rPr>
          <w:bCs/>
          <w:szCs w:val="22"/>
        </w:rPr>
        <w:t xml:space="preserve">appui </w:t>
      </w:r>
      <w:r w:rsidR="002F18CC" w:rsidRPr="002D09EA">
        <w:rPr>
          <w:bCs/>
          <w:szCs w:val="22"/>
        </w:rPr>
        <w:t xml:space="preserve">soient </w:t>
      </w:r>
      <w:r w:rsidRPr="002D09EA">
        <w:rPr>
          <w:bCs/>
          <w:szCs w:val="22"/>
        </w:rPr>
        <w:t>disponibles et accessibles.  L</w:t>
      </w:r>
      <w:r w:rsidR="00191ADA" w:rsidRPr="002D09EA">
        <w:rPr>
          <w:bCs/>
          <w:szCs w:val="22"/>
        </w:rPr>
        <w:t>’</w:t>
      </w:r>
      <w:r w:rsidRPr="002D09EA">
        <w:rPr>
          <w:bCs/>
          <w:szCs w:val="22"/>
        </w:rPr>
        <w:t xml:space="preserve">une des principales conditions que le Copyright </w:t>
      </w:r>
      <w:proofErr w:type="spellStart"/>
      <w:r w:rsidRPr="002D09EA">
        <w:rPr>
          <w:bCs/>
          <w:szCs w:val="22"/>
        </w:rPr>
        <w:t>Alert</w:t>
      </w:r>
      <w:proofErr w:type="spellEnd"/>
      <w:r w:rsidRPr="002D09EA">
        <w:rPr>
          <w:bCs/>
          <w:szCs w:val="22"/>
        </w:rPr>
        <w:t xml:space="preserve"> System et </w:t>
      </w:r>
      <w:proofErr w:type="spellStart"/>
      <w:r w:rsidRPr="002D09EA">
        <w:rPr>
          <w:bCs/>
          <w:szCs w:val="22"/>
        </w:rPr>
        <w:t>Operation</w:t>
      </w:r>
      <w:proofErr w:type="spellEnd"/>
      <w:r w:rsidRPr="002D09EA">
        <w:rPr>
          <w:bCs/>
          <w:szCs w:val="22"/>
        </w:rPr>
        <w:t xml:space="preserve"> </w:t>
      </w:r>
      <w:proofErr w:type="spellStart"/>
      <w:r w:rsidRPr="002D09EA">
        <w:rPr>
          <w:bCs/>
          <w:szCs w:val="22"/>
        </w:rPr>
        <w:t>Creative</w:t>
      </w:r>
      <w:proofErr w:type="spellEnd"/>
      <w:r w:rsidRPr="002D09EA">
        <w:rPr>
          <w:bCs/>
          <w:szCs w:val="22"/>
        </w:rPr>
        <w:t xml:space="preserve"> doivent remplir est donc que l</w:t>
      </w:r>
      <w:r w:rsidR="00191ADA" w:rsidRPr="002D09EA">
        <w:rPr>
          <w:bCs/>
          <w:szCs w:val="22"/>
        </w:rPr>
        <w:t>’</w:t>
      </w:r>
      <w:r w:rsidRPr="002D09EA">
        <w:rPr>
          <w:bCs/>
          <w:szCs w:val="22"/>
        </w:rPr>
        <w:t xml:space="preserve">infrastructure et le mode opératoire appliqués pour atteindre ces objectifs soient conçus de manière optimale et maintenus selon un modèle collaboratif qui garantisse la prise en considération des points de vue et des limites de tous les participants et qui demeure essentiellement axé sur les opinions et les actions souhaitées des </w:t>
      </w:r>
      <w:r w:rsidR="00D2430A" w:rsidRPr="002D09EA">
        <w:rPr>
          <w:bCs/>
          <w:szCs w:val="22"/>
        </w:rPr>
        <w:t>“</w:t>
      </w:r>
      <w:r w:rsidRPr="002D09EA">
        <w:rPr>
          <w:bCs/>
          <w:szCs w:val="22"/>
        </w:rPr>
        <w:t>utilisateurs finaux</w:t>
      </w:r>
      <w:r w:rsidR="00D2430A" w:rsidRPr="002D09EA">
        <w:rPr>
          <w:bCs/>
          <w:szCs w:val="22"/>
        </w:rPr>
        <w:t>”.</w:t>
      </w:r>
      <w:r w:rsidRPr="002D09EA">
        <w:rPr>
          <w:bCs/>
          <w:szCs w:val="22"/>
        </w:rPr>
        <w:t xml:space="preserve">  Jusqu</w:t>
      </w:r>
      <w:r w:rsidR="00191ADA" w:rsidRPr="002D09EA">
        <w:rPr>
          <w:bCs/>
          <w:szCs w:val="22"/>
        </w:rPr>
        <w:t>’</w:t>
      </w:r>
      <w:r w:rsidRPr="002D09EA">
        <w:rPr>
          <w:bCs/>
          <w:szCs w:val="22"/>
        </w:rPr>
        <w:t xml:space="preserve">à présent, ces programmes en vigueur aux </w:t>
      </w:r>
      <w:r w:rsidRPr="002D09EA">
        <w:t>États</w:t>
      </w:r>
      <w:r w:rsidR="00F40A5D" w:rsidRPr="002D09EA">
        <w:noBreakHyphen/>
      </w:r>
      <w:r w:rsidRPr="002D09EA">
        <w:t>Unis d</w:t>
      </w:r>
      <w:r w:rsidR="00191ADA" w:rsidRPr="002D09EA">
        <w:t>’</w:t>
      </w:r>
      <w:r w:rsidRPr="002D09EA">
        <w:t>Amérique et au Royaume</w:t>
      </w:r>
      <w:r w:rsidR="00F40A5D" w:rsidRPr="002D09EA">
        <w:noBreakHyphen/>
      </w:r>
      <w:r w:rsidRPr="002D09EA">
        <w:t xml:space="preserve">Uni montrent que cet objectif peut être atteint </w:t>
      </w:r>
      <w:r w:rsidR="00F744E5">
        <w:t xml:space="preserve">avec succès et sainement </w:t>
      </w:r>
      <w:r w:rsidRPr="002D09EA">
        <w:t>grâce à la conclusion de solides accords volontaires et du maintien de partenariats entre secteurs public et privé.</w:t>
      </w:r>
    </w:p>
    <w:p w:rsidR="00FD6FC2" w:rsidRPr="002D09EA" w:rsidRDefault="00FD6FC2" w:rsidP="00DD4DD5">
      <w:pPr>
        <w:rPr>
          <w:bCs/>
          <w:szCs w:val="22"/>
        </w:rPr>
      </w:pPr>
    </w:p>
    <w:p w:rsidR="00FD6FC2" w:rsidRPr="002D09EA" w:rsidRDefault="00FD6FC2" w:rsidP="00DD4DD5"/>
    <w:p w:rsidR="00FD6FC2" w:rsidRPr="002D09EA" w:rsidRDefault="00FD6FC2" w:rsidP="00DD4DD5">
      <w:pPr>
        <w:tabs>
          <w:tab w:val="left" w:pos="1134"/>
        </w:tabs>
        <w:rPr>
          <w:szCs w:val="22"/>
        </w:rPr>
      </w:pPr>
    </w:p>
    <w:p w:rsidR="00FD6FC2" w:rsidRPr="0007369D" w:rsidRDefault="00FD6FC2" w:rsidP="0007369D">
      <w:pPr>
        <w:pStyle w:val="Endofdocument-Annex"/>
      </w:pPr>
      <w:r w:rsidRPr="0007369D">
        <w:t>[</w:t>
      </w:r>
      <w:r w:rsidR="005B5648" w:rsidRPr="0007369D">
        <w:t>Fin du</w:t>
      </w:r>
      <w:r w:rsidRPr="0007369D">
        <w:t xml:space="preserve"> document]</w:t>
      </w:r>
    </w:p>
    <w:p w:rsidR="00D702D3" w:rsidRPr="002D09EA" w:rsidRDefault="00D702D3" w:rsidP="00DD4DD5"/>
    <w:sectPr w:rsidR="00D702D3" w:rsidRPr="002D09EA" w:rsidSect="002156EA">
      <w:headerReference w:type="default" r:id="rId14"/>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E32" w:rsidRDefault="004E0E32" w:rsidP="00FD6FC2">
      <w:r>
        <w:separator/>
      </w:r>
    </w:p>
  </w:endnote>
  <w:endnote w:type="continuationSeparator" w:id="0">
    <w:p w:rsidR="004E0E32" w:rsidRDefault="004E0E32" w:rsidP="00FD6FC2">
      <w:r>
        <w:continuationSeparator/>
      </w:r>
    </w:p>
  </w:endnote>
  <w:endnote w:type="continuationNotice" w:id="1">
    <w:p w:rsidR="004E0E32" w:rsidRDefault="004E0E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E32" w:rsidRDefault="004E0E32" w:rsidP="00FD6FC2">
      <w:r>
        <w:separator/>
      </w:r>
    </w:p>
  </w:footnote>
  <w:footnote w:type="continuationSeparator" w:id="0">
    <w:p w:rsidR="004E0E32" w:rsidRDefault="004E0E32" w:rsidP="00FD6FC2">
      <w:r>
        <w:continuationSeparator/>
      </w:r>
    </w:p>
  </w:footnote>
  <w:footnote w:type="continuationNotice" w:id="1">
    <w:p w:rsidR="004E0E32" w:rsidRDefault="004E0E32"/>
  </w:footnote>
  <w:footnote w:id="2">
    <w:p w:rsidR="00D702D3" w:rsidRPr="00242347" w:rsidRDefault="00D702D3" w:rsidP="00AD6624">
      <w:pPr>
        <w:pStyle w:val="FootnoteText"/>
      </w:pPr>
      <w:r>
        <w:rPr>
          <w:rStyle w:val="FootnoteReference"/>
        </w:rPr>
        <w:t>*</w:t>
      </w:r>
      <w:r>
        <w:t xml:space="preserve"> </w:t>
      </w:r>
      <w:r>
        <w:tab/>
        <w:t>Les points de vue exprimés dans le présent document sont ceux de l</w:t>
      </w:r>
      <w:r w:rsidR="00C078EF">
        <w:t>’</w:t>
      </w:r>
      <w:r>
        <w:t>auteur et ne reflètent pas nécessairement ceux du Secrétariat ou des États membres de l</w:t>
      </w:r>
      <w:r w:rsidR="00C078EF">
        <w:t>’</w:t>
      </w:r>
      <w:r>
        <w:t>OMPI</w:t>
      </w:r>
      <w:r w:rsidRPr="00242347">
        <w:t>.</w:t>
      </w:r>
    </w:p>
  </w:footnote>
  <w:footnote w:id="3">
    <w:p w:rsidR="00D702D3" w:rsidRDefault="00D702D3" w:rsidP="00915021">
      <w:pPr>
        <w:pStyle w:val="FootnoteText"/>
        <w:tabs>
          <w:tab w:val="left" w:pos="567"/>
        </w:tabs>
      </w:pPr>
      <w:r>
        <w:rPr>
          <w:rStyle w:val="FootnoteReference"/>
        </w:rPr>
        <w:footnoteRef/>
      </w:r>
      <w:r>
        <w:tab/>
      </w:r>
      <w:hyperlink r:id="rId1" w:history="1">
        <w:r w:rsidRPr="001232D1">
          <w:rPr>
            <w:rStyle w:val="Hyperlink"/>
          </w:rPr>
          <w:t>http://www.copyrightinformation.org/</w:t>
        </w:r>
      </w:hyperlink>
      <w:r>
        <w:t>.</w:t>
      </w:r>
    </w:p>
  </w:footnote>
  <w:footnote w:id="4">
    <w:p w:rsidR="00D702D3" w:rsidRDefault="00D702D3" w:rsidP="00DA419F">
      <w:pPr>
        <w:pStyle w:val="FootnoteText"/>
        <w:tabs>
          <w:tab w:val="left" w:pos="567"/>
        </w:tabs>
      </w:pPr>
      <w:r>
        <w:rPr>
          <w:rStyle w:val="FootnoteReference"/>
        </w:rPr>
        <w:footnoteRef/>
      </w:r>
      <w:r>
        <w:t xml:space="preserve"> </w:t>
      </w:r>
      <w:r>
        <w:tab/>
        <w:t>Un résumé de</w:t>
      </w:r>
      <w:r w:rsidR="00C078EF">
        <w:t xml:space="preserve"> la DMC</w:t>
      </w:r>
      <w:r>
        <w:t>A peut être consulté à l</w:t>
      </w:r>
      <w:r w:rsidR="00C078EF">
        <w:t>’</w:t>
      </w:r>
      <w:r>
        <w:t xml:space="preserve">adresse </w:t>
      </w:r>
      <w:hyperlink r:id="rId2" w:history="1">
        <w:r w:rsidRPr="001232D1">
          <w:rPr>
            <w:rStyle w:val="Hyperlink"/>
          </w:rPr>
          <w:t>h</w:t>
        </w:r>
        <w:r w:rsidRPr="001232D1">
          <w:rPr>
            <w:rStyle w:val="Hyperlink"/>
          </w:rPr>
          <w:t>t</w:t>
        </w:r>
        <w:r w:rsidRPr="001232D1">
          <w:rPr>
            <w:rStyle w:val="Hyperlink"/>
          </w:rPr>
          <w:t>tp://www.copyright.gov/legislation/dmca.pdf</w:t>
        </w:r>
      </w:hyperlink>
      <w:r w:rsidRPr="000D7641">
        <w:t xml:space="preserve"> </w:t>
      </w:r>
      <w:r>
        <w:t>et le texte intégral de ses dispositions à l</w:t>
      </w:r>
      <w:r w:rsidR="00C078EF">
        <w:t>’</w:t>
      </w:r>
      <w:r>
        <w:t xml:space="preserve">adresse </w:t>
      </w:r>
      <w:hyperlink r:id="rId3" w:history="1">
        <w:r w:rsidRPr="001232D1">
          <w:rPr>
            <w:rStyle w:val="Hyperlink"/>
          </w:rPr>
          <w:t>http://www.cop</w:t>
        </w:r>
        <w:r w:rsidRPr="001232D1">
          <w:rPr>
            <w:rStyle w:val="Hyperlink"/>
          </w:rPr>
          <w:t>y</w:t>
        </w:r>
        <w:r w:rsidRPr="001232D1">
          <w:rPr>
            <w:rStyle w:val="Hyperlink"/>
          </w:rPr>
          <w:t>right.gov/title17/92appb.pdf</w:t>
        </w:r>
      </w:hyperlink>
      <w:r>
        <w:t xml:space="preserve">. </w:t>
      </w:r>
      <w:r w:rsidR="00587104">
        <w:t xml:space="preserve"> </w:t>
      </w:r>
    </w:p>
  </w:footnote>
  <w:footnote w:id="5">
    <w:p w:rsidR="00D702D3" w:rsidRDefault="00D702D3" w:rsidP="00DA419F">
      <w:pPr>
        <w:pStyle w:val="FootnoteText"/>
        <w:tabs>
          <w:tab w:val="left" w:pos="567"/>
        </w:tabs>
      </w:pPr>
      <w:r>
        <w:rPr>
          <w:rStyle w:val="FootnoteReference"/>
        </w:rPr>
        <w:footnoteRef/>
      </w:r>
      <w:r>
        <w:t xml:space="preserve"> </w:t>
      </w:r>
      <w:r>
        <w:tab/>
        <w:t xml:space="preserve">Voir </w:t>
      </w:r>
      <w:hyperlink r:id="rId4" w:history="1">
        <w:r w:rsidRPr="001232D1">
          <w:rPr>
            <w:rStyle w:val="Hyperlink"/>
          </w:rPr>
          <w:t>htt</w:t>
        </w:r>
        <w:r w:rsidRPr="001232D1">
          <w:rPr>
            <w:rStyle w:val="Hyperlink"/>
          </w:rPr>
          <w:t>p</w:t>
        </w:r>
        <w:r w:rsidRPr="001232D1">
          <w:rPr>
            <w:rStyle w:val="Hyperlink"/>
          </w:rPr>
          <w:t>://www.copyright.gov/title17/92appa.pdf</w:t>
        </w:r>
      </w:hyperlink>
      <w:r>
        <w:t>.</w:t>
      </w:r>
    </w:p>
  </w:footnote>
  <w:footnote w:id="6">
    <w:p w:rsidR="00D702D3" w:rsidRDefault="00D702D3" w:rsidP="00943DD2">
      <w:pPr>
        <w:pStyle w:val="FootnoteText"/>
        <w:tabs>
          <w:tab w:val="left" w:pos="567"/>
        </w:tabs>
      </w:pPr>
      <w:r>
        <w:rPr>
          <w:rStyle w:val="FootnoteReference"/>
        </w:rPr>
        <w:footnoteRef/>
      </w:r>
      <w:r>
        <w:t xml:space="preserve"> </w:t>
      </w:r>
      <w:r>
        <w:tab/>
        <w:t xml:space="preserve">Par </w:t>
      </w:r>
      <w:r w:rsidR="00587104">
        <w:t>“</w:t>
      </w:r>
      <w:r>
        <w:t>mesures techniques standard</w:t>
      </w:r>
      <w:r w:rsidR="00587104">
        <w:t>”</w:t>
      </w:r>
      <w:r>
        <w:t>, on entend des mesures</w:t>
      </w:r>
      <w:r w:rsidR="00662C2F">
        <w:t xml:space="preserve"> qui sont</w:t>
      </w:r>
      <w:r>
        <w:t xml:space="preserve"> prises par les titulaires de droits </w:t>
      </w:r>
      <w:r w:rsidR="004F6C2C">
        <w:t xml:space="preserve">d’auteur </w:t>
      </w:r>
      <w:r>
        <w:t>pour identifier ou protéger des œuvres par le droit d</w:t>
      </w:r>
      <w:r w:rsidR="00C078EF">
        <w:t>’</w:t>
      </w:r>
      <w:r>
        <w:t xml:space="preserve">auteur, </w:t>
      </w:r>
      <w:r w:rsidR="004F6C2C">
        <w:t xml:space="preserve">qui </w:t>
      </w:r>
      <w:r w:rsidR="00662C2F">
        <w:t>ont</w:t>
      </w:r>
      <w:r>
        <w:t xml:space="preserve"> fait l</w:t>
      </w:r>
      <w:r w:rsidR="00C078EF">
        <w:t>’</w:t>
      </w:r>
      <w:r>
        <w:t>objet d</w:t>
      </w:r>
      <w:r w:rsidR="00C078EF">
        <w:t>’</w:t>
      </w:r>
      <w:r>
        <w:t xml:space="preserve">un large consensus des titulaires de droits et des fournisseurs de services, selon une procédure plurisectorielle, ouverte, équitable et volontaire, </w:t>
      </w:r>
      <w:r w:rsidR="004F6C2C">
        <w:t xml:space="preserve">qui </w:t>
      </w:r>
      <w:r w:rsidR="00662C2F">
        <w:t xml:space="preserve">sont </w:t>
      </w:r>
      <w:r>
        <w:t>mises à la disposition de tous dans des conditions raisonnables et non discriminatoires, et qui n</w:t>
      </w:r>
      <w:r w:rsidR="00C078EF">
        <w:t>’</w:t>
      </w:r>
      <w:r>
        <w:t>imposent pas de frais ou de charges substantielles aux fournisseurs de services</w:t>
      </w:r>
      <w:r w:rsidR="00587104">
        <w:t>”</w:t>
      </w:r>
      <w:r>
        <w:t>.</w:t>
      </w:r>
    </w:p>
  </w:footnote>
  <w:footnote w:id="7">
    <w:p w:rsidR="00D702D3" w:rsidRDefault="00D702D3" w:rsidP="00006D47">
      <w:pPr>
        <w:pStyle w:val="FootnoteText"/>
        <w:tabs>
          <w:tab w:val="left" w:pos="567"/>
        </w:tabs>
      </w:pPr>
      <w:r>
        <w:rPr>
          <w:rStyle w:val="FootnoteReference"/>
        </w:rPr>
        <w:footnoteRef/>
      </w:r>
      <w:r>
        <w:t xml:space="preserve"> </w:t>
      </w:r>
      <w:r>
        <w:tab/>
      </w:r>
      <w:hyperlink r:id="rId5" w:history="1">
        <w:r w:rsidRPr="001232D1">
          <w:rPr>
            <w:rStyle w:val="Hyperlink"/>
          </w:rPr>
          <w:t>http://www.copyrightinform</w:t>
        </w:r>
        <w:r w:rsidRPr="001232D1">
          <w:rPr>
            <w:rStyle w:val="Hyperlink"/>
          </w:rPr>
          <w:t>a</w:t>
        </w:r>
        <w:r w:rsidRPr="001232D1">
          <w:rPr>
            <w:rStyle w:val="Hyperlink"/>
          </w:rPr>
          <w:t>tion.org/the</w:t>
        </w:r>
        <w:r w:rsidR="00C078EF" w:rsidRPr="001232D1">
          <w:rPr>
            <w:rStyle w:val="Hyperlink"/>
          </w:rPr>
          <w:t>-</w:t>
        </w:r>
        <w:r w:rsidRPr="001232D1">
          <w:rPr>
            <w:rStyle w:val="Hyperlink"/>
          </w:rPr>
          <w:t>copyright</w:t>
        </w:r>
        <w:r w:rsidR="00C078EF" w:rsidRPr="001232D1">
          <w:rPr>
            <w:rStyle w:val="Hyperlink"/>
          </w:rPr>
          <w:t>-</w:t>
        </w:r>
        <w:r w:rsidRPr="001232D1">
          <w:rPr>
            <w:rStyle w:val="Hyperlink"/>
          </w:rPr>
          <w:t>alert</w:t>
        </w:r>
        <w:r w:rsidR="00C078EF" w:rsidRPr="001232D1">
          <w:rPr>
            <w:rStyle w:val="Hyperlink"/>
          </w:rPr>
          <w:t>-</w:t>
        </w:r>
        <w:r w:rsidRPr="001232D1">
          <w:rPr>
            <w:rStyle w:val="Hyperlink"/>
          </w:rPr>
          <w:t>system/what</w:t>
        </w:r>
        <w:r w:rsidR="00C078EF" w:rsidRPr="001232D1">
          <w:rPr>
            <w:rStyle w:val="Hyperlink"/>
          </w:rPr>
          <w:t>-</w:t>
        </w:r>
        <w:r w:rsidRPr="001232D1">
          <w:rPr>
            <w:rStyle w:val="Hyperlink"/>
          </w:rPr>
          <w:t>do</w:t>
        </w:r>
        <w:r w:rsidR="00C078EF" w:rsidRPr="001232D1">
          <w:rPr>
            <w:rStyle w:val="Hyperlink"/>
          </w:rPr>
          <w:t>-</w:t>
        </w:r>
        <w:r w:rsidRPr="001232D1">
          <w:rPr>
            <w:rStyle w:val="Hyperlink"/>
          </w:rPr>
          <w:t>i</w:t>
        </w:r>
        <w:r w:rsidR="00C078EF" w:rsidRPr="001232D1">
          <w:rPr>
            <w:rStyle w:val="Hyperlink"/>
          </w:rPr>
          <w:t>-</w:t>
        </w:r>
        <w:r w:rsidRPr="001232D1">
          <w:rPr>
            <w:rStyle w:val="Hyperlink"/>
          </w:rPr>
          <w:t>do</w:t>
        </w:r>
        <w:r w:rsidR="00C078EF" w:rsidRPr="001232D1">
          <w:rPr>
            <w:rStyle w:val="Hyperlink"/>
          </w:rPr>
          <w:t>-</w:t>
        </w:r>
        <w:r w:rsidRPr="001232D1">
          <w:rPr>
            <w:rStyle w:val="Hyperlink"/>
          </w:rPr>
          <w:t>if</w:t>
        </w:r>
        <w:r w:rsidR="00C078EF" w:rsidRPr="001232D1">
          <w:rPr>
            <w:rStyle w:val="Hyperlink"/>
          </w:rPr>
          <w:t>-</w:t>
        </w:r>
        <w:r w:rsidRPr="001232D1">
          <w:rPr>
            <w:rStyle w:val="Hyperlink"/>
          </w:rPr>
          <w:t>i</w:t>
        </w:r>
        <w:r w:rsidR="00C078EF" w:rsidRPr="001232D1">
          <w:rPr>
            <w:rStyle w:val="Hyperlink"/>
          </w:rPr>
          <w:t>-</w:t>
        </w:r>
        <w:r w:rsidRPr="001232D1">
          <w:rPr>
            <w:rStyle w:val="Hyperlink"/>
          </w:rPr>
          <w:t>think</w:t>
        </w:r>
        <w:r w:rsidR="00C078EF" w:rsidRPr="001232D1">
          <w:rPr>
            <w:rStyle w:val="Hyperlink"/>
          </w:rPr>
          <w:t>-</w:t>
        </w:r>
        <w:r w:rsidRPr="001232D1">
          <w:rPr>
            <w:rStyle w:val="Hyperlink"/>
          </w:rPr>
          <w:t>the</w:t>
        </w:r>
        <w:r w:rsidR="00C078EF" w:rsidRPr="001232D1">
          <w:rPr>
            <w:rStyle w:val="Hyperlink"/>
          </w:rPr>
          <w:t>-</w:t>
        </w:r>
        <w:r w:rsidRPr="001232D1">
          <w:rPr>
            <w:rStyle w:val="Hyperlink"/>
          </w:rPr>
          <w:t>alert</w:t>
        </w:r>
        <w:r w:rsidR="00C078EF" w:rsidRPr="001232D1">
          <w:rPr>
            <w:rStyle w:val="Hyperlink"/>
          </w:rPr>
          <w:t>-</w:t>
        </w:r>
        <w:r w:rsidRPr="001232D1">
          <w:rPr>
            <w:rStyle w:val="Hyperlink"/>
          </w:rPr>
          <w:t>was</w:t>
        </w:r>
        <w:r w:rsidR="00C078EF" w:rsidRPr="001232D1">
          <w:rPr>
            <w:rStyle w:val="Hyperlink"/>
          </w:rPr>
          <w:t>-</w:t>
        </w:r>
        <w:r w:rsidRPr="001232D1">
          <w:rPr>
            <w:rStyle w:val="Hyperlink"/>
          </w:rPr>
          <w:t>wrongly</w:t>
        </w:r>
        <w:r w:rsidR="00C078EF" w:rsidRPr="001232D1">
          <w:rPr>
            <w:rStyle w:val="Hyperlink"/>
          </w:rPr>
          <w:t>-</w:t>
        </w:r>
        <w:r w:rsidRPr="001232D1">
          <w:rPr>
            <w:rStyle w:val="Hyperlink"/>
          </w:rPr>
          <w:t>sent/</w:t>
        </w:r>
      </w:hyperlink>
      <w:r>
        <w:t>.</w:t>
      </w:r>
    </w:p>
  </w:footnote>
  <w:footnote w:id="8">
    <w:p w:rsidR="00D702D3" w:rsidRDefault="00D702D3" w:rsidP="00B840D5">
      <w:pPr>
        <w:pStyle w:val="FootnoteText"/>
        <w:tabs>
          <w:tab w:val="left" w:pos="567"/>
        </w:tabs>
      </w:pPr>
      <w:r>
        <w:rPr>
          <w:rStyle w:val="FootnoteReference"/>
        </w:rPr>
        <w:footnoteRef/>
      </w:r>
      <w:r>
        <w:t xml:space="preserve"> </w:t>
      </w:r>
      <w:r w:rsidR="00E31019">
        <w:tab/>
      </w:r>
      <w:r w:rsidR="007F6F21" w:rsidRPr="002D1C59">
        <w:object w:dxaOrig="2069" w:dyaOrig="13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3.95pt;height:66.4pt" o:ole="">
            <v:imagedata r:id="rId6" o:title=""/>
          </v:shape>
          <o:OLEObject Type="Embed" ProgID="AcroExch.Document.7" ShapeID="_x0000_i1026" DrawAspect="Icon" ObjectID="_1454930588" r:id="rId7"/>
        </w:object>
      </w:r>
      <w:r>
        <w:t xml:space="preserve"> </w:t>
      </w:r>
    </w:p>
  </w:footnote>
  <w:footnote w:id="9">
    <w:p w:rsidR="00D702D3" w:rsidRDefault="00D702D3" w:rsidP="00B840D5">
      <w:pPr>
        <w:pStyle w:val="FootnoteText"/>
        <w:tabs>
          <w:tab w:val="left" w:pos="567"/>
        </w:tabs>
      </w:pPr>
      <w:r>
        <w:rPr>
          <w:rStyle w:val="FootnoteReference"/>
        </w:rPr>
        <w:footnoteRef/>
      </w:r>
      <w:r>
        <w:t xml:space="preserve"> </w:t>
      </w:r>
      <w:r w:rsidR="00E31019">
        <w:tab/>
      </w:r>
      <w:hyperlink r:id="rId8" w:history="1">
        <w:r w:rsidRPr="009A0053">
          <w:rPr>
            <w:rStyle w:val="Hyperlink"/>
          </w:rPr>
          <w:t>http://www.wired.co.uk/news/archive/2013</w:t>
        </w:r>
        <w:r w:rsidR="00C078EF" w:rsidRPr="009A0053">
          <w:rPr>
            <w:rStyle w:val="Hyperlink"/>
          </w:rPr>
          <w:t>-</w:t>
        </w:r>
        <w:r w:rsidRPr="009A0053">
          <w:rPr>
            <w:rStyle w:val="Hyperlink"/>
          </w:rPr>
          <w:t>12/12/pipcu</w:t>
        </w:r>
      </w:hyperlink>
      <w:r w:rsidRPr="00E31019">
        <w:t xml:space="preserve">; </w:t>
      </w:r>
      <w:r w:rsidR="00587104" w:rsidRPr="00E31019">
        <w:t xml:space="preserve"> </w:t>
      </w:r>
      <w:hyperlink r:id="rId9" w:history="1">
        <w:r w:rsidRPr="009A0053">
          <w:rPr>
            <w:rStyle w:val="Hyperlink"/>
          </w:rPr>
          <w:t>http://musically.com/2013/12/10/city</w:t>
        </w:r>
        <w:r w:rsidR="00C078EF" w:rsidRPr="009A0053">
          <w:rPr>
            <w:rStyle w:val="Hyperlink"/>
          </w:rPr>
          <w:t>-</w:t>
        </w:r>
        <w:r w:rsidRPr="009A0053">
          <w:rPr>
            <w:rStyle w:val="Hyperlink"/>
          </w:rPr>
          <w:t>of</w:t>
        </w:r>
        <w:r w:rsidR="00C078EF" w:rsidRPr="009A0053">
          <w:rPr>
            <w:rStyle w:val="Hyperlink"/>
          </w:rPr>
          <w:t>-</w:t>
        </w:r>
        <w:r w:rsidRPr="009A0053">
          <w:rPr>
            <w:rStyle w:val="Hyperlink"/>
          </w:rPr>
          <w:t>london</w:t>
        </w:r>
        <w:r w:rsidR="00C078EF" w:rsidRPr="009A0053">
          <w:rPr>
            <w:rStyle w:val="Hyperlink"/>
          </w:rPr>
          <w:t>-</w:t>
        </w:r>
        <w:r w:rsidRPr="009A0053">
          <w:rPr>
            <w:rStyle w:val="Hyperlink"/>
          </w:rPr>
          <w:t>polices</w:t>
        </w:r>
        <w:r w:rsidR="00C078EF" w:rsidRPr="009A0053">
          <w:rPr>
            <w:rStyle w:val="Hyperlink"/>
          </w:rPr>
          <w:t>-</w:t>
        </w:r>
        <w:r w:rsidRPr="009A0053">
          <w:rPr>
            <w:rStyle w:val="Hyperlink"/>
          </w:rPr>
          <w:t>operation</w:t>
        </w:r>
        <w:r w:rsidR="00C078EF" w:rsidRPr="009A0053">
          <w:rPr>
            <w:rStyle w:val="Hyperlink"/>
          </w:rPr>
          <w:t>-</w:t>
        </w:r>
        <w:r w:rsidRPr="009A0053">
          <w:rPr>
            <w:rStyle w:val="Hyperlink"/>
          </w:rPr>
          <w:t>creative</w:t>
        </w:r>
        <w:r w:rsidR="00C078EF" w:rsidRPr="009A0053">
          <w:rPr>
            <w:rStyle w:val="Hyperlink"/>
          </w:rPr>
          <w:t>-</w:t>
        </w:r>
        <w:r w:rsidRPr="009A0053">
          <w:rPr>
            <w:rStyle w:val="Hyperlink"/>
          </w:rPr>
          <w:t>targets</w:t>
        </w:r>
        <w:r w:rsidR="00C078EF" w:rsidRPr="009A0053">
          <w:rPr>
            <w:rStyle w:val="Hyperlink"/>
          </w:rPr>
          <w:t>-</w:t>
        </w:r>
        <w:r w:rsidRPr="009A0053">
          <w:rPr>
            <w:rStyle w:val="Hyperlink"/>
          </w:rPr>
          <w:t>ad</w:t>
        </w:r>
        <w:r w:rsidR="00C078EF" w:rsidRPr="009A0053">
          <w:rPr>
            <w:rStyle w:val="Hyperlink"/>
          </w:rPr>
          <w:t>-</w:t>
        </w:r>
        <w:r w:rsidRPr="009A0053">
          <w:rPr>
            <w:rStyle w:val="Hyperlink"/>
          </w:rPr>
          <w:t>sponsored</w:t>
        </w:r>
        <w:r w:rsidR="00C078EF" w:rsidRPr="009A0053">
          <w:rPr>
            <w:rStyle w:val="Hyperlink"/>
          </w:rPr>
          <w:t>-</w:t>
        </w:r>
        <w:r w:rsidRPr="009A0053">
          <w:rPr>
            <w:rStyle w:val="Hyperlink"/>
          </w:rPr>
          <w:t>piracy/</w:t>
        </w:r>
      </w:hyperlink>
      <w:r w:rsidRPr="00E31019">
        <w:rPr>
          <w:rStyle w:val="Hyperlink"/>
          <w:color w:val="auto"/>
          <w:u w:val="none"/>
        </w:rPr>
        <w:t>.</w:t>
      </w:r>
    </w:p>
  </w:footnote>
  <w:footnote w:id="10">
    <w:p w:rsidR="00D702D3" w:rsidRDefault="00D702D3" w:rsidP="00D702D3">
      <w:pPr>
        <w:pStyle w:val="FootnoteText"/>
        <w:tabs>
          <w:tab w:val="left" w:pos="567"/>
        </w:tabs>
      </w:pPr>
      <w:r>
        <w:rPr>
          <w:rStyle w:val="FootnoteReference"/>
        </w:rPr>
        <w:footnoteRef/>
      </w:r>
      <w:r>
        <w:t xml:space="preserve"> </w:t>
      </w:r>
      <w:r>
        <w:tab/>
      </w:r>
      <w:hyperlink r:id="rId10" w:history="1">
        <w:r w:rsidRPr="009822B9">
          <w:rPr>
            <w:rStyle w:val="Hyperlink"/>
          </w:rPr>
          <w:t>http://www.iabuk.net/about/press/archive/dtsg</w:t>
        </w:r>
        <w:r w:rsidR="00C078EF" w:rsidRPr="009822B9">
          <w:rPr>
            <w:rStyle w:val="Hyperlink"/>
          </w:rPr>
          <w:t>-</w:t>
        </w:r>
        <w:r w:rsidRPr="009822B9">
          <w:rPr>
            <w:rStyle w:val="Hyperlink"/>
          </w:rPr>
          <w:t>launches</w:t>
        </w:r>
        <w:r w:rsidR="00C078EF" w:rsidRPr="009822B9">
          <w:rPr>
            <w:rStyle w:val="Hyperlink"/>
          </w:rPr>
          <w:t>-</w:t>
        </w:r>
        <w:r w:rsidRPr="009822B9">
          <w:rPr>
            <w:rStyle w:val="Hyperlink"/>
          </w:rPr>
          <w:t>uk</w:t>
        </w:r>
        <w:r w:rsidR="00C078EF" w:rsidRPr="009822B9">
          <w:rPr>
            <w:rStyle w:val="Hyperlink"/>
          </w:rPr>
          <w:t>-</w:t>
        </w:r>
        <w:r w:rsidRPr="009822B9">
          <w:rPr>
            <w:rStyle w:val="Hyperlink"/>
          </w:rPr>
          <w:t>good</w:t>
        </w:r>
        <w:r w:rsidR="00C078EF" w:rsidRPr="009822B9">
          <w:rPr>
            <w:rStyle w:val="Hyperlink"/>
          </w:rPr>
          <w:t>-</w:t>
        </w:r>
        <w:r w:rsidRPr="009822B9">
          <w:rPr>
            <w:rStyle w:val="Hyperlink"/>
          </w:rPr>
          <w:t>practice</w:t>
        </w:r>
        <w:r w:rsidR="00C078EF" w:rsidRPr="009822B9">
          <w:rPr>
            <w:rStyle w:val="Hyperlink"/>
          </w:rPr>
          <w:t>-</w:t>
        </w:r>
        <w:r w:rsidRPr="009822B9">
          <w:rPr>
            <w:rStyle w:val="Hyperlink"/>
          </w:rPr>
          <w:t>principles</w:t>
        </w:r>
      </w:hyperlink>
      <w:r w:rsidR="004A59D7" w:rsidRPr="007E0775">
        <w:t>.</w:t>
      </w:r>
    </w:p>
  </w:footnote>
  <w:footnote w:id="11">
    <w:p w:rsidR="00A00D83" w:rsidRDefault="00A00D83" w:rsidP="00A00D83">
      <w:pPr>
        <w:pStyle w:val="FootnoteText"/>
        <w:tabs>
          <w:tab w:val="left" w:pos="567"/>
        </w:tabs>
      </w:pPr>
      <w:r>
        <w:rPr>
          <w:rStyle w:val="FootnoteReference"/>
        </w:rPr>
        <w:footnoteRef/>
      </w:r>
      <w:r>
        <w:tab/>
      </w:r>
      <w:hyperlink r:id="rId11" w:anchor="%40%3F_afrWindowId%3Dnull%26_afrLoop%3D4293589810282127%26_afrWindowMode%3D0%26_adf.ctrl-state%3Dosbni6jii_39" w:history="1">
        <w:r w:rsidRPr="00364D0C">
          <w:rPr>
            <w:rStyle w:val="Hyperlink"/>
          </w:rPr>
          <w:t>https://www.adr.org/aaa/faces/s/about?_afrLoop=621069334666245&amp;_afrWindowMode=0&amp;_afrWindowId=1aadgpu9fg_1#%40%3F_afrWindowId%3D1aadgpu9fg_1%26_afrLoop%3D621069334666245%26_afrWindowMode%3D0%26_adf.ctrl</w:t>
        </w:r>
        <w:r w:rsidR="00C078EF" w:rsidRPr="00364D0C">
          <w:rPr>
            <w:rStyle w:val="Hyperlink"/>
          </w:rPr>
          <w:t>-</w:t>
        </w:r>
        <w:r w:rsidRPr="00364D0C">
          <w:rPr>
            <w:rStyle w:val="Hyperlink"/>
          </w:rPr>
          <w:t>state%3D1aadgpu9fg_51</w:t>
        </w:r>
      </w:hyperlink>
      <w:r w:rsidRPr="00B3763C">
        <w:t>.</w:t>
      </w:r>
    </w:p>
  </w:footnote>
  <w:footnote w:id="12">
    <w:p w:rsidR="007043BA" w:rsidRDefault="007043BA" w:rsidP="00B35BAA">
      <w:pPr>
        <w:pStyle w:val="FootnoteText"/>
        <w:tabs>
          <w:tab w:val="left" w:pos="567"/>
        </w:tabs>
      </w:pPr>
      <w:r>
        <w:rPr>
          <w:rStyle w:val="FootnoteReference"/>
        </w:rPr>
        <w:footnoteRef/>
      </w:r>
      <w:r>
        <w:t xml:space="preserve"> </w:t>
      </w:r>
      <w:r>
        <w:tab/>
      </w:r>
      <w:r w:rsidR="00B35BAA">
        <w:t>Parmi ces mesures d</w:t>
      </w:r>
      <w:r w:rsidR="00C078EF">
        <w:t>’</w:t>
      </w:r>
      <w:r w:rsidR="00B35BAA">
        <w:t>atténuation figurent notamment l</w:t>
      </w:r>
      <w:r w:rsidR="00C078EF">
        <w:t>’</w:t>
      </w:r>
      <w:r w:rsidR="00B35BAA">
        <w:t>exigence de revoir le matériel pédagogique sur les pages de destination et la réduction de la vitesse de transmission.</w:t>
      </w:r>
    </w:p>
  </w:footnote>
  <w:footnote w:id="13">
    <w:p w:rsidR="007043BA" w:rsidRDefault="007043BA" w:rsidP="007043BA">
      <w:pPr>
        <w:pStyle w:val="FootnoteText"/>
        <w:tabs>
          <w:tab w:val="left" w:pos="567"/>
        </w:tabs>
      </w:pPr>
      <w:r>
        <w:rPr>
          <w:rStyle w:val="FootnoteReference"/>
        </w:rPr>
        <w:footnoteRef/>
      </w:r>
      <w:r>
        <w:t xml:space="preserve"> </w:t>
      </w:r>
      <w:r>
        <w:tab/>
      </w:r>
      <w:hyperlink r:id="rId12" w:history="1">
        <w:r w:rsidRPr="003F2AA5">
          <w:rPr>
            <w:rStyle w:val="Hyperlink"/>
          </w:rPr>
          <w:t>http://www.copyrightinformation.org/a</w:t>
        </w:r>
        <w:r w:rsidR="00C078EF" w:rsidRPr="003F2AA5">
          <w:rPr>
            <w:rStyle w:val="Hyperlink"/>
          </w:rPr>
          <w:t>-</w:t>
        </w:r>
        <w:r w:rsidRPr="003F2AA5">
          <w:rPr>
            <w:rStyle w:val="Hyperlink"/>
          </w:rPr>
          <w:t>better</w:t>
        </w:r>
        <w:r w:rsidR="00C078EF" w:rsidRPr="003F2AA5">
          <w:rPr>
            <w:rStyle w:val="Hyperlink"/>
          </w:rPr>
          <w:t>-</w:t>
        </w:r>
        <w:r w:rsidRPr="003F2AA5">
          <w:rPr>
            <w:rStyle w:val="Hyperlink"/>
          </w:rPr>
          <w:t>way</w:t>
        </w:r>
        <w:r w:rsidR="00C078EF" w:rsidRPr="003F2AA5">
          <w:rPr>
            <w:rStyle w:val="Hyperlink"/>
          </w:rPr>
          <w:t>-</w:t>
        </w:r>
        <w:r w:rsidRPr="003F2AA5">
          <w:rPr>
            <w:rStyle w:val="Hyperlink"/>
          </w:rPr>
          <w:t>to</w:t>
        </w:r>
        <w:r w:rsidR="00C078EF" w:rsidRPr="003F2AA5">
          <w:rPr>
            <w:rStyle w:val="Hyperlink"/>
          </w:rPr>
          <w:t>-</w:t>
        </w:r>
        <w:r w:rsidRPr="003F2AA5">
          <w:rPr>
            <w:rStyle w:val="Hyperlink"/>
          </w:rPr>
          <w:t>f</w:t>
        </w:r>
        <w:r w:rsidRPr="003F2AA5">
          <w:rPr>
            <w:rStyle w:val="Hyperlink"/>
          </w:rPr>
          <w:t>i</w:t>
        </w:r>
        <w:r w:rsidRPr="003F2AA5">
          <w:rPr>
            <w:rStyle w:val="Hyperlink"/>
          </w:rPr>
          <w:t>nd</w:t>
        </w:r>
        <w:r w:rsidR="00C078EF" w:rsidRPr="003F2AA5">
          <w:rPr>
            <w:rStyle w:val="Hyperlink"/>
          </w:rPr>
          <w:t>-</w:t>
        </w:r>
        <w:r w:rsidRPr="003F2AA5">
          <w:rPr>
            <w:rStyle w:val="Hyperlink"/>
          </w:rPr>
          <w:t>movies</w:t>
        </w:r>
        <w:r w:rsidR="00C078EF" w:rsidRPr="003F2AA5">
          <w:rPr>
            <w:rStyle w:val="Hyperlink"/>
          </w:rPr>
          <w:t>-</w:t>
        </w:r>
        <w:r w:rsidRPr="003F2AA5">
          <w:rPr>
            <w:rStyle w:val="Hyperlink"/>
          </w:rPr>
          <w:t>tv</w:t>
        </w:r>
        <w:r w:rsidR="00C078EF" w:rsidRPr="003F2AA5">
          <w:rPr>
            <w:rStyle w:val="Hyperlink"/>
          </w:rPr>
          <w:t>-</w:t>
        </w:r>
        <w:r w:rsidRPr="003F2AA5">
          <w:rPr>
            <w:rStyle w:val="Hyperlink"/>
          </w:rPr>
          <w:t>music/.</w:t>
        </w:r>
      </w:hyperlink>
    </w:p>
  </w:footnote>
  <w:footnote w:id="14">
    <w:p w:rsidR="007043BA" w:rsidRDefault="007043BA" w:rsidP="007043BA">
      <w:pPr>
        <w:pStyle w:val="FootnoteText"/>
        <w:tabs>
          <w:tab w:val="left" w:pos="567"/>
        </w:tabs>
      </w:pPr>
      <w:r>
        <w:rPr>
          <w:rStyle w:val="FootnoteReference"/>
        </w:rPr>
        <w:footnoteRef/>
      </w:r>
      <w:r>
        <w:tab/>
        <w:t>Voir par exemple</w:t>
      </w:r>
      <w:r w:rsidR="00587104">
        <w:t> </w:t>
      </w:r>
      <w:r>
        <w:t xml:space="preserve">: </w:t>
      </w:r>
      <w:hyperlink r:id="rId13" w:history="1">
        <w:r w:rsidRPr="003F2AA5">
          <w:rPr>
            <w:rStyle w:val="Hyperlink"/>
          </w:rPr>
          <w:t>http://riaa.</w:t>
        </w:r>
        <w:r w:rsidRPr="003F2AA5">
          <w:rPr>
            <w:rStyle w:val="Hyperlink"/>
          </w:rPr>
          <w:t>c</w:t>
        </w:r>
        <w:r w:rsidRPr="003F2AA5">
          <w:rPr>
            <w:rStyle w:val="Hyperlink"/>
          </w:rPr>
          <w:t>om/toolsforparents.php?content_selector=legal</w:t>
        </w:r>
        <w:r w:rsidR="00C078EF" w:rsidRPr="003F2AA5">
          <w:rPr>
            <w:rStyle w:val="Hyperlink"/>
          </w:rPr>
          <w:t>-</w:t>
        </w:r>
        <w:r w:rsidRPr="003F2AA5">
          <w:rPr>
            <w:rStyle w:val="Hyperlink"/>
          </w:rPr>
          <w:t>music</w:t>
        </w:r>
        <w:r w:rsidR="00C078EF" w:rsidRPr="003F2AA5">
          <w:rPr>
            <w:rStyle w:val="Hyperlink"/>
          </w:rPr>
          <w:t>-</w:t>
        </w:r>
        <w:r w:rsidRPr="003F2AA5">
          <w:rPr>
            <w:rStyle w:val="Hyperlink"/>
          </w:rPr>
          <w:t>services</w:t>
        </w:r>
      </w:hyperlink>
      <w:r w:rsidRPr="00DB49D6">
        <w:t xml:space="preserve">; </w:t>
      </w:r>
      <w:r w:rsidR="00587104" w:rsidRPr="00DB49D6">
        <w:t xml:space="preserve"> </w:t>
      </w:r>
      <w:hyperlink r:id="rId14" w:history="1">
        <w:r w:rsidRPr="003F2AA5">
          <w:rPr>
            <w:rStyle w:val="Hyperlink"/>
          </w:rPr>
          <w:t>http://www.wheretowatch</w:t>
        </w:r>
        <w:r w:rsidRPr="003F2AA5">
          <w:rPr>
            <w:rStyle w:val="Hyperlink"/>
          </w:rPr>
          <w:t>.</w:t>
        </w:r>
        <w:r w:rsidRPr="003F2AA5">
          <w:rPr>
            <w:rStyle w:val="Hyperlink"/>
          </w:rPr>
          <w:t>org/</w:t>
        </w:r>
        <w:r w:rsidRPr="003F2AA5">
          <w:rPr>
            <w:rStyle w:val="Hyperlink"/>
            <w:rFonts w:cs="Arial"/>
          </w:rPr>
          <w:t>.</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2D3" w:rsidRDefault="00D702D3" w:rsidP="00D702D3">
    <w:pPr>
      <w:jc w:val="right"/>
    </w:pPr>
    <w:bookmarkStart w:id="6" w:name="Code2"/>
    <w:bookmarkEnd w:id="6"/>
    <w:r>
      <w:t>WIPO/ACE/9/27</w:t>
    </w:r>
  </w:p>
  <w:p w:rsidR="00D702D3" w:rsidRDefault="00D702D3" w:rsidP="00D702D3">
    <w:pPr>
      <w:jc w:val="right"/>
    </w:pPr>
    <w:proofErr w:type="gramStart"/>
    <w:r>
      <w:t>page</w:t>
    </w:r>
    <w:proofErr w:type="gramEnd"/>
    <w:r>
      <w:t xml:space="preserve"> </w:t>
    </w:r>
    <w:r w:rsidR="00191ADA">
      <w:fldChar w:fldCharType="begin"/>
    </w:r>
    <w:r w:rsidR="00191ADA">
      <w:instrText xml:space="preserve"> PAGE  \* MERGEFORMAT </w:instrText>
    </w:r>
    <w:r w:rsidR="00191ADA">
      <w:fldChar w:fldCharType="separate"/>
    </w:r>
    <w:r w:rsidR="00F43102">
      <w:rPr>
        <w:noProof/>
      </w:rPr>
      <w:t>2</w:t>
    </w:r>
    <w:r w:rsidR="00191ADA">
      <w:rPr>
        <w:noProof/>
      </w:rPr>
      <w:fldChar w:fldCharType="end"/>
    </w:r>
  </w:p>
  <w:p w:rsidR="00D702D3" w:rsidRDefault="00D702D3" w:rsidP="00D702D3">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D29E3"/>
    <w:multiLevelType w:val="multilevel"/>
    <w:tmpl w:val="ED72E32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nsid w:val="177B6D3C"/>
    <w:multiLevelType w:val="hybridMultilevel"/>
    <w:tmpl w:val="96328E4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AD061A"/>
    <w:multiLevelType w:val="hybridMultilevel"/>
    <w:tmpl w:val="2B7EF018"/>
    <w:lvl w:ilvl="0" w:tplc="0409000F">
      <w:start w:val="1"/>
      <w:numFmt w:val="decimal"/>
      <w:lvlText w:val="%1."/>
      <w:lvlJc w:val="left"/>
      <w:pPr>
        <w:ind w:left="360" w:hanging="360"/>
      </w:pPr>
    </w:lvl>
    <w:lvl w:ilvl="1" w:tplc="04090017">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FFB19A2"/>
    <w:multiLevelType w:val="multilevel"/>
    <w:tmpl w:val="4C2EFFA2"/>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217828FE"/>
    <w:multiLevelType w:val="hybridMultilevel"/>
    <w:tmpl w:val="B8D69272"/>
    <w:lvl w:ilvl="0" w:tplc="9DFA0F7A">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5">
    <w:nsid w:val="30921288"/>
    <w:multiLevelType w:val="hybridMultilevel"/>
    <w:tmpl w:val="17EC38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EC643AA"/>
    <w:multiLevelType w:val="hybridMultilevel"/>
    <w:tmpl w:val="44947826"/>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24937EB"/>
    <w:multiLevelType w:val="hybridMultilevel"/>
    <w:tmpl w:val="D99E257A"/>
    <w:lvl w:ilvl="0" w:tplc="9DFA0F7A">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
    <w:nsid w:val="7D974C82"/>
    <w:multiLevelType w:val="hybridMultilevel"/>
    <w:tmpl w:val="99C6BEBC"/>
    <w:lvl w:ilvl="0" w:tplc="9DFA0F7A">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8"/>
  </w:num>
  <w:num w:numId="5">
    <w:abstractNumId w:val="7"/>
  </w:num>
  <w:num w:numId="6">
    <w:abstractNumId w:val="1"/>
  </w:num>
  <w:num w:numId="7">
    <w:abstractNumId w:val="6"/>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567"/>
  <w:hyphenationZone w:val="425"/>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FC2"/>
    <w:rsid w:val="00004914"/>
    <w:rsid w:val="00006D47"/>
    <w:rsid w:val="00023782"/>
    <w:rsid w:val="00027E5B"/>
    <w:rsid w:val="000519BE"/>
    <w:rsid w:val="00061EC6"/>
    <w:rsid w:val="000623E4"/>
    <w:rsid w:val="0007369D"/>
    <w:rsid w:val="00074C8D"/>
    <w:rsid w:val="00091892"/>
    <w:rsid w:val="00096C70"/>
    <w:rsid w:val="000A48E2"/>
    <w:rsid w:val="000B367D"/>
    <w:rsid w:val="000B63F4"/>
    <w:rsid w:val="000D7641"/>
    <w:rsid w:val="000F0FB1"/>
    <w:rsid w:val="001232D1"/>
    <w:rsid w:val="001444A8"/>
    <w:rsid w:val="001734CD"/>
    <w:rsid w:val="00191ADA"/>
    <w:rsid w:val="001C08B2"/>
    <w:rsid w:val="001C61F1"/>
    <w:rsid w:val="001E625F"/>
    <w:rsid w:val="001F6249"/>
    <w:rsid w:val="002114CF"/>
    <w:rsid w:val="00212A56"/>
    <w:rsid w:val="002156EA"/>
    <w:rsid w:val="002164AD"/>
    <w:rsid w:val="00223E7A"/>
    <w:rsid w:val="00231EC7"/>
    <w:rsid w:val="0024465E"/>
    <w:rsid w:val="002651E3"/>
    <w:rsid w:val="00281D21"/>
    <w:rsid w:val="002A0E32"/>
    <w:rsid w:val="002C543A"/>
    <w:rsid w:val="002D09EA"/>
    <w:rsid w:val="002D1C59"/>
    <w:rsid w:val="002D3004"/>
    <w:rsid w:val="002E6055"/>
    <w:rsid w:val="002E6E6D"/>
    <w:rsid w:val="002F18CC"/>
    <w:rsid w:val="00306940"/>
    <w:rsid w:val="00314F23"/>
    <w:rsid w:val="00320417"/>
    <w:rsid w:val="003243B4"/>
    <w:rsid w:val="00326056"/>
    <w:rsid w:val="00333619"/>
    <w:rsid w:val="00364D0C"/>
    <w:rsid w:val="00375730"/>
    <w:rsid w:val="00376D6A"/>
    <w:rsid w:val="00383BEE"/>
    <w:rsid w:val="00392CC7"/>
    <w:rsid w:val="003B2D3E"/>
    <w:rsid w:val="003C31C9"/>
    <w:rsid w:val="003F2AA5"/>
    <w:rsid w:val="003F6D3A"/>
    <w:rsid w:val="00410B01"/>
    <w:rsid w:val="00417EBC"/>
    <w:rsid w:val="00444538"/>
    <w:rsid w:val="0046391C"/>
    <w:rsid w:val="00477896"/>
    <w:rsid w:val="00480B7D"/>
    <w:rsid w:val="004A4B47"/>
    <w:rsid w:val="004A59D7"/>
    <w:rsid w:val="004D463C"/>
    <w:rsid w:val="004E0E32"/>
    <w:rsid w:val="004F6C2C"/>
    <w:rsid w:val="005009C8"/>
    <w:rsid w:val="0054205F"/>
    <w:rsid w:val="00543B87"/>
    <w:rsid w:val="00544696"/>
    <w:rsid w:val="00546C8C"/>
    <w:rsid w:val="005500DF"/>
    <w:rsid w:val="00587104"/>
    <w:rsid w:val="005A1F8A"/>
    <w:rsid w:val="005B5648"/>
    <w:rsid w:val="005F6C17"/>
    <w:rsid w:val="00602C60"/>
    <w:rsid w:val="00661DB6"/>
    <w:rsid w:val="00662C2F"/>
    <w:rsid w:val="006659D6"/>
    <w:rsid w:val="00666F0F"/>
    <w:rsid w:val="00672CCE"/>
    <w:rsid w:val="006758CD"/>
    <w:rsid w:val="006941CF"/>
    <w:rsid w:val="006B03E3"/>
    <w:rsid w:val="006C4EF0"/>
    <w:rsid w:val="006C5EDC"/>
    <w:rsid w:val="00702702"/>
    <w:rsid w:val="007043BA"/>
    <w:rsid w:val="00712B06"/>
    <w:rsid w:val="007178D4"/>
    <w:rsid w:val="0073283A"/>
    <w:rsid w:val="007412C0"/>
    <w:rsid w:val="0077439A"/>
    <w:rsid w:val="007A2D46"/>
    <w:rsid w:val="007A4A37"/>
    <w:rsid w:val="007D383C"/>
    <w:rsid w:val="007E0775"/>
    <w:rsid w:val="007E0E33"/>
    <w:rsid w:val="007E4424"/>
    <w:rsid w:val="007F099C"/>
    <w:rsid w:val="007F6F21"/>
    <w:rsid w:val="00820995"/>
    <w:rsid w:val="0083392A"/>
    <w:rsid w:val="0084005D"/>
    <w:rsid w:val="0084671C"/>
    <w:rsid w:val="00847A34"/>
    <w:rsid w:val="00856B30"/>
    <w:rsid w:val="00883522"/>
    <w:rsid w:val="00894BB8"/>
    <w:rsid w:val="008A15BB"/>
    <w:rsid w:val="008A6FE0"/>
    <w:rsid w:val="008B14CB"/>
    <w:rsid w:val="008B3CAB"/>
    <w:rsid w:val="008B7A66"/>
    <w:rsid w:val="008D0305"/>
    <w:rsid w:val="008E6C4E"/>
    <w:rsid w:val="009049D0"/>
    <w:rsid w:val="00915021"/>
    <w:rsid w:val="00920F1A"/>
    <w:rsid w:val="00943DD2"/>
    <w:rsid w:val="00967E6C"/>
    <w:rsid w:val="00972FC1"/>
    <w:rsid w:val="00980896"/>
    <w:rsid w:val="009822B9"/>
    <w:rsid w:val="009A0053"/>
    <w:rsid w:val="009A7AA4"/>
    <w:rsid w:val="00A00D83"/>
    <w:rsid w:val="00A20A86"/>
    <w:rsid w:val="00A23FF1"/>
    <w:rsid w:val="00A26018"/>
    <w:rsid w:val="00A27057"/>
    <w:rsid w:val="00A35EE2"/>
    <w:rsid w:val="00A50E90"/>
    <w:rsid w:val="00A60C18"/>
    <w:rsid w:val="00A7685F"/>
    <w:rsid w:val="00A82C92"/>
    <w:rsid w:val="00A83E74"/>
    <w:rsid w:val="00A915FB"/>
    <w:rsid w:val="00AA006A"/>
    <w:rsid w:val="00AA291A"/>
    <w:rsid w:val="00AD6624"/>
    <w:rsid w:val="00AE687C"/>
    <w:rsid w:val="00B04E54"/>
    <w:rsid w:val="00B35BAA"/>
    <w:rsid w:val="00B3763C"/>
    <w:rsid w:val="00B4745A"/>
    <w:rsid w:val="00B47EA4"/>
    <w:rsid w:val="00B71D58"/>
    <w:rsid w:val="00B840D5"/>
    <w:rsid w:val="00B85102"/>
    <w:rsid w:val="00B85401"/>
    <w:rsid w:val="00BA22C3"/>
    <w:rsid w:val="00BB0589"/>
    <w:rsid w:val="00BC3229"/>
    <w:rsid w:val="00BC7222"/>
    <w:rsid w:val="00BE6921"/>
    <w:rsid w:val="00C078EF"/>
    <w:rsid w:val="00C16277"/>
    <w:rsid w:val="00C166D2"/>
    <w:rsid w:val="00C232A7"/>
    <w:rsid w:val="00C23EC9"/>
    <w:rsid w:val="00C27BE6"/>
    <w:rsid w:val="00C4224C"/>
    <w:rsid w:val="00C43EEB"/>
    <w:rsid w:val="00C61588"/>
    <w:rsid w:val="00C6451A"/>
    <w:rsid w:val="00C77C0B"/>
    <w:rsid w:val="00C8703E"/>
    <w:rsid w:val="00C950EC"/>
    <w:rsid w:val="00CA0CDF"/>
    <w:rsid w:val="00CB7427"/>
    <w:rsid w:val="00CC0C5E"/>
    <w:rsid w:val="00CC428E"/>
    <w:rsid w:val="00CF73BF"/>
    <w:rsid w:val="00D05ACB"/>
    <w:rsid w:val="00D2430A"/>
    <w:rsid w:val="00D421F9"/>
    <w:rsid w:val="00D625BB"/>
    <w:rsid w:val="00D702D3"/>
    <w:rsid w:val="00D90B37"/>
    <w:rsid w:val="00D90B6A"/>
    <w:rsid w:val="00D92CCC"/>
    <w:rsid w:val="00DA419F"/>
    <w:rsid w:val="00DA795D"/>
    <w:rsid w:val="00DB49D6"/>
    <w:rsid w:val="00DD4DD5"/>
    <w:rsid w:val="00DE551E"/>
    <w:rsid w:val="00DF0E03"/>
    <w:rsid w:val="00E01395"/>
    <w:rsid w:val="00E145DD"/>
    <w:rsid w:val="00E23DF9"/>
    <w:rsid w:val="00E262DB"/>
    <w:rsid w:val="00E31019"/>
    <w:rsid w:val="00E51C11"/>
    <w:rsid w:val="00E55C6F"/>
    <w:rsid w:val="00E642E5"/>
    <w:rsid w:val="00E676C8"/>
    <w:rsid w:val="00E76437"/>
    <w:rsid w:val="00E95070"/>
    <w:rsid w:val="00EA1CBB"/>
    <w:rsid w:val="00EA422C"/>
    <w:rsid w:val="00ED449C"/>
    <w:rsid w:val="00EE5D1A"/>
    <w:rsid w:val="00EE6342"/>
    <w:rsid w:val="00F40A5D"/>
    <w:rsid w:val="00F40F4B"/>
    <w:rsid w:val="00F43102"/>
    <w:rsid w:val="00F656A6"/>
    <w:rsid w:val="00F72B99"/>
    <w:rsid w:val="00F744E5"/>
    <w:rsid w:val="00F83069"/>
    <w:rsid w:val="00FA03B7"/>
    <w:rsid w:val="00FB0203"/>
    <w:rsid w:val="00FC3974"/>
    <w:rsid w:val="00FC5FF5"/>
    <w:rsid w:val="00FD6FC2"/>
    <w:rsid w:val="00FE2C9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FC2"/>
    <w:pPr>
      <w:spacing w:after="0" w:line="240" w:lineRule="auto"/>
    </w:pPr>
    <w:rPr>
      <w:rFonts w:ascii="Arial" w:eastAsia="SimSun" w:hAnsi="Arial" w:cs="Arial"/>
      <w:szCs w:val="20"/>
      <w:lang w:val="fr-FR" w:eastAsia="zh-CN"/>
    </w:rPr>
  </w:style>
  <w:style w:type="paragraph" w:styleId="Heading1">
    <w:name w:val="heading 1"/>
    <w:basedOn w:val="Normal"/>
    <w:next w:val="Normal"/>
    <w:link w:val="Heading1Char"/>
    <w:qFormat/>
    <w:rsid w:val="00FD6FC2"/>
    <w:pPr>
      <w:keepNext/>
      <w:spacing w:before="240" w:after="60"/>
      <w:outlineLvl w:val="0"/>
    </w:pPr>
    <w:rPr>
      <w:b/>
      <w:bCs/>
      <w:caps/>
      <w:kern w:val="32"/>
      <w:szCs w:val="32"/>
    </w:rPr>
  </w:style>
  <w:style w:type="paragraph" w:styleId="Heading3">
    <w:name w:val="heading 3"/>
    <w:basedOn w:val="Normal"/>
    <w:next w:val="Normal"/>
    <w:link w:val="Heading3Char"/>
    <w:qFormat/>
    <w:rsid w:val="00FD6FC2"/>
    <w:pPr>
      <w:keepNext/>
      <w:spacing w:before="240" w:after="60"/>
      <w:outlineLvl w:val="2"/>
    </w:pPr>
    <w:rPr>
      <w:bCs/>
      <w:szCs w:val="26"/>
      <w:u w:val="single"/>
    </w:rPr>
  </w:style>
  <w:style w:type="paragraph" w:styleId="Heading4">
    <w:name w:val="heading 4"/>
    <w:basedOn w:val="Normal"/>
    <w:next w:val="Normal"/>
    <w:link w:val="Heading4Char"/>
    <w:qFormat/>
    <w:rsid w:val="00FD6FC2"/>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D6FC2"/>
    <w:rPr>
      <w:rFonts w:ascii="Arial" w:eastAsia="SimSun" w:hAnsi="Arial" w:cs="Arial"/>
      <w:b/>
      <w:bCs/>
      <w:caps/>
      <w:kern w:val="32"/>
      <w:szCs w:val="32"/>
      <w:lang w:eastAsia="zh-CN"/>
    </w:rPr>
  </w:style>
  <w:style w:type="character" w:customStyle="1" w:styleId="Heading3Char">
    <w:name w:val="Heading 3 Char"/>
    <w:basedOn w:val="DefaultParagraphFont"/>
    <w:link w:val="Heading3"/>
    <w:rsid w:val="00FD6FC2"/>
    <w:rPr>
      <w:rFonts w:ascii="Arial" w:eastAsia="SimSun" w:hAnsi="Arial" w:cs="Arial"/>
      <w:bCs/>
      <w:szCs w:val="26"/>
      <w:u w:val="single"/>
      <w:lang w:eastAsia="zh-CN"/>
    </w:rPr>
  </w:style>
  <w:style w:type="character" w:customStyle="1" w:styleId="Heading4Char">
    <w:name w:val="Heading 4 Char"/>
    <w:basedOn w:val="DefaultParagraphFont"/>
    <w:link w:val="Heading4"/>
    <w:rsid w:val="00FD6FC2"/>
    <w:rPr>
      <w:rFonts w:ascii="Arial" w:eastAsia="SimSun" w:hAnsi="Arial" w:cs="Arial"/>
      <w:bCs/>
      <w:i/>
      <w:szCs w:val="28"/>
      <w:lang w:eastAsia="zh-CN"/>
    </w:rPr>
  </w:style>
  <w:style w:type="paragraph" w:customStyle="1" w:styleId="Meetingtitle">
    <w:name w:val="Meeting title"/>
    <w:basedOn w:val="Normal"/>
    <w:next w:val="Normal"/>
    <w:rsid w:val="00FD6FC2"/>
    <w:pPr>
      <w:spacing w:line="336" w:lineRule="exact"/>
      <w:ind w:left="1021"/>
    </w:pPr>
    <w:rPr>
      <w:rFonts w:eastAsia="Batang" w:cs="Times New Roman"/>
      <w:b/>
      <w:sz w:val="28"/>
      <w:lang w:eastAsia="en-US"/>
    </w:rPr>
  </w:style>
  <w:style w:type="paragraph" w:styleId="FootnoteText">
    <w:name w:val="footnote text"/>
    <w:basedOn w:val="Normal"/>
    <w:link w:val="FootnoteTextChar"/>
    <w:semiHidden/>
    <w:rsid w:val="00FD6FC2"/>
    <w:rPr>
      <w:sz w:val="18"/>
    </w:rPr>
  </w:style>
  <w:style w:type="character" w:customStyle="1" w:styleId="FootnoteTextChar">
    <w:name w:val="Footnote Text Char"/>
    <w:basedOn w:val="DefaultParagraphFont"/>
    <w:link w:val="FootnoteText"/>
    <w:semiHidden/>
    <w:rsid w:val="00FD6FC2"/>
    <w:rPr>
      <w:rFonts w:ascii="Arial" w:eastAsia="SimSun" w:hAnsi="Arial" w:cs="Arial"/>
      <w:sz w:val="18"/>
      <w:szCs w:val="20"/>
      <w:lang w:eastAsia="zh-CN"/>
    </w:rPr>
  </w:style>
  <w:style w:type="paragraph" w:customStyle="1" w:styleId="ONUME">
    <w:name w:val="ONUM E"/>
    <w:basedOn w:val="BodyText"/>
    <w:autoRedefine/>
    <w:rsid w:val="00DD4DD5"/>
    <w:pPr>
      <w:numPr>
        <w:numId w:val="1"/>
      </w:numPr>
      <w:spacing w:after="220"/>
    </w:pPr>
  </w:style>
  <w:style w:type="paragraph" w:customStyle="1" w:styleId="Sessiontitle">
    <w:name w:val="Session title"/>
    <w:basedOn w:val="Meetingtitle"/>
    <w:next w:val="Meetingplacedate"/>
    <w:rsid w:val="00FD6FC2"/>
    <w:pPr>
      <w:spacing w:before="480"/>
      <w:contextualSpacing/>
    </w:pPr>
    <w:rPr>
      <w:sz w:val="24"/>
    </w:rPr>
  </w:style>
  <w:style w:type="paragraph" w:customStyle="1" w:styleId="Meetingplacedate">
    <w:name w:val="Meeting place &amp; date"/>
    <w:basedOn w:val="Sessiontitle"/>
    <w:next w:val="Normal"/>
    <w:rsid w:val="00FD6FC2"/>
    <w:pPr>
      <w:spacing w:before="0"/>
      <w:contextualSpacing w:val="0"/>
    </w:pPr>
  </w:style>
  <w:style w:type="character" w:styleId="FootnoteReference">
    <w:name w:val="footnote reference"/>
    <w:rsid w:val="00FD6FC2"/>
    <w:rPr>
      <w:rFonts w:cs="Times New Roman"/>
      <w:vertAlign w:val="superscript"/>
    </w:rPr>
  </w:style>
  <w:style w:type="character" w:styleId="Hyperlink">
    <w:name w:val="Hyperlink"/>
    <w:rsid w:val="00FD6FC2"/>
    <w:rPr>
      <w:rFonts w:cs="Times New Roman"/>
      <w:color w:val="0000FF"/>
      <w:u w:val="single"/>
    </w:rPr>
  </w:style>
  <w:style w:type="character" w:customStyle="1" w:styleId="apple-style-span">
    <w:name w:val="apple-style-span"/>
    <w:basedOn w:val="DefaultParagraphFont"/>
    <w:rsid w:val="00FD6FC2"/>
  </w:style>
  <w:style w:type="paragraph" w:styleId="BodyText">
    <w:name w:val="Body Text"/>
    <w:basedOn w:val="Normal"/>
    <w:link w:val="BodyTextChar"/>
    <w:uiPriority w:val="99"/>
    <w:semiHidden/>
    <w:unhideWhenUsed/>
    <w:rsid w:val="00FD6FC2"/>
    <w:pPr>
      <w:spacing w:after="120"/>
    </w:pPr>
  </w:style>
  <w:style w:type="character" w:customStyle="1" w:styleId="BodyTextChar">
    <w:name w:val="Body Text Char"/>
    <w:basedOn w:val="DefaultParagraphFont"/>
    <w:link w:val="BodyText"/>
    <w:uiPriority w:val="99"/>
    <w:semiHidden/>
    <w:rsid w:val="00FD6FC2"/>
    <w:rPr>
      <w:rFonts w:ascii="Arial" w:eastAsia="SimSun" w:hAnsi="Arial" w:cs="Arial"/>
      <w:szCs w:val="20"/>
      <w:lang w:eastAsia="zh-CN"/>
    </w:rPr>
  </w:style>
  <w:style w:type="paragraph" w:styleId="BalloonText">
    <w:name w:val="Balloon Text"/>
    <w:basedOn w:val="Normal"/>
    <w:link w:val="BalloonTextChar"/>
    <w:uiPriority w:val="99"/>
    <w:semiHidden/>
    <w:unhideWhenUsed/>
    <w:rsid w:val="00FD6FC2"/>
    <w:rPr>
      <w:rFonts w:ascii="Tahoma" w:hAnsi="Tahoma" w:cs="Tahoma"/>
      <w:sz w:val="16"/>
      <w:szCs w:val="16"/>
    </w:rPr>
  </w:style>
  <w:style w:type="character" w:customStyle="1" w:styleId="BalloonTextChar">
    <w:name w:val="Balloon Text Char"/>
    <w:basedOn w:val="DefaultParagraphFont"/>
    <w:link w:val="BalloonText"/>
    <w:uiPriority w:val="99"/>
    <w:semiHidden/>
    <w:rsid w:val="00FD6FC2"/>
    <w:rPr>
      <w:rFonts w:ascii="Tahoma" w:eastAsia="SimSun" w:hAnsi="Tahoma" w:cs="Tahoma"/>
      <w:sz w:val="16"/>
      <w:szCs w:val="16"/>
      <w:lang w:eastAsia="zh-CN"/>
    </w:rPr>
  </w:style>
  <w:style w:type="character" w:styleId="Emphasis">
    <w:name w:val="Emphasis"/>
    <w:basedOn w:val="DefaultParagraphFont"/>
    <w:uiPriority w:val="20"/>
    <w:qFormat/>
    <w:rsid w:val="002D3004"/>
    <w:rPr>
      <w:i/>
      <w:iCs/>
    </w:rPr>
  </w:style>
  <w:style w:type="paragraph" w:styleId="Header">
    <w:name w:val="header"/>
    <w:basedOn w:val="Normal"/>
    <w:link w:val="HeaderChar"/>
    <w:uiPriority w:val="99"/>
    <w:unhideWhenUsed/>
    <w:rsid w:val="002156EA"/>
    <w:pPr>
      <w:tabs>
        <w:tab w:val="center" w:pos="4513"/>
        <w:tab w:val="right" w:pos="9026"/>
      </w:tabs>
    </w:pPr>
  </w:style>
  <w:style w:type="character" w:customStyle="1" w:styleId="HeaderChar">
    <w:name w:val="Header Char"/>
    <w:basedOn w:val="DefaultParagraphFont"/>
    <w:link w:val="Header"/>
    <w:uiPriority w:val="99"/>
    <w:rsid w:val="002156EA"/>
    <w:rPr>
      <w:rFonts w:ascii="Arial" w:eastAsia="SimSun" w:hAnsi="Arial" w:cs="Arial"/>
      <w:szCs w:val="20"/>
      <w:lang w:val="fr-FR" w:eastAsia="zh-CN"/>
    </w:rPr>
  </w:style>
  <w:style w:type="paragraph" w:styleId="Footer">
    <w:name w:val="footer"/>
    <w:basedOn w:val="Normal"/>
    <w:link w:val="FooterChar"/>
    <w:uiPriority w:val="99"/>
    <w:unhideWhenUsed/>
    <w:rsid w:val="002156EA"/>
    <w:pPr>
      <w:tabs>
        <w:tab w:val="center" w:pos="4513"/>
        <w:tab w:val="right" w:pos="9026"/>
      </w:tabs>
    </w:pPr>
  </w:style>
  <w:style w:type="character" w:customStyle="1" w:styleId="FooterChar">
    <w:name w:val="Footer Char"/>
    <w:basedOn w:val="DefaultParagraphFont"/>
    <w:link w:val="Footer"/>
    <w:uiPriority w:val="99"/>
    <w:rsid w:val="002156EA"/>
    <w:rPr>
      <w:rFonts w:ascii="Arial" w:eastAsia="SimSun" w:hAnsi="Arial" w:cs="Arial"/>
      <w:szCs w:val="20"/>
      <w:lang w:val="fr-FR" w:eastAsia="zh-CN"/>
    </w:rPr>
  </w:style>
  <w:style w:type="paragraph" w:customStyle="1" w:styleId="ONUMFS">
    <w:name w:val="ONUM FS"/>
    <w:basedOn w:val="BodyText"/>
    <w:rsid w:val="00E23DF9"/>
    <w:pPr>
      <w:numPr>
        <w:numId w:val="8"/>
      </w:numPr>
      <w:spacing w:after="220"/>
    </w:pPr>
    <w:rPr>
      <w:lang w:val="fr-CH"/>
    </w:rPr>
  </w:style>
  <w:style w:type="paragraph" w:customStyle="1" w:styleId="Endofdocument-Annex">
    <w:name w:val="[End of document - Annex]"/>
    <w:basedOn w:val="Normal"/>
    <w:rsid w:val="0007369D"/>
    <w:pPr>
      <w:ind w:left="5534"/>
    </w:pPr>
    <w:rPr>
      <w:lang w:val="en-US"/>
    </w:rPr>
  </w:style>
  <w:style w:type="character" w:styleId="CommentReference">
    <w:name w:val="annotation reference"/>
    <w:basedOn w:val="DefaultParagraphFont"/>
    <w:uiPriority w:val="99"/>
    <w:semiHidden/>
    <w:unhideWhenUsed/>
    <w:rsid w:val="0083392A"/>
    <w:rPr>
      <w:sz w:val="16"/>
      <w:szCs w:val="16"/>
    </w:rPr>
  </w:style>
  <w:style w:type="paragraph" w:styleId="CommentText">
    <w:name w:val="annotation text"/>
    <w:basedOn w:val="Normal"/>
    <w:link w:val="CommentTextChar"/>
    <w:uiPriority w:val="99"/>
    <w:semiHidden/>
    <w:unhideWhenUsed/>
    <w:rsid w:val="0083392A"/>
    <w:rPr>
      <w:sz w:val="20"/>
    </w:rPr>
  </w:style>
  <w:style w:type="character" w:customStyle="1" w:styleId="CommentTextChar">
    <w:name w:val="Comment Text Char"/>
    <w:basedOn w:val="DefaultParagraphFont"/>
    <w:link w:val="CommentText"/>
    <w:uiPriority w:val="99"/>
    <w:semiHidden/>
    <w:rsid w:val="0083392A"/>
    <w:rPr>
      <w:rFonts w:ascii="Arial" w:eastAsia="SimSun" w:hAnsi="Arial" w:cs="Arial"/>
      <w:sz w:val="20"/>
      <w:szCs w:val="20"/>
      <w:lang w:val="fr-FR" w:eastAsia="zh-CN"/>
    </w:rPr>
  </w:style>
  <w:style w:type="paragraph" w:styleId="CommentSubject">
    <w:name w:val="annotation subject"/>
    <w:basedOn w:val="CommentText"/>
    <w:next w:val="CommentText"/>
    <w:link w:val="CommentSubjectChar"/>
    <w:uiPriority w:val="99"/>
    <w:semiHidden/>
    <w:unhideWhenUsed/>
    <w:rsid w:val="0083392A"/>
    <w:rPr>
      <w:b/>
      <w:bCs/>
    </w:rPr>
  </w:style>
  <w:style w:type="character" w:customStyle="1" w:styleId="CommentSubjectChar">
    <w:name w:val="Comment Subject Char"/>
    <w:basedOn w:val="CommentTextChar"/>
    <w:link w:val="CommentSubject"/>
    <w:uiPriority w:val="99"/>
    <w:semiHidden/>
    <w:rsid w:val="0083392A"/>
    <w:rPr>
      <w:rFonts w:ascii="Arial" w:eastAsia="SimSun" w:hAnsi="Arial" w:cs="Arial"/>
      <w:b/>
      <w:bCs/>
      <w:sz w:val="20"/>
      <w:szCs w:val="20"/>
      <w:lang w:val="fr-FR" w:eastAsia="zh-CN"/>
    </w:rPr>
  </w:style>
  <w:style w:type="character" w:styleId="FollowedHyperlink">
    <w:name w:val="FollowedHyperlink"/>
    <w:basedOn w:val="DefaultParagraphFont"/>
    <w:uiPriority w:val="99"/>
    <w:semiHidden/>
    <w:unhideWhenUsed/>
    <w:rsid w:val="009822B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FC2"/>
    <w:pPr>
      <w:spacing w:after="0" w:line="240" w:lineRule="auto"/>
    </w:pPr>
    <w:rPr>
      <w:rFonts w:ascii="Arial" w:eastAsia="SimSun" w:hAnsi="Arial" w:cs="Arial"/>
      <w:szCs w:val="20"/>
      <w:lang w:val="fr-FR" w:eastAsia="zh-CN"/>
    </w:rPr>
  </w:style>
  <w:style w:type="paragraph" w:styleId="Heading1">
    <w:name w:val="heading 1"/>
    <w:basedOn w:val="Normal"/>
    <w:next w:val="Normal"/>
    <w:link w:val="Heading1Char"/>
    <w:qFormat/>
    <w:rsid w:val="00FD6FC2"/>
    <w:pPr>
      <w:keepNext/>
      <w:spacing w:before="240" w:after="60"/>
      <w:outlineLvl w:val="0"/>
    </w:pPr>
    <w:rPr>
      <w:b/>
      <w:bCs/>
      <w:caps/>
      <w:kern w:val="32"/>
      <w:szCs w:val="32"/>
    </w:rPr>
  </w:style>
  <w:style w:type="paragraph" w:styleId="Heading3">
    <w:name w:val="heading 3"/>
    <w:basedOn w:val="Normal"/>
    <w:next w:val="Normal"/>
    <w:link w:val="Heading3Char"/>
    <w:qFormat/>
    <w:rsid w:val="00FD6FC2"/>
    <w:pPr>
      <w:keepNext/>
      <w:spacing w:before="240" w:after="60"/>
      <w:outlineLvl w:val="2"/>
    </w:pPr>
    <w:rPr>
      <w:bCs/>
      <w:szCs w:val="26"/>
      <w:u w:val="single"/>
    </w:rPr>
  </w:style>
  <w:style w:type="paragraph" w:styleId="Heading4">
    <w:name w:val="heading 4"/>
    <w:basedOn w:val="Normal"/>
    <w:next w:val="Normal"/>
    <w:link w:val="Heading4Char"/>
    <w:qFormat/>
    <w:rsid w:val="00FD6FC2"/>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D6FC2"/>
    <w:rPr>
      <w:rFonts w:ascii="Arial" w:eastAsia="SimSun" w:hAnsi="Arial" w:cs="Arial"/>
      <w:b/>
      <w:bCs/>
      <w:caps/>
      <w:kern w:val="32"/>
      <w:szCs w:val="32"/>
      <w:lang w:eastAsia="zh-CN"/>
    </w:rPr>
  </w:style>
  <w:style w:type="character" w:customStyle="1" w:styleId="Heading3Char">
    <w:name w:val="Heading 3 Char"/>
    <w:basedOn w:val="DefaultParagraphFont"/>
    <w:link w:val="Heading3"/>
    <w:rsid w:val="00FD6FC2"/>
    <w:rPr>
      <w:rFonts w:ascii="Arial" w:eastAsia="SimSun" w:hAnsi="Arial" w:cs="Arial"/>
      <w:bCs/>
      <w:szCs w:val="26"/>
      <w:u w:val="single"/>
      <w:lang w:eastAsia="zh-CN"/>
    </w:rPr>
  </w:style>
  <w:style w:type="character" w:customStyle="1" w:styleId="Heading4Char">
    <w:name w:val="Heading 4 Char"/>
    <w:basedOn w:val="DefaultParagraphFont"/>
    <w:link w:val="Heading4"/>
    <w:rsid w:val="00FD6FC2"/>
    <w:rPr>
      <w:rFonts w:ascii="Arial" w:eastAsia="SimSun" w:hAnsi="Arial" w:cs="Arial"/>
      <w:bCs/>
      <w:i/>
      <w:szCs w:val="28"/>
      <w:lang w:eastAsia="zh-CN"/>
    </w:rPr>
  </w:style>
  <w:style w:type="paragraph" w:customStyle="1" w:styleId="Meetingtitle">
    <w:name w:val="Meeting title"/>
    <w:basedOn w:val="Normal"/>
    <w:next w:val="Normal"/>
    <w:rsid w:val="00FD6FC2"/>
    <w:pPr>
      <w:spacing w:line="336" w:lineRule="exact"/>
      <w:ind w:left="1021"/>
    </w:pPr>
    <w:rPr>
      <w:rFonts w:eastAsia="Batang" w:cs="Times New Roman"/>
      <w:b/>
      <w:sz w:val="28"/>
      <w:lang w:eastAsia="en-US"/>
    </w:rPr>
  </w:style>
  <w:style w:type="paragraph" w:styleId="FootnoteText">
    <w:name w:val="footnote text"/>
    <w:basedOn w:val="Normal"/>
    <w:link w:val="FootnoteTextChar"/>
    <w:semiHidden/>
    <w:rsid w:val="00FD6FC2"/>
    <w:rPr>
      <w:sz w:val="18"/>
    </w:rPr>
  </w:style>
  <w:style w:type="character" w:customStyle="1" w:styleId="FootnoteTextChar">
    <w:name w:val="Footnote Text Char"/>
    <w:basedOn w:val="DefaultParagraphFont"/>
    <w:link w:val="FootnoteText"/>
    <w:semiHidden/>
    <w:rsid w:val="00FD6FC2"/>
    <w:rPr>
      <w:rFonts w:ascii="Arial" w:eastAsia="SimSun" w:hAnsi="Arial" w:cs="Arial"/>
      <w:sz w:val="18"/>
      <w:szCs w:val="20"/>
      <w:lang w:eastAsia="zh-CN"/>
    </w:rPr>
  </w:style>
  <w:style w:type="paragraph" w:customStyle="1" w:styleId="ONUME">
    <w:name w:val="ONUM E"/>
    <w:basedOn w:val="BodyText"/>
    <w:autoRedefine/>
    <w:rsid w:val="00DD4DD5"/>
    <w:pPr>
      <w:numPr>
        <w:numId w:val="1"/>
      </w:numPr>
      <w:spacing w:after="220"/>
    </w:pPr>
  </w:style>
  <w:style w:type="paragraph" w:customStyle="1" w:styleId="Sessiontitle">
    <w:name w:val="Session title"/>
    <w:basedOn w:val="Meetingtitle"/>
    <w:next w:val="Meetingplacedate"/>
    <w:rsid w:val="00FD6FC2"/>
    <w:pPr>
      <w:spacing w:before="480"/>
      <w:contextualSpacing/>
    </w:pPr>
    <w:rPr>
      <w:sz w:val="24"/>
    </w:rPr>
  </w:style>
  <w:style w:type="paragraph" w:customStyle="1" w:styleId="Meetingplacedate">
    <w:name w:val="Meeting place &amp; date"/>
    <w:basedOn w:val="Sessiontitle"/>
    <w:next w:val="Normal"/>
    <w:rsid w:val="00FD6FC2"/>
    <w:pPr>
      <w:spacing w:before="0"/>
      <w:contextualSpacing w:val="0"/>
    </w:pPr>
  </w:style>
  <w:style w:type="character" w:styleId="FootnoteReference">
    <w:name w:val="footnote reference"/>
    <w:rsid w:val="00FD6FC2"/>
    <w:rPr>
      <w:rFonts w:cs="Times New Roman"/>
      <w:vertAlign w:val="superscript"/>
    </w:rPr>
  </w:style>
  <w:style w:type="character" w:styleId="Hyperlink">
    <w:name w:val="Hyperlink"/>
    <w:rsid w:val="00FD6FC2"/>
    <w:rPr>
      <w:rFonts w:cs="Times New Roman"/>
      <w:color w:val="0000FF"/>
      <w:u w:val="single"/>
    </w:rPr>
  </w:style>
  <w:style w:type="character" w:customStyle="1" w:styleId="apple-style-span">
    <w:name w:val="apple-style-span"/>
    <w:basedOn w:val="DefaultParagraphFont"/>
    <w:rsid w:val="00FD6FC2"/>
  </w:style>
  <w:style w:type="paragraph" w:styleId="BodyText">
    <w:name w:val="Body Text"/>
    <w:basedOn w:val="Normal"/>
    <w:link w:val="BodyTextChar"/>
    <w:uiPriority w:val="99"/>
    <w:semiHidden/>
    <w:unhideWhenUsed/>
    <w:rsid w:val="00FD6FC2"/>
    <w:pPr>
      <w:spacing w:after="120"/>
    </w:pPr>
  </w:style>
  <w:style w:type="character" w:customStyle="1" w:styleId="BodyTextChar">
    <w:name w:val="Body Text Char"/>
    <w:basedOn w:val="DefaultParagraphFont"/>
    <w:link w:val="BodyText"/>
    <w:uiPriority w:val="99"/>
    <w:semiHidden/>
    <w:rsid w:val="00FD6FC2"/>
    <w:rPr>
      <w:rFonts w:ascii="Arial" w:eastAsia="SimSun" w:hAnsi="Arial" w:cs="Arial"/>
      <w:szCs w:val="20"/>
      <w:lang w:eastAsia="zh-CN"/>
    </w:rPr>
  </w:style>
  <w:style w:type="paragraph" w:styleId="BalloonText">
    <w:name w:val="Balloon Text"/>
    <w:basedOn w:val="Normal"/>
    <w:link w:val="BalloonTextChar"/>
    <w:uiPriority w:val="99"/>
    <w:semiHidden/>
    <w:unhideWhenUsed/>
    <w:rsid w:val="00FD6FC2"/>
    <w:rPr>
      <w:rFonts w:ascii="Tahoma" w:hAnsi="Tahoma" w:cs="Tahoma"/>
      <w:sz w:val="16"/>
      <w:szCs w:val="16"/>
    </w:rPr>
  </w:style>
  <w:style w:type="character" w:customStyle="1" w:styleId="BalloonTextChar">
    <w:name w:val="Balloon Text Char"/>
    <w:basedOn w:val="DefaultParagraphFont"/>
    <w:link w:val="BalloonText"/>
    <w:uiPriority w:val="99"/>
    <w:semiHidden/>
    <w:rsid w:val="00FD6FC2"/>
    <w:rPr>
      <w:rFonts w:ascii="Tahoma" w:eastAsia="SimSun" w:hAnsi="Tahoma" w:cs="Tahoma"/>
      <w:sz w:val="16"/>
      <w:szCs w:val="16"/>
      <w:lang w:eastAsia="zh-CN"/>
    </w:rPr>
  </w:style>
  <w:style w:type="character" w:styleId="Emphasis">
    <w:name w:val="Emphasis"/>
    <w:basedOn w:val="DefaultParagraphFont"/>
    <w:uiPriority w:val="20"/>
    <w:qFormat/>
    <w:rsid w:val="002D3004"/>
    <w:rPr>
      <w:i/>
      <w:iCs/>
    </w:rPr>
  </w:style>
  <w:style w:type="paragraph" w:styleId="Header">
    <w:name w:val="header"/>
    <w:basedOn w:val="Normal"/>
    <w:link w:val="HeaderChar"/>
    <w:uiPriority w:val="99"/>
    <w:unhideWhenUsed/>
    <w:rsid w:val="002156EA"/>
    <w:pPr>
      <w:tabs>
        <w:tab w:val="center" w:pos="4513"/>
        <w:tab w:val="right" w:pos="9026"/>
      </w:tabs>
    </w:pPr>
  </w:style>
  <w:style w:type="character" w:customStyle="1" w:styleId="HeaderChar">
    <w:name w:val="Header Char"/>
    <w:basedOn w:val="DefaultParagraphFont"/>
    <w:link w:val="Header"/>
    <w:uiPriority w:val="99"/>
    <w:rsid w:val="002156EA"/>
    <w:rPr>
      <w:rFonts w:ascii="Arial" w:eastAsia="SimSun" w:hAnsi="Arial" w:cs="Arial"/>
      <w:szCs w:val="20"/>
      <w:lang w:val="fr-FR" w:eastAsia="zh-CN"/>
    </w:rPr>
  </w:style>
  <w:style w:type="paragraph" w:styleId="Footer">
    <w:name w:val="footer"/>
    <w:basedOn w:val="Normal"/>
    <w:link w:val="FooterChar"/>
    <w:uiPriority w:val="99"/>
    <w:unhideWhenUsed/>
    <w:rsid w:val="002156EA"/>
    <w:pPr>
      <w:tabs>
        <w:tab w:val="center" w:pos="4513"/>
        <w:tab w:val="right" w:pos="9026"/>
      </w:tabs>
    </w:pPr>
  </w:style>
  <w:style w:type="character" w:customStyle="1" w:styleId="FooterChar">
    <w:name w:val="Footer Char"/>
    <w:basedOn w:val="DefaultParagraphFont"/>
    <w:link w:val="Footer"/>
    <w:uiPriority w:val="99"/>
    <w:rsid w:val="002156EA"/>
    <w:rPr>
      <w:rFonts w:ascii="Arial" w:eastAsia="SimSun" w:hAnsi="Arial" w:cs="Arial"/>
      <w:szCs w:val="20"/>
      <w:lang w:val="fr-FR" w:eastAsia="zh-CN"/>
    </w:rPr>
  </w:style>
  <w:style w:type="paragraph" w:customStyle="1" w:styleId="ONUMFS">
    <w:name w:val="ONUM FS"/>
    <w:basedOn w:val="BodyText"/>
    <w:rsid w:val="00E23DF9"/>
    <w:pPr>
      <w:numPr>
        <w:numId w:val="8"/>
      </w:numPr>
      <w:spacing w:after="220"/>
    </w:pPr>
    <w:rPr>
      <w:lang w:val="fr-CH"/>
    </w:rPr>
  </w:style>
  <w:style w:type="paragraph" w:customStyle="1" w:styleId="Endofdocument-Annex">
    <w:name w:val="[End of document - Annex]"/>
    <w:basedOn w:val="Normal"/>
    <w:rsid w:val="0007369D"/>
    <w:pPr>
      <w:ind w:left="5534"/>
    </w:pPr>
    <w:rPr>
      <w:lang w:val="en-US"/>
    </w:rPr>
  </w:style>
  <w:style w:type="character" w:styleId="CommentReference">
    <w:name w:val="annotation reference"/>
    <w:basedOn w:val="DefaultParagraphFont"/>
    <w:uiPriority w:val="99"/>
    <w:semiHidden/>
    <w:unhideWhenUsed/>
    <w:rsid w:val="0083392A"/>
    <w:rPr>
      <w:sz w:val="16"/>
      <w:szCs w:val="16"/>
    </w:rPr>
  </w:style>
  <w:style w:type="paragraph" w:styleId="CommentText">
    <w:name w:val="annotation text"/>
    <w:basedOn w:val="Normal"/>
    <w:link w:val="CommentTextChar"/>
    <w:uiPriority w:val="99"/>
    <w:semiHidden/>
    <w:unhideWhenUsed/>
    <w:rsid w:val="0083392A"/>
    <w:rPr>
      <w:sz w:val="20"/>
    </w:rPr>
  </w:style>
  <w:style w:type="character" w:customStyle="1" w:styleId="CommentTextChar">
    <w:name w:val="Comment Text Char"/>
    <w:basedOn w:val="DefaultParagraphFont"/>
    <w:link w:val="CommentText"/>
    <w:uiPriority w:val="99"/>
    <w:semiHidden/>
    <w:rsid w:val="0083392A"/>
    <w:rPr>
      <w:rFonts w:ascii="Arial" w:eastAsia="SimSun" w:hAnsi="Arial" w:cs="Arial"/>
      <w:sz w:val="20"/>
      <w:szCs w:val="20"/>
      <w:lang w:val="fr-FR" w:eastAsia="zh-CN"/>
    </w:rPr>
  </w:style>
  <w:style w:type="paragraph" w:styleId="CommentSubject">
    <w:name w:val="annotation subject"/>
    <w:basedOn w:val="CommentText"/>
    <w:next w:val="CommentText"/>
    <w:link w:val="CommentSubjectChar"/>
    <w:uiPriority w:val="99"/>
    <w:semiHidden/>
    <w:unhideWhenUsed/>
    <w:rsid w:val="0083392A"/>
    <w:rPr>
      <w:b/>
      <w:bCs/>
    </w:rPr>
  </w:style>
  <w:style w:type="character" w:customStyle="1" w:styleId="CommentSubjectChar">
    <w:name w:val="Comment Subject Char"/>
    <w:basedOn w:val="CommentTextChar"/>
    <w:link w:val="CommentSubject"/>
    <w:uiPriority w:val="99"/>
    <w:semiHidden/>
    <w:rsid w:val="0083392A"/>
    <w:rPr>
      <w:rFonts w:ascii="Arial" w:eastAsia="SimSun" w:hAnsi="Arial" w:cs="Arial"/>
      <w:b/>
      <w:bCs/>
      <w:sz w:val="20"/>
      <w:szCs w:val="20"/>
      <w:lang w:val="fr-FR" w:eastAsia="zh-CN"/>
    </w:rPr>
  </w:style>
  <w:style w:type="character" w:styleId="FollowedHyperlink">
    <w:name w:val="FollowedHyperlink"/>
    <w:basedOn w:val="DefaultParagraphFont"/>
    <w:uiPriority w:val="99"/>
    <w:semiHidden/>
    <w:unhideWhenUsed/>
    <w:rsid w:val="009822B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mpaa.org"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www.wired.co.uk/news/archive/2013-12/12/pipcu" TargetMode="External"/><Relationship Id="rId13" Type="http://schemas.openxmlformats.org/officeDocument/2006/relationships/hyperlink" Target="http://riaa.com/toolsforparents.php?content_selector=legal-music-services" TargetMode="External"/><Relationship Id="rId3" Type="http://schemas.openxmlformats.org/officeDocument/2006/relationships/hyperlink" Target="http://www.copyright.gov/title17/92appb.pdf" TargetMode="External"/><Relationship Id="rId7" Type="http://schemas.openxmlformats.org/officeDocument/2006/relationships/oleObject" Target="embeddings/oleObject1.bin"/><Relationship Id="rId12" Type="http://schemas.openxmlformats.org/officeDocument/2006/relationships/hyperlink" Target="http://www.copyrightinformation.org/a-better-way-to-find-movies-tv-music/" TargetMode="External"/><Relationship Id="rId2" Type="http://schemas.openxmlformats.org/officeDocument/2006/relationships/hyperlink" Target="http://www.copyright.gov/legislation/dmca.pdf" TargetMode="External"/><Relationship Id="rId1" Type="http://schemas.openxmlformats.org/officeDocument/2006/relationships/hyperlink" Target="http://www.copyrightinformation.org/" TargetMode="External"/><Relationship Id="rId6" Type="http://schemas.openxmlformats.org/officeDocument/2006/relationships/image" Target="media/image2.emf"/><Relationship Id="rId11" Type="http://schemas.openxmlformats.org/officeDocument/2006/relationships/hyperlink" Target="https://www.adr.org/aaa/faces/s/about?_afrWindowId=null&amp;_afrLoop=4293589810282127&amp;_afrWindowMode=0&amp;_adf.ctrl-state=1aadgpu9fg_51" TargetMode="External"/><Relationship Id="rId5" Type="http://schemas.openxmlformats.org/officeDocument/2006/relationships/hyperlink" Target="http://www.copyrightinformation.org/the-copyright-alert-system/what-do-i-do-if-i-think-the-alert-was-wrongly-sent/" TargetMode="External"/><Relationship Id="rId10" Type="http://schemas.openxmlformats.org/officeDocument/2006/relationships/hyperlink" Target="http://www.iabuk.net/about/press/archive/dtsg-launches-uk-good-practice-principles" TargetMode="External"/><Relationship Id="rId4" Type="http://schemas.openxmlformats.org/officeDocument/2006/relationships/hyperlink" Target="http://www.copyright.gov/title17/92appa.pdf" TargetMode="External"/><Relationship Id="rId9" Type="http://schemas.openxmlformats.org/officeDocument/2006/relationships/hyperlink" Target="http://musically.com/2013/12/10/city-of-london-polices-operation-creative-targets-ad-sponsored-piracy/" TargetMode="External"/><Relationship Id="rId14" Type="http://schemas.openxmlformats.org/officeDocument/2006/relationships/hyperlink" Target="http://www.wheretowatc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6DC49F-1220-463D-989C-9B696FAD6823}">
  <ds:schemaRefs>
    <ds:schemaRef ds:uri="http://schemas.openxmlformats.org/officeDocument/2006/bibliography"/>
  </ds:schemaRefs>
</ds:datastoreItem>
</file>

<file path=customXml/itemProps2.xml><?xml version="1.0" encoding="utf-8"?>
<ds:datastoreItem xmlns:ds="http://schemas.openxmlformats.org/officeDocument/2006/customXml" ds:itemID="{12BE1805-4BBC-4577-B44A-B6541A92FE88}">
  <ds:schemaRefs>
    <ds:schemaRef ds:uri="http://schemas.openxmlformats.org/officeDocument/2006/bibliography"/>
  </ds:schemaRefs>
</ds:datastoreItem>
</file>

<file path=customXml/itemProps3.xml><?xml version="1.0" encoding="utf-8"?>
<ds:datastoreItem xmlns:ds="http://schemas.openxmlformats.org/officeDocument/2006/customXml" ds:itemID="{C35FFB69-3F87-40A7-A3AE-57C366ABF33F}">
  <ds:schemaRefs>
    <ds:schemaRef ds:uri="http://schemas.openxmlformats.org/officeDocument/2006/bibliography"/>
  </ds:schemaRefs>
</ds:datastoreItem>
</file>

<file path=customXml/itemProps4.xml><?xml version="1.0" encoding="utf-8"?>
<ds:datastoreItem xmlns:ds="http://schemas.openxmlformats.org/officeDocument/2006/customXml" ds:itemID="{F1781BF2-DD23-4A22-8CF1-725BA953E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9</Pages>
  <Words>3774</Words>
  <Characters>21515</Characters>
  <Application>Microsoft Office Word</Application>
  <DocSecurity>0</DocSecurity>
  <Lines>179</Lines>
  <Paragraphs>50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World Intellectual Property Organization</Company>
  <LinksUpToDate>false</LinksUpToDate>
  <CharactersWithSpaces>25239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DUBUISSON Thomas</dc:creator>
  <cp:keywords>MFB/ko</cp:keywords>
  <cp:lastModifiedBy>COLIN Isabelle</cp:lastModifiedBy>
  <cp:revision>8</cp:revision>
  <cp:lastPrinted>2014-02-26T13:35:00Z</cp:lastPrinted>
  <dcterms:created xsi:type="dcterms:W3CDTF">2014-02-26T13:18:00Z</dcterms:created>
  <dcterms:modified xsi:type="dcterms:W3CDTF">2014-02-26T13:37:00Z</dcterms:modified>
</cp:coreProperties>
</file>