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62966" w:rsidRPr="000D54C3" w:rsidTr="007070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2966" w:rsidRPr="00262966" w:rsidRDefault="00262966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0D54C3" w:rsidRDefault="00A81DD4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SimSun"/>
                <w:color w:val="auto"/>
                <w:szCs w:val="20"/>
                <w:lang w:eastAsia="zh-CN"/>
              </w:rPr>
            </w:pPr>
            <w:r w:rsidRPr="000D54C3">
              <w:rPr>
                <w:rFonts w:eastAsia="SimSun"/>
                <w:noProof/>
                <w:color w:val="auto"/>
                <w:szCs w:val="20"/>
              </w:rPr>
              <w:drawing>
                <wp:inline distT="0" distB="0" distL="0" distR="0" wp14:anchorId="19732361">
                  <wp:extent cx="1792605" cy="13474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2966" w:rsidRPr="000D54C3" w:rsidRDefault="00A81DD4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eastAsia="SimSun"/>
                <w:color w:val="auto"/>
                <w:szCs w:val="20"/>
                <w:lang w:eastAsia="zh-CN"/>
              </w:rPr>
            </w:pPr>
            <w:r w:rsidRPr="000D54C3">
              <w:rPr>
                <w:rFonts w:eastAsia="SimSun"/>
                <w:b/>
                <w:color w:val="auto"/>
                <w:sz w:val="40"/>
                <w:szCs w:val="40"/>
                <w:lang w:eastAsia="zh-CN"/>
              </w:rPr>
              <w:t>R</w:t>
            </w:r>
          </w:p>
        </w:tc>
      </w:tr>
      <w:tr w:rsidR="00262966" w:rsidRPr="000D54C3" w:rsidTr="007070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2966" w:rsidRPr="000D54C3" w:rsidRDefault="00262966" w:rsidP="006E7A3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CDIP/</w:t>
            </w:r>
            <w:bookmarkStart w:id="1" w:name="Code"/>
            <w:bookmarkEnd w:id="1"/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="0012383D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2</w:t>
            </w: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/</w:t>
            </w:r>
            <w:r w:rsidR="006E7A3C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INF/3</w:t>
            </w: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   </w:t>
            </w:r>
          </w:p>
        </w:tc>
      </w:tr>
      <w:tr w:rsidR="00262966" w:rsidRPr="000D54C3" w:rsidTr="007070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2966" w:rsidRPr="000D54C3" w:rsidRDefault="00A81DD4" w:rsidP="0026296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оригинал</w:t>
            </w:r>
            <w:r w:rsidR="00262966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bookmarkStart w:id="2" w:name="Original"/>
            <w:bookmarkEnd w:id="2"/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262966" w:rsidRPr="000D54C3" w:rsidTr="007070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2966" w:rsidRPr="000D54C3" w:rsidRDefault="00A81DD4" w:rsidP="0012383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</w:pP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>дата</w:t>
            </w:r>
            <w:r w:rsidR="00262966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:  </w:t>
            </w:r>
            <w:r w:rsidR="006E7A3C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10</w:t>
            </w: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 xml:space="preserve"> октября</w:t>
            </w:r>
            <w:r w:rsidR="00262966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201</w:t>
            </w:r>
            <w:r w:rsidR="0012383D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>8</w:t>
            </w:r>
            <w:r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val="ru-RU" w:eastAsia="zh-CN"/>
              </w:rPr>
              <w:t xml:space="preserve"> г.</w:t>
            </w:r>
            <w:r w:rsidR="00262966" w:rsidRPr="000D54C3">
              <w:rPr>
                <w:rFonts w:ascii="Arial Black" w:eastAsia="SimSun" w:hAnsi="Arial Black"/>
                <w:caps/>
                <w:color w:val="auto"/>
                <w:sz w:val="15"/>
                <w:szCs w:val="20"/>
                <w:lang w:eastAsia="zh-CN"/>
              </w:rPr>
              <w:t xml:space="preserve"> </w:t>
            </w:r>
            <w:bookmarkStart w:id="3" w:name="Date"/>
            <w:bookmarkEnd w:id="3"/>
          </w:p>
        </w:tc>
      </w:tr>
    </w:tbl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eastAsia="zh-CN"/>
        </w:rPr>
      </w:pPr>
    </w:p>
    <w:p w:rsidR="00262966" w:rsidRPr="000D54C3" w:rsidRDefault="00A81DD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8"/>
          <w:szCs w:val="28"/>
          <w:lang w:val="ru-RU" w:eastAsia="zh-CN"/>
        </w:rPr>
      </w:pPr>
      <w:r w:rsidRPr="000D54C3">
        <w:rPr>
          <w:rFonts w:eastAsia="SimSun"/>
          <w:b/>
          <w:color w:val="auto"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A81DD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 w:rsidRPr="000D54C3">
        <w:rPr>
          <w:rFonts w:eastAsia="SimSun"/>
          <w:b/>
          <w:color w:val="auto"/>
          <w:sz w:val="24"/>
          <w:szCs w:val="24"/>
          <w:lang w:val="ru-RU" w:eastAsia="zh-CN"/>
        </w:rPr>
        <w:t>Двадцать вторая сессия</w:t>
      </w:r>
    </w:p>
    <w:p w:rsidR="00262966" w:rsidRPr="000D54C3" w:rsidRDefault="00A81DD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b/>
          <w:color w:val="auto"/>
          <w:sz w:val="24"/>
          <w:szCs w:val="24"/>
          <w:lang w:val="ru-RU" w:eastAsia="zh-CN"/>
        </w:rPr>
      </w:pPr>
      <w:r w:rsidRPr="000D54C3">
        <w:rPr>
          <w:rFonts w:eastAsia="SimSun"/>
          <w:b/>
          <w:color w:val="auto"/>
          <w:sz w:val="24"/>
          <w:szCs w:val="24"/>
          <w:lang w:val="ru-RU" w:eastAsia="zh-CN"/>
        </w:rPr>
        <w:t>Женева, 19-23 ноября 2018 г.</w:t>
      </w: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53932" w:rsidRPr="000D54C3" w:rsidRDefault="0025393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D703A4" w:rsidRPr="000D54C3" w:rsidRDefault="00A81DD4" w:rsidP="00D703A4">
      <w:pPr>
        <w:rPr>
          <w:caps/>
          <w:sz w:val="24"/>
          <w:lang w:val="ru-RU"/>
        </w:rPr>
      </w:pPr>
      <w:bookmarkStart w:id="4" w:name="TitleOfDoc"/>
      <w:bookmarkEnd w:id="4"/>
      <w:r w:rsidRPr="000D54C3">
        <w:rPr>
          <w:caps/>
          <w:sz w:val="24"/>
          <w:lang w:val="ru-RU"/>
        </w:rPr>
        <w:t>Резюме исследования «интеллектуальная собственность в системе инноваций в с</w:t>
      </w:r>
      <w:r w:rsidR="003E1907" w:rsidRPr="000D54C3">
        <w:rPr>
          <w:caps/>
          <w:sz w:val="24"/>
          <w:lang w:val="ru-RU"/>
        </w:rPr>
        <w:t>екторе</w:t>
      </w:r>
      <w:r w:rsidRPr="000D54C3">
        <w:rPr>
          <w:caps/>
          <w:sz w:val="24"/>
          <w:lang w:val="ru-RU"/>
        </w:rPr>
        <w:t xml:space="preserve"> здравоохранения польши</w:t>
      </w:r>
      <w:r w:rsidR="002E773E" w:rsidRPr="000D54C3">
        <w:rPr>
          <w:caps/>
          <w:sz w:val="24"/>
          <w:lang w:val="ru-RU"/>
        </w:rPr>
        <w:t>»</w:t>
      </w:r>
      <w:r w:rsidR="00F966FD" w:rsidRPr="000D54C3">
        <w:rPr>
          <w:caps/>
          <w:sz w:val="24"/>
          <w:lang w:val="ru-RU"/>
        </w:rPr>
        <w:t xml:space="preserve"> </w:t>
      </w: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D703A4" w:rsidRPr="000D54C3" w:rsidRDefault="00A81DD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  <w:bookmarkStart w:id="5" w:name="Prepared"/>
      <w:bookmarkEnd w:id="5"/>
      <w:r w:rsidRPr="000D54C3">
        <w:rPr>
          <w:rFonts w:eastAsia="SimSun"/>
          <w:i/>
          <w:color w:val="auto"/>
          <w:szCs w:val="20"/>
          <w:lang w:val="ru-RU" w:eastAsia="zh-CN"/>
        </w:rPr>
        <w:t>Документ подготовлен Секретариатом</w:t>
      </w:r>
      <w:r w:rsidR="00D703A4" w:rsidRPr="000D54C3">
        <w:rPr>
          <w:rFonts w:eastAsia="SimSun"/>
          <w:i/>
          <w:color w:val="auto"/>
          <w:szCs w:val="20"/>
          <w:lang w:val="ru-RU" w:eastAsia="zh-CN"/>
        </w:rPr>
        <w:t xml:space="preserve"> </w:t>
      </w:r>
    </w:p>
    <w:p w:rsidR="00D703A4" w:rsidRPr="000D54C3" w:rsidRDefault="00D703A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53932" w:rsidRPr="000D54C3" w:rsidRDefault="00253932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i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D703A4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val="ru-RU"/>
        </w:rPr>
      </w:pPr>
      <w:r w:rsidRPr="000D54C3">
        <w:rPr>
          <w:rFonts w:eastAsia="Times New Roman"/>
          <w:color w:val="auto"/>
          <w:lang w:val="ru-RU"/>
        </w:rPr>
        <w:t>1</w:t>
      </w:r>
      <w:r w:rsidR="00262966" w:rsidRPr="000D54C3">
        <w:rPr>
          <w:rFonts w:eastAsia="Times New Roman"/>
          <w:color w:val="auto"/>
          <w:lang w:val="ru-RU"/>
        </w:rPr>
        <w:t>.</w:t>
      </w:r>
      <w:r w:rsidR="00262966" w:rsidRPr="000D54C3">
        <w:rPr>
          <w:rFonts w:eastAsia="Times New Roman"/>
          <w:color w:val="auto"/>
          <w:lang w:val="ru-RU"/>
        </w:rPr>
        <w:tab/>
      </w:r>
      <w:r w:rsidR="00A81DD4" w:rsidRPr="000D54C3">
        <w:rPr>
          <w:rFonts w:eastAsia="Times New Roman"/>
          <w:color w:val="auto"/>
          <w:lang w:val="ru-RU"/>
        </w:rPr>
        <w:t xml:space="preserve">В приложении к настоящему документу содержится резюме исследования «Интеллектуальная собственность в системе </w:t>
      </w:r>
      <w:r w:rsidR="00D4307F" w:rsidRPr="000D54C3">
        <w:rPr>
          <w:rFonts w:eastAsia="Times New Roman"/>
          <w:color w:val="auto"/>
          <w:lang w:val="ru-RU"/>
        </w:rPr>
        <w:t xml:space="preserve">инноваций </w:t>
      </w:r>
      <w:r w:rsidR="00A81DD4" w:rsidRPr="000D54C3">
        <w:rPr>
          <w:rFonts w:eastAsia="Times New Roman"/>
          <w:color w:val="auto"/>
          <w:lang w:val="ru-RU"/>
        </w:rPr>
        <w:t xml:space="preserve">в </w:t>
      </w:r>
      <w:r w:rsidR="003E1907" w:rsidRPr="000D54C3">
        <w:rPr>
          <w:rFonts w:eastAsia="Times New Roman"/>
          <w:color w:val="auto"/>
          <w:lang w:val="ru-RU"/>
        </w:rPr>
        <w:t>секторе</w:t>
      </w:r>
      <w:r w:rsidR="00A81DD4" w:rsidRPr="000D54C3">
        <w:rPr>
          <w:rFonts w:eastAsia="Times New Roman"/>
          <w:color w:val="auto"/>
          <w:lang w:val="ru-RU"/>
        </w:rPr>
        <w:t xml:space="preserve"> здравоохранения Польши», проведенного в рамках проекта «Интеллектуальная собственность и социально-экономическое развитие – этап </w:t>
      </w:r>
      <w:r w:rsidR="00262966" w:rsidRPr="000D54C3">
        <w:rPr>
          <w:rFonts w:eastAsia="Times New Roman"/>
          <w:color w:val="auto"/>
        </w:rPr>
        <w:t>II</w:t>
      </w:r>
      <w:r w:rsidR="00A81DD4" w:rsidRPr="000D54C3">
        <w:rPr>
          <w:rFonts w:eastAsia="Times New Roman"/>
          <w:color w:val="auto"/>
          <w:lang w:val="ru-RU"/>
        </w:rPr>
        <w:t>»</w:t>
      </w:r>
      <w:r w:rsidR="00262966" w:rsidRPr="000D54C3">
        <w:rPr>
          <w:rFonts w:eastAsia="Times New Roman"/>
          <w:color w:val="auto"/>
          <w:lang w:val="ru-RU"/>
        </w:rPr>
        <w:t xml:space="preserve"> (</w:t>
      </w:r>
      <w:r w:rsidR="00262966" w:rsidRPr="000D54C3">
        <w:rPr>
          <w:rFonts w:eastAsia="Times New Roman"/>
          <w:color w:val="auto"/>
        </w:rPr>
        <w:t>CDIP</w:t>
      </w:r>
      <w:r w:rsidR="00262966" w:rsidRPr="000D54C3">
        <w:rPr>
          <w:rFonts w:eastAsia="Times New Roman"/>
          <w:color w:val="auto"/>
          <w:lang w:val="ru-RU"/>
        </w:rPr>
        <w:t>/14</w:t>
      </w:r>
      <w:r w:rsidR="006E7A3C" w:rsidRPr="000D54C3">
        <w:rPr>
          <w:rFonts w:eastAsia="Times New Roman"/>
          <w:color w:val="auto"/>
          <w:lang w:val="ru-RU"/>
        </w:rPr>
        <w:t xml:space="preserve">/7). </w:t>
      </w:r>
      <w:r w:rsidR="00A81DD4" w:rsidRPr="000D54C3">
        <w:rPr>
          <w:rFonts w:eastAsia="Times New Roman"/>
          <w:color w:val="auto"/>
          <w:lang w:val="ru-RU"/>
        </w:rPr>
        <w:t xml:space="preserve">Исследование было проведено под руководством Секретариата ВОИС в сотрудничестве с </w:t>
      </w:r>
      <w:r w:rsidR="00E91A7C" w:rsidRPr="000D54C3">
        <w:rPr>
          <w:rFonts w:eastAsia="Times New Roman"/>
          <w:color w:val="auto"/>
          <w:lang w:val="ru-RU"/>
        </w:rPr>
        <w:t>Патентным ведомством Республики Польша</w:t>
      </w:r>
      <w:r w:rsidR="00F966FD" w:rsidRPr="000D54C3">
        <w:rPr>
          <w:rFonts w:eastAsia="Times New Roman"/>
          <w:color w:val="auto"/>
          <w:lang w:val="ru-RU"/>
        </w:rPr>
        <w:t xml:space="preserve"> </w:t>
      </w:r>
      <w:r w:rsidR="00542CF5" w:rsidRPr="000D54C3">
        <w:rPr>
          <w:lang w:val="ru-RU"/>
        </w:rPr>
        <w:t>(</w:t>
      </w:r>
      <w:r w:rsidR="00542CF5" w:rsidRPr="000D54C3">
        <w:t>PPO</w:t>
      </w:r>
      <w:r w:rsidR="00542CF5" w:rsidRPr="000D54C3">
        <w:rPr>
          <w:lang w:val="ru-RU"/>
        </w:rPr>
        <w:t>)</w:t>
      </w:r>
      <w:r w:rsidRPr="000D54C3">
        <w:rPr>
          <w:rFonts w:eastAsia="Times New Roman"/>
          <w:color w:val="auto"/>
          <w:lang w:val="ru-RU"/>
        </w:rPr>
        <w:t>.</w:t>
      </w: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color w:val="auto"/>
          <w:lang w:val="ru-RU"/>
        </w:rPr>
      </w:pPr>
    </w:p>
    <w:p w:rsidR="00262966" w:rsidRPr="000D54C3" w:rsidRDefault="002C4EAD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5534"/>
        <w:rPr>
          <w:rFonts w:eastAsia="SimSun"/>
          <w:i/>
          <w:color w:val="auto"/>
          <w:szCs w:val="20"/>
          <w:lang w:val="ru-RU" w:eastAsia="zh-CN"/>
        </w:rPr>
      </w:pPr>
      <w:r w:rsidRPr="000D54C3">
        <w:rPr>
          <w:rFonts w:eastAsia="SimSun"/>
          <w:i/>
          <w:iCs/>
          <w:color w:val="auto"/>
          <w:lang w:val="ru-RU" w:eastAsia="zh-CN"/>
        </w:rPr>
        <w:t>2</w:t>
      </w:r>
      <w:r w:rsidR="000230FF" w:rsidRPr="000D54C3">
        <w:rPr>
          <w:rFonts w:eastAsia="SimSun"/>
          <w:i/>
          <w:iCs/>
          <w:color w:val="auto"/>
          <w:lang w:val="ru-RU" w:eastAsia="zh-CN"/>
        </w:rPr>
        <w:t>.</w:t>
      </w:r>
      <w:r w:rsidR="000230FF" w:rsidRPr="000D54C3">
        <w:rPr>
          <w:rFonts w:eastAsia="SimSun"/>
          <w:i/>
          <w:iCs/>
          <w:color w:val="auto"/>
          <w:lang w:val="ru-RU" w:eastAsia="zh-CN"/>
        </w:rPr>
        <w:tab/>
      </w:r>
      <w:r w:rsidR="00262966" w:rsidRPr="000D54C3">
        <w:rPr>
          <w:rFonts w:eastAsia="SimSun"/>
          <w:i/>
          <w:iCs/>
          <w:color w:val="auto"/>
          <w:lang w:val="ru-RU" w:eastAsia="zh-CN"/>
        </w:rPr>
        <w:tab/>
      </w:r>
      <w:r w:rsidR="00E91A7C" w:rsidRPr="000D54C3">
        <w:rPr>
          <w:rFonts w:eastAsia="SimSun"/>
          <w:i/>
          <w:iCs/>
          <w:color w:val="auto"/>
          <w:lang w:val="ru-RU" w:eastAsia="zh-CN"/>
        </w:rPr>
        <w:t>КРИС предлагается принять к сведению информацию, содержащуюся в приложении к настоящему документу</w:t>
      </w:r>
      <w:r w:rsidR="00262966" w:rsidRPr="000D54C3">
        <w:rPr>
          <w:rFonts w:eastAsia="SimSun"/>
          <w:i/>
          <w:color w:val="auto"/>
          <w:szCs w:val="20"/>
          <w:lang w:val="ru-RU" w:eastAsia="zh-CN"/>
        </w:rPr>
        <w:t>.</w:t>
      </w: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</w:p>
    <w:p w:rsidR="00262966" w:rsidRPr="000D54C3" w:rsidRDefault="00262966" w:rsidP="0026296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34"/>
        <w:rPr>
          <w:rFonts w:eastAsia="SimSun"/>
          <w:color w:val="auto"/>
          <w:szCs w:val="20"/>
          <w:lang w:val="ru-RU" w:eastAsia="zh-CN"/>
        </w:rPr>
      </w:pPr>
      <w:r w:rsidRPr="000D54C3">
        <w:rPr>
          <w:rFonts w:eastAsia="SimSun"/>
          <w:color w:val="auto"/>
          <w:szCs w:val="20"/>
          <w:lang w:val="ru-RU" w:eastAsia="zh-CN"/>
        </w:rPr>
        <w:t>[</w:t>
      </w:r>
      <w:r w:rsidR="00E91A7C" w:rsidRPr="000D54C3">
        <w:rPr>
          <w:rFonts w:eastAsia="SimSun"/>
          <w:color w:val="auto"/>
          <w:szCs w:val="20"/>
          <w:lang w:val="ru-RU" w:eastAsia="zh-CN"/>
        </w:rPr>
        <w:t>Приложение следует</w:t>
      </w:r>
      <w:r w:rsidRPr="000D54C3">
        <w:rPr>
          <w:rFonts w:eastAsia="SimSun"/>
          <w:color w:val="auto"/>
          <w:szCs w:val="20"/>
          <w:lang w:val="ru-RU" w:eastAsia="zh-CN"/>
        </w:rPr>
        <w:t>]</w:t>
      </w:r>
    </w:p>
    <w:p w:rsidR="00262966" w:rsidRPr="000D54C3" w:rsidRDefault="00262966">
      <w:pPr>
        <w:rPr>
          <w:lang w:val="ru-RU"/>
        </w:rPr>
        <w:sectPr w:rsidR="00262966" w:rsidRPr="000D54C3" w:rsidSect="00253932">
          <w:headerReference w:type="default" r:id="rId9"/>
          <w:footerReference w:type="default" r:id="rId10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262966" w:rsidRPr="000D54C3" w:rsidRDefault="00262966">
      <w:pPr>
        <w:rPr>
          <w:b/>
          <w:sz w:val="28"/>
          <w:szCs w:val="28"/>
          <w:lang w:val="ru-RU"/>
        </w:rPr>
      </w:pPr>
    </w:p>
    <w:p w:rsidR="00147BE7" w:rsidRPr="000D54C3" w:rsidRDefault="00D4307F" w:rsidP="00D4307F">
      <w:pPr>
        <w:pStyle w:val="Title"/>
        <w:ind w:left="0" w:firstLine="0"/>
        <w:rPr>
          <w:lang w:val="ru-RU"/>
        </w:rPr>
      </w:pPr>
      <w:r w:rsidRPr="000D54C3">
        <w:rPr>
          <w:lang w:val="ru-RU"/>
        </w:rPr>
        <w:t>Интеллектуальная собственность в системе инноваций в с</w:t>
      </w:r>
      <w:r w:rsidR="003E1907" w:rsidRPr="000D54C3">
        <w:rPr>
          <w:lang w:val="ru-RU"/>
        </w:rPr>
        <w:t>екторе</w:t>
      </w:r>
      <w:r w:rsidRPr="000D54C3">
        <w:rPr>
          <w:lang w:val="ru-RU"/>
        </w:rPr>
        <w:t xml:space="preserve"> здравоохранения Польши</w:t>
      </w:r>
      <w:r w:rsidR="00691C43" w:rsidRPr="000D54C3">
        <w:rPr>
          <w:lang w:val="ru-RU"/>
        </w:rPr>
        <w:t xml:space="preserve"> </w:t>
      </w:r>
    </w:p>
    <w:p w:rsidR="00147BE7" w:rsidRPr="000D54C3" w:rsidRDefault="00147BE7">
      <w:pPr>
        <w:spacing w:after="120"/>
        <w:rPr>
          <w:lang w:val="ru-RU"/>
        </w:rPr>
      </w:pPr>
    </w:p>
    <w:p w:rsidR="00691C43" w:rsidRPr="000D54C3" w:rsidRDefault="00B549D4" w:rsidP="00691C43">
      <w:pPr>
        <w:rPr>
          <w:lang w:val="ru-RU"/>
        </w:rPr>
      </w:pPr>
      <w:r w:rsidRPr="000D54C3">
        <w:rPr>
          <w:lang w:val="ru-RU"/>
        </w:rPr>
        <w:t>В 2015 г. правительство Польши обратилось ко Всемирной организации интеллектуальной собственности (ВОИС) с просьбой провести экономическое исследование в Польше в рамках второго этапа проекта КРИС «Интеллектуальная собственность (ИС</w:t>
      </w:r>
      <w:r w:rsidR="00407354" w:rsidRPr="000D54C3">
        <w:rPr>
          <w:lang w:val="ru-RU"/>
        </w:rPr>
        <w:t>)</w:t>
      </w:r>
      <w:r w:rsidRPr="000D54C3">
        <w:rPr>
          <w:lang w:val="ru-RU"/>
        </w:rPr>
        <w:t xml:space="preserve"> и социально-экономическое развитие</w:t>
      </w:r>
      <w:r w:rsidR="00407354" w:rsidRPr="000D54C3">
        <w:rPr>
          <w:lang w:val="ru-RU"/>
        </w:rPr>
        <w:t>» (</w:t>
      </w:r>
      <w:r w:rsidRPr="000D54C3">
        <w:t>CDIP</w:t>
      </w:r>
      <w:r w:rsidRPr="000D54C3">
        <w:rPr>
          <w:lang w:val="ru-RU"/>
        </w:rPr>
        <w:t xml:space="preserve">/14/7).  </w:t>
      </w:r>
    </w:p>
    <w:p w:rsidR="00691C43" w:rsidRPr="000D54C3" w:rsidRDefault="00691C43" w:rsidP="00691C43">
      <w:pPr>
        <w:rPr>
          <w:lang w:val="ru-RU"/>
        </w:rPr>
      </w:pPr>
    </w:p>
    <w:p w:rsidR="00542CF5" w:rsidRPr="000D54C3" w:rsidRDefault="00B549D4" w:rsidP="00542CF5">
      <w:pPr>
        <w:rPr>
          <w:lang w:val="ru-RU"/>
        </w:rPr>
      </w:pPr>
      <w:r w:rsidRPr="000D54C3">
        <w:rPr>
          <w:lang w:val="ru-RU"/>
        </w:rPr>
        <w:t>По итогам двусторонних консультаций и в соответствии с целями политики правительства Польши была определена тема исследования: роль ИС в экосистеме инноваций в секторе здравоохранения в широком определении</w:t>
      </w:r>
      <w:r w:rsidR="00691C43" w:rsidRPr="000D54C3">
        <w:rPr>
          <w:rStyle w:val="FootnoteReference"/>
          <w:sz w:val="20"/>
        </w:rPr>
        <w:footnoteReference w:id="1"/>
      </w:r>
      <w:r w:rsidRPr="000D54C3">
        <w:rPr>
          <w:lang w:val="ru-RU"/>
        </w:rPr>
        <w:t>.</w:t>
      </w:r>
      <w:r w:rsidR="00691C43" w:rsidRPr="000D54C3">
        <w:rPr>
          <w:lang w:val="ru-RU"/>
        </w:rPr>
        <w:t xml:space="preserve"> </w:t>
      </w:r>
      <w:r w:rsidR="00F04B54" w:rsidRPr="000D54C3">
        <w:rPr>
          <w:lang w:val="ru-RU"/>
        </w:rPr>
        <w:t>В связи с этим Патентное ведомство Республики Польша (РРО) организовало семинар с участием ключевых заинтересованных сторон, представляющих сектор здравоохранения, в</w:t>
      </w:r>
      <w:r w:rsidR="00407354" w:rsidRPr="000D54C3">
        <w:rPr>
          <w:lang w:val="ru-RU"/>
        </w:rPr>
        <w:t>ключая</w:t>
      </w:r>
      <w:r w:rsidR="00F04B54" w:rsidRPr="000D54C3">
        <w:rPr>
          <w:lang w:val="ru-RU"/>
        </w:rPr>
        <w:t xml:space="preserve"> Министерств</w:t>
      </w:r>
      <w:r w:rsidR="00407354" w:rsidRPr="000D54C3">
        <w:rPr>
          <w:lang w:val="ru-RU"/>
        </w:rPr>
        <w:t>о</w:t>
      </w:r>
      <w:r w:rsidR="00F04B54" w:rsidRPr="000D54C3">
        <w:rPr>
          <w:lang w:val="ru-RU"/>
        </w:rPr>
        <w:t xml:space="preserve"> здравоохранения, Министерств</w:t>
      </w:r>
      <w:r w:rsidR="00407354" w:rsidRPr="000D54C3">
        <w:rPr>
          <w:lang w:val="ru-RU"/>
        </w:rPr>
        <w:t>о</w:t>
      </w:r>
      <w:r w:rsidR="00F04B54" w:rsidRPr="000D54C3">
        <w:rPr>
          <w:lang w:val="ru-RU"/>
        </w:rPr>
        <w:t xml:space="preserve"> экономики, Центральн</w:t>
      </w:r>
      <w:r w:rsidR="00407354" w:rsidRPr="000D54C3">
        <w:rPr>
          <w:lang w:val="ru-RU"/>
        </w:rPr>
        <w:t xml:space="preserve">ое статистическое ведомство </w:t>
      </w:r>
      <w:r w:rsidR="00F04B54" w:rsidRPr="000D54C3">
        <w:rPr>
          <w:lang w:val="ru-RU"/>
        </w:rPr>
        <w:t>Польши, Министерств</w:t>
      </w:r>
      <w:r w:rsidR="00407354" w:rsidRPr="000D54C3">
        <w:rPr>
          <w:lang w:val="ru-RU"/>
        </w:rPr>
        <w:t>о</w:t>
      </w:r>
      <w:r w:rsidR="00F04B54" w:rsidRPr="000D54C3">
        <w:rPr>
          <w:lang w:val="ru-RU"/>
        </w:rPr>
        <w:t xml:space="preserve"> науки и высшего образования, Польск</w:t>
      </w:r>
      <w:r w:rsidR="00407354" w:rsidRPr="000D54C3">
        <w:rPr>
          <w:lang w:val="ru-RU"/>
        </w:rPr>
        <w:t xml:space="preserve">ую академию </w:t>
      </w:r>
      <w:r w:rsidR="00F04B54" w:rsidRPr="000D54C3">
        <w:rPr>
          <w:lang w:val="ru-RU"/>
        </w:rPr>
        <w:t>наук, Университет Варшавы, Ягеллонск</w:t>
      </w:r>
      <w:r w:rsidR="00407354" w:rsidRPr="000D54C3">
        <w:rPr>
          <w:lang w:val="ru-RU"/>
        </w:rPr>
        <w:t>ий</w:t>
      </w:r>
      <w:r w:rsidR="00F04B54" w:rsidRPr="000D54C3">
        <w:rPr>
          <w:lang w:val="ru-RU"/>
        </w:rPr>
        <w:t xml:space="preserve"> университет и представителей отрасли.</w:t>
      </w:r>
    </w:p>
    <w:p w:rsidR="00691C43" w:rsidRPr="000D54C3" w:rsidRDefault="00691C43" w:rsidP="00691C43">
      <w:pPr>
        <w:rPr>
          <w:lang w:val="ru-RU"/>
        </w:rPr>
      </w:pPr>
    </w:p>
    <w:p w:rsidR="00691C43" w:rsidRPr="000D54C3" w:rsidRDefault="004F7B8A" w:rsidP="00060879">
      <w:pPr>
        <w:rPr>
          <w:lang w:val="ru-RU"/>
        </w:rPr>
      </w:pPr>
      <w:r w:rsidRPr="000D54C3">
        <w:rPr>
          <w:lang w:val="ru-RU"/>
        </w:rPr>
        <w:t xml:space="preserve">Результаты предварительного исследования и </w:t>
      </w:r>
      <w:r w:rsidR="00407354" w:rsidRPr="000D54C3">
        <w:rPr>
          <w:lang w:val="ru-RU"/>
        </w:rPr>
        <w:t xml:space="preserve">миссий для сбора информации </w:t>
      </w:r>
      <w:r w:rsidRPr="000D54C3">
        <w:rPr>
          <w:lang w:val="ru-RU"/>
        </w:rPr>
        <w:t xml:space="preserve">продемонстрировали, что в Польше, очевидно, сформировалось активное и растущее научное сообщество в области естественных наук, отчасти благодаря существенной поддержке со стороны структурных фондов Европейского союза. В некоторых областях деятельности Польша, судя по всему, обладает инновационным потенциалом, в частности, в таких областях, как фундаментальные исследования в сфере биотехнологий в некоторых областях медицины, индивидуализированная медицина, дистанционное оказание медицинских услуг, непатентованные лекарственные средства и проведение клинических испытаний. </w:t>
      </w:r>
      <w:r w:rsidR="00016B7D" w:rsidRPr="000D54C3">
        <w:rPr>
          <w:lang w:val="ru-RU"/>
        </w:rPr>
        <w:t>Тем не менее, большинство НИОКР по-прежнему финансируются за счет государственных средств, что частично объясняет довольно скромные достижения бюро передачи технологий в том, что касается коммерциализации научных изобретений, несмотря на значительное число подаваемых патентных заявок и создание многочисленных учреждений, занимающихся передачей технологий.</w:t>
      </w:r>
    </w:p>
    <w:p w:rsidR="00060879" w:rsidRPr="000D54C3" w:rsidRDefault="00060879" w:rsidP="00060879">
      <w:pPr>
        <w:rPr>
          <w:lang w:val="ru-RU"/>
        </w:rPr>
      </w:pPr>
    </w:p>
    <w:p w:rsidR="00691C43" w:rsidRPr="000D54C3" w:rsidRDefault="008D463C" w:rsidP="00691C43">
      <w:pPr>
        <w:spacing w:after="240"/>
        <w:rPr>
          <w:lang w:val="ru-RU"/>
        </w:rPr>
      </w:pPr>
      <w:r w:rsidRPr="000D54C3">
        <w:rPr>
          <w:lang w:val="ru-RU"/>
        </w:rPr>
        <w:t>В ходе странового исследования эти и другие, связанные с ними вопросы были изучены более подробно, что позволило получить представление о ландшафте инноваций и использовании ИС в секторе здравоохранения Польши.</w:t>
      </w:r>
    </w:p>
    <w:p w:rsidR="00147BE7" w:rsidRPr="000D54C3" w:rsidRDefault="008D463C">
      <w:pPr>
        <w:rPr>
          <w:lang w:val="ru-RU"/>
        </w:rPr>
      </w:pPr>
      <w:r w:rsidRPr="000D54C3">
        <w:rPr>
          <w:lang w:val="ru-RU"/>
        </w:rPr>
        <w:t>Исследование было проведено в период с мая 2016 г. по август 2018 г. в сотрудничестве с РРО и другими государственными ведомствами Польши. Настоящий документ содержит краткое описание исследования и его основных результатов.</w:t>
      </w:r>
    </w:p>
    <w:p w:rsidR="00147BE7" w:rsidRPr="000D54C3" w:rsidRDefault="00147BE7">
      <w:pPr>
        <w:rPr>
          <w:lang w:val="ru-RU"/>
        </w:rPr>
      </w:pPr>
    </w:p>
    <w:p w:rsidR="00147BE7" w:rsidRPr="000D54C3" w:rsidRDefault="00147BE7">
      <w:pPr>
        <w:rPr>
          <w:lang w:val="ru-RU"/>
        </w:rPr>
      </w:pPr>
    </w:p>
    <w:p w:rsidR="00147BE7" w:rsidRPr="000D54C3" w:rsidRDefault="008D463C">
      <w:pPr>
        <w:pStyle w:val="Heading1"/>
        <w:rPr>
          <w:lang w:val="ru-RU"/>
        </w:rPr>
      </w:pPr>
      <w:r w:rsidRPr="000D54C3">
        <w:rPr>
          <w:lang w:val="ru-RU"/>
        </w:rPr>
        <w:t>Цели</w:t>
      </w:r>
    </w:p>
    <w:p w:rsidR="00147BE7" w:rsidRPr="000D54C3" w:rsidRDefault="00147BE7">
      <w:pPr>
        <w:rPr>
          <w:lang w:val="ru-RU"/>
        </w:rPr>
      </w:pPr>
    </w:p>
    <w:p w:rsidR="00F543C8" w:rsidRPr="000D54C3" w:rsidRDefault="008D463C" w:rsidP="00F543C8">
      <w:pPr>
        <w:rPr>
          <w:lang w:val="ru-RU"/>
        </w:rPr>
      </w:pPr>
      <w:r w:rsidRPr="000D54C3">
        <w:rPr>
          <w:lang w:val="ru-RU"/>
        </w:rPr>
        <w:t xml:space="preserve">Главной целью исследования </w:t>
      </w:r>
      <w:r w:rsidR="00934A45" w:rsidRPr="000D54C3">
        <w:rPr>
          <w:lang w:val="ru-RU"/>
        </w:rPr>
        <w:t>было</w:t>
      </w:r>
      <w:r w:rsidRPr="000D54C3">
        <w:rPr>
          <w:lang w:val="ru-RU"/>
        </w:rPr>
        <w:t xml:space="preserve"> содействие разработке основанной на фактах политики в области </w:t>
      </w:r>
      <w:r w:rsidR="00A10563" w:rsidRPr="000D54C3">
        <w:rPr>
          <w:lang w:val="ru-RU"/>
        </w:rPr>
        <w:t xml:space="preserve">инноваций и </w:t>
      </w:r>
      <w:r w:rsidRPr="000D54C3">
        <w:rPr>
          <w:lang w:val="ru-RU"/>
        </w:rPr>
        <w:t>ИС в</w:t>
      </w:r>
      <w:r w:rsidR="00A10563" w:rsidRPr="000D54C3">
        <w:rPr>
          <w:lang w:val="ru-RU"/>
        </w:rPr>
        <w:t xml:space="preserve"> секторе здравоохранения Польши. В ходе исследования собирались и систематизировались данные о современных тенденциях в области инноваций и использования ИС в инновационной системе сектора здравоохранения Польши, а также о потенциальных возможностях для увеличения объема и многообразия инструментов охраны ИС. </w:t>
      </w:r>
      <w:r w:rsidR="0024306B" w:rsidRPr="000D54C3">
        <w:rPr>
          <w:lang w:val="ru-RU"/>
        </w:rPr>
        <w:t xml:space="preserve">На основе качественных показателей были оценены значение ИС для сектора здравоохранения Польши и факторы, </w:t>
      </w:r>
      <w:r w:rsidR="0024306B" w:rsidRPr="000D54C3">
        <w:rPr>
          <w:lang w:val="ru-RU"/>
        </w:rPr>
        <w:lastRenderedPageBreak/>
        <w:t xml:space="preserve">ограничивающие возможности для ее использования, что позволило получить общую информацию о </w:t>
      </w:r>
      <w:r w:rsidR="00934A45" w:rsidRPr="000D54C3">
        <w:rPr>
          <w:lang w:val="ru-RU"/>
        </w:rPr>
        <w:t xml:space="preserve">не охраняемых патентами </w:t>
      </w:r>
      <w:r w:rsidR="0024306B" w:rsidRPr="000D54C3">
        <w:rPr>
          <w:lang w:val="ru-RU"/>
        </w:rPr>
        <w:t>инновациях в секторе здравоохранения</w:t>
      </w:r>
      <w:r w:rsidR="00934A45" w:rsidRPr="000D54C3">
        <w:rPr>
          <w:lang w:val="ru-RU"/>
        </w:rPr>
        <w:t xml:space="preserve"> </w:t>
      </w:r>
      <w:r w:rsidR="0024306B" w:rsidRPr="000D54C3">
        <w:rPr>
          <w:lang w:val="ru-RU"/>
        </w:rPr>
        <w:t>и представить оптимальную практику управления ПИС.</w:t>
      </w:r>
    </w:p>
    <w:p w:rsidR="00F543C8" w:rsidRPr="000D54C3" w:rsidRDefault="00F543C8" w:rsidP="00F543C8">
      <w:pPr>
        <w:spacing w:line="276" w:lineRule="auto"/>
        <w:rPr>
          <w:lang w:val="ru-RU"/>
        </w:rPr>
      </w:pPr>
    </w:p>
    <w:p w:rsidR="00F543C8" w:rsidRPr="000D54C3" w:rsidRDefault="00E42692" w:rsidP="00F543C8">
      <w:pPr>
        <w:spacing w:line="276" w:lineRule="auto"/>
        <w:rPr>
          <w:lang w:val="ru-RU"/>
        </w:rPr>
      </w:pPr>
      <w:r w:rsidRPr="000D54C3">
        <w:rPr>
          <w:lang w:val="ru-RU"/>
        </w:rPr>
        <w:t xml:space="preserve">Исследование должно было, в частности, ответить на </w:t>
      </w:r>
      <w:r w:rsidR="0015192F" w:rsidRPr="000D54C3">
        <w:rPr>
          <w:lang w:val="ru-RU"/>
        </w:rPr>
        <w:t xml:space="preserve">следующие </w:t>
      </w:r>
      <w:r w:rsidRPr="000D54C3">
        <w:rPr>
          <w:lang w:val="ru-RU"/>
        </w:rPr>
        <w:t>вопросы:</w:t>
      </w:r>
    </w:p>
    <w:p w:rsidR="00F543C8" w:rsidRPr="000D54C3" w:rsidRDefault="00F543C8" w:rsidP="00F543C8">
      <w:pPr>
        <w:spacing w:line="276" w:lineRule="auto"/>
        <w:rPr>
          <w:b/>
          <w:u w:val="single"/>
          <w:lang w:val="ru-RU"/>
        </w:rPr>
      </w:pPr>
    </w:p>
    <w:p w:rsidR="00F543C8" w:rsidRPr="000D54C3" w:rsidRDefault="00E66D52" w:rsidP="00E66D5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rPr>
          <w:lang w:val="ru-RU"/>
        </w:rPr>
      </w:pPr>
      <w:r w:rsidRPr="000D54C3">
        <w:rPr>
          <w:lang w:val="ru-RU"/>
        </w:rPr>
        <w:t>Какие факторы влияют на эффективность инноваций в секторе здравоохранения Польши?</w:t>
      </w:r>
    </w:p>
    <w:p w:rsidR="00F543C8" w:rsidRPr="000D54C3" w:rsidRDefault="00E66D52" w:rsidP="00E66D5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rPr>
          <w:lang w:val="ru-RU"/>
        </w:rPr>
      </w:pPr>
      <w:r w:rsidRPr="000D54C3">
        <w:rPr>
          <w:lang w:val="ru-RU"/>
        </w:rPr>
        <w:t>В чем значение системы ИС для этого сектора?</w:t>
      </w:r>
    </w:p>
    <w:p w:rsidR="00F543C8" w:rsidRPr="000D54C3" w:rsidRDefault="00E66D52" w:rsidP="00E66D5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rPr>
          <w:lang w:val="ru-RU"/>
        </w:rPr>
      </w:pPr>
      <w:r w:rsidRPr="000D54C3">
        <w:rPr>
          <w:lang w:val="ru-RU"/>
        </w:rPr>
        <w:t xml:space="preserve">Чем объясняются </w:t>
      </w:r>
      <w:r w:rsidR="001F1F3E" w:rsidRPr="000D54C3">
        <w:rPr>
          <w:lang w:val="ru-RU"/>
        </w:rPr>
        <w:t>различия в подходах к патентованию, используемых разными заинтересованными сторонами, представляющими науку и отрасль?</w:t>
      </w:r>
    </w:p>
    <w:p w:rsidR="00F543C8" w:rsidRPr="000D54C3" w:rsidRDefault="001F1F3E" w:rsidP="00E66D5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rPr>
          <w:lang w:val="ru-RU"/>
        </w:rPr>
      </w:pPr>
      <w:r w:rsidRPr="000D54C3">
        <w:rPr>
          <w:lang w:val="ru-RU"/>
        </w:rPr>
        <w:t>В чем заключаются альтернативные методы охраны инноваций, имеющих отношение к здравоохранению?</w:t>
      </w:r>
    </w:p>
    <w:p w:rsidR="00F543C8" w:rsidRPr="000D54C3" w:rsidRDefault="001F1F3E" w:rsidP="00E66D52">
      <w:pPr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line="276" w:lineRule="auto"/>
        <w:ind w:left="567" w:firstLine="0"/>
        <w:rPr>
          <w:lang w:val="ru-RU"/>
        </w:rPr>
      </w:pPr>
      <w:r w:rsidRPr="000D54C3">
        <w:rPr>
          <w:lang w:val="ru-RU"/>
        </w:rPr>
        <w:t>В чем заключаются примеры оптимальной практики управления ПИС в сфере здравоохранения и наиболее эффективных патентных стратегий, используемых в этой отрасли?</w:t>
      </w:r>
    </w:p>
    <w:p w:rsidR="00F543C8" w:rsidRPr="000D54C3" w:rsidRDefault="00F543C8">
      <w:pPr>
        <w:rPr>
          <w:lang w:val="ru-RU"/>
        </w:rPr>
      </w:pPr>
    </w:p>
    <w:p w:rsidR="00F543C8" w:rsidRPr="000D54C3" w:rsidRDefault="00F543C8">
      <w:pPr>
        <w:rPr>
          <w:lang w:val="ru-RU"/>
        </w:rPr>
      </w:pPr>
    </w:p>
    <w:p w:rsidR="00147BE7" w:rsidRPr="000D54C3" w:rsidRDefault="001F1F3E">
      <w:pPr>
        <w:pStyle w:val="Heading1"/>
      </w:pPr>
      <w:r w:rsidRPr="000D54C3">
        <w:rPr>
          <w:lang w:val="ru-RU"/>
        </w:rPr>
        <w:t>Координация и реализация</w:t>
      </w:r>
    </w:p>
    <w:p w:rsidR="00147BE7" w:rsidRPr="000D54C3" w:rsidRDefault="00147BE7"/>
    <w:p w:rsidR="00396B8C" w:rsidRPr="000D54C3" w:rsidRDefault="001F1F3E" w:rsidP="00BB36FF">
      <w:pPr>
        <w:rPr>
          <w:lang w:val="ru-RU"/>
        </w:rPr>
      </w:pPr>
      <w:r w:rsidRPr="000D54C3">
        <w:rPr>
          <w:lang w:val="ru-RU"/>
        </w:rPr>
        <w:t>Для проведения исследования необходимо было обеспечить координацию между</w:t>
      </w:r>
      <w:r w:rsidR="00A66034" w:rsidRPr="000D54C3">
        <w:rPr>
          <w:lang w:val="ru-RU"/>
        </w:rPr>
        <w:t xml:space="preserve"> Отделом экономики и статистики ВОИС и РРО. За аналитические компоненты исследовательской работы, которая осуществлялась под руководством Отдела экономики и статистики (ОЭС) ВОИС и РРО, отвечали местные консультанты и персонал РРО. ВОИС и РРО </w:t>
      </w:r>
      <w:r w:rsidR="002E773E" w:rsidRPr="000D54C3">
        <w:rPr>
          <w:lang w:val="ru-RU"/>
        </w:rPr>
        <w:t>предоставили информацию по существу вопроса</w:t>
      </w:r>
      <w:r w:rsidR="00A66034" w:rsidRPr="000D54C3">
        <w:rPr>
          <w:lang w:val="ru-RU"/>
        </w:rPr>
        <w:t xml:space="preserve">, основываясь на своем международном и национальном опыте работы в области ИС. Кроме того, </w:t>
      </w:r>
      <w:r w:rsidR="006C68FC" w:rsidRPr="000D54C3">
        <w:rPr>
          <w:lang w:val="ru-RU"/>
        </w:rPr>
        <w:t>реализации проекта способствовал опыт и знания различных заинтересованных сторон в правительстве, научных кругах и частном секторе Польши, которые внесли свой вклад в реализацию компонента</w:t>
      </w:r>
      <w:r w:rsidR="002E773E" w:rsidRPr="000D54C3">
        <w:rPr>
          <w:lang w:val="ru-RU"/>
        </w:rPr>
        <w:t xml:space="preserve"> исследования</w:t>
      </w:r>
      <w:r w:rsidR="006C68FC" w:rsidRPr="000D54C3">
        <w:rPr>
          <w:lang w:val="ru-RU"/>
        </w:rPr>
        <w:t xml:space="preserve">, связанного с </w:t>
      </w:r>
      <w:r w:rsidR="002E773E" w:rsidRPr="000D54C3">
        <w:rPr>
          <w:lang w:val="ru-RU"/>
        </w:rPr>
        <w:t>оценкой качества</w:t>
      </w:r>
      <w:r w:rsidR="006C68FC" w:rsidRPr="000D54C3">
        <w:rPr>
          <w:lang w:val="ru-RU"/>
        </w:rPr>
        <w:t>, представили свои комментарии относительно исследовательской работы на техническом семинаре и действовали в качестве экспертов по оценке проекта.</w:t>
      </w:r>
    </w:p>
    <w:p w:rsidR="00BB36FF" w:rsidRPr="000D54C3" w:rsidRDefault="00BB36FF" w:rsidP="00BB36FF">
      <w:pPr>
        <w:rPr>
          <w:lang w:val="ru-RU"/>
        </w:rPr>
      </w:pPr>
    </w:p>
    <w:p w:rsidR="00F71A92" w:rsidRPr="000D54C3" w:rsidRDefault="00F71A92">
      <w:pPr>
        <w:rPr>
          <w:lang w:val="ru-RU"/>
        </w:rPr>
      </w:pPr>
    </w:p>
    <w:p w:rsidR="00147BE7" w:rsidRPr="000D54C3" w:rsidRDefault="006C68FC">
      <w:pPr>
        <w:pStyle w:val="Heading1"/>
      </w:pPr>
      <w:r w:rsidRPr="000D54C3">
        <w:rPr>
          <w:lang w:val="ru-RU"/>
        </w:rPr>
        <w:t>Методика</w:t>
      </w:r>
      <w:r w:rsidRPr="000D54C3">
        <w:t xml:space="preserve"> </w:t>
      </w:r>
      <w:r w:rsidRPr="000D54C3">
        <w:rPr>
          <w:lang w:val="ru-RU"/>
        </w:rPr>
        <w:t>исследования</w:t>
      </w:r>
      <w:r w:rsidR="007070E3" w:rsidRPr="000D54C3">
        <w:t xml:space="preserve"> </w:t>
      </w:r>
    </w:p>
    <w:p w:rsidR="00147BE7" w:rsidRPr="000D54C3" w:rsidRDefault="00147BE7"/>
    <w:p w:rsidR="003132CD" w:rsidRPr="000D54C3" w:rsidRDefault="006C68FC" w:rsidP="00DD7051">
      <w:pPr>
        <w:rPr>
          <w:lang w:val="ru-RU"/>
        </w:rPr>
      </w:pPr>
      <w:r w:rsidRPr="000D54C3">
        <w:rPr>
          <w:lang w:val="ru-RU"/>
        </w:rPr>
        <w:t xml:space="preserve">Исследование состояло из трех основных компонентов: (1) статистический анализ инноваций в фармацевтической и медико-технологической отраслях; (2) составление карты патентного ландшафта </w:t>
      </w:r>
      <w:r w:rsidR="009C2352" w:rsidRPr="000D54C3">
        <w:rPr>
          <w:lang w:val="ru-RU"/>
        </w:rPr>
        <w:t>в фармацевтической и медико-технологической отраслях; и (3) качественная оценка инновационного потенциала этих отраслей.</w:t>
      </w:r>
    </w:p>
    <w:p w:rsidR="003132CD" w:rsidRPr="000D54C3" w:rsidRDefault="003132CD" w:rsidP="00DD7051">
      <w:pPr>
        <w:rPr>
          <w:lang w:val="ru-RU"/>
        </w:rPr>
      </w:pPr>
    </w:p>
    <w:p w:rsidR="00DD4F32" w:rsidRPr="000D54C3" w:rsidRDefault="009C2352">
      <w:pPr>
        <w:rPr>
          <w:lang w:val="ru-RU"/>
        </w:rPr>
      </w:pPr>
      <w:r w:rsidRPr="000D54C3">
        <w:rPr>
          <w:lang w:val="ru-RU"/>
        </w:rPr>
        <w:t>В рамках каждого из компонентов использовались специальные методы, вкратце описанные ниже.</w:t>
      </w:r>
    </w:p>
    <w:p w:rsidR="00DD4F32" w:rsidRPr="000D54C3" w:rsidRDefault="00DD4F32">
      <w:pPr>
        <w:rPr>
          <w:lang w:val="ru-RU"/>
        </w:rPr>
      </w:pPr>
    </w:p>
    <w:p w:rsidR="003C2782" w:rsidRPr="000D54C3" w:rsidRDefault="003C2782">
      <w:pPr>
        <w:rPr>
          <w:lang w:val="ru-RU"/>
        </w:rPr>
      </w:pPr>
    </w:p>
    <w:p w:rsidR="003C2782" w:rsidRPr="000D54C3" w:rsidRDefault="003132CD" w:rsidP="003C2782">
      <w:pPr>
        <w:pStyle w:val="Heading2"/>
        <w:rPr>
          <w:lang w:val="ru-RU"/>
        </w:rPr>
      </w:pPr>
      <w:r w:rsidRPr="000D54C3">
        <w:rPr>
          <w:lang w:val="ru-RU"/>
        </w:rPr>
        <w:t xml:space="preserve">1 </w:t>
      </w:r>
      <w:r w:rsidR="009C2352" w:rsidRPr="000D54C3">
        <w:rPr>
          <w:lang w:val="ru-RU"/>
        </w:rPr>
        <w:t>–</w:t>
      </w:r>
      <w:r w:rsidRPr="000D54C3">
        <w:rPr>
          <w:lang w:val="ru-RU"/>
        </w:rPr>
        <w:t xml:space="preserve"> </w:t>
      </w:r>
      <w:r w:rsidR="009C2352" w:rsidRPr="000D54C3">
        <w:rPr>
          <w:lang w:val="ru-RU"/>
        </w:rPr>
        <w:t>Инновации в фармацевтической и медико-технологической отраслях</w:t>
      </w:r>
    </w:p>
    <w:p w:rsidR="003C2782" w:rsidRPr="000D54C3" w:rsidRDefault="003C2782" w:rsidP="003C2782">
      <w:pPr>
        <w:rPr>
          <w:lang w:val="ru-RU"/>
        </w:rPr>
      </w:pPr>
    </w:p>
    <w:p w:rsidR="003C2782" w:rsidRPr="000D54C3" w:rsidRDefault="009C2352" w:rsidP="003C2782">
      <w:pPr>
        <w:rPr>
          <w:lang w:val="ru-RU"/>
        </w:rPr>
      </w:pPr>
      <w:r w:rsidRPr="000D54C3">
        <w:rPr>
          <w:lang w:val="ru-RU"/>
        </w:rPr>
        <w:t xml:space="preserve">Предметом анализа были отдельные экономические аспекты фармацевтической и медико-технологической отраслей, причем особое внимание уделялось их инновационному потенциалу и развитию. Анализ основывался на достоверных статистических </w:t>
      </w:r>
      <w:r w:rsidR="006C684A" w:rsidRPr="000D54C3">
        <w:rPr>
          <w:lang w:val="ru-RU"/>
        </w:rPr>
        <w:t>данных, получаемых из проверенных источников. В ходе исследования фиксировались статистические показатели развития этих отраслей и их инновационн</w:t>
      </w:r>
      <w:r w:rsidR="00934A45" w:rsidRPr="000D54C3">
        <w:rPr>
          <w:lang w:val="ru-RU"/>
        </w:rPr>
        <w:t>ые аспекты</w:t>
      </w:r>
      <w:r w:rsidR="006C684A" w:rsidRPr="000D54C3">
        <w:rPr>
          <w:lang w:val="ru-RU"/>
        </w:rPr>
        <w:t xml:space="preserve">. Во всех возможных случаях основные показатели сравнивались с аналогичными показателями по другим странам Европейского союза (ЕС). В анализе использовались </w:t>
      </w:r>
      <w:r w:rsidR="006C684A" w:rsidRPr="000D54C3">
        <w:rPr>
          <w:lang w:val="ru-RU"/>
        </w:rPr>
        <w:lastRenderedPageBreak/>
        <w:t>также подробные данные об инновациях по отдельным фирмам для описания инновационной деятельности, источников финансирования, сотрудничества, источников знаний и факторов, препятствующих деятельности.</w:t>
      </w:r>
    </w:p>
    <w:p w:rsidR="003C2782" w:rsidRPr="000D54C3" w:rsidRDefault="003C2782" w:rsidP="003C2782">
      <w:pPr>
        <w:rPr>
          <w:lang w:val="ru-RU"/>
        </w:rPr>
      </w:pPr>
    </w:p>
    <w:p w:rsidR="001F723F" w:rsidRPr="000D54C3" w:rsidRDefault="006C684A" w:rsidP="00DD4F32">
      <w:pPr>
        <w:rPr>
          <w:lang w:val="ru-RU"/>
        </w:rPr>
      </w:pPr>
      <w:r w:rsidRPr="000D54C3">
        <w:rPr>
          <w:lang w:val="ru-RU"/>
        </w:rPr>
        <w:t>Главными источниками данных для анализа были Центральное статистическое ведомство Польши, Евростат, годовые отчеты предприятий отрасли и существующая научно-техническая литература.</w:t>
      </w:r>
    </w:p>
    <w:p w:rsidR="001F723F" w:rsidRPr="000D54C3" w:rsidRDefault="001F723F" w:rsidP="003C2782">
      <w:pPr>
        <w:rPr>
          <w:lang w:val="ru-RU"/>
        </w:rPr>
      </w:pPr>
    </w:p>
    <w:p w:rsidR="003C2782" w:rsidRPr="000D54C3" w:rsidRDefault="003C2782">
      <w:pPr>
        <w:rPr>
          <w:lang w:val="ru-RU"/>
        </w:rPr>
      </w:pPr>
    </w:p>
    <w:p w:rsidR="00F543BD" w:rsidRPr="000D54C3" w:rsidRDefault="003132CD" w:rsidP="00F543BD">
      <w:pPr>
        <w:pStyle w:val="Heading2"/>
        <w:rPr>
          <w:lang w:val="ru-RU"/>
        </w:rPr>
      </w:pPr>
      <w:r w:rsidRPr="000D54C3">
        <w:rPr>
          <w:lang w:val="ru-RU"/>
        </w:rPr>
        <w:t>2</w:t>
      </w:r>
      <w:r w:rsidR="009A0F71" w:rsidRPr="000D54C3">
        <w:rPr>
          <w:lang w:val="ru-RU"/>
        </w:rPr>
        <w:t xml:space="preserve"> –</w:t>
      </w:r>
      <w:r w:rsidRPr="000D54C3">
        <w:rPr>
          <w:lang w:val="ru-RU"/>
        </w:rPr>
        <w:t xml:space="preserve"> </w:t>
      </w:r>
      <w:r w:rsidR="009A0F71" w:rsidRPr="000D54C3">
        <w:rPr>
          <w:lang w:val="ru-RU"/>
        </w:rPr>
        <w:t>Составление карты патентного ландшафта в области технологий</w:t>
      </w:r>
      <w:r w:rsidR="00560485" w:rsidRPr="000D54C3">
        <w:rPr>
          <w:lang w:val="ru-RU"/>
        </w:rPr>
        <w:t>, связанных со здравоохранением</w:t>
      </w:r>
    </w:p>
    <w:p w:rsidR="00F543BD" w:rsidRPr="000D54C3" w:rsidRDefault="00F543BD" w:rsidP="00F543BD">
      <w:pPr>
        <w:rPr>
          <w:lang w:val="ru-RU"/>
        </w:rPr>
      </w:pPr>
    </w:p>
    <w:p w:rsidR="00F543BD" w:rsidRPr="000D54C3" w:rsidRDefault="009A0F71" w:rsidP="00F543BD">
      <w:pPr>
        <w:rPr>
          <w:lang w:val="ru-RU"/>
        </w:rPr>
      </w:pPr>
      <w:r w:rsidRPr="000D54C3">
        <w:rPr>
          <w:lang w:val="ru-RU"/>
        </w:rPr>
        <w:t>В центре внимания анализа были тенденции в области подачи заявок</w:t>
      </w:r>
      <w:r w:rsidR="002B00B2" w:rsidRPr="000D54C3">
        <w:rPr>
          <w:lang w:val="ru-RU"/>
        </w:rPr>
        <w:t xml:space="preserve"> на патенты и полезные модели как в Польше, так и польскими заявителями за рубежом. Анализ основывался на широко используемых количественных показателях по патентам и на экспертных знаниях и опыте сотрудников РРО и </w:t>
      </w:r>
      <w:r w:rsidR="002D5247" w:rsidRPr="000D54C3">
        <w:rPr>
          <w:lang w:val="ru-RU"/>
        </w:rPr>
        <w:t xml:space="preserve">ОЭС ВОИС в области патентной экспертизы и статистики ИС. Использованные в анализе понятия и определения соответствовали основным определениям, содержащимся в современной научной литературе и работах на тему ИС, либо представляли собой адаптированную версию этих </w:t>
      </w:r>
      <w:r w:rsidR="000527FD" w:rsidRPr="000D54C3">
        <w:rPr>
          <w:lang w:val="ru-RU"/>
        </w:rPr>
        <w:t xml:space="preserve">понятий и </w:t>
      </w:r>
      <w:r w:rsidR="002D5247" w:rsidRPr="000D54C3">
        <w:rPr>
          <w:lang w:val="ru-RU"/>
        </w:rPr>
        <w:t>определений.</w:t>
      </w:r>
    </w:p>
    <w:p w:rsidR="00F543BD" w:rsidRPr="000D54C3" w:rsidRDefault="00F543BD" w:rsidP="00F543BD">
      <w:pPr>
        <w:rPr>
          <w:lang w:val="ru-RU"/>
        </w:rPr>
      </w:pPr>
    </w:p>
    <w:p w:rsidR="00F543BD" w:rsidRPr="000D54C3" w:rsidRDefault="002D5247" w:rsidP="00F543BD">
      <w:pPr>
        <w:rPr>
          <w:lang w:val="ru-RU"/>
        </w:rPr>
      </w:pPr>
      <w:r w:rsidRPr="000D54C3">
        <w:rPr>
          <w:lang w:val="ru-RU"/>
        </w:rPr>
        <w:t xml:space="preserve">Источниками исходных данных служили заявки на патенты и полезные модели, поданные в РРО как резидентами, так и нерезидентами Польши, заявки, поданные в ЕПВ и </w:t>
      </w:r>
      <w:r w:rsidR="00560485" w:rsidRPr="000D54C3">
        <w:rPr>
          <w:lang w:val="ru-RU"/>
        </w:rPr>
        <w:t>под</w:t>
      </w:r>
      <w:r w:rsidRPr="000D54C3">
        <w:rPr>
          <w:lang w:val="ru-RU"/>
        </w:rPr>
        <w:t xml:space="preserve">твержденные в </w:t>
      </w:r>
      <w:r w:rsidR="00560485" w:rsidRPr="000D54C3">
        <w:rPr>
          <w:lang w:val="ru-RU"/>
        </w:rPr>
        <w:t xml:space="preserve">Польше резидентами и нерезидентами страны, и заявки, поданные резидентами Польши за рубежом. </w:t>
      </w:r>
    </w:p>
    <w:p w:rsidR="00F543BD" w:rsidRPr="000D54C3" w:rsidRDefault="00F543BD" w:rsidP="00F543BD">
      <w:pPr>
        <w:rPr>
          <w:lang w:val="ru-RU"/>
        </w:rPr>
      </w:pPr>
    </w:p>
    <w:p w:rsidR="00F543BD" w:rsidRPr="000D54C3" w:rsidRDefault="00F543BD" w:rsidP="00F543BD">
      <w:pPr>
        <w:rPr>
          <w:lang w:val="ru-RU"/>
        </w:rPr>
      </w:pPr>
    </w:p>
    <w:p w:rsidR="00DD4F32" w:rsidRPr="000D54C3" w:rsidRDefault="003132CD" w:rsidP="007D3741">
      <w:pPr>
        <w:pStyle w:val="Heading2"/>
        <w:keepNext/>
        <w:keepLines/>
        <w:rPr>
          <w:lang w:val="ru-RU"/>
        </w:rPr>
      </w:pPr>
      <w:r w:rsidRPr="000D54C3">
        <w:rPr>
          <w:lang w:val="ru-RU"/>
        </w:rPr>
        <w:t>3</w:t>
      </w:r>
      <w:r w:rsidR="00560485" w:rsidRPr="000D54C3">
        <w:rPr>
          <w:lang w:val="ru-RU"/>
        </w:rPr>
        <w:t xml:space="preserve"> –</w:t>
      </w:r>
      <w:r w:rsidRPr="000D54C3">
        <w:rPr>
          <w:lang w:val="ru-RU"/>
        </w:rPr>
        <w:t xml:space="preserve"> </w:t>
      </w:r>
      <w:r w:rsidR="00560485" w:rsidRPr="000D54C3">
        <w:rPr>
          <w:lang w:val="ru-RU"/>
        </w:rPr>
        <w:t>Качественная оценка фармацевтической и медико-технологической отраслей экономики Польши</w:t>
      </w:r>
    </w:p>
    <w:p w:rsidR="00DD4F32" w:rsidRPr="000D54C3" w:rsidRDefault="00DD4F32" w:rsidP="007D3741">
      <w:pPr>
        <w:keepNext/>
        <w:keepLines/>
        <w:rPr>
          <w:lang w:val="ru-RU"/>
        </w:rPr>
      </w:pPr>
    </w:p>
    <w:p w:rsidR="00DD4F32" w:rsidRPr="000D54C3" w:rsidRDefault="00560485" w:rsidP="007D3741">
      <w:pPr>
        <w:keepNext/>
        <w:keepLines/>
        <w:rPr>
          <w:lang w:val="ru-RU"/>
        </w:rPr>
      </w:pPr>
      <w:r w:rsidRPr="000D54C3">
        <w:rPr>
          <w:lang w:val="ru-RU"/>
        </w:rPr>
        <w:t xml:space="preserve">Качественная оценка фармацевтической и медико-технологической отраслей была основана на подробном анализе результатов более чем 40 интервью с основными заинтересованными сторонами в этих отраслях. В центре внимания анализа было значение патентной охраны </w:t>
      </w:r>
      <w:r w:rsidR="000D78DE" w:rsidRPr="000D54C3">
        <w:rPr>
          <w:lang w:val="ru-RU"/>
        </w:rPr>
        <w:t>инноваций в фармацевтической и медико-технологической отраслях с точки зрения польских предпринимателей.</w:t>
      </w:r>
    </w:p>
    <w:p w:rsidR="00937F3E" w:rsidRPr="000D54C3" w:rsidRDefault="00937F3E" w:rsidP="007D3741">
      <w:pPr>
        <w:keepNext/>
        <w:keepLines/>
        <w:rPr>
          <w:lang w:val="ru-RU"/>
        </w:rPr>
      </w:pPr>
    </w:p>
    <w:p w:rsidR="00DD4F32" w:rsidRPr="000D54C3" w:rsidRDefault="000D78DE" w:rsidP="00DD4F32">
      <w:pPr>
        <w:rPr>
          <w:lang w:val="ru-RU"/>
        </w:rPr>
      </w:pPr>
      <w:r w:rsidRPr="000D54C3">
        <w:rPr>
          <w:lang w:val="ru-RU"/>
        </w:rPr>
        <w:t xml:space="preserve">Старший консультант </w:t>
      </w:r>
      <w:r w:rsidR="000C490C" w:rsidRPr="000D54C3">
        <w:rPr>
          <w:lang w:val="ru-RU"/>
        </w:rPr>
        <w:t xml:space="preserve">на месте </w:t>
      </w:r>
      <w:r w:rsidRPr="000D54C3">
        <w:rPr>
          <w:lang w:val="ru-RU"/>
        </w:rPr>
        <w:t>и РРО совместными усилиями составили сценарий интервью для получения качественной информации и определили выборку опрашиваемых. РРО координировало работу на местах</w:t>
      </w:r>
      <w:r w:rsidR="00B64632" w:rsidRPr="000D54C3">
        <w:rPr>
          <w:lang w:val="ru-RU"/>
        </w:rPr>
        <w:t>, которая выполнялась специально приглашенными и обученными для этого местными младшими консультантами. Местный старший консультант провел окончательный анализ под руководством сотрудников РРО и ОЭС ВОИС.</w:t>
      </w:r>
    </w:p>
    <w:p w:rsidR="00937F3E" w:rsidRPr="000D54C3" w:rsidRDefault="00937F3E" w:rsidP="00DD4F32">
      <w:pPr>
        <w:rPr>
          <w:lang w:val="ru-RU"/>
        </w:rPr>
      </w:pPr>
    </w:p>
    <w:p w:rsidR="00147BE7" w:rsidRPr="000D54C3" w:rsidRDefault="00147BE7">
      <w:pPr>
        <w:rPr>
          <w:lang w:val="ru-RU"/>
        </w:rPr>
      </w:pPr>
    </w:p>
    <w:p w:rsidR="00147BE7" w:rsidRPr="000D54C3" w:rsidRDefault="002E773E">
      <w:pPr>
        <w:pStyle w:val="Heading1"/>
        <w:rPr>
          <w:lang w:val="ru-RU"/>
        </w:rPr>
      </w:pPr>
      <w:bookmarkStart w:id="6" w:name="_karvvw93relf" w:colFirst="0" w:colLast="0"/>
      <w:bookmarkEnd w:id="6"/>
      <w:r w:rsidRPr="000D54C3">
        <w:rPr>
          <w:lang w:val="ru-RU"/>
        </w:rPr>
        <w:t>Сроки реализации и основные мероприятия</w:t>
      </w:r>
    </w:p>
    <w:p w:rsidR="00147BE7" w:rsidRPr="000D54C3" w:rsidRDefault="00147BE7">
      <w:pPr>
        <w:rPr>
          <w:lang w:val="ru-RU"/>
        </w:rPr>
      </w:pPr>
    </w:p>
    <w:p w:rsidR="00147BE7" w:rsidRPr="000D54C3" w:rsidRDefault="002E773E" w:rsidP="00C064C0">
      <w:pPr>
        <w:rPr>
          <w:lang w:val="ru-RU"/>
        </w:rPr>
      </w:pPr>
      <w:r w:rsidRPr="000D54C3">
        <w:rPr>
          <w:lang w:val="ru-RU"/>
        </w:rPr>
        <w:t>Первоначальные обсуждения вопроса о проведении странового исследования начались в 2015 г.</w:t>
      </w:r>
      <w:r w:rsidR="000527FD" w:rsidRPr="000D54C3">
        <w:rPr>
          <w:lang w:val="ru-RU"/>
        </w:rPr>
        <w:t xml:space="preserve">, в результате чего в марте 2015 г. </w:t>
      </w:r>
      <w:r w:rsidR="00A21B37" w:rsidRPr="000D54C3">
        <w:rPr>
          <w:lang w:val="ru-RU"/>
        </w:rPr>
        <w:t xml:space="preserve">была организована миссия для сбора информации </w:t>
      </w:r>
      <w:r w:rsidR="000527FD" w:rsidRPr="000D54C3">
        <w:rPr>
          <w:lang w:val="ru-RU"/>
        </w:rPr>
        <w:t>в Варшав</w:t>
      </w:r>
      <w:r w:rsidR="00934A45" w:rsidRPr="000D54C3">
        <w:rPr>
          <w:lang w:val="ru-RU"/>
        </w:rPr>
        <w:t>е</w:t>
      </w:r>
      <w:r w:rsidR="000527FD" w:rsidRPr="000D54C3">
        <w:rPr>
          <w:lang w:val="ru-RU"/>
        </w:rPr>
        <w:t xml:space="preserve"> и Краков</w:t>
      </w:r>
      <w:r w:rsidR="00934A45" w:rsidRPr="000D54C3">
        <w:rPr>
          <w:lang w:val="ru-RU"/>
        </w:rPr>
        <w:t>е</w:t>
      </w:r>
      <w:r w:rsidR="000527FD" w:rsidRPr="000D54C3">
        <w:rPr>
          <w:lang w:val="ru-RU"/>
        </w:rPr>
        <w:t xml:space="preserve">, после </w:t>
      </w:r>
      <w:r w:rsidR="00A21B37" w:rsidRPr="000D54C3">
        <w:rPr>
          <w:lang w:val="ru-RU"/>
        </w:rPr>
        <w:t>которой</w:t>
      </w:r>
      <w:r w:rsidR="000527FD" w:rsidRPr="000D54C3">
        <w:rPr>
          <w:lang w:val="ru-RU"/>
        </w:rPr>
        <w:t xml:space="preserve"> ОЭС ВОИС принял решение провести исследование. Эт</w:t>
      </w:r>
      <w:r w:rsidR="00A21B37" w:rsidRPr="000D54C3">
        <w:rPr>
          <w:lang w:val="ru-RU"/>
        </w:rPr>
        <w:t xml:space="preserve">а миссия помогла </w:t>
      </w:r>
      <w:r w:rsidR="000527FD" w:rsidRPr="000D54C3">
        <w:rPr>
          <w:lang w:val="ru-RU"/>
        </w:rPr>
        <w:t xml:space="preserve">также принять решения относительно целесообразности и </w:t>
      </w:r>
      <w:r w:rsidR="00A21B37" w:rsidRPr="000D54C3">
        <w:rPr>
          <w:lang w:val="ru-RU"/>
        </w:rPr>
        <w:t>объема</w:t>
      </w:r>
      <w:r w:rsidR="000527FD" w:rsidRPr="000D54C3">
        <w:rPr>
          <w:lang w:val="ru-RU"/>
        </w:rPr>
        <w:t xml:space="preserve"> исследования</w:t>
      </w:r>
      <w:r w:rsidR="00075F34" w:rsidRPr="000D54C3">
        <w:rPr>
          <w:lang w:val="ru-RU"/>
        </w:rPr>
        <w:t xml:space="preserve">, после того как </w:t>
      </w:r>
      <w:r w:rsidR="00FC50A5" w:rsidRPr="000D54C3">
        <w:rPr>
          <w:lang w:val="ru-RU"/>
        </w:rPr>
        <w:t>эти</w:t>
      </w:r>
      <w:r w:rsidR="00075F34" w:rsidRPr="000D54C3">
        <w:rPr>
          <w:lang w:val="ru-RU"/>
        </w:rPr>
        <w:t xml:space="preserve"> вопросы были подробно обсуждены с </w:t>
      </w:r>
      <w:r w:rsidR="00FC50A5" w:rsidRPr="000D54C3">
        <w:rPr>
          <w:lang w:val="ru-RU"/>
        </w:rPr>
        <w:t xml:space="preserve">соответствующими государственными ведомствами и другими заинтересованными сторонами, представляющими научные круги и частный сектор. Официально работа в рамках исследования началась в мае 2016 г., когда было подписано соответствующее соглашение между РРО и ВОИС. В соответствии с этим </w:t>
      </w:r>
      <w:r w:rsidR="00FC50A5" w:rsidRPr="000D54C3">
        <w:rPr>
          <w:lang w:val="ru-RU"/>
        </w:rPr>
        <w:lastRenderedPageBreak/>
        <w:t>соглашением РРО должно было провести в стране исследовательскую работу, в частности, качественную оценку</w:t>
      </w:r>
      <w:r w:rsidR="001817B2" w:rsidRPr="000D54C3">
        <w:rPr>
          <w:lang w:val="ru-RU"/>
        </w:rPr>
        <w:t xml:space="preserve"> на местах</w:t>
      </w:r>
      <w:r w:rsidR="00FC50A5" w:rsidRPr="000D54C3">
        <w:rPr>
          <w:lang w:val="ru-RU"/>
        </w:rPr>
        <w:t xml:space="preserve">. </w:t>
      </w:r>
    </w:p>
    <w:p w:rsidR="00C064C0" w:rsidRPr="000D54C3" w:rsidRDefault="00C064C0" w:rsidP="005D76BB">
      <w:pPr>
        <w:rPr>
          <w:lang w:val="ru-RU"/>
        </w:rPr>
      </w:pPr>
    </w:p>
    <w:p w:rsidR="0012383D" w:rsidRPr="000D54C3" w:rsidRDefault="00FC50A5">
      <w:pPr>
        <w:rPr>
          <w:lang w:val="ru-RU"/>
        </w:rPr>
      </w:pPr>
      <w:r w:rsidRPr="000D54C3">
        <w:rPr>
          <w:lang w:val="ru-RU"/>
        </w:rPr>
        <w:t xml:space="preserve">Совместная оценка результатов этой работы была проведена во время специального семинара, состоявшегося в Кракове в сентябре 2016 г. В ходе этого совещания были обсуждены предварительные результаты реализации компонентов 1 и 2, а также </w:t>
      </w:r>
      <w:r w:rsidR="001068FB" w:rsidRPr="000D54C3">
        <w:rPr>
          <w:lang w:val="ru-RU"/>
        </w:rPr>
        <w:t xml:space="preserve">сбор данных на местах </w:t>
      </w:r>
      <w:r w:rsidR="001817B2" w:rsidRPr="000D54C3">
        <w:rPr>
          <w:lang w:val="ru-RU"/>
        </w:rPr>
        <w:t>в рамках компонента 3. После промежуточного обзора реализации проекта ОЭС ВОИС и РРО решили изменить стратегию основного анализа компонентов из-за того, что он не вписывался в график работы местного старшего консультанта. В результате руководство аналитической работой в рамках компонентов 1 и 3 было поручено новым местным консультантам, а сотрудники РРО взяли на себя ведущую роль в реализации компонента 2.</w:t>
      </w:r>
    </w:p>
    <w:p w:rsidR="00A72F46" w:rsidRPr="000D54C3" w:rsidRDefault="00A72F46">
      <w:pPr>
        <w:rPr>
          <w:lang w:val="ru-RU"/>
        </w:rPr>
      </w:pPr>
    </w:p>
    <w:p w:rsidR="00D135E6" w:rsidRPr="000D54C3" w:rsidRDefault="001817B2">
      <w:pPr>
        <w:rPr>
          <w:lang w:val="ru-RU"/>
        </w:rPr>
      </w:pPr>
      <w:r w:rsidRPr="000D54C3">
        <w:rPr>
          <w:lang w:val="ru-RU"/>
        </w:rPr>
        <w:t xml:space="preserve">Эти три компонента были </w:t>
      </w:r>
      <w:r w:rsidR="002453E4" w:rsidRPr="000D54C3">
        <w:rPr>
          <w:lang w:val="ru-RU"/>
        </w:rPr>
        <w:t>консолидированы в три самостоятельных, но связанных между собой исследования, которые были завершены и оценены внешним экспертом в июле 2018 г.</w:t>
      </w:r>
    </w:p>
    <w:p w:rsidR="00AD0723" w:rsidRPr="000D54C3" w:rsidRDefault="00AD0723">
      <w:pPr>
        <w:spacing w:after="120"/>
        <w:rPr>
          <w:lang w:val="ru-RU"/>
        </w:rPr>
      </w:pPr>
    </w:p>
    <w:p w:rsidR="00147BE7" w:rsidRPr="000D54C3" w:rsidRDefault="002453E4" w:rsidP="00450AA4">
      <w:pPr>
        <w:pStyle w:val="Heading1"/>
      </w:pPr>
      <w:r w:rsidRPr="000D54C3">
        <w:rPr>
          <w:lang w:val="ru-RU"/>
        </w:rPr>
        <w:t>Усвоенные</w:t>
      </w:r>
      <w:r w:rsidRPr="000D54C3">
        <w:t xml:space="preserve"> </w:t>
      </w:r>
      <w:r w:rsidRPr="000D54C3">
        <w:rPr>
          <w:lang w:val="ru-RU"/>
        </w:rPr>
        <w:t>уроки</w:t>
      </w:r>
    </w:p>
    <w:p w:rsidR="00147BE7" w:rsidRPr="000D54C3" w:rsidRDefault="00147BE7"/>
    <w:p w:rsidR="00AD0723" w:rsidRPr="000D54C3" w:rsidRDefault="002453E4" w:rsidP="00AD0723">
      <w:pPr>
        <w:rPr>
          <w:lang w:val="ru-RU"/>
        </w:rPr>
      </w:pPr>
      <w:r w:rsidRPr="000D54C3">
        <w:rPr>
          <w:lang w:val="ru-RU"/>
        </w:rPr>
        <w:t xml:space="preserve">В целом страновое исследование было проведено в соответствии с планом, задачами и сроками, установленными на стадии разработки проекта. Однако в процессе реализации проекта пришлось столкнуться с некоторыми </w:t>
      </w:r>
      <w:r w:rsidR="00377D58" w:rsidRPr="000D54C3">
        <w:rPr>
          <w:lang w:val="ru-RU"/>
        </w:rPr>
        <w:t>проблемами</w:t>
      </w:r>
      <w:r w:rsidRPr="000D54C3">
        <w:rPr>
          <w:lang w:val="ru-RU"/>
        </w:rPr>
        <w:t xml:space="preserve">, которые помешали завершить исследование в установленный срок. В настоящем разделе объясняется, в чем заключались эти </w:t>
      </w:r>
      <w:r w:rsidR="00377D58" w:rsidRPr="000D54C3">
        <w:rPr>
          <w:lang w:val="ru-RU"/>
        </w:rPr>
        <w:t>проблемы</w:t>
      </w:r>
      <w:r w:rsidRPr="000D54C3">
        <w:rPr>
          <w:lang w:val="ru-RU"/>
        </w:rPr>
        <w:t xml:space="preserve"> и какие выводы были сделаны.</w:t>
      </w:r>
    </w:p>
    <w:p w:rsidR="00AD0723" w:rsidRPr="000D54C3" w:rsidRDefault="00AD0723" w:rsidP="00AD0723">
      <w:pPr>
        <w:rPr>
          <w:lang w:val="ru-RU"/>
        </w:rPr>
      </w:pPr>
    </w:p>
    <w:p w:rsidR="00612115" w:rsidRPr="000D54C3" w:rsidRDefault="00AB66F5" w:rsidP="00AD0723">
      <w:pPr>
        <w:rPr>
          <w:lang w:val="ru-RU"/>
        </w:rPr>
      </w:pPr>
      <w:r w:rsidRPr="000D54C3">
        <w:rPr>
          <w:lang w:val="ru-RU"/>
        </w:rPr>
        <w:t xml:space="preserve">Три проблемы существенно повлияли на график реализации проекта. </w:t>
      </w:r>
      <w:r w:rsidR="00145D2B" w:rsidRPr="000D54C3">
        <w:rPr>
          <w:lang w:val="ru-RU"/>
        </w:rPr>
        <w:t xml:space="preserve">Первая из них была связана с подготовкой технического соглашения между ВОИС и РРО. Такого рода соглашение служит четко сформулированной и эффективной основой для такого сотрудничества. Однако для его подготовки </w:t>
      </w:r>
      <w:r w:rsidR="00AD51C4" w:rsidRPr="000D54C3">
        <w:rPr>
          <w:lang w:val="ru-RU"/>
        </w:rPr>
        <w:t xml:space="preserve">потребовалось неоднократное согласование различных вопросов участвующими в этом процессе учреждениями, причем не только их техническими подразделениями, но также подразделениями, выполняющими административные функции. Все это заняло довольно много времени, поэтому в первоначально установленный срок реализации уложиться не удалось. </w:t>
      </w:r>
    </w:p>
    <w:p w:rsidR="00612115" w:rsidRPr="000D54C3" w:rsidRDefault="00612115" w:rsidP="00AD0723">
      <w:pPr>
        <w:rPr>
          <w:lang w:val="ru-RU"/>
        </w:rPr>
      </w:pPr>
    </w:p>
    <w:p w:rsidR="00D135E6" w:rsidRPr="000D54C3" w:rsidRDefault="001068FB" w:rsidP="00AD0723">
      <w:pPr>
        <w:rPr>
          <w:lang w:val="ru-RU"/>
        </w:rPr>
      </w:pPr>
      <w:r w:rsidRPr="000D54C3">
        <w:rPr>
          <w:lang w:val="ru-RU"/>
        </w:rPr>
        <w:t>Вторая проблема имела отношение к сбору данных на местах, в том числе путем проведения интервью в рамках компонента 3. Такого рода эмпирические исследования, как правило, требуют значительного об</w:t>
      </w:r>
      <w:r w:rsidR="009063A4" w:rsidRPr="000D54C3">
        <w:rPr>
          <w:lang w:val="ru-RU"/>
        </w:rPr>
        <w:t>ъема ресурсов</w:t>
      </w:r>
      <w:r w:rsidRPr="000D54C3">
        <w:rPr>
          <w:lang w:val="ru-RU"/>
        </w:rPr>
        <w:t xml:space="preserve"> </w:t>
      </w:r>
      <w:r w:rsidR="009063A4" w:rsidRPr="000D54C3">
        <w:rPr>
          <w:lang w:val="ru-RU"/>
        </w:rPr>
        <w:t>и связаны с довольно высоким уровнем неопределенности, в связи с чем часто не удается уложиться в установленный график реализации. РРО выполнило достойную высокой оценки работу, координируя проведение интервью, инструктируя проводивших их сотрудников и обрабатывая результаты; тем не менее, эта задача оказалась очень сложной для сотрудников РРО.</w:t>
      </w:r>
    </w:p>
    <w:p w:rsidR="00493F15" w:rsidRPr="000D54C3" w:rsidRDefault="00493F15" w:rsidP="00AD0723">
      <w:pPr>
        <w:rPr>
          <w:lang w:val="ru-RU"/>
        </w:rPr>
      </w:pPr>
    </w:p>
    <w:p w:rsidR="00612115" w:rsidRPr="000D54C3" w:rsidRDefault="009063A4" w:rsidP="00BC3CAD">
      <w:pPr>
        <w:rPr>
          <w:lang w:val="ru-RU"/>
        </w:rPr>
      </w:pPr>
      <w:r w:rsidRPr="000D54C3">
        <w:rPr>
          <w:lang w:val="ru-RU"/>
        </w:rPr>
        <w:t>Третья проблема была связана с наличием местных консультантов, обладающих самыми разными навыками и квалификацией. Первоначальный план, в соответствии с которым собирались использовать одного местного консультанта, который должен бы руководить реализацией всех трех компонентов, не обеспечивал разнообрази</w:t>
      </w:r>
      <w:r w:rsidR="00FD6387" w:rsidRPr="000D54C3">
        <w:rPr>
          <w:lang w:val="ru-RU"/>
        </w:rPr>
        <w:t>е</w:t>
      </w:r>
      <w:r w:rsidRPr="000D54C3">
        <w:rPr>
          <w:lang w:val="ru-RU"/>
        </w:rPr>
        <w:t xml:space="preserve"> навыков и </w:t>
      </w:r>
      <w:r w:rsidR="00FD6387" w:rsidRPr="000D54C3">
        <w:rPr>
          <w:lang w:val="ru-RU"/>
        </w:rPr>
        <w:t xml:space="preserve">гибкость графика по сравнению с окончательным вариантом, </w:t>
      </w:r>
      <w:r w:rsidR="000D54C3">
        <w:rPr>
          <w:lang w:val="ru-RU"/>
        </w:rPr>
        <w:t xml:space="preserve">по которому </w:t>
      </w:r>
      <w:r w:rsidR="00A35DD3" w:rsidRPr="000D54C3">
        <w:rPr>
          <w:lang w:val="ru-RU"/>
        </w:rPr>
        <w:t>для реализации каждого из трех компонентов было привлечено по одному местному эксперту. В частности, оказалось, что недостаточно специалистов по анализу и статистике ИС, поэтому функции патентного анализа взяло на себя РРО.</w:t>
      </w:r>
    </w:p>
    <w:p w:rsidR="00BC3CAD" w:rsidRPr="000D54C3" w:rsidRDefault="00BC3CAD" w:rsidP="00AD0723">
      <w:pPr>
        <w:rPr>
          <w:lang w:val="ru-RU"/>
        </w:rPr>
      </w:pPr>
    </w:p>
    <w:p w:rsidR="00147BE7" w:rsidRPr="000D54C3" w:rsidRDefault="00147BE7">
      <w:pPr>
        <w:rPr>
          <w:lang w:val="ru-RU"/>
        </w:rPr>
      </w:pPr>
    </w:p>
    <w:p w:rsidR="00147BE7" w:rsidRPr="000D54C3" w:rsidRDefault="00A35DD3" w:rsidP="00A35DD3">
      <w:pPr>
        <w:pStyle w:val="Heading1"/>
        <w:keepNext/>
        <w:keepLines/>
        <w:widowControl/>
        <w:rPr>
          <w:lang w:val="ru-RU"/>
        </w:rPr>
      </w:pPr>
      <w:r w:rsidRPr="000D54C3">
        <w:rPr>
          <w:lang w:val="ru-RU"/>
        </w:rPr>
        <w:lastRenderedPageBreak/>
        <w:t>Резюме экономических исследований</w:t>
      </w:r>
      <w:r w:rsidR="00A413AC" w:rsidRPr="000D54C3">
        <w:rPr>
          <w:rStyle w:val="FootnoteReference"/>
        </w:rPr>
        <w:footnoteReference w:id="2"/>
      </w:r>
      <w:r w:rsidR="007070E3" w:rsidRPr="000D54C3">
        <w:rPr>
          <w:lang w:val="ru-RU"/>
        </w:rPr>
        <w:t xml:space="preserve"> </w:t>
      </w:r>
    </w:p>
    <w:p w:rsidR="00147BE7" w:rsidRPr="000D54C3" w:rsidRDefault="00147BE7" w:rsidP="00A35DD3">
      <w:pPr>
        <w:keepNext/>
        <w:keepLines/>
        <w:widowControl/>
        <w:rPr>
          <w:lang w:val="ru-RU"/>
        </w:rPr>
      </w:pPr>
    </w:p>
    <w:p w:rsidR="007615F5" w:rsidRPr="000D54C3" w:rsidRDefault="00E065CF" w:rsidP="00A35DD3">
      <w:pPr>
        <w:pStyle w:val="Heading2"/>
        <w:keepNext/>
        <w:keepLines/>
        <w:widowControl/>
        <w:rPr>
          <w:lang w:val="ru-RU"/>
        </w:rPr>
      </w:pPr>
      <w:r w:rsidRPr="000D54C3">
        <w:rPr>
          <w:lang w:val="ru-RU"/>
        </w:rPr>
        <w:t>1</w:t>
      </w:r>
      <w:r w:rsidR="007615F5" w:rsidRPr="000D54C3">
        <w:rPr>
          <w:lang w:val="ru-RU"/>
        </w:rPr>
        <w:t xml:space="preserve"> - </w:t>
      </w:r>
      <w:r w:rsidR="00A35DD3" w:rsidRPr="000D54C3">
        <w:rPr>
          <w:lang w:val="ru-RU"/>
        </w:rPr>
        <w:t>Инновации в фармацевтической и медико-технологической отраслях</w:t>
      </w:r>
    </w:p>
    <w:p w:rsidR="00E065CF" w:rsidRPr="000D54C3" w:rsidRDefault="00E065CF" w:rsidP="00A35DD3">
      <w:pPr>
        <w:keepNext/>
        <w:keepLines/>
        <w:widowControl/>
        <w:rPr>
          <w:lang w:val="ru-RU"/>
        </w:rPr>
      </w:pPr>
    </w:p>
    <w:p w:rsidR="00697D19" w:rsidRPr="000D54C3" w:rsidRDefault="00A35DD3" w:rsidP="00A35DD3">
      <w:pPr>
        <w:keepNext/>
        <w:keepLines/>
        <w:widowControl/>
        <w:rPr>
          <w:lang w:val="ru-RU"/>
        </w:rPr>
      </w:pPr>
      <w:r w:rsidRPr="000D54C3">
        <w:rPr>
          <w:lang w:val="ru-RU"/>
        </w:rPr>
        <w:t xml:space="preserve">В первом документе анализируются экономические и инновационные аспекты отраслей сектора здравоохранения Польши, а именно – фармацевтической и медико-технологической. </w:t>
      </w:r>
      <w:r w:rsidR="000A7DA5" w:rsidRPr="000D54C3">
        <w:rPr>
          <w:lang w:val="ru-RU"/>
        </w:rPr>
        <w:t xml:space="preserve">В то время как в фармацевтической отрасли, </w:t>
      </w:r>
      <w:r w:rsidRPr="000D54C3">
        <w:rPr>
          <w:lang w:val="ru-RU"/>
        </w:rPr>
        <w:t xml:space="preserve">начиная с 2011 г., </w:t>
      </w:r>
      <w:r w:rsidR="000A7DA5" w:rsidRPr="000D54C3">
        <w:rPr>
          <w:lang w:val="ru-RU"/>
        </w:rPr>
        <w:t xml:space="preserve">наблюдается </w:t>
      </w:r>
      <w:r w:rsidRPr="000D54C3">
        <w:rPr>
          <w:lang w:val="ru-RU"/>
        </w:rPr>
        <w:t>определенный экономический спад</w:t>
      </w:r>
      <w:r w:rsidR="000A7DA5" w:rsidRPr="000D54C3">
        <w:rPr>
          <w:lang w:val="ru-RU"/>
        </w:rPr>
        <w:t xml:space="preserve">, медико-технологическая отрасль демонстрирует заметный динамизм, </w:t>
      </w:r>
      <w:r w:rsidR="000D54C3">
        <w:rPr>
          <w:lang w:val="ru-RU"/>
        </w:rPr>
        <w:t xml:space="preserve">несмотря на </w:t>
      </w:r>
      <w:r w:rsidR="000A7DA5" w:rsidRPr="000D54C3">
        <w:rPr>
          <w:lang w:val="ru-RU"/>
        </w:rPr>
        <w:t>ее небольшие размеры. В этих отраслях многое еще предстоит сделать для улучшения ситуации в плане инноваций. Однако наметившаяся тенденция активизации инновационной деятельности дает основания для оптимизма. Предприятия сектора здравоохранения все более активно и широко внедряют инновации, приносящие им экономическую выгоду.</w:t>
      </w:r>
    </w:p>
    <w:p w:rsidR="00697D19" w:rsidRPr="000D54C3" w:rsidRDefault="00697D19" w:rsidP="00697D19">
      <w:pPr>
        <w:rPr>
          <w:lang w:val="ru-RU"/>
        </w:rPr>
      </w:pPr>
    </w:p>
    <w:p w:rsidR="005E3157" w:rsidRPr="000D54C3" w:rsidRDefault="000A7DA5" w:rsidP="00697D19">
      <w:pPr>
        <w:rPr>
          <w:lang w:val="ru-RU"/>
        </w:rPr>
      </w:pPr>
      <w:r w:rsidRPr="000D54C3">
        <w:rPr>
          <w:lang w:val="ru-RU"/>
        </w:rPr>
        <w:t xml:space="preserve">Значительную долю на польском рынке лекарств составляют непатентованные лекарственные </w:t>
      </w:r>
      <w:r w:rsidR="000D54C3">
        <w:rPr>
          <w:lang w:val="ru-RU"/>
        </w:rPr>
        <w:t>препараты</w:t>
      </w:r>
      <w:r w:rsidRPr="000D54C3">
        <w:rPr>
          <w:lang w:val="ru-RU"/>
        </w:rPr>
        <w:t>, и цены на фармацевтическую продукцию одни из самых низких в Европе. Доля государств</w:t>
      </w:r>
      <w:r w:rsidR="005E3157" w:rsidRPr="000D54C3">
        <w:rPr>
          <w:lang w:val="ru-RU"/>
        </w:rPr>
        <w:t xml:space="preserve">а в покрытии расходов пациентов на лекарства также одна из самых </w:t>
      </w:r>
      <w:r w:rsidR="00AB06A9" w:rsidRPr="000D54C3">
        <w:rPr>
          <w:lang w:val="ru-RU"/>
        </w:rPr>
        <w:t xml:space="preserve">низких </w:t>
      </w:r>
      <w:r w:rsidR="005E3157" w:rsidRPr="000D54C3">
        <w:rPr>
          <w:lang w:val="ru-RU"/>
        </w:rPr>
        <w:t xml:space="preserve">среди стран ОЭСР. После вступления Польши в ЕС в фармацевтической промышленности начался довольно мощный подъем, однако начиная с 2011 г., происходит глубокий спад. Как и </w:t>
      </w:r>
      <w:r w:rsidR="000D54C3">
        <w:rPr>
          <w:lang w:val="ru-RU"/>
        </w:rPr>
        <w:t xml:space="preserve">в </w:t>
      </w:r>
      <w:r w:rsidR="005E3157" w:rsidRPr="000D54C3">
        <w:rPr>
          <w:lang w:val="ru-RU"/>
        </w:rPr>
        <w:t>большинств</w:t>
      </w:r>
      <w:r w:rsidR="000D54C3">
        <w:rPr>
          <w:lang w:val="ru-RU"/>
        </w:rPr>
        <w:t>е</w:t>
      </w:r>
      <w:r w:rsidR="005E3157" w:rsidRPr="000D54C3">
        <w:rPr>
          <w:lang w:val="ru-RU"/>
        </w:rPr>
        <w:t xml:space="preserve"> стран Центральной и Восточной Европы (ЦВЕ), в Польше увеличилось число фармацевтических компаний. Появление на рынке менее крупных компаний и экономический спад напрямую связано с сокращением занятости что происходит также в других странах ЦВЕ. Тем не менее, Польша опережает остальные страны региона по числу занятых в фармацевтической отрасли.</w:t>
      </w:r>
    </w:p>
    <w:p w:rsidR="00697D19" w:rsidRPr="000D54C3" w:rsidRDefault="00697D19" w:rsidP="00697D19">
      <w:pPr>
        <w:rPr>
          <w:lang w:val="ru-RU"/>
        </w:rPr>
      </w:pPr>
    </w:p>
    <w:p w:rsidR="00697D19" w:rsidRPr="000D54C3" w:rsidRDefault="008043D0" w:rsidP="00697D19">
      <w:pPr>
        <w:rPr>
          <w:lang w:val="ru-RU"/>
        </w:rPr>
      </w:pPr>
      <w:r w:rsidRPr="000D54C3">
        <w:rPr>
          <w:lang w:val="ru-RU"/>
        </w:rPr>
        <w:t xml:space="preserve">Медико-технологическая отрасль растет устойчивыми темпами, начиная с 2011 г., однако масштабы ее по-прежнему невелики в плане количества предприятий и объема производства. </w:t>
      </w:r>
      <w:r w:rsidR="00055365" w:rsidRPr="000D54C3">
        <w:rPr>
          <w:lang w:val="ru-RU"/>
        </w:rPr>
        <w:t xml:space="preserve">Эта отрасль состоит из приблизительно 100 крупных и малых предприятий, занимающихся разработкой и внедрением медицинских технологий. Как и в большинстве стран региона ЕЦВ, эти предприятия растут довольно устойчивыми темпами. В Польше также наблюдается рост объема продаж медико-технологического оборудования, отчасти благодаря экспорту и государственной поддержке в рамках Политики сплочения ЕС. Кроем того, в Польше наблюдается наиболее значительный рост занятости в медико-технологической отрасли, </w:t>
      </w:r>
      <w:r w:rsidR="00994F84" w:rsidRPr="000D54C3">
        <w:rPr>
          <w:lang w:val="ru-RU"/>
        </w:rPr>
        <w:t>при том что в большинстве стран ЕЦВ уровень занятости в этом секторе остается стабильным. Из всех стран ЕЦВ в Польше самая крупная медико-технологическая промышленность, однако показатели ее производительности ниже, чем в некоторых других странах. Во всех странах ЕЦВ производство медицинского и стоматологического оборудования и материалов является крупнейшим сегментом отрасли, однако в Польше доля компаний, производящих медицинское оборудование, меньше, чем в остальных странах региона.</w:t>
      </w:r>
    </w:p>
    <w:p w:rsidR="00697D19" w:rsidRPr="000D54C3" w:rsidRDefault="00697D19" w:rsidP="00697D19">
      <w:pPr>
        <w:rPr>
          <w:lang w:val="ru-RU"/>
        </w:rPr>
      </w:pPr>
    </w:p>
    <w:p w:rsidR="00697D19" w:rsidRPr="000D54C3" w:rsidRDefault="00994F84" w:rsidP="00697D19">
      <w:pPr>
        <w:rPr>
          <w:lang w:val="ru-RU"/>
        </w:rPr>
      </w:pPr>
      <w:r w:rsidRPr="000D54C3">
        <w:rPr>
          <w:lang w:val="ru-RU"/>
        </w:rPr>
        <w:t>Многое еще предстоит сделать в фармацевтической и медико-технологической отраслях для улучшения ситуации в плане инноваций. Однако наметившаяся тенденция активизации инновационной деятельности дает основания для оптимизма. Предприятия сектора здравоохранения все более активно и широко внедряют инновации, приносящие им экономическую выгоду.</w:t>
      </w:r>
    </w:p>
    <w:p w:rsidR="00697D19" w:rsidRPr="000D54C3" w:rsidRDefault="00697D19" w:rsidP="00697D19">
      <w:pPr>
        <w:rPr>
          <w:lang w:val="ru-RU"/>
        </w:rPr>
      </w:pPr>
    </w:p>
    <w:p w:rsidR="00697D19" w:rsidRPr="000D54C3" w:rsidRDefault="00994F84" w:rsidP="00697D19">
      <w:pPr>
        <w:rPr>
          <w:lang w:val="ru-RU"/>
        </w:rPr>
      </w:pPr>
      <w:r w:rsidRPr="000D54C3">
        <w:rPr>
          <w:lang w:val="ru-RU"/>
        </w:rPr>
        <w:t xml:space="preserve">Эти отрасли лидируют среди всех секторов экономики Польши по уровню расходов на инновации. В структуре расходов на инновации преобладают расходы на НИОКР, за которыми следуют инвестиции в средства производства со встроенными в них технологиями и в маркетинг </w:t>
      </w:r>
      <w:r w:rsidR="00FE6795" w:rsidRPr="000D54C3">
        <w:rPr>
          <w:lang w:val="ru-RU"/>
        </w:rPr>
        <w:t>новой или в значительной степени усовершенствованной продукции.</w:t>
      </w:r>
    </w:p>
    <w:p w:rsidR="00320791" w:rsidRPr="000D54C3" w:rsidRDefault="00320791" w:rsidP="00697D19">
      <w:pPr>
        <w:rPr>
          <w:lang w:val="ru-RU"/>
        </w:rPr>
      </w:pPr>
    </w:p>
    <w:p w:rsidR="00697D19" w:rsidRPr="000D54C3" w:rsidRDefault="00190F2C" w:rsidP="00697D19">
      <w:pPr>
        <w:rPr>
          <w:lang w:val="ru-RU"/>
        </w:rPr>
      </w:pPr>
      <w:r w:rsidRPr="000D54C3">
        <w:rPr>
          <w:lang w:val="ru-RU"/>
        </w:rPr>
        <w:t>Уровень инноваций в фармацевтической и медико-технологической отраслях выше, чем в среднем по стране, но гораздо ниже средних показателей по ЕС. Большинство инновационных продуктов и процессов были новыми только для предприятий, и лишь четверть из них были новыми для Польши. Тем не менее, эти инновации приносят все больше доходов этим отраслям. Что касается инновационных продаж, то более значительн</w:t>
      </w:r>
      <w:r w:rsidR="000D54C3">
        <w:rPr>
          <w:lang w:val="ru-RU"/>
        </w:rPr>
        <w:t>ую</w:t>
      </w:r>
      <w:r w:rsidRPr="000D54C3">
        <w:rPr>
          <w:lang w:val="ru-RU"/>
        </w:rPr>
        <w:t xml:space="preserve"> долю составляют инновации, которые являются новыми для предприятия, но не для рынка. Фармацевтическая и медико-технологическая отрасль сохраня</w:t>
      </w:r>
      <w:r w:rsidR="008E1017" w:rsidRPr="000D54C3">
        <w:rPr>
          <w:lang w:val="ru-RU"/>
        </w:rPr>
        <w:t>ю</w:t>
      </w:r>
      <w:r w:rsidRPr="000D54C3">
        <w:rPr>
          <w:lang w:val="ru-RU"/>
        </w:rPr>
        <w:t>т и повыша</w:t>
      </w:r>
      <w:r w:rsidR="00CE1283" w:rsidRPr="000D54C3">
        <w:rPr>
          <w:lang w:val="ru-RU"/>
        </w:rPr>
        <w:t>ю</w:t>
      </w:r>
      <w:r w:rsidRPr="000D54C3">
        <w:rPr>
          <w:lang w:val="ru-RU"/>
        </w:rPr>
        <w:t xml:space="preserve">т свою конкурентоспособность на рынке, благодаря сложности </w:t>
      </w:r>
      <w:r w:rsidR="004058E1" w:rsidRPr="000D54C3">
        <w:rPr>
          <w:lang w:val="ru-RU"/>
        </w:rPr>
        <w:t xml:space="preserve">производимой </w:t>
      </w:r>
      <w:r w:rsidRPr="000D54C3">
        <w:rPr>
          <w:lang w:val="ru-RU"/>
        </w:rPr>
        <w:t xml:space="preserve">продукции, </w:t>
      </w:r>
      <w:r w:rsidR="004058E1" w:rsidRPr="000D54C3">
        <w:rPr>
          <w:lang w:val="ru-RU"/>
        </w:rPr>
        <w:t xml:space="preserve">коммерческой тайне и преимуществам </w:t>
      </w:r>
      <w:r w:rsidR="00CE1283" w:rsidRPr="000D54C3">
        <w:rPr>
          <w:lang w:val="ru-RU"/>
        </w:rPr>
        <w:t>сроков вывода продукции на рынок</w:t>
      </w:r>
      <w:r w:rsidR="004058E1" w:rsidRPr="000D54C3">
        <w:rPr>
          <w:lang w:val="ru-RU"/>
        </w:rPr>
        <w:t xml:space="preserve">. Поскольку на этом рынке преобладают непатентованные, в том числе брендовые </w:t>
      </w:r>
      <w:r w:rsidR="00CE1283" w:rsidRPr="000D54C3">
        <w:rPr>
          <w:lang w:val="ru-RU"/>
        </w:rPr>
        <w:t xml:space="preserve">непатентованные </w:t>
      </w:r>
      <w:r w:rsidR="004058E1" w:rsidRPr="000D54C3">
        <w:rPr>
          <w:lang w:val="ru-RU"/>
        </w:rPr>
        <w:t>препараты, менее трет</w:t>
      </w:r>
      <w:r w:rsidR="00CE1283" w:rsidRPr="000D54C3">
        <w:rPr>
          <w:lang w:val="ru-RU"/>
        </w:rPr>
        <w:t>и</w:t>
      </w:r>
      <w:r w:rsidR="004058E1" w:rsidRPr="000D54C3">
        <w:rPr>
          <w:lang w:val="ru-RU"/>
        </w:rPr>
        <w:t xml:space="preserve"> продукции нуждается в товарных знаках и промышленных образцах для поддержания конкурентоспособности. Около четверти всех товаров патентуются, и эта доля приходится на немногочисленные инновационные продукты и процессы, появляющиеся на польском рынке.</w:t>
      </w:r>
    </w:p>
    <w:p w:rsidR="00697D19" w:rsidRPr="000D54C3" w:rsidRDefault="00697D19" w:rsidP="00697D19">
      <w:pPr>
        <w:rPr>
          <w:lang w:val="ru-RU"/>
        </w:rPr>
      </w:pPr>
    </w:p>
    <w:p w:rsidR="001B5740" w:rsidRPr="000D54C3" w:rsidRDefault="001B5740">
      <w:pPr>
        <w:rPr>
          <w:lang w:val="ru-RU"/>
        </w:rPr>
      </w:pPr>
    </w:p>
    <w:p w:rsidR="007615F5" w:rsidRPr="000D54C3" w:rsidRDefault="007615F5" w:rsidP="007615F5">
      <w:pPr>
        <w:pStyle w:val="Heading2"/>
        <w:rPr>
          <w:lang w:val="ru-RU"/>
        </w:rPr>
      </w:pPr>
      <w:r w:rsidRPr="000D54C3">
        <w:rPr>
          <w:lang w:val="ru-RU"/>
        </w:rPr>
        <w:t>2</w:t>
      </w:r>
      <w:r w:rsidR="004058E1" w:rsidRPr="000D54C3">
        <w:rPr>
          <w:lang w:val="ru-RU"/>
        </w:rPr>
        <w:t xml:space="preserve"> </w:t>
      </w:r>
      <w:r w:rsidRPr="000D54C3">
        <w:rPr>
          <w:lang w:val="ru-RU"/>
        </w:rPr>
        <w:t xml:space="preserve">- </w:t>
      </w:r>
      <w:r w:rsidR="004058E1" w:rsidRPr="000D54C3">
        <w:rPr>
          <w:lang w:val="ru-RU"/>
        </w:rPr>
        <w:t>Составление карты патентного ландшафта в области технологий, связанных со здравоохранением</w:t>
      </w:r>
    </w:p>
    <w:p w:rsidR="00E065CF" w:rsidRPr="000D54C3" w:rsidRDefault="00E065CF" w:rsidP="00EA679B">
      <w:pPr>
        <w:rPr>
          <w:lang w:val="ru-RU"/>
        </w:rPr>
      </w:pPr>
    </w:p>
    <w:p w:rsidR="00EA679B" w:rsidRPr="000D54C3" w:rsidRDefault="004058E1" w:rsidP="00E065CF">
      <w:pPr>
        <w:rPr>
          <w:lang w:val="ru-RU"/>
        </w:rPr>
      </w:pPr>
      <w:r w:rsidRPr="000D54C3">
        <w:rPr>
          <w:lang w:val="ru-RU"/>
        </w:rPr>
        <w:t xml:space="preserve">Во втором документе анализируется использование заявок на патентную охрану или охрану </w:t>
      </w:r>
      <w:r w:rsidR="00EC5AB3" w:rsidRPr="000D54C3">
        <w:rPr>
          <w:lang w:val="ru-RU"/>
        </w:rPr>
        <w:t>полезных</w:t>
      </w:r>
      <w:r w:rsidRPr="000D54C3">
        <w:rPr>
          <w:lang w:val="ru-RU"/>
        </w:rPr>
        <w:t xml:space="preserve"> </w:t>
      </w:r>
      <w:r w:rsidR="00EC5AB3" w:rsidRPr="000D54C3">
        <w:rPr>
          <w:lang w:val="ru-RU"/>
        </w:rPr>
        <w:t>моделей</w:t>
      </w:r>
      <w:r w:rsidRPr="000D54C3">
        <w:rPr>
          <w:lang w:val="ru-RU"/>
        </w:rPr>
        <w:t xml:space="preserve"> в Польше в последние годы.</w:t>
      </w:r>
      <w:r w:rsidR="00E065CF" w:rsidRPr="000D54C3">
        <w:rPr>
          <w:lang w:val="ru-RU"/>
        </w:rPr>
        <w:t xml:space="preserve"> </w:t>
      </w:r>
    </w:p>
    <w:p w:rsidR="00EA679B" w:rsidRPr="000D54C3" w:rsidRDefault="00EA679B" w:rsidP="00E065CF">
      <w:pPr>
        <w:rPr>
          <w:lang w:val="ru-RU"/>
        </w:rPr>
      </w:pPr>
    </w:p>
    <w:p w:rsidR="00EA679B" w:rsidRPr="000D54C3" w:rsidRDefault="00EC5AB3" w:rsidP="00EA679B">
      <w:r w:rsidRPr="000D54C3">
        <w:rPr>
          <w:lang w:val="ru-RU"/>
        </w:rPr>
        <w:t>В период с 2006 по 2015 г. польские предприятия фармацевтической и медико-технологической отраслей подали 3 463 заявки на охрану прав ИС (на патенты и полезные модели) в разных странах мира, в том числе 3 193 патентные заявки и 270 заявок на полезные модели, из которых 1 656 (48 процентов) были поданы предприятиями фармацевтической промышленности и 1 807 (52 процента) предприятиями медико-технологической промышленности. Среднегодовой</w:t>
      </w:r>
      <w:r w:rsidRPr="000D54C3">
        <w:t xml:space="preserve"> </w:t>
      </w:r>
      <w:r w:rsidRPr="000D54C3">
        <w:rPr>
          <w:lang w:val="ru-RU"/>
        </w:rPr>
        <w:t>рост</w:t>
      </w:r>
      <w:r w:rsidRPr="000D54C3">
        <w:t xml:space="preserve"> </w:t>
      </w:r>
      <w:r w:rsidRPr="000D54C3">
        <w:rPr>
          <w:lang w:val="ru-RU"/>
        </w:rPr>
        <w:t>числа</w:t>
      </w:r>
      <w:r w:rsidRPr="000D54C3">
        <w:t xml:space="preserve"> </w:t>
      </w:r>
      <w:r w:rsidRPr="000D54C3">
        <w:rPr>
          <w:lang w:val="ru-RU"/>
        </w:rPr>
        <w:t>поданных</w:t>
      </w:r>
      <w:r w:rsidRPr="000D54C3">
        <w:t xml:space="preserve"> </w:t>
      </w:r>
      <w:r w:rsidRPr="000D54C3">
        <w:rPr>
          <w:lang w:val="ru-RU"/>
        </w:rPr>
        <w:t>заявок</w:t>
      </w:r>
      <w:r w:rsidRPr="000D54C3">
        <w:t xml:space="preserve"> </w:t>
      </w:r>
      <w:r w:rsidRPr="000D54C3">
        <w:rPr>
          <w:lang w:val="ru-RU"/>
        </w:rPr>
        <w:t>составил</w:t>
      </w:r>
      <w:r w:rsidRPr="000D54C3">
        <w:t xml:space="preserve"> 13 </w:t>
      </w:r>
      <w:r w:rsidRPr="000D54C3">
        <w:rPr>
          <w:lang w:val="ru-RU"/>
        </w:rPr>
        <w:t>процентов</w:t>
      </w:r>
      <w:r w:rsidRPr="000D54C3">
        <w:t>.</w:t>
      </w:r>
    </w:p>
    <w:p w:rsidR="00EA679B" w:rsidRPr="000D54C3" w:rsidRDefault="00EA679B" w:rsidP="00EA679B"/>
    <w:p w:rsidR="00BB14DB" w:rsidRPr="000D54C3" w:rsidRDefault="00D76140" w:rsidP="00E065CF">
      <w:pPr>
        <w:rPr>
          <w:lang w:val="ru-RU"/>
        </w:rPr>
      </w:pPr>
      <w:r w:rsidRPr="000D54C3">
        <w:rPr>
          <w:lang w:val="ru-RU"/>
        </w:rPr>
        <w:t xml:space="preserve">Тем не менее, доля Польши в общем количестве поданных в Европейском Союзе заявок составляла лишь 2,7 процента, </w:t>
      </w:r>
      <w:r w:rsidR="008B61F4" w:rsidRPr="000D54C3">
        <w:rPr>
          <w:lang w:val="ru-RU"/>
        </w:rPr>
        <w:t xml:space="preserve">и специализация на связанных с медициной технологиях остается относительно низкой по сравнению с другими странами Еврозоны. </w:t>
      </w:r>
      <w:r w:rsidR="00C1088B" w:rsidRPr="000D54C3">
        <w:rPr>
          <w:lang w:val="ru-RU"/>
        </w:rPr>
        <w:t xml:space="preserve">Кроме того, </w:t>
      </w:r>
      <w:r w:rsidR="005B3097" w:rsidRPr="000D54C3">
        <w:rPr>
          <w:lang w:val="ru-RU"/>
        </w:rPr>
        <w:t xml:space="preserve">большинство выдаваемых в Польше патентов являются только национальными. Относительно низкая заинтересованность польских компаний в распространении патентной охраны на зарубежные рынки </w:t>
      </w:r>
      <w:r w:rsidR="000D54C3">
        <w:rPr>
          <w:lang w:val="ru-RU"/>
        </w:rPr>
        <w:t>говорит о том</w:t>
      </w:r>
      <w:r w:rsidR="005B3097" w:rsidRPr="000D54C3">
        <w:rPr>
          <w:lang w:val="ru-RU"/>
        </w:rPr>
        <w:t>, что деятельность польских заявителей в секторе здравоохранения была ориентирована в основном на внутренний рынок. Этот внутренний рынок, учитывая его довольно значительные размеры, может быть достаточным для удовлетворения их потребностей, но это также свидетельствует о том, что инновационный уровень технологий, в отношении которых испрашивается охрана, вероятно, является недостаточным для того, чтобы распространение охраны на другие территории могло считаться оправданным.</w:t>
      </w:r>
    </w:p>
    <w:p w:rsidR="00BB14DB" w:rsidRPr="000D54C3" w:rsidRDefault="00BB14DB" w:rsidP="00E065CF">
      <w:pPr>
        <w:rPr>
          <w:lang w:val="ru-RU"/>
        </w:rPr>
      </w:pPr>
    </w:p>
    <w:p w:rsidR="00EA679B" w:rsidRPr="000D54C3" w:rsidRDefault="005B3097" w:rsidP="00697D19">
      <w:pPr>
        <w:rPr>
          <w:lang w:val="ru-RU"/>
        </w:rPr>
      </w:pPr>
      <w:r w:rsidRPr="000D54C3">
        <w:rPr>
          <w:lang w:val="ru-RU"/>
        </w:rPr>
        <w:t>Ограниченное число заявителей с высшим образованием составило 42 процента всех подателей заявок на патенты и полезные модели, в основном в сфере фармацевтических технологий. Большинство частных заявителей составляли малые и средние предприятия, специализир</w:t>
      </w:r>
      <w:r w:rsidR="000D54C3">
        <w:rPr>
          <w:lang w:val="ru-RU"/>
        </w:rPr>
        <w:t xml:space="preserve">ующиеся </w:t>
      </w:r>
      <w:r w:rsidRPr="000D54C3">
        <w:rPr>
          <w:lang w:val="ru-RU"/>
        </w:rPr>
        <w:t>на медицинских технологиях, а также физические лица</w:t>
      </w:r>
      <w:r w:rsidR="001A0C66" w:rsidRPr="000D54C3">
        <w:rPr>
          <w:lang w:val="ru-RU"/>
        </w:rPr>
        <w:t>. Инновационная деятельность сконцентрирована в воеводствах Мазовия, Нижняя Силезия и Силезия.</w:t>
      </w:r>
    </w:p>
    <w:p w:rsidR="00EA679B" w:rsidRPr="000D54C3" w:rsidRDefault="00EA679B" w:rsidP="00697D19">
      <w:pPr>
        <w:rPr>
          <w:lang w:val="ru-RU"/>
        </w:rPr>
      </w:pPr>
    </w:p>
    <w:p w:rsidR="00697D19" w:rsidRPr="000D54C3" w:rsidRDefault="001A0C66" w:rsidP="00697D19">
      <w:pPr>
        <w:rPr>
          <w:lang w:val="ru-RU"/>
        </w:rPr>
      </w:pPr>
      <w:r w:rsidRPr="000D54C3">
        <w:rPr>
          <w:lang w:val="ru-RU"/>
        </w:rPr>
        <w:t xml:space="preserve">Инновации в секторе здравоохранения являются результатом совместных усилий – как совместное патентование (15 процентов), так и совместные изобретения (75 процентов), – хотя в большинстве случаев (95 процентов) сотрудничество осуществляется между отечественными компаниями. Предприятия медико-технологической отрасли </w:t>
      </w:r>
      <w:r w:rsidR="00793220" w:rsidRPr="000D54C3">
        <w:rPr>
          <w:lang w:val="ru-RU"/>
        </w:rPr>
        <w:t xml:space="preserve">были </w:t>
      </w:r>
      <w:r w:rsidRPr="000D54C3">
        <w:rPr>
          <w:lang w:val="ru-RU"/>
        </w:rPr>
        <w:t xml:space="preserve">в </w:t>
      </w:r>
      <w:r w:rsidRPr="000D54C3">
        <w:rPr>
          <w:lang w:val="ru-RU"/>
        </w:rPr>
        <w:lastRenderedPageBreak/>
        <w:t>большей степени ориентирован</w:t>
      </w:r>
      <w:r w:rsidR="00793220" w:rsidRPr="000D54C3">
        <w:rPr>
          <w:lang w:val="ru-RU"/>
        </w:rPr>
        <w:t xml:space="preserve">ными </w:t>
      </w:r>
      <w:r w:rsidRPr="000D54C3">
        <w:rPr>
          <w:lang w:val="ru-RU"/>
        </w:rPr>
        <w:t xml:space="preserve">на международный рынок, </w:t>
      </w:r>
      <w:r w:rsidR="00793220" w:rsidRPr="000D54C3">
        <w:rPr>
          <w:lang w:val="ru-RU"/>
        </w:rPr>
        <w:t>хотя то же самое можно сказать про высшие учебные заведения и государственные научно-исследовательские учреждения в сфере фармацевтических технологий.</w:t>
      </w:r>
    </w:p>
    <w:p w:rsidR="00EA679B" w:rsidRPr="000D54C3" w:rsidRDefault="00EA679B" w:rsidP="00EA679B">
      <w:pPr>
        <w:rPr>
          <w:lang w:val="ru-RU"/>
        </w:rPr>
      </w:pPr>
    </w:p>
    <w:p w:rsidR="00BB14DB" w:rsidRPr="000D54C3" w:rsidRDefault="00793220" w:rsidP="00BB14DB">
      <w:pPr>
        <w:rPr>
          <w:lang w:val="ru-RU"/>
        </w:rPr>
      </w:pPr>
      <w:r w:rsidRPr="000D54C3">
        <w:rPr>
          <w:lang w:val="ru-RU"/>
        </w:rPr>
        <w:t>Предприятия фармацевтической отрасли специализируются на небиологических лекарственных препаратах (42 процента) и новых химических соединениях (31 процент). Компании специализируются на небиологических препаратах, а университеты – на новых химических соединениях. Небиологические лекарственные препараты являются единственной областью, в которой наибольшее число заявок было подано коммерческими предприятиями. Что касается медико-технологической отрасли, то она специализируется на диагностическом и хирургическом оборудовании (34 процента), а также на протезах, стентах и ортопедических устройствах (18 процентов).</w:t>
      </w:r>
    </w:p>
    <w:p w:rsidR="00BB14DB" w:rsidRPr="000D54C3" w:rsidRDefault="00BB14DB" w:rsidP="00EA679B">
      <w:pPr>
        <w:rPr>
          <w:lang w:val="ru-RU"/>
        </w:rPr>
      </w:pPr>
    </w:p>
    <w:p w:rsidR="00E065CF" w:rsidRPr="000D54C3" w:rsidRDefault="00793220" w:rsidP="00E065CF">
      <w:pPr>
        <w:rPr>
          <w:lang w:val="ru-RU"/>
        </w:rPr>
      </w:pPr>
      <w:r w:rsidRPr="000D54C3">
        <w:rPr>
          <w:lang w:val="ru-RU"/>
        </w:rPr>
        <w:t>Из 1 578</w:t>
      </w:r>
      <w:r w:rsidR="00A834D9" w:rsidRPr="000D54C3">
        <w:rPr>
          <w:lang w:val="ru-RU"/>
        </w:rPr>
        <w:t xml:space="preserve"> связанных с медициной заявок, поданных в РРО отечественными заявителями, получившими исключительные права ИС, 71 процент (1 113) все еще действовали на дату получения данных, а срок действия 29 процентов (465) истек. Результаты анализа также показали, что продажа исключительных прав была довольно редким явлением, и наименее коммерциализированными были права, принадлежащие государственным научно-исследовательским учреждениям и физическим лицам. Как показывают данные, лицензирование также не является одной из популярных форм коммерциализации исключительных прав отечественными юридическими и физическими лицами.</w:t>
      </w:r>
    </w:p>
    <w:p w:rsidR="00C932B9" w:rsidRPr="000D54C3" w:rsidRDefault="00C932B9" w:rsidP="00E065CF">
      <w:pPr>
        <w:rPr>
          <w:lang w:val="ru-RU"/>
        </w:rPr>
      </w:pPr>
    </w:p>
    <w:p w:rsidR="00BB14DB" w:rsidRPr="000D54C3" w:rsidRDefault="00A834D9" w:rsidP="00BB14DB">
      <w:pPr>
        <w:rPr>
          <w:lang w:val="ru-RU"/>
        </w:rPr>
      </w:pPr>
      <w:r w:rsidRPr="000D54C3">
        <w:rPr>
          <w:lang w:val="ru-RU"/>
        </w:rPr>
        <w:t xml:space="preserve">По сравнению со странами т.н. «ЕС-15» Польша является относительно привлекательным рынком для иностранных компаний. </w:t>
      </w:r>
      <w:r w:rsidR="00312F24" w:rsidRPr="000D54C3">
        <w:rPr>
          <w:lang w:val="ru-RU"/>
        </w:rPr>
        <w:t xml:space="preserve">Вместе с тем, Польша, где общее число поданных национальных заявок, заявок по процедуре </w:t>
      </w:r>
      <w:r w:rsidR="00312F24" w:rsidRPr="000D54C3">
        <w:t>PCT</w:t>
      </w:r>
      <w:r w:rsidR="00312F24" w:rsidRPr="000D54C3">
        <w:rPr>
          <w:lang w:val="ru-RU"/>
        </w:rPr>
        <w:t xml:space="preserve"> и </w:t>
      </w:r>
      <w:r w:rsidR="00CE1283" w:rsidRPr="000D54C3">
        <w:rPr>
          <w:lang w:val="ru-RU"/>
        </w:rPr>
        <w:t>валидированных</w:t>
      </w:r>
      <w:r w:rsidR="00312F24" w:rsidRPr="000D54C3">
        <w:rPr>
          <w:lang w:val="ru-RU"/>
        </w:rPr>
        <w:t xml:space="preserve"> европейских патентов в области здравоохранения составило 13 432, опережает другие страны региона ЦВЕ по этому показателю. На протяжении проанализированного периода общее число утвержденных заявок превысило 10 000 и составило 11 процентов всех связанных с медициной патентов, </w:t>
      </w:r>
      <w:r w:rsidR="00CE1283" w:rsidRPr="000D54C3">
        <w:rPr>
          <w:lang w:val="ru-RU"/>
        </w:rPr>
        <w:t xml:space="preserve">валидированных </w:t>
      </w:r>
      <w:r w:rsidR="00312F24" w:rsidRPr="000D54C3">
        <w:rPr>
          <w:lang w:val="ru-RU"/>
        </w:rPr>
        <w:t xml:space="preserve">в ЕС. Среднегодовой показатель роста числа патентов, </w:t>
      </w:r>
      <w:r w:rsidR="00CE1283" w:rsidRPr="000D54C3">
        <w:rPr>
          <w:lang w:val="ru-RU"/>
        </w:rPr>
        <w:t xml:space="preserve">валидированных </w:t>
      </w:r>
      <w:r w:rsidR="00312F24" w:rsidRPr="000D54C3">
        <w:rPr>
          <w:lang w:val="ru-RU"/>
        </w:rPr>
        <w:t xml:space="preserve">в Польше, составил 48 процентов, в то время как в среднем по </w:t>
      </w:r>
      <w:r w:rsidR="009C7453" w:rsidRPr="000D54C3">
        <w:rPr>
          <w:lang w:val="ru-RU"/>
        </w:rPr>
        <w:t xml:space="preserve">всем странам </w:t>
      </w:r>
      <w:r w:rsidR="00312F24" w:rsidRPr="000D54C3">
        <w:rPr>
          <w:lang w:val="ru-RU"/>
        </w:rPr>
        <w:t xml:space="preserve">ЕС </w:t>
      </w:r>
      <w:r w:rsidR="009C7453" w:rsidRPr="000D54C3">
        <w:rPr>
          <w:lang w:val="ru-RU"/>
        </w:rPr>
        <w:t>число таких патентов увеличилось всего на 3 процента.</w:t>
      </w:r>
    </w:p>
    <w:p w:rsidR="00697D19" w:rsidRPr="000D54C3" w:rsidRDefault="00697D19" w:rsidP="00F71A92">
      <w:pPr>
        <w:rPr>
          <w:lang w:val="ru-RU"/>
        </w:rPr>
      </w:pPr>
    </w:p>
    <w:p w:rsidR="00EA679B" w:rsidRPr="000D54C3" w:rsidRDefault="00EA679B" w:rsidP="00F71A92">
      <w:pPr>
        <w:rPr>
          <w:lang w:val="ru-RU"/>
        </w:rPr>
      </w:pPr>
    </w:p>
    <w:p w:rsidR="007615F5" w:rsidRPr="000D54C3" w:rsidRDefault="007615F5" w:rsidP="007615F5">
      <w:pPr>
        <w:pStyle w:val="Heading2"/>
        <w:rPr>
          <w:lang w:val="ru-RU"/>
        </w:rPr>
      </w:pPr>
      <w:r w:rsidRPr="000D54C3">
        <w:rPr>
          <w:lang w:val="ru-RU"/>
        </w:rPr>
        <w:t>3</w:t>
      </w:r>
      <w:r w:rsidR="009C7453" w:rsidRPr="000D54C3">
        <w:rPr>
          <w:lang w:val="ru-RU"/>
        </w:rPr>
        <w:t xml:space="preserve"> </w:t>
      </w:r>
      <w:r w:rsidRPr="000D54C3">
        <w:rPr>
          <w:lang w:val="ru-RU"/>
        </w:rPr>
        <w:t xml:space="preserve">- </w:t>
      </w:r>
      <w:r w:rsidR="009C7453" w:rsidRPr="000D54C3">
        <w:rPr>
          <w:lang w:val="ru-RU"/>
        </w:rPr>
        <w:t>Качественная оценка фармацевтической и медико-технологической отраслей экономики Польши</w:t>
      </w:r>
    </w:p>
    <w:p w:rsidR="00E065CF" w:rsidRPr="000D54C3" w:rsidRDefault="00E065CF" w:rsidP="00BB14DB">
      <w:pPr>
        <w:rPr>
          <w:lang w:val="ru-RU"/>
        </w:rPr>
      </w:pPr>
    </w:p>
    <w:p w:rsidR="00E065CF" w:rsidRPr="000D54C3" w:rsidRDefault="00936BCC" w:rsidP="00E065CF">
      <w:pPr>
        <w:rPr>
          <w:lang w:val="ru-RU"/>
        </w:rPr>
      </w:pPr>
      <w:r w:rsidRPr="000D54C3">
        <w:rPr>
          <w:lang w:val="ru-RU"/>
        </w:rPr>
        <w:t>Цель</w:t>
      </w:r>
      <w:r w:rsidR="00AA1AA9" w:rsidRPr="000D54C3">
        <w:rPr>
          <w:lang w:val="ru-RU"/>
        </w:rPr>
        <w:t>ю третьего документа было показать специфику инноваций в фармацевтической и медико-технологической отраслях сквозь призму опыта и мнений представительной выборки, состоящей из 42 компаний из обеих отраслей. На основе результатов анализа данных, полученных в ходе подробных интервью, были оценены юридические и социально-экономические механизмы и факторы, определяющие характер инноваций в этом секторе.</w:t>
      </w:r>
    </w:p>
    <w:p w:rsidR="00E065CF" w:rsidRPr="000D54C3" w:rsidRDefault="00E065CF" w:rsidP="00E065CF">
      <w:pPr>
        <w:rPr>
          <w:lang w:val="ru-RU"/>
        </w:rPr>
      </w:pPr>
    </w:p>
    <w:p w:rsidR="00AC4FA9" w:rsidRPr="000D54C3" w:rsidRDefault="00AA1AA9" w:rsidP="00E065CF">
      <w:pPr>
        <w:rPr>
          <w:lang w:val="ru-RU"/>
        </w:rPr>
      </w:pPr>
      <w:r w:rsidRPr="000D54C3">
        <w:rPr>
          <w:lang w:val="ru-RU"/>
        </w:rPr>
        <w:t>Результаты интервью позволяют сделать следующие выводы:</w:t>
      </w:r>
    </w:p>
    <w:p w:rsidR="00AC4FA9" w:rsidRPr="000D54C3" w:rsidRDefault="00AC4FA9" w:rsidP="00E065CF">
      <w:pPr>
        <w:rPr>
          <w:lang w:val="ru-RU"/>
        </w:rPr>
      </w:pPr>
    </w:p>
    <w:p w:rsidR="00BB14DB" w:rsidRPr="000D54C3" w:rsidRDefault="00BC42BF" w:rsidP="00BC42B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a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AA1AA9" w:rsidRPr="000D54C3">
        <w:rPr>
          <w:lang w:val="ru-RU"/>
        </w:rPr>
        <w:t xml:space="preserve">Фармацевтическая промышленность Польши производит в основном непатентованные лекарственные препараты. Однако это не значит, что </w:t>
      </w:r>
      <w:r w:rsidR="00804737" w:rsidRPr="000D54C3">
        <w:rPr>
          <w:lang w:val="ru-RU"/>
        </w:rPr>
        <w:t>в стране вообще нет специализирующихся на исследованиях фармацевтических компаний. Несколько компаний занимаются НИОКР в области инновационных медицинских товаров в онкологии и иммуноонкологии. Модель коммерциализации результатов их деятельности в области НИОКР предполагает, что права на прошедшую испытания продукцию и результаты проводимых испытаний должны продаваться крупным фармацевтическим компаниям. Перспективы разработки и внедрения инновационных медицинских технологий в ближайшие годы не выглядят особенно многообещающими.</w:t>
      </w:r>
    </w:p>
    <w:p w:rsidR="00BB14DB" w:rsidRPr="000D54C3" w:rsidRDefault="00BB14DB" w:rsidP="00BC42BF">
      <w:pPr>
        <w:ind w:left="567"/>
        <w:rPr>
          <w:lang w:val="ru-RU"/>
        </w:rPr>
      </w:pPr>
    </w:p>
    <w:p w:rsidR="00BB14DB" w:rsidRPr="000D54C3" w:rsidRDefault="00BC42BF" w:rsidP="00BC42B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rFonts w:cs="Century"/>
          <w:lang w:val="ru-RU"/>
        </w:rPr>
      </w:pPr>
      <w:r w:rsidRPr="000D54C3">
        <w:rPr>
          <w:lang w:val="ru-RU"/>
        </w:rPr>
        <w:t>(</w:t>
      </w:r>
      <w:r w:rsidRPr="000D54C3">
        <w:t>b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804737" w:rsidRPr="000D54C3">
        <w:rPr>
          <w:lang w:val="ru-RU"/>
        </w:rPr>
        <w:t xml:space="preserve">Как правило, в отрасли, производящей непатентованные лекарственные препараты, разрабатываются </w:t>
      </w:r>
      <w:r w:rsidR="00E22379" w:rsidRPr="000D54C3">
        <w:rPr>
          <w:lang w:val="ru-RU"/>
        </w:rPr>
        <w:t>вторичные фармацевтические инновации, т.е. совершенствование уже существующих лекарственных средств или методов производства. Эти лекарственные препараты предназначены для лечения гериатрических синдромов, таких как нейродеге</w:t>
      </w:r>
      <w:r w:rsidR="0006630B">
        <w:rPr>
          <w:lang w:val="ru-RU"/>
        </w:rPr>
        <w:t>не</w:t>
      </w:r>
      <w:r w:rsidR="00E22379" w:rsidRPr="000D54C3">
        <w:rPr>
          <w:lang w:val="ru-RU"/>
        </w:rPr>
        <w:t>ративные заболевания, рак и сердечно-сосудистые заболевания.</w:t>
      </w:r>
    </w:p>
    <w:p w:rsidR="00BB14DB" w:rsidRPr="000D54C3" w:rsidRDefault="00BB14DB" w:rsidP="00BC42BF">
      <w:pPr>
        <w:ind w:left="567"/>
        <w:rPr>
          <w:lang w:val="ru-RU"/>
        </w:rPr>
      </w:pPr>
    </w:p>
    <w:p w:rsidR="004F440D" w:rsidRPr="000D54C3" w:rsidRDefault="00D92616" w:rsidP="00BC42B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rFonts w:cs="Century"/>
          <w:lang w:val="ru-RU"/>
        </w:rPr>
      </w:pPr>
      <w:r w:rsidRPr="000D54C3">
        <w:rPr>
          <w:lang w:val="ru-RU"/>
        </w:rPr>
        <w:t>(</w:t>
      </w:r>
      <w:r w:rsidRPr="000D54C3">
        <w:t>c</w:t>
      </w:r>
      <w:r w:rsidR="00BC42BF" w:rsidRPr="000D54C3">
        <w:rPr>
          <w:lang w:val="ru-RU"/>
        </w:rPr>
        <w:t>)</w:t>
      </w:r>
      <w:r w:rsidR="00BC42BF" w:rsidRPr="000D54C3">
        <w:rPr>
          <w:lang w:val="ru-RU"/>
        </w:rPr>
        <w:tab/>
      </w:r>
      <w:r w:rsidR="00616BA5" w:rsidRPr="000D54C3">
        <w:rPr>
          <w:lang w:val="ru-RU"/>
        </w:rPr>
        <w:t xml:space="preserve">В фармацевтической отрасли биотехнология и молекулярная биология являются наиболее многообещающими областями деятельности, открывающими наиболее широкие возможности для развития польских компаний и заслуживающими государственной поддержки в том, что касается разработки инновационных и непатентованных лекарственных препаратов. Ведущие биотехнологические компании занимаются разработками в области молекулярной биологии и соответствующих технологий, таких как выделение нуклеиновых кислот. Что касается биоэквивалентных </w:t>
      </w:r>
      <w:r w:rsidR="006E4F6B" w:rsidRPr="000D54C3">
        <w:rPr>
          <w:lang w:val="ru-RU"/>
        </w:rPr>
        <w:t>лекарственных препаратов, то их разработка является более сложным и многообещающим процессом, чем производство низкомолекулярных непатентованных лекарственных средств. Такого рода деятельность может послужить отправной точкой для дальнейшего развития инновационного потенциала фармацевтической отрасли в Польше.</w:t>
      </w:r>
    </w:p>
    <w:p w:rsidR="00E065CF" w:rsidRPr="000D54C3" w:rsidRDefault="00E065CF" w:rsidP="00BC42BF">
      <w:pPr>
        <w:ind w:left="567"/>
        <w:rPr>
          <w:lang w:val="ru-RU"/>
        </w:rPr>
      </w:pPr>
    </w:p>
    <w:p w:rsidR="00E065CF" w:rsidRPr="000D54C3" w:rsidRDefault="00BC42BF" w:rsidP="00BC42B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b/>
          <w:lang w:val="ru-RU"/>
        </w:rPr>
      </w:pPr>
      <w:r w:rsidRPr="000D54C3">
        <w:rPr>
          <w:lang w:val="ru-RU"/>
        </w:rPr>
        <w:t>(</w:t>
      </w:r>
      <w:r w:rsidRPr="000D54C3">
        <w:t>d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454B11" w:rsidRPr="000D54C3">
        <w:rPr>
          <w:lang w:val="ru-RU"/>
        </w:rPr>
        <w:t xml:space="preserve">Медико-техническая отрасль является более диверсифицированной в плане инноваций. Инновационная медицинская продукция и технологии, как новые изобретения, так и усовершенствованные продукты, патентуются и поступают на рынок. Среди наиболее революционных инноваций можно отметить искусственное сердце, заменители костной ткани, травматологические имплантаты и искусственные ткани. Другими примерами инновации в этой отрасли являются оборудование для нейрофизиологической диагностики и приборы для ранней диагностики рака груди, а также стенты и биодеградируемые перевязочные материалы. Многие польские компании </w:t>
      </w:r>
      <w:r w:rsidR="00467A89" w:rsidRPr="000D54C3">
        <w:rPr>
          <w:lang w:val="ru-RU"/>
        </w:rPr>
        <w:t>разрабатывают высокотехнологичное инновационное оборудование для дистанционного оказания медицинских услуг и информационно-технологические решения для медицины. В медико-технологической отрасли наибольший инновационный потенциал имеется в следующих областях: новые технологии для диагностики, дистанционная медицина и используемые в медицине ИТ, биомедицина, имплантаты и трансплантаты, медицинские изделия и медицинские услуги, оказываемые престарелым. Учитывая необычайно высокие затраты на разработку оригинальных медицинских продуктов, медико-технологическая отрасль потенциально может создать больше возможностей для революционных инноваций в Польше.</w:t>
      </w:r>
    </w:p>
    <w:p w:rsidR="00E065CF" w:rsidRPr="000D54C3" w:rsidRDefault="00E065CF" w:rsidP="00BC42BF">
      <w:pPr>
        <w:ind w:left="567"/>
        <w:rPr>
          <w:lang w:val="ru-RU"/>
        </w:rPr>
      </w:pPr>
    </w:p>
    <w:p w:rsidR="00610BAE" w:rsidRPr="000D54C3" w:rsidRDefault="00BE3433" w:rsidP="00414DE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e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CC4E62" w:rsidRPr="000D54C3">
        <w:rPr>
          <w:lang w:val="ru-RU"/>
        </w:rPr>
        <w:t>Фирмы называют отсутствие финансовой поддержки одним из главных факторов, препятствующих инновациям. Средства, получаемые от ЕС, принимаются с благодарностью, но считается, что слишком значительный их объем выделяется на фундаментальные исследования, а не на внедрение и коммерциализацию инноваций на рынке.</w:t>
      </w:r>
    </w:p>
    <w:p w:rsidR="00610BAE" w:rsidRPr="000D54C3" w:rsidRDefault="00610BAE" w:rsidP="00610BAE">
      <w:pPr>
        <w:rPr>
          <w:lang w:val="ru-RU"/>
        </w:rPr>
      </w:pPr>
    </w:p>
    <w:p w:rsidR="00610BAE" w:rsidRPr="000D54C3" w:rsidRDefault="00BE3433" w:rsidP="00BE3433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rFonts w:cs="Century"/>
          <w:lang w:val="ru-RU"/>
        </w:rPr>
      </w:pPr>
      <w:r w:rsidRPr="000D54C3">
        <w:rPr>
          <w:lang w:val="ru-RU"/>
        </w:rPr>
        <w:t>(</w:t>
      </w:r>
      <w:r w:rsidRPr="000D54C3">
        <w:t>f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CC4E62" w:rsidRPr="000D54C3">
        <w:rPr>
          <w:lang w:val="ru-RU"/>
        </w:rPr>
        <w:t>Еще одним препятствием является недостаточно активное сотрудничество между секторами, особенно в том, что касается передачи технологий. По мнению компаний, центры передачи технологий не вполне отвечают интересам фармацевтической и медико-технологической отраслей. Сотрудничество с государственным сектором считается весьма трудным делом в силу различий в институциональной культуре.</w:t>
      </w:r>
    </w:p>
    <w:p w:rsidR="00610BAE" w:rsidRPr="000D54C3" w:rsidRDefault="00610BAE" w:rsidP="00E065CF">
      <w:pPr>
        <w:rPr>
          <w:lang w:val="ru-RU"/>
        </w:rPr>
      </w:pPr>
    </w:p>
    <w:p w:rsidR="00610BAE" w:rsidRPr="000D54C3" w:rsidRDefault="00BE3433" w:rsidP="00BE3433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g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2C44CE" w:rsidRPr="000D54C3">
        <w:rPr>
          <w:lang w:val="ru-RU"/>
        </w:rPr>
        <w:t xml:space="preserve">Результаты проведенных интервью и ответы на вопросы свидетельствуют о том, что в среднем уровень осведомленности относительно охраны ИС в секторе </w:t>
      </w:r>
      <w:r w:rsidR="002C44CE" w:rsidRPr="000D54C3">
        <w:rPr>
          <w:lang w:val="ru-RU"/>
        </w:rPr>
        <w:lastRenderedPageBreak/>
        <w:t>здравоохранения Польши остается довольно низким. Хотя существует группа компаний, руководители которых обладают высокой квалификацией в этой области, многие представители этого сектора не до конца понимают значение ИС и то, как ее использовать.</w:t>
      </w:r>
    </w:p>
    <w:p w:rsidR="00610BAE" w:rsidRPr="000D54C3" w:rsidRDefault="00610BAE" w:rsidP="00E065CF">
      <w:pPr>
        <w:rPr>
          <w:lang w:val="ru-RU"/>
        </w:rPr>
      </w:pPr>
    </w:p>
    <w:p w:rsidR="00E065CF" w:rsidRPr="000D54C3" w:rsidRDefault="00F745CF" w:rsidP="00F745C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h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2C44CE" w:rsidRPr="000D54C3">
        <w:rPr>
          <w:lang w:val="ru-RU"/>
        </w:rPr>
        <w:t>В обеих обследованных отраслях патенты используются в основном в качестве инструмента защиты, закрепляющего право на изобретение и не позволяющего другим заблокировать его, а оформление исключительного права на изобретение является вторичной функцией патентов.</w:t>
      </w:r>
    </w:p>
    <w:p w:rsidR="00E065CF" w:rsidRPr="000D54C3" w:rsidRDefault="00E065CF" w:rsidP="00E065CF">
      <w:pPr>
        <w:rPr>
          <w:lang w:val="ru-RU"/>
        </w:rPr>
      </w:pPr>
    </w:p>
    <w:p w:rsidR="00E065CF" w:rsidRPr="000D54C3" w:rsidRDefault="00F745CF" w:rsidP="00F745C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i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2C44CE" w:rsidRPr="000D54C3">
        <w:rPr>
          <w:lang w:val="ru-RU"/>
        </w:rPr>
        <w:t xml:space="preserve">Респонденты считают, что патенты стимулируют инновации в медико-технологической отрасли, позволяя компаниям </w:t>
      </w:r>
      <w:r w:rsidR="00761D44" w:rsidRPr="000D54C3">
        <w:rPr>
          <w:lang w:val="ru-RU"/>
        </w:rPr>
        <w:t>окупать инвестиции в НИОКР. Однако в фармацевтической отрасли они считаются лишь частично выполняющими такую функцию. С одной стороны, учитывая высокие затраты на коммерциализацию новых видов медицинской продукции, патентная система считается необходимым стимулом для инноваций, особенно в наукоемкой фармацевтической отрасли. С другой стороны затраты на проведение клинических и доклинических испытаний настолько высоки, что они являются непреодолимым препятствием для польских фармацевтических компаний. Главными проблемами являются нехватка стартового капитала, долгие сроки окупаемости инвестиций, а также неопределенность относительно того, действительно ли инвестиции окупятся.</w:t>
      </w:r>
    </w:p>
    <w:p w:rsidR="00E065CF" w:rsidRPr="000D54C3" w:rsidRDefault="00E065CF" w:rsidP="00E065CF">
      <w:pPr>
        <w:rPr>
          <w:lang w:val="ru-RU"/>
        </w:rPr>
      </w:pPr>
      <w:r w:rsidRPr="000D54C3">
        <w:rPr>
          <w:lang w:val="ru-RU"/>
        </w:rPr>
        <w:t xml:space="preserve"> </w:t>
      </w:r>
    </w:p>
    <w:p w:rsidR="00E065CF" w:rsidRPr="000D54C3" w:rsidRDefault="00F745CF" w:rsidP="00F745CF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j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761D44" w:rsidRPr="000D54C3">
        <w:rPr>
          <w:lang w:val="ru-RU"/>
        </w:rPr>
        <w:t>Несколько польских компаний прилагают огромные усилия к разработке новых лекарственных препаратов. Однако в большинстве случаев эти компании не планируют регистрировать свой продукт для выпуска на рынок</w:t>
      </w:r>
      <w:r w:rsidR="00074D26" w:rsidRPr="000D54C3">
        <w:rPr>
          <w:lang w:val="ru-RU"/>
        </w:rPr>
        <w:t xml:space="preserve">. Вместо этого они предпочитают продавать свои права на одной из продвинутых стадий НИОКР. В таких случаях патенты </w:t>
      </w:r>
      <w:r w:rsidR="0006630B">
        <w:rPr>
          <w:lang w:val="ru-RU"/>
        </w:rPr>
        <w:t>считались</w:t>
      </w:r>
      <w:r w:rsidR="00074D26" w:rsidRPr="000D54C3">
        <w:rPr>
          <w:lang w:val="ru-RU"/>
        </w:rPr>
        <w:t xml:space="preserve"> необходимыми для обеспечения окупаемости инвестиций в НИОКР.</w:t>
      </w:r>
    </w:p>
    <w:p w:rsidR="00E065CF" w:rsidRPr="000D54C3" w:rsidRDefault="00E065CF" w:rsidP="00E065CF">
      <w:pPr>
        <w:rPr>
          <w:lang w:val="ru-RU"/>
        </w:rPr>
      </w:pPr>
    </w:p>
    <w:p w:rsidR="00E065CF" w:rsidRPr="000D54C3" w:rsidRDefault="00ED73AD" w:rsidP="00ED73AD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k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55011C" w:rsidRPr="000D54C3">
        <w:rPr>
          <w:lang w:val="ru-RU"/>
        </w:rPr>
        <w:t xml:space="preserve">Некоторые компании фармацевтической и медико-технологической отраслей не пользуются патентной охраной. Во-первых, у компаний, производящих </w:t>
      </w:r>
      <w:r w:rsidR="00CE1283" w:rsidRPr="000D54C3">
        <w:rPr>
          <w:lang w:val="ru-RU"/>
        </w:rPr>
        <w:t>копии лекарственных препаратов</w:t>
      </w:r>
      <w:r w:rsidR="0055011C" w:rsidRPr="000D54C3">
        <w:rPr>
          <w:lang w:val="ru-RU"/>
        </w:rPr>
        <w:t>, нет патентоспособного материала, и поэтому их не интересует патентная охрана. Во-вторых, в отличие от таких компаний, инновационные компании в сфере молекулярной биологии охраняют свои технологии как коммерческую тайну</w:t>
      </w:r>
      <w:r w:rsidR="000706EE" w:rsidRPr="000D54C3">
        <w:rPr>
          <w:lang w:val="ru-RU"/>
        </w:rPr>
        <w:t xml:space="preserve"> ввиду их короткого жизненного цикла на рынке</w:t>
      </w:r>
      <w:r w:rsidR="00A27D5A" w:rsidRPr="000D54C3">
        <w:rPr>
          <w:lang w:val="ru-RU"/>
        </w:rPr>
        <w:t>. В-третьих, медико-технологическим компаниям, специализирующимся на дистанционной медицине, трудно воспользоваться патентной охраной, если они не могут воплотить свои инновации в медицинские изделия.</w:t>
      </w:r>
    </w:p>
    <w:p w:rsidR="00E065CF" w:rsidRPr="000D54C3" w:rsidRDefault="00E065CF" w:rsidP="00E065CF">
      <w:pPr>
        <w:rPr>
          <w:lang w:val="ru-RU"/>
        </w:rPr>
      </w:pPr>
    </w:p>
    <w:p w:rsidR="00610BAE" w:rsidRPr="000D54C3" w:rsidRDefault="00ED73AD" w:rsidP="00ED73AD">
      <w:pPr>
        <w:pStyle w:val="ListParagraph"/>
        <w:numPr>
          <w:ilvl w:val="0"/>
          <w:numId w:val="0"/>
        </w:numPr>
        <w:tabs>
          <w:tab w:val="left" w:pos="1134"/>
        </w:tabs>
        <w:ind w:left="567"/>
        <w:rPr>
          <w:lang w:val="ru-RU"/>
        </w:rPr>
      </w:pPr>
      <w:r w:rsidRPr="000D54C3">
        <w:rPr>
          <w:lang w:val="ru-RU"/>
        </w:rPr>
        <w:t>(</w:t>
      </w:r>
      <w:r w:rsidRPr="000D54C3">
        <w:t>l</w:t>
      </w:r>
      <w:r w:rsidRPr="000D54C3">
        <w:rPr>
          <w:lang w:val="ru-RU"/>
        </w:rPr>
        <w:t>)</w:t>
      </w:r>
      <w:r w:rsidRPr="000D54C3">
        <w:rPr>
          <w:lang w:val="ru-RU"/>
        </w:rPr>
        <w:tab/>
      </w:r>
      <w:r w:rsidR="00A27D5A" w:rsidRPr="000D54C3">
        <w:rPr>
          <w:lang w:val="ru-RU"/>
        </w:rPr>
        <w:t xml:space="preserve">Фирмы используют </w:t>
      </w:r>
      <w:r w:rsidR="000A00E4" w:rsidRPr="000D54C3">
        <w:rPr>
          <w:lang w:val="ru-RU"/>
        </w:rPr>
        <w:t>также другие</w:t>
      </w:r>
      <w:r w:rsidR="00A27D5A" w:rsidRPr="000D54C3">
        <w:rPr>
          <w:lang w:val="ru-RU"/>
        </w:rPr>
        <w:t xml:space="preserve"> права ИС для охраны своих инновационных товаров и услуг. Для этого они используют, в частности, права на товарные знаки, полезные модели и промышленные образцы.</w:t>
      </w:r>
    </w:p>
    <w:p w:rsidR="006E7A3C" w:rsidRPr="000D54C3" w:rsidRDefault="006E7A3C" w:rsidP="006E7A3C">
      <w:pPr>
        <w:pStyle w:val="ListParagraph"/>
        <w:numPr>
          <w:ilvl w:val="0"/>
          <w:numId w:val="0"/>
        </w:numPr>
        <w:ind w:left="720"/>
        <w:rPr>
          <w:lang w:val="ru-RU"/>
        </w:rPr>
      </w:pPr>
    </w:p>
    <w:p w:rsidR="006E7A3C" w:rsidRPr="000D54C3" w:rsidRDefault="006E7A3C" w:rsidP="006E7A3C">
      <w:pPr>
        <w:pStyle w:val="ListParagraph"/>
        <w:numPr>
          <w:ilvl w:val="0"/>
          <w:numId w:val="0"/>
        </w:numPr>
        <w:ind w:left="720"/>
        <w:rPr>
          <w:lang w:val="ru-RU"/>
        </w:rPr>
      </w:pPr>
    </w:p>
    <w:p w:rsidR="00ED73AD" w:rsidRPr="000D54C3" w:rsidRDefault="00ED73AD" w:rsidP="006E7A3C">
      <w:pPr>
        <w:pStyle w:val="ListParagraph"/>
        <w:numPr>
          <w:ilvl w:val="0"/>
          <w:numId w:val="0"/>
        </w:numPr>
        <w:ind w:left="720"/>
        <w:rPr>
          <w:lang w:val="ru-RU"/>
        </w:rPr>
      </w:pPr>
    </w:p>
    <w:p w:rsidR="006E7A3C" w:rsidRPr="006E7A3C" w:rsidRDefault="006E7A3C" w:rsidP="00ED73A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536" w:firstLine="567"/>
        <w:rPr>
          <w:rFonts w:eastAsia="SimSun"/>
          <w:color w:val="auto"/>
          <w:szCs w:val="20"/>
          <w:lang w:eastAsia="zh-CN"/>
        </w:rPr>
      </w:pPr>
      <w:r w:rsidRPr="000D54C3">
        <w:rPr>
          <w:rFonts w:eastAsia="SimSun"/>
          <w:color w:val="auto"/>
          <w:szCs w:val="20"/>
          <w:lang w:eastAsia="zh-CN"/>
        </w:rPr>
        <w:t>[</w:t>
      </w:r>
      <w:r w:rsidR="00A27D5A" w:rsidRPr="000D54C3">
        <w:rPr>
          <w:rFonts w:eastAsia="SimSun"/>
          <w:color w:val="auto"/>
          <w:szCs w:val="20"/>
          <w:lang w:val="ru-RU" w:eastAsia="zh-CN"/>
        </w:rPr>
        <w:t>Конец приложения и документа</w:t>
      </w:r>
      <w:r w:rsidRPr="000D54C3">
        <w:rPr>
          <w:rFonts w:eastAsia="SimSun"/>
          <w:color w:val="auto"/>
          <w:szCs w:val="20"/>
          <w:lang w:eastAsia="zh-CN"/>
        </w:rPr>
        <w:t>]</w:t>
      </w:r>
    </w:p>
    <w:sectPr w:rsidR="006E7A3C" w:rsidRPr="006E7A3C" w:rsidSect="00320791">
      <w:headerReference w:type="default" r:id="rId11"/>
      <w:headerReference w:type="first" r:id="rId12"/>
      <w:pgSz w:w="11907" w:h="16839" w:code="9"/>
      <w:pgMar w:top="567" w:right="1134" w:bottom="1418" w:left="1418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13" w:rsidRDefault="00243413">
      <w:r>
        <w:separator/>
      </w:r>
    </w:p>
  </w:endnote>
  <w:endnote w:type="continuationSeparator" w:id="0">
    <w:p w:rsidR="00243413" w:rsidRDefault="0024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17" w:rsidRDefault="008E101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13" w:rsidRDefault="00243413">
      <w:r>
        <w:separator/>
      </w:r>
    </w:p>
  </w:footnote>
  <w:footnote w:type="continuationSeparator" w:id="0">
    <w:p w:rsidR="00243413" w:rsidRDefault="00243413">
      <w:r>
        <w:continuationSeparator/>
      </w:r>
    </w:p>
  </w:footnote>
  <w:footnote w:id="1">
    <w:p w:rsidR="008E1017" w:rsidRPr="001F1F3E" w:rsidRDefault="008E1017" w:rsidP="00691C4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F1F3E">
        <w:rPr>
          <w:lang w:val="ru-RU"/>
        </w:rPr>
        <w:t xml:space="preserve"> </w:t>
      </w:r>
      <w:r>
        <w:rPr>
          <w:lang w:val="ru-RU"/>
        </w:rPr>
        <w:t>В</w:t>
      </w:r>
      <w:r w:rsidRPr="001F1F3E">
        <w:rPr>
          <w:lang w:val="ru-RU"/>
        </w:rPr>
        <w:t xml:space="preserve"> </w:t>
      </w:r>
      <w:r>
        <w:rPr>
          <w:lang w:val="ru-RU"/>
        </w:rPr>
        <w:t>ходе</w:t>
      </w:r>
      <w:r w:rsidRPr="001F1F3E">
        <w:rPr>
          <w:lang w:val="ru-RU"/>
        </w:rPr>
        <w:t xml:space="preserve"> </w:t>
      </w:r>
      <w:r>
        <w:rPr>
          <w:lang w:val="ru-RU"/>
        </w:rPr>
        <w:t>предварительных</w:t>
      </w:r>
      <w:r w:rsidRPr="001F1F3E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1F1F3E">
        <w:rPr>
          <w:lang w:val="ru-RU"/>
        </w:rPr>
        <w:t xml:space="preserve"> </w:t>
      </w:r>
      <w:r>
        <w:rPr>
          <w:lang w:val="ru-RU"/>
        </w:rPr>
        <w:t>правительство</w:t>
      </w:r>
      <w:r w:rsidRPr="001F1F3E">
        <w:rPr>
          <w:lang w:val="ru-RU"/>
        </w:rPr>
        <w:t xml:space="preserve"> </w:t>
      </w:r>
      <w:r>
        <w:rPr>
          <w:lang w:val="ru-RU"/>
        </w:rPr>
        <w:t>также</w:t>
      </w:r>
      <w:r w:rsidRPr="001F1F3E">
        <w:rPr>
          <w:lang w:val="ru-RU"/>
        </w:rPr>
        <w:t xml:space="preserve"> </w:t>
      </w:r>
      <w:r>
        <w:rPr>
          <w:lang w:val="ru-RU"/>
        </w:rPr>
        <w:t>выразило</w:t>
      </w:r>
      <w:r w:rsidRPr="001F1F3E">
        <w:rPr>
          <w:lang w:val="ru-RU"/>
        </w:rPr>
        <w:t xml:space="preserve"> </w:t>
      </w:r>
      <w:r>
        <w:rPr>
          <w:lang w:val="ru-RU"/>
        </w:rPr>
        <w:t>заинтересованность</w:t>
      </w:r>
      <w:r w:rsidRPr="001F1F3E">
        <w:rPr>
          <w:lang w:val="ru-RU"/>
        </w:rPr>
        <w:t xml:space="preserve"> </w:t>
      </w:r>
      <w:r>
        <w:rPr>
          <w:lang w:val="ru-RU"/>
        </w:rPr>
        <w:t>в</w:t>
      </w:r>
      <w:r w:rsidRPr="001F1F3E">
        <w:rPr>
          <w:lang w:val="ru-RU"/>
        </w:rPr>
        <w:t xml:space="preserve"> </w:t>
      </w:r>
      <w:r>
        <w:rPr>
          <w:lang w:val="ru-RU"/>
        </w:rPr>
        <w:t>том</w:t>
      </w:r>
      <w:r w:rsidRPr="001F1F3E">
        <w:rPr>
          <w:lang w:val="ru-RU"/>
        </w:rPr>
        <w:t xml:space="preserve">, </w:t>
      </w:r>
      <w:r>
        <w:rPr>
          <w:lang w:val="ru-RU"/>
        </w:rPr>
        <w:t>чтобы</w:t>
      </w:r>
      <w:r w:rsidRPr="001F1F3E">
        <w:rPr>
          <w:lang w:val="ru-RU"/>
        </w:rPr>
        <w:t xml:space="preserve"> </w:t>
      </w:r>
      <w:r>
        <w:rPr>
          <w:lang w:val="ru-RU"/>
        </w:rPr>
        <w:t>в</w:t>
      </w:r>
      <w:r w:rsidRPr="001F1F3E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1F1F3E">
        <w:rPr>
          <w:lang w:val="ru-RU"/>
        </w:rPr>
        <w:t xml:space="preserve"> </w:t>
      </w:r>
      <w:r>
        <w:rPr>
          <w:lang w:val="ru-RU"/>
        </w:rPr>
        <w:t>был</w:t>
      </w:r>
      <w:r w:rsidRPr="001F1F3E">
        <w:rPr>
          <w:lang w:val="ru-RU"/>
        </w:rPr>
        <w:t xml:space="preserve"> </w:t>
      </w:r>
      <w:r>
        <w:rPr>
          <w:lang w:val="ru-RU"/>
        </w:rPr>
        <w:t>включен также энергетический сектор, однако впоследствии отказалось от этой идеи.</w:t>
      </w:r>
    </w:p>
  </w:footnote>
  <w:footnote w:id="2">
    <w:p w:rsidR="008E1017" w:rsidRPr="00A35DD3" w:rsidRDefault="008E101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5DD3">
        <w:rPr>
          <w:lang w:val="ru-RU"/>
        </w:rPr>
        <w:t xml:space="preserve"> </w:t>
      </w:r>
      <w:r>
        <w:rPr>
          <w:lang w:val="ru-RU"/>
        </w:rPr>
        <w:t>Полный</w:t>
      </w:r>
      <w:r w:rsidRPr="00A35DD3">
        <w:rPr>
          <w:lang w:val="ru-RU"/>
        </w:rPr>
        <w:t xml:space="preserve"> </w:t>
      </w:r>
      <w:r>
        <w:rPr>
          <w:lang w:val="ru-RU"/>
        </w:rPr>
        <w:t>текст</w:t>
      </w:r>
      <w:r w:rsidRPr="00A35DD3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A35DD3">
        <w:rPr>
          <w:lang w:val="ru-RU"/>
        </w:rPr>
        <w:t xml:space="preserve"> </w:t>
      </w:r>
      <w:r>
        <w:rPr>
          <w:lang w:val="ru-RU"/>
        </w:rPr>
        <w:t>будет</w:t>
      </w:r>
      <w:r w:rsidRPr="00A35DD3">
        <w:rPr>
          <w:lang w:val="ru-RU"/>
        </w:rPr>
        <w:t xml:space="preserve"> </w:t>
      </w:r>
      <w:r>
        <w:rPr>
          <w:lang w:val="ru-RU"/>
        </w:rPr>
        <w:t>опубликован</w:t>
      </w:r>
      <w:r w:rsidRPr="00A35DD3">
        <w:rPr>
          <w:lang w:val="ru-RU"/>
        </w:rPr>
        <w:t xml:space="preserve"> </w:t>
      </w:r>
      <w:r>
        <w:rPr>
          <w:lang w:val="ru-RU"/>
        </w:rPr>
        <w:t>на следующей странице</w:t>
      </w:r>
      <w:r w:rsidRPr="00A35DD3">
        <w:rPr>
          <w:lang w:val="ru-RU"/>
        </w:rPr>
        <w:t xml:space="preserve">: </w:t>
      </w:r>
      <w:hyperlink r:id="rId1" w:history="1">
        <w:r w:rsidRPr="00635E49">
          <w:rPr>
            <w:rStyle w:val="Hyperlink"/>
          </w:rPr>
          <w:t>http</w:t>
        </w:r>
        <w:r w:rsidRPr="00A35DD3">
          <w:rPr>
            <w:rStyle w:val="Hyperlink"/>
            <w:lang w:val="ru-RU"/>
          </w:rPr>
          <w:t>://</w:t>
        </w:r>
        <w:r w:rsidRPr="00635E49">
          <w:rPr>
            <w:rStyle w:val="Hyperlink"/>
          </w:rPr>
          <w:t>www</w:t>
        </w:r>
        <w:r w:rsidRPr="00A35DD3">
          <w:rPr>
            <w:rStyle w:val="Hyperlink"/>
            <w:lang w:val="ru-RU"/>
          </w:rPr>
          <w:t>.</w:t>
        </w:r>
        <w:r w:rsidRPr="00635E49">
          <w:rPr>
            <w:rStyle w:val="Hyperlink"/>
          </w:rPr>
          <w:t>wipo</w:t>
        </w:r>
        <w:r w:rsidRPr="00A35DD3">
          <w:rPr>
            <w:rStyle w:val="Hyperlink"/>
            <w:lang w:val="ru-RU"/>
          </w:rPr>
          <w:t>.</w:t>
        </w:r>
        <w:r w:rsidRPr="00635E49">
          <w:rPr>
            <w:rStyle w:val="Hyperlink"/>
          </w:rPr>
          <w:t>int</w:t>
        </w:r>
        <w:r w:rsidRPr="00A35DD3">
          <w:rPr>
            <w:rStyle w:val="Hyperlink"/>
            <w:lang w:val="ru-RU"/>
          </w:rPr>
          <w:t>/</w:t>
        </w:r>
        <w:r w:rsidRPr="00635E49">
          <w:rPr>
            <w:rStyle w:val="Hyperlink"/>
          </w:rPr>
          <w:t>econ</w:t>
        </w:r>
        <w:r w:rsidRPr="00A35DD3">
          <w:rPr>
            <w:rStyle w:val="Hyperlink"/>
            <w:lang w:val="ru-RU"/>
          </w:rPr>
          <w:t>_</w:t>
        </w:r>
        <w:r w:rsidRPr="00635E49">
          <w:rPr>
            <w:rStyle w:val="Hyperlink"/>
          </w:rPr>
          <w:t>stat</w:t>
        </w:r>
        <w:r w:rsidRPr="00A35DD3">
          <w:rPr>
            <w:rStyle w:val="Hyperlink"/>
            <w:lang w:val="ru-RU"/>
          </w:rPr>
          <w:t>/</w:t>
        </w:r>
        <w:r w:rsidRPr="00635E49">
          <w:rPr>
            <w:rStyle w:val="Hyperlink"/>
          </w:rPr>
          <w:t>en</w:t>
        </w:r>
        <w:r w:rsidRPr="00A35DD3">
          <w:rPr>
            <w:rStyle w:val="Hyperlink"/>
            <w:lang w:val="ru-RU"/>
          </w:rPr>
          <w:t>/</w:t>
        </w:r>
        <w:r w:rsidRPr="00635E49">
          <w:rPr>
            <w:rStyle w:val="Hyperlink"/>
          </w:rPr>
          <w:t>economics</w:t>
        </w:r>
        <w:r w:rsidRPr="00A35DD3">
          <w:rPr>
            <w:rStyle w:val="Hyperlink"/>
            <w:lang w:val="ru-RU"/>
          </w:rPr>
          <w:t>/</w:t>
        </w:r>
        <w:r w:rsidRPr="00635E49">
          <w:rPr>
            <w:rStyle w:val="Hyperlink"/>
          </w:rPr>
          <w:t>studies</w:t>
        </w:r>
      </w:hyperlink>
    </w:p>
    <w:p w:rsidR="008E1017" w:rsidRPr="00A35DD3" w:rsidRDefault="008E1017">
      <w:pPr>
        <w:pStyle w:val="FootnoteText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17" w:rsidRPr="00262966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CDIP/20/</w:t>
    </w:r>
    <w:r w:rsidRPr="00262966">
      <w:rPr>
        <w:rFonts w:eastAsia="SimSun"/>
        <w:color w:val="auto"/>
        <w:szCs w:val="20"/>
        <w:highlight w:val="yellow"/>
        <w:lang w:eastAsia="zh-CN"/>
      </w:rPr>
      <w:t>X</w:t>
    </w: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  <w:r>
      <w:rPr>
        <w:rFonts w:eastAsia="SimSun"/>
        <w:color w:val="auto"/>
        <w:szCs w:val="20"/>
        <w:lang w:eastAsia="zh-CN"/>
      </w:rPr>
      <w:t>Annex</w:t>
    </w:r>
    <w:r w:rsidRPr="00262966">
      <w:rPr>
        <w:rFonts w:eastAsia="SimSun"/>
        <w:color w:val="auto"/>
        <w:szCs w:val="20"/>
        <w:lang w:eastAsia="zh-CN"/>
      </w:rPr>
      <w:t xml:space="preserve">, page </w:t>
    </w:r>
    <w:r w:rsidRPr="00262966">
      <w:rPr>
        <w:rFonts w:eastAsia="SimSun"/>
        <w:color w:val="auto"/>
        <w:szCs w:val="20"/>
        <w:lang w:eastAsia="zh-CN"/>
      </w:rPr>
      <w:fldChar w:fldCharType="begin"/>
    </w:r>
    <w:r w:rsidRPr="00262966">
      <w:rPr>
        <w:rFonts w:eastAsia="SimSun"/>
        <w:color w:val="auto"/>
        <w:szCs w:val="20"/>
        <w:lang w:eastAsia="zh-CN"/>
      </w:rPr>
      <w:instrText xml:space="preserve"> PAGE   \* MERGEFORMAT </w:instrText>
    </w:r>
    <w:r w:rsidRPr="00262966">
      <w:rPr>
        <w:rFonts w:eastAsia="SimSun"/>
        <w:color w:val="auto"/>
        <w:szCs w:val="20"/>
        <w:lang w:eastAsia="zh-CN"/>
      </w:rPr>
      <w:fldChar w:fldCharType="separate"/>
    </w:r>
    <w:r>
      <w:rPr>
        <w:rFonts w:eastAsia="SimSun"/>
        <w:noProof/>
        <w:color w:val="auto"/>
        <w:szCs w:val="20"/>
        <w:lang w:eastAsia="zh-CN"/>
      </w:rPr>
      <w:t>6</w:t>
    </w:r>
    <w:r w:rsidRPr="00262966">
      <w:rPr>
        <w:rFonts w:eastAsia="SimSun"/>
        <w:noProof/>
        <w:color w:val="auto"/>
        <w:szCs w:val="20"/>
        <w:lang w:eastAsia="zh-C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:rsidR="008E1017" w:rsidRPr="00262966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</w:t>
    </w:r>
    <w:r>
      <w:rPr>
        <w:rFonts w:eastAsia="SimSun"/>
        <w:color w:val="auto"/>
        <w:szCs w:val="20"/>
        <w:lang w:eastAsia="zh-CN"/>
      </w:rPr>
      <w:t>2</w:t>
    </w:r>
    <w:r w:rsidRPr="00262966">
      <w:rPr>
        <w:rFonts w:eastAsia="SimSun"/>
        <w:color w:val="auto"/>
        <w:szCs w:val="20"/>
        <w:lang w:eastAsia="zh-CN"/>
      </w:rPr>
      <w:t>/</w:t>
    </w:r>
    <w:r>
      <w:rPr>
        <w:rFonts w:eastAsia="SimSun"/>
        <w:color w:val="auto"/>
        <w:szCs w:val="20"/>
        <w:lang w:eastAsia="zh-CN"/>
      </w:rPr>
      <w:t>INF/3</w:t>
    </w: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eastAsia="zh-CN"/>
      </w:rPr>
    </w:pPr>
    <w:r>
      <w:rPr>
        <w:rFonts w:eastAsia="SimSun"/>
        <w:color w:val="auto"/>
        <w:szCs w:val="20"/>
        <w:lang w:val="ru-RU" w:eastAsia="zh-CN"/>
      </w:rPr>
      <w:t>Приложение</w:t>
    </w:r>
    <w:r w:rsidRPr="00262966">
      <w:rPr>
        <w:rFonts w:eastAsia="SimSun"/>
        <w:color w:val="auto"/>
        <w:szCs w:val="20"/>
        <w:lang w:eastAsia="zh-CN"/>
      </w:rPr>
      <w:t xml:space="preserve">, </w:t>
    </w:r>
    <w:r>
      <w:rPr>
        <w:rFonts w:eastAsia="SimSun"/>
        <w:color w:val="auto"/>
        <w:szCs w:val="20"/>
        <w:lang w:val="ru-RU" w:eastAsia="zh-CN"/>
      </w:rPr>
      <w:t>стр.</w:t>
    </w:r>
    <w:r w:rsidRPr="00262966">
      <w:rPr>
        <w:rFonts w:eastAsia="SimSun"/>
        <w:color w:val="auto"/>
        <w:szCs w:val="20"/>
        <w:lang w:eastAsia="zh-CN"/>
      </w:rPr>
      <w:t xml:space="preserve"> </w:t>
    </w:r>
    <w:r w:rsidRPr="00262966">
      <w:rPr>
        <w:rFonts w:eastAsia="SimSun"/>
        <w:color w:val="auto"/>
        <w:szCs w:val="20"/>
        <w:lang w:eastAsia="zh-CN"/>
      </w:rPr>
      <w:fldChar w:fldCharType="begin"/>
    </w:r>
    <w:r w:rsidRPr="00262966">
      <w:rPr>
        <w:rFonts w:eastAsia="SimSun"/>
        <w:color w:val="auto"/>
        <w:szCs w:val="20"/>
        <w:lang w:eastAsia="zh-CN"/>
      </w:rPr>
      <w:instrText xml:space="preserve"> PAGE   \* MERGEFORMAT </w:instrText>
    </w:r>
    <w:r w:rsidRPr="00262966">
      <w:rPr>
        <w:rFonts w:eastAsia="SimSun"/>
        <w:color w:val="auto"/>
        <w:szCs w:val="20"/>
        <w:lang w:eastAsia="zh-CN"/>
      </w:rPr>
      <w:fldChar w:fldCharType="separate"/>
    </w:r>
    <w:r w:rsidR="004A70A2">
      <w:rPr>
        <w:rFonts w:eastAsia="SimSun"/>
        <w:noProof/>
        <w:color w:val="auto"/>
        <w:szCs w:val="20"/>
        <w:lang w:eastAsia="zh-CN"/>
      </w:rPr>
      <w:t>9</w:t>
    </w:r>
    <w:r w:rsidRPr="00262966">
      <w:rPr>
        <w:rFonts w:eastAsia="SimSun"/>
        <w:noProof/>
        <w:color w:val="auto"/>
        <w:szCs w:val="20"/>
        <w:lang w:eastAsia="zh-CN"/>
      </w:rPr>
      <w:fldChar w:fldCharType="end"/>
    </w: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noProof/>
        <w:color w:val="auto"/>
        <w:szCs w:val="20"/>
        <w:lang w:eastAsia="zh-CN"/>
      </w:rPr>
    </w:pP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:rsidR="008E1017" w:rsidRPr="00262966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  <w:r w:rsidRPr="00262966">
      <w:rPr>
        <w:rFonts w:eastAsia="SimSun"/>
        <w:color w:val="auto"/>
        <w:szCs w:val="20"/>
        <w:lang w:eastAsia="zh-CN"/>
      </w:rPr>
      <w:t>CDIP/2</w:t>
    </w:r>
    <w:r>
      <w:rPr>
        <w:rFonts w:eastAsia="SimSun"/>
        <w:color w:val="auto"/>
        <w:szCs w:val="20"/>
        <w:lang w:eastAsia="zh-CN"/>
      </w:rPr>
      <w:t>2</w:t>
    </w:r>
    <w:r w:rsidRPr="00262966">
      <w:rPr>
        <w:rFonts w:eastAsia="SimSun"/>
        <w:color w:val="auto"/>
        <w:szCs w:val="20"/>
        <w:lang w:eastAsia="zh-CN"/>
      </w:rPr>
      <w:t>/</w:t>
    </w:r>
    <w:r w:rsidRPr="006E7A3C">
      <w:rPr>
        <w:rFonts w:eastAsia="SimSun"/>
        <w:color w:val="auto"/>
        <w:szCs w:val="20"/>
        <w:lang w:eastAsia="zh-CN"/>
      </w:rPr>
      <w:t>INF/3</w:t>
    </w:r>
  </w:p>
  <w:p w:rsidR="008E1017" w:rsidRPr="00E91A7C" w:rsidRDefault="008E1017" w:rsidP="00E91A7C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val="ru-RU" w:eastAsia="zh-CN"/>
      </w:rPr>
    </w:pPr>
    <w:r>
      <w:rPr>
        <w:rFonts w:eastAsia="SimSun"/>
        <w:color w:val="auto"/>
        <w:szCs w:val="20"/>
        <w:lang w:val="ru-RU" w:eastAsia="zh-CN"/>
      </w:rPr>
      <w:t>ПРИЛОЖЕНИЕ</w:t>
    </w: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  <w:rPr>
        <w:rFonts w:eastAsia="SimSun"/>
        <w:color w:val="auto"/>
        <w:szCs w:val="20"/>
        <w:lang w:eastAsia="zh-CN"/>
      </w:rPr>
    </w:pPr>
  </w:p>
  <w:p w:rsidR="008E1017" w:rsidRDefault="008E1017" w:rsidP="00262966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EA4"/>
    <w:multiLevelType w:val="hybridMultilevel"/>
    <w:tmpl w:val="15A263DC"/>
    <w:lvl w:ilvl="0" w:tplc="3CAC020E">
      <w:start w:val="1"/>
      <w:numFmt w:val="decimal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5C60D9"/>
    <w:multiLevelType w:val="hybridMultilevel"/>
    <w:tmpl w:val="4212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1EF4"/>
    <w:multiLevelType w:val="hybridMultilevel"/>
    <w:tmpl w:val="74EC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A5"/>
    <w:multiLevelType w:val="hybridMultilevel"/>
    <w:tmpl w:val="57EA0C4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BCB"/>
    <w:multiLevelType w:val="hybridMultilevel"/>
    <w:tmpl w:val="00A88F7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D0969"/>
    <w:multiLevelType w:val="hybridMultilevel"/>
    <w:tmpl w:val="5F02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6304F"/>
    <w:multiLevelType w:val="hybridMultilevel"/>
    <w:tmpl w:val="F10A967A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46CC"/>
    <w:multiLevelType w:val="hybridMultilevel"/>
    <w:tmpl w:val="70F2762C"/>
    <w:lvl w:ilvl="0" w:tplc="F1C847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10F3D"/>
    <w:multiLevelType w:val="hybridMultilevel"/>
    <w:tmpl w:val="0EBC8112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E7"/>
    <w:multiLevelType w:val="hybridMultilevel"/>
    <w:tmpl w:val="D42C56DC"/>
    <w:lvl w:ilvl="0" w:tplc="7346C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57D3"/>
    <w:multiLevelType w:val="hybridMultilevel"/>
    <w:tmpl w:val="29B8E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E7"/>
    <w:rsid w:val="000009A0"/>
    <w:rsid w:val="00016B7D"/>
    <w:rsid w:val="0002030D"/>
    <w:rsid w:val="000230FF"/>
    <w:rsid w:val="00051642"/>
    <w:rsid w:val="000527FD"/>
    <w:rsid w:val="00055365"/>
    <w:rsid w:val="00057135"/>
    <w:rsid w:val="00060879"/>
    <w:rsid w:val="0006630B"/>
    <w:rsid w:val="000706EE"/>
    <w:rsid w:val="00074A27"/>
    <w:rsid w:val="00074D26"/>
    <w:rsid w:val="00075CDB"/>
    <w:rsid w:val="00075F34"/>
    <w:rsid w:val="000960A9"/>
    <w:rsid w:val="000A00E4"/>
    <w:rsid w:val="000A7DA5"/>
    <w:rsid w:val="000B1407"/>
    <w:rsid w:val="000B7C6C"/>
    <w:rsid w:val="000C490C"/>
    <w:rsid w:val="000D158D"/>
    <w:rsid w:val="000D5205"/>
    <w:rsid w:val="000D54C3"/>
    <w:rsid w:val="000D78DE"/>
    <w:rsid w:val="001068FB"/>
    <w:rsid w:val="001115F0"/>
    <w:rsid w:val="0012383D"/>
    <w:rsid w:val="00136880"/>
    <w:rsid w:val="00145D2B"/>
    <w:rsid w:val="00147B38"/>
    <w:rsid w:val="00147BE7"/>
    <w:rsid w:val="0015192F"/>
    <w:rsid w:val="001566C9"/>
    <w:rsid w:val="00156994"/>
    <w:rsid w:val="001817B2"/>
    <w:rsid w:val="00183FD8"/>
    <w:rsid w:val="00190F2C"/>
    <w:rsid w:val="001A0084"/>
    <w:rsid w:val="001A0C66"/>
    <w:rsid w:val="001A7633"/>
    <w:rsid w:val="001B5740"/>
    <w:rsid w:val="001D2A65"/>
    <w:rsid w:val="001E003E"/>
    <w:rsid w:val="001F1F3E"/>
    <w:rsid w:val="001F68D3"/>
    <w:rsid w:val="001F723F"/>
    <w:rsid w:val="002044EB"/>
    <w:rsid w:val="0023106B"/>
    <w:rsid w:val="0024306B"/>
    <w:rsid w:val="00243413"/>
    <w:rsid w:val="002453E4"/>
    <w:rsid w:val="00253932"/>
    <w:rsid w:val="00262966"/>
    <w:rsid w:val="0029219C"/>
    <w:rsid w:val="002B00B2"/>
    <w:rsid w:val="002C44CE"/>
    <w:rsid w:val="002C4EAD"/>
    <w:rsid w:val="002D5247"/>
    <w:rsid w:val="002E4BAD"/>
    <w:rsid w:val="002E773E"/>
    <w:rsid w:val="00304CC6"/>
    <w:rsid w:val="00312516"/>
    <w:rsid w:val="00312F24"/>
    <w:rsid w:val="003132CD"/>
    <w:rsid w:val="00320791"/>
    <w:rsid w:val="0032189E"/>
    <w:rsid w:val="003236E8"/>
    <w:rsid w:val="00377D58"/>
    <w:rsid w:val="00395CE7"/>
    <w:rsid w:val="00396B8C"/>
    <w:rsid w:val="003B2C76"/>
    <w:rsid w:val="003C2782"/>
    <w:rsid w:val="003E1901"/>
    <w:rsid w:val="003E1907"/>
    <w:rsid w:val="004058E1"/>
    <w:rsid w:val="00407354"/>
    <w:rsid w:val="004139ED"/>
    <w:rsid w:val="00414DEF"/>
    <w:rsid w:val="00450AA4"/>
    <w:rsid w:val="00454B11"/>
    <w:rsid w:val="00454F48"/>
    <w:rsid w:val="00462954"/>
    <w:rsid w:val="00467A89"/>
    <w:rsid w:val="004756A4"/>
    <w:rsid w:val="00480368"/>
    <w:rsid w:val="00482262"/>
    <w:rsid w:val="00493F15"/>
    <w:rsid w:val="004A70A2"/>
    <w:rsid w:val="004C34D3"/>
    <w:rsid w:val="004F440D"/>
    <w:rsid w:val="004F7B8A"/>
    <w:rsid w:val="00500F71"/>
    <w:rsid w:val="00542CF5"/>
    <w:rsid w:val="0054523B"/>
    <w:rsid w:val="0055011C"/>
    <w:rsid w:val="00550AE2"/>
    <w:rsid w:val="00551A56"/>
    <w:rsid w:val="00560485"/>
    <w:rsid w:val="005627E0"/>
    <w:rsid w:val="00575CB6"/>
    <w:rsid w:val="0058503F"/>
    <w:rsid w:val="00593BED"/>
    <w:rsid w:val="005A1D90"/>
    <w:rsid w:val="005B24AD"/>
    <w:rsid w:val="005B3097"/>
    <w:rsid w:val="005C657B"/>
    <w:rsid w:val="005D76BB"/>
    <w:rsid w:val="005E3157"/>
    <w:rsid w:val="005F0F80"/>
    <w:rsid w:val="00606DE8"/>
    <w:rsid w:val="00610BAE"/>
    <w:rsid w:val="00612115"/>
    <w:rsid w:val="00616BA5"/>
    <w:rsid w:val="00635E49"/>
    <w:rsid w:val="00643D59"/>
    <w:rsid w:val="00672728"/>
    <w:rsid w:val="00686648"/>
    <w:rsid w:val="00691C43"/>
    <w:rsid w:val="00697D19"/>
    <w:rsid w:val="006C684A"/>
    <w:rsid w:val="006C68FC"/>
    <w:rsid w:val="006E4F6B"/>
    <w:rsid w:val="006E7A3C"/>
    <w:rsid w:val="006F246A"/>
    <w:rsid w:val="00705240"/>
    <w:rsid w:val="007070E3"/>
    <w:rsid w:val="0071023C"/>
    <w:rsid w:val="007137F0"/>
    <w:rsid w:val="00745F6E"/>
    <w:rsid w:val="00746D13"/>
    <w:rsid w:val="007615F5"/>
    <w:rsid w:val="00761D44"/>
    <w:rsid w:val="00793220"/>
    <w:rsid w:val="007A71ED"/>
    <w:rsid w:val="007C273E"/>
    <w:rsid w:val="007D22B1"/>
    <w:rsid w:val="007D3741"/>
    <w:rsid w:val="008043D0"/>
    <w:rsid w:val="00804737"/>
    <w:rsid w:val="00813798"/>
    <w:rsid w:val="00853F2D"/>
    <w:rsid w:val="008770D6"/>
    <w:rsid w:val="008A021C"/>
    <w:rsid w:val="008B61F4"/>
    <w:rsid w:val="008D463C"/>
    <w:rsid w:val="008E1017"/>
    <w:rsid w:val="00900DC1"/>
    <w:rsid w:val="009063A4"/>
    <w:rsid w:val="00934A45"/>
    <w:rsid w:val="00936BCC"/>
    <w:rsid w:val="00937F3E"/>
    <w:rsid w:val="00960B3F"/>
    <w:rsid w:val="00992525"/>
    <w:rsid w:val="00994F84"/>
    <w:rsid w:val="009A0BA9"/>
    <w:rsid w:val="009A0F71"/>
    <w:rsid w:val="009C2352"/>
    <w:rsid w:val="009C38AD"/>
    <w:rsid w:val="009C7453"/>
    <w:rsid w:val="009D1E47"/>
    <w:rsid w:val="009E3034"/>
    <w:rsid w:val="00A10563"/>
    <w:rsid w:val="00A1278D"/>
    <w:rsid w:val="00A21B37"/>
    <w:rsid w:val="00A27D5A"/>
    <w:rsid w:val="00A35DD3"/>
    <w:rsid w:val="00A413AC"/>
    <w:rsid w:val="00A65ADF"/>
    <w:rsid w:val="00A66034"/>
    <w:rsid w:val="00A72F46"/>
    <w:rsid w:val="00A75102"/>
    <w:rsid w:val="00A80F43"/>
    <w:rsid w:val="00A81DD4"/>
    <w:rsid w:val="00A834D9"/>
    <w:rsid w:val="00A955A1"/>
    <w:rsid w:val="00AA1AA9"/>
    <w:rsid w:val="00AB06A9"/>
    <w:rsid w:val="00AB66F5"/>
    <w:rsid w:val="00AC4FA9"/>
    <w:rsid w:val="00AD0723"/>
    <w:rsid w:val="00AD1BAA"/>
    <w:rsid w:val="00AD51C4"/>
    <w:rsid w:val="00AD584F"/>
    <w:rsid w:val="00AF3176"/>
    <w:rsid w:val="00AF4229"/>
    <w:rsid w:val="00AF57DB"/>
    <w:rsid w:val="00B549D4"/>
    <w:rsid w:val="00B64632"/>
    <w:rsid w:val="00B72E32"/>
    <w:rsid w:val="00B83A44"/>
    <w:rsid w:val="00BB14DB"/>
    <w:rsid w:val="00BB312C"/>
    <w:rsid w:val="00BB36FF"/>
    <w:rsid w:val="00BC3CAD"/>
    <w:rsid w:val="00BC42BF"/>
    <w:rsid w:val="00BC7C79"/>
    <w:rsid w:val="00BE3433"/>
    <w:rsid w:val="00BE3F1C"/>
    <w:rsid w:val="00BF46C6"/>
    <w:rsid w:val="00C03F5E"/>
    <w:rsid w:val="00C064C0"/>
    <w:rsid w:val="00C1088B"/>
    <w:rsid w:val="00C932B9"/>
    <w:rsid w:val="00C93E03"/>
    <w:rsid w:val="00CB4F45"/>
    <w:rsid w:val="00CC4E62"/>
    <w:rsid w:val="00CD154F"/>
    <w:rsid w:val="00CD6985"/>
    <w:rsid w:val="00CE1283"/>
    <w:rsid w:val="00CF2617"/>
    <w:rsid w:val="00D02E73"/>
    <w:rsid w:val="00D135E6"/>
    <w:rsid w:val="00D24B58"/>
    <w:rsid w:val="00D27239"/>
    <w:rsid w:val="00D31FD2"/>
    <w:rsid w:val="00D4307F"/>
    <w:rsid w:val="00D6362F"/>
    <w:rsid w:val="00D703A4"/>
    <w:rsid w:val="00D7507A"/>
    <w:rsid w:val="00D76140"/>
    <w:rsid w:val="00D81C24"/>
    <w:rsid w:val="00D82F16"/>
    <w:rsid w:val="00D8508E"/>
    <w:rsid w:val="00D92616"/>
    <w:rsid w:val="00D93233"/>
    <w:rsid w:val="00DA0410"/>
    <w:rsid w:val="00DB3DFF"/>
    <w:rsid w:val="00DD1F10"/>
    <w:rsid w:val="00DD4F32"/>
    <w:rsid w:val="00DD7051"/>
    <w:rsid w:val="00DF0541"/>
    <w:rsid w:val="00E065CF"/>
    <w:rsid w:val="00E22379"/>
    <w:rsid w:val="00E350FB"/>
    <w:rsid w:val="00E42692"/>
    <w:rsid w:val="00E46D6D"/>
    <w:rsid w:val="00E66D52"/>
    <w:rsid w:val="00E8350E"/>
    <w:rsid w:val="00E91A7C"/>
    <w:rsid w:val="00E974B6"/>
    <w:rsid w:val="00EA679B"/>
    <w:rsid w:val="00EB03C8"/>
    <w:rsid w:val="00EC3641"/>
    <w:rsid w:val="00EC556E"/>
    <w:rsid w:val="00EC5AB3"/>
    <w:rsid w:val="00EC7247"/>
    <w:rsid w:val="00ED73AD"/>
    <w:rsid w:val="00EF45E5"/>
    <w:rsid w:val="00F04B54"/>
    <w:rsid w:val="00F1482F"/>
    <w:rsid w:val="00F26D2D"/>
    <w:rsid w:val="00F543BD"/>
    <w:rsid w:val="00F543C8"/>
    <w:rsid w:val="00F66915"/>
    <w:rsid w:val="00F71A92"/>
    <w:rsid w:val="00F745CF"/>
    <w:rsid w:val="00F82D52"/>
    <w:rsid w:val="00F966FD"/>
    <w:rsid w:val="00FC50A5"/>
    <w:rsid w:val="00FD6387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A49F155-5A1F-464A-B202-E8D22F8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432" w:hanging="432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ind w:left="432" w:hanging="432"/>
      <w:outlineLvl w:val="1"/>
    </w:pPr>
    <w:rPr>
      <w:i/>
      <w:sz w:val="24"/>
      <w:szCs w:val="24"/>
    </w:rPr>
  </w:style>
  <w:style w:type="paragraph" w:styleId="Heading3">
    <w:name w:val="heading 3"/>
    <w:basedOn w:val="Normal"/>
    <w:next w:val="Normal"/>
    <w:pPr>
      <w:ind w:left="432" w:hanging="432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ind w:left="432" w:hanging="432"/>
      <w:outlineLvl w:val="3"/>
    </w:pPr>
  </w:style>
  <w:style w:type="paragraph" w:styleId="Heading5">
    <w:name w:val="heading 5"/>
    <w:basedOn w:val="Normal"/>
    <w:next w:val="Normal"/>
    <w:pPr>
      <w:ind w:left="1008" w:hanging="1008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left="432" w:hanging="432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ind w:left="432" w:hanging="432"/>
    </w:pPr>
    <w:rPr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966"/>
  </w:style>
  <w:style w:type="paragraph" w:styleId="Footer">
    <w:name w:val="footer"/>
    <w:basedOn w:val="Normal"/>
    <w:link w:val="FooterChar"/>
    <w:uiPriority w:val="99"/>
    <w:unhideWhenUsed/>
    <w:rsid w:val="00262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966"/>
  </w:style>
  <w:style w:type="paragraph" w:styleId="FootnoteText">
    <w:name w:val="footnote text"/>
    <w:basedOn w:val="Normal"/>
    <w:link w:val="FootnoteTextChar"/>
    <w:semiHidden/>
    <w:unhideWhenUsed/>
    <w:qFormat/>
    <w:rsid w:val="00A413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13A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413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BAD"/>
    <w:pPr>
      <w:widowControl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EastAsia"/>
      <w:color w:val="auto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46D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D1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D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D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D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5E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en/economics/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FF0D-DA71-494E-A5CD-D5DD035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RAFFO Julio</dc:creator>
  <cp:lastModifiedBy>MARTINEZ LIMÓN Cristina</cp:lastModifiedBy>
  <cp:revision>2</cp:revision>
  <cp:lastPrinted>2017-10-30T10:25:00Z</cp:lastPrinted>
  <dcterms:created xsi:type="dcterms:W3CDTF">2018-11-01T15:25:00Z</dcterms:created>
  <dcterms:modified xsi:type="dcterms:W3CDTF">2018-11-01T15:25:00Z</dcterms:modified>
</cp:coreProperties>
</file>