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4907" w14:textId="05A806DE" w:rsidR="00AE1CF1" w:rsidRPr="00F043DE" w:rsidRDefault="00F451C3" w:rsidP="00AE1CF1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val="fr-CH" w:eastAsia="fr-CH"/>
        </w:rPr>
        <w:drawing>
          <wp:inline distT="0" distB="0" distL="0" distR="0" wp14:anchorId="335CC7CB" wp14:editId="096982CD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775E" w14:textId="3E43ACE5" w:rsidR="00AE1CF1" w:rsidRDefault="00AE1CF1" w:rsidP="00C92539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CDIP/29/</w:t>
      </w:r>
      <w:bookmarkStart w:id="1" w:name="Code"/>
      <w:bookmarkEnd w:id="1"/>
      <w:r>
        <w:rPr>
          <w:rFonts w:ascii="Arial Black" w:hAnsi="Arial Black"/>
          <w:caps/>
          <w:sz w:val="15"/>
        </w:rPr>
        <w:t>6</w:t>
      </w:r>
    </w:p>
    <w:p w14:paraId="21164B95" w14:textId="77777777" w:rsidR="00AE1CF1" w:rsidRPr="00F7021E" w:rsidRDefault="00AE1CF1" w:rsidP="00AE1CF1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6F5E6579" w14:textId="4620F8C8" w:rsidR="00AE1CF1" w:rsidRPr="000A3D97" w:rsidRDefault="00AE1CF1" w:rsidP="00096B85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17 августа 2022 г.</w:t>
      </w:r>
    </w:p>
    <w:bookmarkEnd w:id="3"/>
    <w:p w14:paraId="1367C4B4" w14:textId="77777777" w:rsidR="00AE1CF1" w:rsidRPr="00720EFD" w:rsidRDefault="00AE1CF1" w:rsidP="00AE1CF1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0EF1D6AE" w14:textId="77777777" w:rsidR="00AE1CF1" w:rsidRPr="003845C1" w:rsidRDefault="00AE1CF1" w:rsidP="00060B3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Двадцать девятая сессия</w:t>
      </w:r>
      <w:r>
        <w:rPr>
          <w:b/>
          <w:sz w:val="24"/>
        </w:rPr>
        <w:br/>
        <w:t>Женева, 17–21 октября 2022 г.</w:t>
      </w:r>
    </w:p>
    <w:p w14:paraId="6EC587E8" w14:textId="77777777" w:rsidR="00AE1CF1" w:rsidRPr="003845C1" w:rsidRDefault="00057149" w:rsidP="00060B3B">
      <w:pPr>
        <w:spacing w:after="360"/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ВЫПОЛНЕНИЕ ПРИНЯТЫХ ПО РЕЗУЛЬТАТАМ НЕЗАВИСИМОГО АНАЛИЗА РЕКОМЕНДАЦИЙ: ОБНОВЛЕННОЕ ПРЕДЛОЖЕНИЕ СЕКРЕТАРИАТА И ЗАМЕЧАНИЯ И ПРЕДЛОЖЕНИЯ ГОСУДАРСТВ-ЧЛЕНОВ</w:t>
      </w:r>
    </w:p>
    <w:p w14:paraId="2AFBC00D" w14:textId="77777777" w:rsidR="00AE1CF1" w:rsidRDefault="00AE1CF1" w:rsidP="00060B3B">
      <w:pPr>
        <w:spacing w:after="960"/>
        <w:rPr>
          <w:i/>
        </w:rPr>
      </w:pPr>
      <w:r>
        <w:rPr>
          <w:i/>
        </w:rPr>
        <w:t>подготовлен Секретариатом</w:t>
      </w:r>
    </w:p>
    <w:p w14:paraId="5F8E2401" w14:textId="69766D64" w:rsidR="00723D2B" w:rsidRPr="00723D2B" w:rsidRDefault="00723D2B" w:rsidP="00723D2B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В 2016 г. был проведен независимый анализ выполнения рекомендаций Повестки дня </w:t>
      </w:r>
      <w:r w:rsidR="00303EEC">
        <w:t xml:space="preserve">в области развития. </w:t>
      </w:r>
      <w:r>
        <w:t>Результаты независимого анализа, содержащиеся в документе CDIP/18/7, обсуждались Комитетом по развитию и интеллектуальной собственности (КРИС) на нескольких сессиях.</w:t>
      </w:r>
    </w:p>
    <w:p w14:paraId="00467147" w14:textId="77777777" w:rsidR="00723D2B" w:rsidRPr="00723D2B" w:rsidRDefault="00723D2B" w:rsidP="00723D2B">
      <w:pPr>
        <w:pStyle w:val="ListParagraph"/>
        <w:keepNext/>
        <w:spacing w:after="960"/>
        <w:ind w:left="0"/>
      </w:pPr>
    </w:p>
    <w:p w14:paraId="17037470" w14:textId="2003F22C" w:rsidR="00335A30" w:rsidRPr="00723D2B" w:rsidRDefault="00723D2B" w:rsidP="00723D2B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В данном контексте на своей двадцать второй сессии КРИС попросил Секретариат предложить на рассмотрение Комитета способы и стратегии выполнения, принятые по результатам независимого анализа рекомендаций, а также варианты процедур представления отчетности и проведения обзора.</w:t>
      </w:r>
    </w:p>
    <w:p w14:paraId="7A96ABA0" w14:textId="77777777" w:rsidR="00335A30" w:rsidRDefault="00335A30" w:rsidP="00335A30">
      <w:pPr>
        <w:pStyle w:val="ListParagraph"/>
        <w:keepNext/>
        <w:spacing w:after="960"/>
        <w:ind w:left="0"/>
      </w:pPr>
    </w:p>
    <w:p w14:paraId="01430926" w14:textId="132F1E87" w:rsidR="00E40C4B" w:rsidRDefault="00E9193C" w:rsidP="00E40C4B">
      <w:pPr>
        <w:pStyle w:val="ListParagraph"/>
        <w:numPr>
          <w:ilvl w:val="0"/>
          <w:numId w:val="8"/>
        </w:numPr>
        <w:spacing w:after="960"/>
        <w:ind w:left="0" w:firstLine="0"/>
      </w:pPr>
      <w:r>
        <w:t>Предложение Секретариата, содержащееся в документе CDIP/23/8, было представлено на</w:t>
      </w:r>
      <w:r w:rsidR="00303EEC">
        <w:t xml:space="preserve"> двадцать третьей сессии КРИС. </w:t>
      </w:r>
      <w:r>
        <w:t>Оно было подготовлено с учетом замечаний и предложений государств-членов</w:t>
      </w:r>
      <w:r w:rsidR="00E40C4B">
        <w:rPr>
          <w:rStyle w:val="FootnoteReference"/>
        </w:rPr>
        <w:footnoteReference w:id="1"/>
      </w:r>
      <w:r>
        <w:t xml:space="preserve">, а также ответа Секретариата на </w:t>
      </w:r>
      <w:r>
        <w:lastRenderedPageBreak/>
        <w:t>рекомендации, принятые по результатам независимого анализа.</w:t>
      </w:r>
      <w:r w:rsidR="00E40C4B">
        <w:rPr>
          <w:rStyle w:val="FootnoteReference"/>
        </w:rPr>
        <w:footnoteReference w:id="2"/>
      </w:r>
      <w:r w:rsidR="00303EEC">
        <w:t xml:space="preserve"> </w:t>
      </w:r>
      <w:r>
        <w:t>Предложение содержало 15 стратегий, а также способы реализации каждой из них.</w:t>
      </w:r>
    </w:p>
    <w:p w14:paraId="5B7BFB50" w14:textId="77777777" w:rsidR="00FE388B" w:rsidRDefault="003B2CEB" w:rsidP="00E40C4B">
      <w:pPr>
        <w:pStyle w:val="ListParagraph"/>
        <w:numPr>
          <w:ilvl w:val="0"/>
          <w:numId w:val="8"/>
        </w:numPr>
        <w:spacing w:after="960"/>
        <w:ind w:left="0" w:firstLine="0"/>
      </w:pPr>
      <w:r>
        <w:t>На двадцать третьей сессии Комитет согласовал восемь стратегий выполнения и принял решение продолжить обсуждение оставшихся стратегий, а также вариантов процедур представления отчетности и проведения обзора на следующей сессии.</w:t>
      </w:r>
      <w:r>
        <w:rPr>
          <w:rStyle w:val="FootnoteReference"/>
        </w:rPr>
        <w:t xml:space="preserve"> </w:t>
      </w:r>
      <w:r w:rsidR="001221CA">
        <w:rPr>
          <w:rStyle w:val="FootnoteReference"/>
        </w:rPr>
        <w:footnoteReference w:id="3"/>
      </w:r>
    </w:p>
    <w:p w14:paraId="3E6523D5" w14:textId="77777777" w:rsidR="00E9193C" w:rsidRDefault="00E9193C" w:rsidP="00E9193C">
      <w:pPr>
        <w:pStyle w:val="ListParagraph"/>
        <w:keepNext/>
        <w:spacing w:after="960"/>
        <w:ind w:left="0"/>
      </w:pPr>
    </w:p>
    <w:p w14:paraId="491C6EF5" w14:textId="11AAA8D8" w:rsidR="00E9193C" w:rsidRDefault="003B2CEB" w:rsidP="00C70CE2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На своей двадцать четвертой сессии Комитет согласовал 13-ю стратегию осуществления и постановил продолжить обсуждение остальных стратегий (1, 2, 3, 4, 7 и 15), а также вариантов процедур представления отчетности и проведен</w:t>
      </w:r>
      <w:r w:rsidR="00303EEC">
        <w:t xml:space="preserve">ия обзора на следующей сессии. </w:t>
      </w:r>
      <w:r>
        <w:t>Комитет также рассмотрел документ CDIP/24/15, содержащий новое предложение Южной Африки по данному вопросу, и постановил вернуться к рассмотрению этого документа на следующей сессии.</w:t>
      </w:r>
      <w:r>
        <w:rPr>
          <w:rStyle w:val="FootnoteReference"/>
        </w:rPr>
        <w:t xml:space="preserve"> </w:t>
      </w:r>
      <w:r>
        <w:rPr>
          <w:rStyle w:val="FootnoteReference"/>
        </w:rPr>
        <w:footnoteReference w:id="4"/>
      </w:r>
    </w:p>
    <w:p w14:paraId="62D978E8" w14:textId="77777777" w:rsidR="003B2CEB" w:rsidRDefault="003B2CEB" w:rsidP="003B2CEB">
      <w:pPr>
        <w:pStyle w:val="ListParagraph"/>
      </w:pPr>
    </w:p>
    <w:p w14:paraId="4C003632" w14:textId="77777777" w:rsidR="003B2CEB" w:rsidRDefault="003B2CEB" w:rsidP="00C70CE2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Комитет не обсуждал данный пункт повестки дня с двадцать пятой по двадцать седьмую сессии из-за сокращения повестки дня сессий КРИС во время пандемии COVID-19.</w:t>
      </w:r>
    </w:p>
    <w:p w14:paraId="3F2BF4CE" w14:textId="77777777" w:rsidR="00E9193C" w:rsidRDefault="00E9193C" w:rsidP="00E9193C">
      <w:pPr>
        <w:pStyle w:val="ListParagraph"/>
        <w:keepNext/>
        <w:spacing w:after="960"/>
        <w:ind w:left="0"/>
      </w:pPr>
    </w:p>
    <w:p w14:paraId="145B581B" w14:textId="77777777" w:rsidR="00E9193C" w:rsidRDefault="00E9193C" w:rsidP="00C70CE2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На своей двадцать восьмой сессии Комитет: </w:t>
      </w:r>
    </w:p>
    <w:p w14:paraId="0F4FD269" w14:textId="77777777" w:rsidR="00E9193C" w:rsidRDefault="00E9193C" w:rsidP="00E9193C">
      <w:pPr>
        <w:pStyle w:val="ListParagraph"/>
        <w:keepNext/>
        <w:spacing w:after="960"/>
        <w:ind w:left="0"/>
      </w:pPr>
    </w:p>
    <w:p w14:paraId="0447CE61" w14:textId="77777777" w:rsidR="00E9193C" w:rsidRDefault="00E9193C" w:rsidP="00E9193C">
      <w:pPr>
        <w:pStyle w:val="ListParagraph"/>
        <w:keepNext/>
        <w:spacing w:after="960"/>
        <w:ind w:left="567"/>
      </w:pPr>
      <w:r>
        <w:t>«попросил Секретариат обновить документ CDIP/23/8 на основе комментариев государств-членов для рассмотрения его Комитетом на его следующей сессии.  Государствам-членам было предложено довести до сведения Секретариата свои соображения относительно документов CDIP/23/8 и CDIP/24/15 за три месяца до следующей сессии КРИС».</w:t>
      </w:r>
    </w:p>
    <w:p w14:paraId="51C5169C" w14:textId="77777777" w:rsidR="00FE388B" w:rsidRPr="00FE388B" w:rsidRDefault="00FE388B" w:rsidP="00FE388B">
      <w:pPr>
        <w:pStyle w:val="ListParagraph"/>
        <w:keepNext/>
        <w:spacing w:after="960"/>
        <w:ind w:left="0"/>
      </w:pPr>
    </w:p>
    <w:p w14:paraId="1101416E" w14:textId="77777777" w:rsidR="00E9193C" w:rsidRDefault="003B2CEB" w:rsidP="00C24471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В настоящем документе содержится обновленное предложение Секретариата, а также замечания и предложения государств-членов.</w:t>
      </w:r>
    </w:p>
    <w:p w14:paraId="7837DBDE" w14:textId="77777777" w:rsidR="00E51CE1" w:rsidRDefault="00E51CE1" w:rsidP="00C90085">
      <w:pPr>
        <w:pStyle w:val="ListParagraph"/>
        <w:keepNext/>
        <w:spacing w:after="960"/>
        <w:ind w:left="0"/>
      </w:pPr>
    </w:p>
    <w:p w14:paraId="11FADBB9" w14:textId="77777777" w:rsidR="00C90085" w:rsidRDefault="003A1D20" w:rsidP="00C90085">
      <w:pPr>
        <w:pStyle w:val="ListParagraph"/>
        <w:keepNext/>
        <w:keepLines/>
        <w:numPr>
          <w:ilvl w:val="0"/>
          <w:numId w:val="9"/>
        </w:numPr>
        <w:spacing w:after="960"/>
        <w:ind w:left="0" w:firstLine="0"/>
      </w:pPr>
      <w:r>
        <w:t>ОБНОВЛЕННЫЕ СПОСОБЫ И СТРАТЕГИИ ВЫПОЛНЕНИЯ</w:t>
      </w:r>
    </w:p>
    <w:p w14:paraId="5FCBF649" w14:textId="77777777" w:rsidR="00C90085" w:rsidRDefault="00C90085" w:rsidP="00C90085">
      <w:pPr>
        <w:pStyle w:val="ListParagraph"/>
        <w:keepNext/>
        <w:keepLines/>
        <w:spacing w:after="960"/>
        <w:ind w:left="0"/>
      </w:pPr>
    </w:p>
    <w:p w14:paraId="2EB4438F" w14:textId="21A2E5DB" w:rsidR="005959A3" w:rsidRPr="00723D2B" w:rsidRDefault="00311028" w:rsidP="00912E57">
      <w:pPr>
        <w:pStyle w:val="ListParagraph"/>
        <w:keepNext/>
        <w:numPr>
          <w:ilvl w:val="0"/>
          <w:numId w:val="8"/>
        </w:numPr>
        <w:spacing w:after="960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В следующей таблице воспроизведены стратегии и способы выполнения, которые еще не согласованы Комитетом, вместе с обновленной информацией.  Таблица была подготовлена с учетом новых мероприятий, проведенных Организацией, а также обсуждений государств-членов в ходе предыдущих сессий КРИС. </w:t>
      </w:r>
    </w:p>
    <w:p w14:paraId="54909426" w14:textId="77777777" w:rsidR="005959A3" w:rsidRDefault="005959A3" w:rsidP="005959A3">
      <w:pPr>
        <w:pStyle w:val="ListParagraph"/>
        <w:keepNext/>
        <w:spacing w:after="960"/>
        <w:ind w:left="0"/>
      </w:pPr>
    </w:p>
    <w:p w14:paraId="49904F6B" w14:textId="48CD71CD" w:rsidR="00E40C4B" w:rsidRPr="00036BF3" w:rsidRDefault="00E51CE1" w:rsidP="00036BF3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Для удобства уже согласованные Комитетом стратегии и способы выполнения содержатся в прил</w:t>
      </w:r>
      <w:r w:rsidR="00303EEC">
        <w:t xml:space="preserve">ожении к настоящему документу. </w:t>
      </w:r>
      <w:r>
        <w:t>Следует напомнить, что выполнение согласованных стратегий было отложено до принятия Комитетом решения по оставшимся стратегиям</w:t>
      </w:r>
      <w:r w:rsidR="00036BF3" w:rsidRPr="00036BF3">
        <w:rPr>
          <w:rStyle w:val="FootnoteReference"/>
        </w:rPr>
        <w:footnoteReference w:id="5"/>
      </w:r>
      <w:r>
        <w:t xml:space="preserve">. </w:t>
      </w:r>
    </w:p>
    <w:p w14:paraId="40439F00" w14:textId="77777777" w:rsidR="00311028" w:rsidRDefault="00311028" w:rsidP="00E40C4B">
      <w:pPr>
        <w:pStyle w:val="ListParagraph"/>
        <w:keepNext/>
        <w:spacing w:after="960"/>
        <w:ind w:left="0"/>
      </w:pPr>
    </w:p>
    <w:p w14:paraId="7D37A8C0" w14:textId="77777777" w:rsidR="00311028" w:rsidRDefault="00311028" w:rsidP="00311028">
      <w:pPr>
        <w:pStyle w:val="ListParagraph"/>
        <w:keepNext/>
        <w:spacing w:after="96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UPDATE TO MODALITIES AND IMPLEMENTATION STRATEGIES"/>
        <w:tblDescription w:val="Implementation Strategy, Modalities and Update"/>
      </w:tblPr>
      <w:tblGrid>
        <w:gridCol w:w="2644"/>
        <w:gridCol w:w="2644"/>
        <w:gridCol w:w="3775"/>
      </w:tblGrid>
      <w:tr w:rsidR="00520A10" w14:paraId="4CF7EA60" w14:textId="77777777" w:rsidTr="00F03E6B">
        <w:trPr>
          <w:trHeight w:hRule="exact" w:val="851"/>
          <w:tblHeader/>
        </w:trPr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B51C137" w14:textId="77777777" w:rsidR="00520A10" w:rsidRPr="00520A10" w:rsidRDefault="00520A10" w:rsidP="00520A10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  <w:r>
              <w:rPr>
                <w:b/>
              </w:rPr>
              <w:t>Стратегия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A6E315F" w14:textId="77777777" w:rsidR="00520A10" w:rsidRPr="00520A10" w:rsidRDefault="002E70FB" w:rsidP="002E70FB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  <w:r>
              <w:rPr>
                <w:b/>
              </w:rPr>
              <w:t>Способы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068F3EA" w14:textId="77777777" w:rsidR="001A4186" w:rsidRDefault="001A4186" w:rsidP="00520A10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</w:p>
          <w:p w14:paraId="756208C8" w14:textId="77777777" w:rsidR="00520A10" w:rsidRPr="00520A10" w:rsidRDefault="00520A10" w:rsidP="00520A10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  <w:r>
              <w:rPr>
                <w:b/>
              </w:rPr>
              <w:t>Обновления</w:t>
            </w:r>
          </w:p>
        </w:tc>
      </w:tr>
      <w:tr w:rsidR="00520A10" w14:paraId="47C99FA1" w14:textId="77777777" w:rsidTr="005F0F87">
        <w:tc>
          <w:tcPr>
            <w:tcW w:w="3021" w:type="dxa"/>
          </w:tcPr>
          <w:p w14:paraId="5DE73951" w14:textId="2B8FC2AC" w:rsidR="00520A10" w:rsidRPr="001F4DD1" w:rsidRDefault="00520A10" w:rsidP="005F0F87">
            <w:pPr>
              <w:spacing w:after="960"/>
            </w:pPr>
            <w:r>
              <w:t xml:space="preserve">1. Дальнейшее включение в повестку дня нового пункта «ИС и развитие» для </w:t>
            </w:r>
            <w:r>
              <w:lastRenderedPageBreak/>
              <w:t>обсуждения на высоком уровне работы Организации по н</w:t>
            </w:r>
            <w:r w:rsidR="00303EEC">
              <w:t>овым проблемам, связанным с ИС.</w:t>
            </w:r>
            <w:r>
              <w:t xml:space="preserve"> Государствам-членам предлагается представить темы для обсуждения, которые будут включены в перечень тем для рассмотрения по пункту</w:t>
            </w:r>
            <w:r w:rsidR="00303EEC">
              <w:t xml:space="preserve"> повестки дня «ИС и развитие». </w:t>
            </w:r>
            <w:r>
              <w:t>Комитет, в частности, рассмотрит вопрос о том, как наилучшим образом реагировать на меняющиеся обстоятельства и возникающие проблемы в области развития, с кот</w:t>
            </w:r>
            <w:r w:rsidR="00303EEC">
              <w:t xml:space="preserve">орыми сталкивается система ИС. </w:t>
            </w:r>
            <w:r>
              <w:t>В целях обеспечения более содержательного обсуждения государства-члены могут назначать национальных эксперт</w:t>
            </w:r>
            <w:r w:rsidR="00303EEC">
              <w:t xml:space="preserve">ов для участия в сессиях КРИС. </w:t>
            </w:r>
            <w:r>
              <w:t>Кроме того, для участия в этих обсуждениях также можно приглашать ведущих ученых, представителей гражданского общества и д</w:t>
            </w:r>
            <w:r w:rsidR="00303EEC">
              <w:t xml:space="preserve">ругих органов ООН и МПО. </w:t>
            </w:r>
            <w:r>
              <w:t xml:space="preserve">Это обогатит обмен мнениями и повысит </w:t>
            </w:r>
            <w:r>
              <w:lastRenderedPageBreak/>
              <w:t>осведомленность о ПДР.</w:t>
            </w:r>
            <w:r w:rsidR="00E51CE1" w:rsidRPr="001F4DD1">
              <w:rPr>
                <w:rStyle w:val="FootnoteReference"/>
                <w:lang w:val="en-AU"/>
              </w:rPr>
              <w:footnoteReference w:id="6"/>
            </w:r>
          </w:p>
          <w:p w14:paraId="0A8ECD78" w14:textId="77777777" w:rsidR="001A4186" w:rsidRPr="001F4DD1" w:rsidRDefault="001A4186" w:rsidP="005F0F87">
            <w:pPr>
              <w:spacing w:after="960"/>
            </w:pPr>
          </w:p>
        </w:tc>
        <w:tc>
          <w:tcPr>
            <w:tcW w:w="3021" w:type="dxa"/>
          </w:tcPr>
          <w:p w14:paraId="236D1D6F" w14:textId="77777777" w:rsidR="005F0F87" w:rsidRPr="001F4DD1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 xml:space="preserve">– При выборе темы для рассмотрения в рамках пункта повестки дня «ИС и развитие» </w:t>
            </w:r>
            <w:r>
              <w:lastRenderedPageBreak/>
              <w:t xml:space="preserve">на будущих сессиях КРИС государства-члены будут учитывать, что обсуждение должно проводиться на «высоком уровне» и касаться новых проблем, связанных с ИС.  </w:t>
            </w:r>
          </w:p>
          <w:p w14:paraId="2C0EDE94" w14:textId="77777777" w:rsidR="005F0F87" w:rsidRPr="001F4DD1" w:rsidRDefault="005F0F87" w:rsidP="005F0F87">
            <w:pPr>
              <w:pStyle w:val="ListParagraph"/>
              <w:ind w:left="0"/>
            </w:pPr>
            <w:r>
              <w:t xml:space="preserve">– Секретариат, если от него потребуется подготовка презентации или иных материалов по обсуждаемой теме, будет готовить презентацию с целью ответа на вопрос о том, как с учетом глобальных тенденций в области развития наилучшим образом реагировать на меняющиеся обстоятельства и возникающие проблемы, с которыми сталкивается система ИС.  </w:t>
            </w:r>
          </w:p>
          <w:p w14:paraId="517D9088" w14:textId="77777777" w:rsidR="005F0F87" w:rsidRPr="001F4DD1" w:rsidRDefault="005F0F87" w:rsidP="005F0F87">
            <w:pPr>
              <w:pStyle w:val="ListParagraph"/>
              <w:ind w:left="0"/>
            </w:pPr>
            <w:r>
              <w:t xml:space="preserve">– При подготовке к сессии Секретариат будет делиться соответствующей информацией с национальными экспертами, назначенными для участия в обсуждении государствами-членами. </w:t>
            </w:r>
          </w:p>
          <w:p w14:paraId="591E9728" w14:textId="4FA388AA" w:rsidR="00520A10" w:rsidRPr="001F4DD1" w:rsidRDefault="005F0F87" w:rsidP="00545061">
            <w:pPr>
              <w:pStyle w:val="ListParagraph"/>
              <w:ind w:left="0"/>
            </w:pPr>
            <w:r>
              <w:t xml:space="preserve">– Для участия в каждом обсуждении по пункту повестки дня «ИС и развитие», в зависимости от рассматриваемого вопроса, Секретариат в консультации с председателем КРИС, </w:t>
            </w:r>
            <w:r>
              <w:lastRenderedPageBreak/>
              <w:t>будет предлагать кандидатуры соответствующих ученых, представителей промышленности и гражданского общества, а так</w:t>
            </w:r>
            <w:r w:rsidR="00303EEC">
              <w:t xml:space="preserve">же других органов ООН и МПО. </w:t>
            </w:r>
            <w:r>
              <w:t>Секретариат будет организовывать их участие и обмен информацией об участниках через веб-сайт ВОИС (а именно, через веб-страницу, посвященную реестру тем, которые будут рассматриваться в рамках пункта повестки дня «ИС и развитие»).</w:t>
            </w:r>
          </w:p>
          <w:p w14:paraId="0599CD00" w14:textId="77777777" w:rsidR="00722340" w:rsidRPr="00681951" w:rsidRDefault="0072234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785A28F3" w14:textId="77777777" w:rsidR="00A878C3" w:rsidRPr="001F4DD1" w:rsidRDefault="00A878C3" w:rsidP="006925FF">
            <w:pPr>
              <w:pStyle w:val="ListParagraph"/>
              <w:spacing w:after="960"/>
              <w:ind w:left="0"/>
            </w:pPr>
            <w:r>
              <w:lastRenderedPageBreak/>
              <w:t xml:space="preserve">Дискуссии государств-членов на предыдущих сессиях отражают согласие относительно первой части этой стратегии касательно </w:t>
            </w:r>
            <w:r>
              <w:lastRenderedPageBreak/>
              <w:t xml:space="preserve">обсуждения «работы Организации по новым проблемам, связанным с ИС» в рамках пункта повестки дня «ИС и развитие», при условии, что темы для рассмотрения в рамках данного пункта повестки дня не будут ограничены только «новыми проблемами». </w:t>
            </w:r>
          </w:p>
          <w:p w14:paraId="35E1FC12" w14:textId="77777777" w:rsidR="00A878C3" w:rsidRPr="001F4DD1" w:rsidRDefault="00A878C3" w:rsidP="006925FF">
            <w:pPr>
              <w:pStyle w:val="ListParagraph"/>
              <w:spacing w:after="960"/>
              <w:ind w:left="0"/>
              <w:rPr>
                <w:highlight w:val="yellow"/>
              </w:rPr>
            </w:pPr>
          </w:p>
          <w:p w14:paraId="399019E1" w14:textId="77777777" w:rsidR="006925FF" w:rsidRPr="001F4DD1" w:rsidRDefault="003A1D20" w:rsidP="006925FF">
            <w:pPr>
              <w:pStyle w:val="ListParagraph"/>
              <w:spacing w:after="960"/>
              <w:ind w:left="0"/>
            </w:pPr>
            <w:r>
              <w:t>Поэтому предлагается, чтобы обсуждение в Комитете было сосредоточено на последней части стратегии:</w:t>
            </w:r>
          </w:p>
          <w:p w14:paraId="683D9052" w14:textId="77777777" w:rsidR="00E42336" w:rsidRPr="001F4DD1" w:rsidRDefault="00E42336" w:rsidP="006925FF">
            <w:pPr>
              <w:pStyle w:val="ListParagraph"/>
              <w:spacing w:after="960"/>
              <w:ind w:left="0"/>
            </w:pPr>
          </w:p>
          <w:p w14:paraId="1CD693DA" w14:textId="273892C2" w:rsidR="00E42336" w:rsidRPr="001F4DD1" w:rsidRDefault="00E42336" w:rsidP="006925FF">
            <w:pPr>
              <w:pStyle w:val="ListParagraph"/>
              <w:spacing w:after="960"/>
              <w:ind w:left="0"/>
              <w:rPr>
                <w:i/>
              </w:rPr>
            </w:pPr>
            <w:r>
              <w:t>«</w:t>
            </w:r>
            <w:r>
              <w:rPr>
                <w:i/>
                <w:iCs/>
              </w:rPr>
              <w:t>В целях обеспечения более содержательного обсуждения государства-члены могут назначать национальных экспертов для участия в сессиях КРИС.</w:t>
            </w:r>
            <w:r w:rsidR="00303EEC">
              <w:rPr>
                <w:i/>
              </w:rPr>
              <w:t xml:space="preserve"> </w:t>
            </w:r>
            <w:r>
              <w:rPr>
                <w:i/>
              </w:rPr>
              <w:t>Кроме того, для участия в этих обсуждениях также можно приглашать ведущих ученых, представителей гражданского общест</w:t>
            </w:r>
            <w:r w:rsidR="00303EEC">
              <w:rPr>
                <w:i/>
              </w:rPr>
              <w:t xml:space="preserve">ва и других органов ООН и МПО. </w:t>
            </w:r>
            <w:r>
              <w:rPr>
                <w:i/>
                <w:iCs/>
              </w:rPr>
              <w:t>Это обогатит обмен мнениями и повысит осведомленность о ПДР».</w:t>
            </w:r>
          </w:p>
          <w:p w14:paraId="6EF2C18C" w14:textId="77777777" w:rsidR="00E42336" w:rsidRPr="00681951" w:rsidRDefault="00E42336" w:rsidP="006925FF">
            <w:pPr>
              <w:pStyle w:val="ListParagraph"/>
              <w:spacing w:after="960"/>
              <w:ind w:left="0"/>
              <w:rPr>
                <w:i/>
              </w:rPr>
            </w:pPr>
          </w:p>
          <w:p w14:paraId="71F81044" w14:textId="77777777" w:rsidR="00722340" w:rsidRPr="001F4DD1" w:rsidRDefault="00722340" w:rsidP="006925FF">
            <w:pPr>
              <w:pStyle w:val="ListParagraph"/>
              <w:spacing w:after="960"/>
              <w:ind w:left="0"/>
            </w:pPr>
            <w:r>
              <w:t>А также на двух последних способах:</w:t>
            </w:r>
          </w:p>
          <w:p w14:paraId="5494FD02" w14:textId="77777777" w:rsidR="00722340" w:rsidRPr="00681951" w:rsidRDefault="00722340" w:rsidP="006925FF">
            <w:pPr>
              <w:pStyle w:val="ListParagraph"/>
              <w:spacing w:after="960"/>
              <w:ind w:left="0"/>
              <w:rPr>
                <w:i/>
              </w:rPr>
            </w:pPr>
          </w:p>
          <w:p w14:paraId="72BB1CC0" w14:textId="77777777" w:rsidR="00722340" w:rsidRPr="001F4DD1" w:rsidRDefault="00722340" w:rsidP="00722340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«– При подготовке к сессии Секретариат будет делиться соответствующей информацией с национальными экспертами, назначенными для участия в обсуждении государствами-членами. </w:t>
            </w:r>
          </w:p>
          <w:p w14:paraId="0F4AE897" w14:textId="7488D46A" w:rsidR="00E42336" w:rsidRPr="001F4DD1" w:rsidRDefault="00722340" w:rsidP="006925FF">
            <w:pPr>
              <w:pStyle w:val="ListParagraph"/>
              <w:spacing w:after="960"/>
              <w:ind w:left="0"/>
            </w:pPr>
            <w:r>
              <w:rPr>
                <w:i/>
              </w:rPr>
              <w:t xml:space="preserve">– Для участия в каждом обсуждении по пункту повестки дня «ИС и развитие», в зависимости от рассматриваемого вопроса, Секретариат, в консультации с председателем КРИС, будет предлагать кандидатуры соответствующих ученых, представителей </w:t>
            </w:r>
            <w:r>
              <w:rPr>
                <w:i/>
              </w:rPr>
              <w:lastRenderedPageBreak/>
              <w:t>промышленности и гражданского общества, а т</w:t>
            </w:r>
            <w:r w:rsidR="00303EEC">
              <w:rPr>
                <w:i/>
              </w:rPr>
              <w:t xml:space="preserve">акже других органов ООН и МПО. </w:t>
            </w:r>
            <w:r>
              <w:rPr>
                <w:i/>
              </w:rPr>
              <w:t>Секретариат будет организовывать их участие и обмен информацией об участниках через веб-сайт ВОИС (а именно, через веб-страницу, посвященную реестру тем, которые будут рассматриваться в рамках пункта повестки дня «ИС и развитие»)».</w:t>
            </w:r>
          </w:p>
        </w:tc>
      </w:tr>
      <w:tr w:rsidR="00520A10" w14:paraId="5DC9B5D0" w14:textId="77777777" w:rsidTr="005F0F87">
        <w:tc>
          <w:tcPr>
            <w:tcW w:w="3021" w:type="dxa"/>
          </w:tcPr>
          <w:p w14:paraId="1CFDB4DD" w14:textId="7141E02E" w:rsidR="005F0F87" w:rsidRPr="001F4DD1" w:rsidRDefault="005F0F87" w:rsidP="005F0F87">
            <w:pPr>
              <w:pStyle w:val="ListParagraph"/>
              <w:numPr>
                <w:ilvl w:val="0"/>
                <w:numId w:val="12"/>
              </w:numPr>
              <w:ind w:left="28" w:firstLine="0"/>
              <w:rPr>
                <w:rFonts w:eastAsia="Times New Roman"/>
              </w:rPr>
            </w:pPr>
            <w:r>
              <w:lastRenderedPageBreak/>
              <w:t xml:space="preserve">Три однодневные международные конференции по теме ИС и развития, которые будут проводиться раз в два года в соответствии с решением КРИС, принятым на его двадцать второй сессии, также могут служить </w:t>
            </w:r>
            <w:r>
              <w:rPr>
                <w:i/>
              </w:rPr>
              <w:t>форумом</w:t>
            </w:r>
            <w:r>
              <w:t xml:space="preserve"> для организации дебатов на более высоком уровне для рассмотрения </w:t>
            </w:r>
            <w:r w:rsidR="00303EEC">
              <w:t xml:space="preserve">новых проблем, связанных с ИС. </w:t>
            </w:r>
            <w:r>
              <w:t xml:space="preserve">Такие конференции станут </w:t>
            </w:r>
            <w:r>
              <w:rPr>
                <w:i/>
                <w:iCs/>
              </w:rPr>
              <w:t>форумом</w:t>
            </w:r>
            <w:r>
              <w:t xml:space="preserve"> для более открытого обсуждения, в котором примут участие не только государства-члены, но и представители научных кругов, </w:t>
            </w:r>
            <w:r>
              <w:lastRenderedPageBreak/>
              <w:t>гражданского общества и различных МПО, с тем чтобы внести свой вклад в эти обсуждения, которые способствуют распространению информации о ПДР.</w:t>
            </w:r>
            <w:r w:rsidR="00E51CE1" w:rsidRPr="001F4DD1">
              <w:rPr>
                <w:rStyle w:val="FootnoteReference"/>
                <w:lang w:val="en-AU"/>
              </w:rPr>
              <w:footnoteReference w:id="7"/>
            </w:r>
          </w:p>
          <w:p w14:paraId="4C103FCD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266C7A2F" w14:textId="77777777" w:rsidR="005F0F87" w:rsidRPr="001F4DD1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 xml:space="preserve">– Секретариат будет готовить программу конференций таким образом, чтобы она соответствовала требованию о проведении дебатов на «высоком уровне» и касалась новых проблем, связанных с ИС.  </w:t>
            </w:r>
          </w:p>
          <w:p w14:paraId="2A982754" w14:textId="77777777" w:rsidR="005F0F87" w:rsidRPr="001F4DD1" w:rsidRDefault="005F0F87" w:rsidP="005F0F87">
            <w:pPr>
              <w:pStyle w:val="ListParagraph"/>
              <w:ind w:left="0"/>
            </w:pPr>
            <w:r>
              <w:t>– Для каждой конференции Секретариат будет подбирать докладчиков, исходя из принципов разнообразия и сбалансированности применительно, в частности, к их профессиональному опыту, региону, полу и т. д.</w:t>
            </w:r>
          </w:p>
          <w:p w14:paraId="2A299B95" w14:textId="77777777" w:rsidR="005F0F87" w:rsidRPr="001F4DD1" w:rsidRDefault="005F0F87" w:rsidP="005F0F87">
            <w:pPr>
              <w:pStyle w:val="ListParagraph"/>
              <w:ind w:left="0"/>
            </w:pPr>
            <w:r>
              <w:t xml:space="preserve">– Секретариат также будет распространять </w:t>
            </w:r>
            <w:r>
              <w:lastRenderedPageBreak/>
              <w:t>информацию о конференциях через свой веб-сайт и использовать социальные сети для стимулирования интереса и охвата более широкой аудитории.</w:t>
            </w:r>
          </w:p>
          <w:p w14:paraId="19426358" w14:textId="77777777" w:rsidR="005F0F87" w:rsidRPr="001F4DD1" w:rsidRDefault="005F0F87" w:rsidP="005F0F87">
            <w:pPr>
              <w:pStyle w:val="ListParagraph"/>
              <w:ind w:left="0"/>
            </w:pPr>
            <w:r>
              <w:t>– В контексте конференций Секретариат будет организовывать параллельные мероприятия с целью активизации дебатов на высоком уровне и обсуждения дополнительных ориентиров.</w:t>
            </w:r>
          </w:p>
          <w:p w14:paraId="22E9F3FF" w14:textId="77777777" w:rsidR="005F0F87" w:rsidRPr="001F4DD1" w:rsidRDefault="005F0F87" w:rsidP="005F0F87">
            <w:pPr>
              <w:pStyle w:val="ListParagraph"/>
              <w:ind w:left="0"/>
            </w:pPr>
            <w:r>
              <w:t>– Секретариат будет активизировать свою текущую деятельность по организации и участию в тематических региональных мероприятиях и совещаниях по вопросам, связанным с темой обсуждения на соответствующей конференции.  Эта деятельность будет осуществляться с целью включения региональных вопросов для рассмотрения на такой конференции.</w:t>
            </w:r>
          </w:p>
          <w:p w14:paraId="04424CFD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7E904718" w14:textId="77777777" w:rsidR="00520A10" w:rsidRPr="001F4DD1" w:rsidRDefault="00A371FE" w:rsidP="005F0F87">
            <w:pPr>
              <w:pStyle w:val="ListParagraph"/>
              <w:spacing w:after="960"/>
              <w:ind w:left="0"/>
            </w:pPr>
            <w:r>
              <w:lastRenderedPageBreak/>
              <w:t xml:space="preserve">Данная стратегия в определенной степени устарела, так как две из трех конференций, проводимых раз в два года, уже состоялись.  </w:t>
            </w:r>
          </w:p>
          <w:p w14:paraId="000464F9" w14:textId="77777777" w:rsidR="00161614" w:rsidRPr="001F4DD1" w:rsidRDefault="00161614" w:rsidP="005F0F87">
            <w:pPr>
              <w:pStyle w:val="ListParagraph"/>
              <w:spacing w:after="960"/>
              <w:ind w:left="0"/>
            </w:pPr>
          </w:p>
          <w:p w14:paraId="43A264AC" w14:textId="77777777" w:rsidR="00161614" w:rsidRPr="001F4DD1" w:rsidRDefault="003A1D20" w:rsidP="005F0F87">
            <w:pPr>
              <w:pStyle w:val="ListParagraph"/>
              <w:spacing w:after="960"/>
              <w:ind w:left="0"/>
            </w:pPr>
            <w:r>
              <w:t xml:space="preserve">Однако Африканская группа представила на рассмотрение в рамках текущей сессии Комитета предложение о продолжении проведения конференций каждые два года (документ CDIP/29/3). </w:t>
            </w:r>
          </w:p>
          <w:p w14:paraId="47FCE783" w14:textId="77777777" w:rsidR="00161614" w:rsidRPr="001F4DD1" w:rsidRDefault="00161614" w:rsidP="005F0F87">
            <w:pPr>
              <w:pStyle w:val="ListParagraph"/>
              <w:spacing w:after="960"/>
              <w:ind w:left="0"/>
            </w:pPr>
          </w:p>
          <w:p w14:paraId="4C4A69CD" w14:textId="77777777" w:rsidR="00161614" w:rsidRDefault="00161614" w:rsidP="00B965CF">
            <w:pPr>
              <w:pStyle w:val="ListParagraph"/>
              <w:spacing w:after="960"/>
              <w:ind w:left="0"/>
            </w:pPr>
            <w:r>
              <w:t>Таким образом, актуальность данной стратегии тесто связана с решением Комитета по этому предложению.</w:t>
            </w:r>
          </w:p>
        </w:tc>
      </w:tr>
      <w:tr w:rsidR="00520A10" w14:paraId="0EB00B75" w14:textId="77777777" w:rsidTr="005F0F87">
        <w:tc>
          <w:tcPr>
            <w:tcW w:w="3021" w:type="dxa"/>
          </w:tcPr>
          <w:p w14:paraId="1E50CC53" w14:textId="77777777" w:rsidR="005F0F87" w:rsidRPr="005F0F87" w:rsidRDefault="005F0F87" w:rsidP="005F0F87">
            <w:pPr>
              <w:pStyle w:val="ListParagraph"/>
              <w:numPr>
                <w:ilvl w:val="0"/>
                <w:numId w:val="12"/>
              </w:numPr>
              <w:ind w:left="28" w:firstLine="0"/>
              <w:rPr>
                <w:rFonts w:eastAsia="Times New Roman"/>
              </w:rPr>
            </w:pPr>
            <w:r>
              <w:t xml:space="preserve">В повестку дня КРИС может быть добавлен подпункт в пункте повестки дня «ИС и развитие», с тем чтобы государства-члены </w:t>
            </w:r>
            <w:r>
              <w:lastRenderedPageBreak/>
              <w:t>могли на добровольной основе обмениваться опытом решения проблем в области ИС и развития, включая осуществление проектов ПДР.  Этот подпункт повестки откроет возможность для обмена стратегиями, извлеченными уроками и передовой практикой государств-членов в области ИС и развития.</w:t>
            </w:r>
            <w:r w:rsidR="00E51CE1">
              <w:rPr>
                <w:rStyle w:val="FootnoteReference"/>
                <w:lang w:val="en-AU"/>
              </w:rPr>
              <w:footnoteReference w:id="8"/>
            </w:r>
          </w:p>
          <w:p w14:paraId="1CBB44E0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574E0C1B" w14:textId="77777777" w:rsidR="005F0F87" w:rsidRPr="005F0F87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 xml:space="preserve">– Перед каждой сессией КРИС Секретариат будет предлагать государствам-членам через региональных координаторов </w:t>
            </w:r>
            <w:r>
              <w:lastRenderedPageBreak/>
              <w:t>выразить мнение относительно своей заинтересованности в обмене опытом по вопросам ИС и развития.</w:t>
            </w:r>
          </w:p>
          <w:p w14:paraId="683353A1" w14:textId="77777777" w:rsidR="005F0F87" w:rsidRPr="00857943" w:rsidRDefault="005F0F87" w:rsidP="005F0F87">
            <w:pPr>
              <w:pStyle w:val="ListParagraph"/>
              <w:ind w:left="0"/>
            </w:pPr>
            <w:r>
              <w:t>– У заинтересованных государств-членов будет запрашиваться мнение относительно тем, которые они хотели бы обсудить.  В соответствующих случаях презентации государств-членов могут опираться на результаты обсуждений государств-членов в контексте веб-форума по вопросам технической помощи.</w:t>
            </w:r>
            <w:r w:rsidRPr="00857943">
              <w:rPr>
                <w:rStyle w:val="FootnoteReference"/>
                <w:lang w:val="en-AU"/>
              </w:rPr>
              <w:footnoteReference w:id="9"/>
            </w:r>
          </w:p>
          <w:p w14:paraId="141C2FF1" w14:textId="77777777" w:rsidR="005F0F87" w:rsidRPr="005F0F87" w:rsidRDefault="005F0F87" w:rsidP="005F0F87">
            <w:pPr>
              <w:pStyle w:val="ListParagraph"/>
              <w:ind w:left="0"/>
            </w:pPr>
            <w:r>
              <w:t>– Секретариат будет включать список заинтересованных государств-членов и темы их выступлений в повестку дня сессии в рамках нового подпункта повестки дня.</w:t>
            </w:r>
          </w:p>
          <w:p w14:paraId="1867EBF9" w14:textId="77777777" w:rsidR="005F0F87" w:rsidRPr="005F0F87" w:rsidRDefault="005F0F87" w:rsidP="005F0F87">
            <w:pPr>
              <w:pStyle w:val="ListParagraph"/>
              <w:ind w:left="0"/>
            </w:pPr>
            <w:r>
              <w:t>– На каждой сессии КРИС соответствующие государства-члены будут выступать с презентациями о своем опыте, а затем обмениваться мнениями в рамках Комитета.</w:t>
            </w:r>
          </w:p>
          <w:p w14:paraId="65D46481" w14:textId="77777777" w:rsidR="005F0F87" w:rsidRPr="005F0F87" w:rsidRDefault="005F0F87" w:rsidP="005F0F87">
            <w:pPr>
              <w:pStyle w:val="ListParagraph"/>
              <w:ind w:left="0"/>
            </w:pPr>
            <w:r>
              <w:t xml:space="preserve">– Секретариат будет размещать презентации государств-членов и </w:t>
            </w:r>
            <w:r>
              <w:lastRenderedPageBreak/>
              <w:t>краткую информацию о ходе обсуждения и выводы на веб-сайте ВОИС.</w:t>
            </w:r>
          </w:p>
          <w:p w14:paraId="202099C8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1DB85D3C" w14:textId="77777777" w:rsidR="00A84FF7" w:rsidRDefault="00A84FF7" w:rsidP="00857943">
            <w:pPr>
              <w:pStyle w:val="ListParagraph"/>
              <w:spacing w:after="960"/>
              <w:ind w:left="0"/>
            </w:pPr>
            <w:r>
              <w:lastRenderedPageBreak/>
              <w:t xml:space="preserve">На практике данная стратегия частично затрагивается в рамках рассмотрения пункта повестки дня «ИС и развитие».  Государства-члены на добровольной основе поделились своим опытом в области ИС и </w:t>
            </w:r>
            <w:r>
              <w:lastRenderedPageBreak/>
              <w:t xml:space="preserve">развития в связи с темой для обсуждения на каждой сессии.  Нет необходимости в формулировании специального подпункта повестки дня для такого обмена опытом. </w:t>
            </w:r>
          </w:p>
          <w:p w14:paraId="44DD7687" w14:textId="77777777" w:rsidR="00A84FF7" w:rsidRDefault="00A84FF7" w:rsidP="00A84FF7">
            <w:pPr>
              <w:pStyle w:val="ListParagraph"/>
              <w:spacing w:after="960"/>
              <w:ind w:left="0"/>
            </w:pPr>
          </w:p>
          <w:p w14:paraId="7F18E790" w14:textId="61D9CB31" w:rsidR="00A84FF7" w:rsidRDefault="00A84FF7" w:rsidP="00A84FF7">
            <w:pPr>
              <w:pStyle w:val="ListParagraph"/>
              <w:spacing w:after="960"/>
              <w:ind w:left="0"/>
            </w:pPr>
            <w:r>
              <w:t>Кроме того, в настоящее время Секретариат проводит новые мероприятия в рамках сотрудничества Юг-Юг, Север-Юг и трехстороннему сотрудничеству в связи с проектами ПДР. Данные мероприятия могут стать для государств-членов альтернативным форумом для обмена стратегиями, извлеченными уроками и передовой практикой в области ИС и развития, в том числе применительно к реализации проектов ПДР.</w:t>
            </w:r>
          </w:p>
          <w:p w14:paraId="79788D4C" w14:textId="77777777" w:rsidR="00A84FF7" w:rsidRPr="00681951" w:rsidRDefault="00A84FF7" w:rsidP="00A84FF7">
            <w:pPr>
              <w:pStyle w:val="ListParagraph"/>
              <w:spacing w:after="960"/>
              <w:ind w:left="0"/>
            </w:pPr>
          </w:p>
          <w:p w14:paraId="20D1A4E8" w14:textId="77777777" w:rsidR="008C0D87" w:rsidRDefault="008C0D87" w:rsidP="008C0D87">
            <w:pPr>
              <w:pStyle w:val="ListParagraph"/>
              <w:spacing w:after="960"/>
              <w:ind w:left="0"/>
            </w:pPr>
            <w:r>
              <w:t xml:space="preserve">В связи с этим Комитету предлагается считать, что данная стратегия более не является необходимой.  </w:t>
            </w:r>
          </w:p>
          <w:p w14:paraId="25B01B58" w14:textId="77777777" w:rsidR="008C0D87" w:rsidRDefault="008C0D87" w:rsidP="008C0D87">
            <w:pPr>
              <w:pStyle w:val="ListParagraph"/>
              <w:spacing w:after="960"/>
              <w:ind w:left="0"/>
            </w:pPr>
            <w:r>
              <w:t xml:space="preserve"> </w:t>
            </w:r>
          </w:p>
          <w:p w14:paraId="7015C83F" w14:textId="77777777" w:rsidR="00520A10" w:rsidRDefault="00520A10" w:rsidP="005F0F87">
            <w:pPr>
              <w:pStyle w:val="ListParagraph"/>
              <w:spacing w:after="960"/>
              <w:ind w:left="0"/>
            </w:pPr>
          </w:p>
        </w:tc>
      </w:tr>
      <w:tr w:rsidR="00520A10" w14:paraId="1F1AAFF9" w14:textId="77777777" w:rsidTr="006E0F9E">
        <w:trPr>
          <w:trHeight w:val="4576"/>
        </w:trPr>
        <w:tc>
          <w:tcPr>
            <w:tcW w:w="3021" w:type="dxa"/>
          </w:tcPr>
          <w:p w14:paraId="12B430A5" w14:textId="77777777" w:rsidR="00520A10" w:rsidRPr="005F0F87" w:rsidRDefault="005F0F87" w:rsidP="006E0F9E">
            <w:pPr>
              <w:pStyle w:val="ListParagraph"/>
              <w:numPr>
                <w:ilvl w:val="0"/>
                <w:numId w:val="12"/>
              </w:numPr>
              <w:ind w:left="0" w:firstLine="28"/>
            </w:pPr>
            <w:r>
              <w:lastRenderedPageBreak/>
              <w:t>Представители учреждений системы ООН, других МПО и НПО могут приглашаться на сессии КРИС для обмена опытом в области достижения ЦУР.  Основой для этого послужит существующий подход ВОИС к поощрению других субъектов для участия в совещаниях и мероприятиях, организуемых ВОИС.</w:t>
            </w:r>
            <w:r w:rsidR="00E51CE1">
              <w:rPr>
                <w:rStyle w:val="FootnoteReference"/>
                <w:lang w:val="en-AU"/>
              </w:rPr>
              <w:footnoteReference w:id="10"/>
            </w:r>
          </w:p>
        </w:tc>
        <w:tc>
          <w:tcPr>
            <w:tcW w:w="3021" w:type="dxa"/>
          </w:tcPr>
          <w:p w14:paraId="25BAD2B4" w14:textId="77777777" w:rsidR="005F0F87" w:rsidRPr="005F0F87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t>– Секретариат будет предлагать государствам-членам приглашать в КРИС представителей других учреждений ООН или МПО для обмена опытом в деле достижения ЦУР.</w:t>
            </w:r>
          </w:p>
          <w:p w14:paraId="0B32160A" w14:textId="77777777" w:rsidR="005F0F87" w:rsidRPr="005F0F87" w:rsidRDefault="005F0F87" w:rsidP="005F0F87">
            <w:pPr>
              <w:pStyle w:val="ListParagraph"/>
              <w:ind w:left="0"/>
            </w:pPr>
            <w:r>
              <w:t>– Если такое предложение будет одобрено Комитетом, Секретариат будет обеспечивать участие соответствующей организации в работе следующей сессии КРИС.</w:t>
            </w:r>
          </w:p>
          <w:p w14:paraId="1B843E86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3B5F59B2" w14:textId="77777777" w:rsidR="00443B57" w:rsidRDefault="005E1341" w:rsidP="00630DE2">
            <w:pPr>
              <w:pStyle w:val="ListParagraph"/>
              <w:spacing w:after="960"/>
              <w:ind w:left="0"/>
            </w:pPr>
            <w:r>
              <w:t xml:space="preserve">Обновление данной стратегии не представляется необходимым.  </w:t>
            </w:r>
          </w:p>
          <w:p w14:paraId="5400D249" w14:textId="77777777" w:rsidR="00443B57" w:rsidRDefault="00443B57" w:rsidP="00630DE2">
            <w:pPr>
              <w:pStyle w:val="ListParagraph"/>
              <w:spacing w:after="960"/>
              <w:ind w:left="0"/>
            </w:pPr>
          </w:p>
          <w:p w14:paraId="3E902571" w14:textId="77777777" w:rsidR="00520A10" w:rsidRPr="008207D4" w:rsidRDefault="00AD7691" w:rsidP="00630DE2">
            <w:pPr>
              <w:pStyle w:val="ListParagraph"/>
              <w:spacing w:after="960"/>
              <w:ind w:left="0"/>
            </w:pPr>
            <w:r>
              <w:t>Следует напомнить, что Комитет обсуждал возможность внесения поправок в первое предложение этой стратегии, с тем чтобы лучше согласовать ее с соответствующими способами и рекомендацией 4 независимого анализа.  Были предложены следующие два варианта:</w:t>
            </w:r>
          </w:p>
          <w:p w14:paraId="3AF9419C" w14:textId="77777777" w:rsidR="001750A5" w:rsidRPr="008207D4" w:rsidRDefault="001750A5" w:rsidP="00630DE2">
            <w:pPr>
              <w:pStyle w:val="ListParagraph"/>
              <w:spacing w:after="960"/>
              <w:ind w:left="0"/>
            </w:pPr>
          </w:p>
          <w:p w14:paraId="0756C42F" w14:textId="77777777" w:rsidR="00443B57" w:rsidRPr="008207D4" w:rsidRDefault="00443B57" w:rsidP="00630DE2">
            <w:pPr>
              <w:pStyle w:val="ListParagraph"/>
              <w:spacing w:after="960"/>
              <w:ind w:left="0"/>
              <w:rPr>
                <w:u w:val="single"/>
              </w:rPr>
            </w:pPr>
            <w:r>
              <w:rPr>
                <w:u w:val="single"/>
              </w:rPr>
              <w:t>Предложение Председателя:</w:t>
            </w:r>
          </w:p>
          <w:p w14:paraId="26B0EFA1" w14:textId="77777777" w:rsidR="001750A5" w:rsidRPr="008207D4" w:rsidRDefault="00AD7691" w:rsidP="00630DE2">
            <w:pPr>
              <w:pStyle w:val="ListParagraph"/>
              <w:spacing w:after="960"/>
              <w:ind w:left="0"/>
              <w:rPr>
                <w:i/>
              </w:rPr>
            </w:pPr>
            <w:r>
              <w:rPr>
                <w:i/>
              </w:rPr>
              <w:t>Представители учреждений системы ООН и других МПО могут приглашаться на сессии КРИС для обмена опытом в области достижения ЦУР.</w:t>
            </w:r>
          </w:p>
          <w:p w14:paraId="6CE5C1F0" w14:textId="77777777" w:rsidR="006E0F9E" w:rsidRPr="00681951" w:rsidRDefault="006E0F9E" w:rsidP="00630DE2">
            <w:pPr>
              <w:pStyle w:val="ListParagraph"/>
              <w:spacing w:after="960"/>
              <w:ind w:left="0"/>
              <w:rPr>
                <w:i/>
              </w:rPr>
            </w:pPr>
          </w:p>
          <w:p w14:paraId="454DF4D8" w14:textId="77777777" w:rsidR="00443B57" w:rsidRPr="008207D4" w:rsidRDefault="00443B57" w:rsidP="00630DE2">
            <w:pPr>
              <w:pStyle w:val="ListParagraph"/>
              <w:spacing w:after="960"/>
              <w:ind w:left="0"/>
              <w:rPr>
                <w:u w:val="single"/>
              </w:rPr>
            </w:pPr>
            <w:r>
              <w:rPr>
                <w:u w:val="single"/>
              </w:rPr>
              <w:t>Предложение делегации Ирана:</w:t>
            </w:r>
          </w:p>
          <w:p w14:paraId="5AB6E898" w14:textId="77777777" w:rsidR="001750A5" w:rsidRDefault="006E0F9E" w:rsidP="00B46655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Представители учреждений системы ООН в области развития могут приглашаться на сессии КРИС для обмена опытом в области достижения ЦУР.</w:t>
            </w:r>
          </w:p>
          <w:p w14:paraId="3605FF2A" w14:textId="77777777" w:rsidR="00B46655" w:rsidRDefault="00B46655" w:rsidP="00B46655">
            <w:pPr>
              <w:pStyle w:val="ListParagraph"/>
              <w:ind w:left="0"/>
            </w:pPr>
          </w:p>
        </w:tc>
      </w:tr>
      <w:tr w:rsidR="00520A10" w14:paraId="15105EF9" w14:textId="77777777" w:rsidTr="005F0F87">
        <w:tc>
          <w:tcPr>
            <w:tcW w:w="3021" w:type="dxa"/>
          </w:tcPr>
          <w:p w14:paraId="5DDDA265" w14:textId="77777777" w:rsidR="005F0F87" w:rsidRPr="00E51CE1" w:rsidRDefault="005F0F87" w:rsidP="00E51CE1">
            <w:pPr>
              <w:pStyle w:val="ListParagraph"/>
              <w:numPr>
                <w:ilvl w:val="0"/>
                <w:numId w:val="14"/>
              </w:numPr>
              <w:ind w:left="0" w:firstLine="28"/>
              <w:rPr>
                <w:rFonts w:eastAsia="Times New Roman"/>
              </w:rPr>
            </w:pPr>
            <w:r>
              <w:t xml:space="preserve">На основе отчетов об оценке завершенных проектов ОКПДР может создать базу данных для систематического обобщения основных извлеченных уроков и передовой практики по реализации проектов ПДР.  Эта база данных будет опубликована на </w:t>
            </w:r>
            <w:r>
              <w:lastRenderedPageBreak/>
              <w:t>веб-сайте ВОИС для ознакомления.</w:t>
            </w:r>
            <w:r w:rsidR="00E51CE1">
              <w:rPr>
                <w:rStyle w:val="FootnoteReference"/>
                <w:lang w:val="en-AU"/>
              </w:rPr>
              <w:footnoteReference w:id="11"/>
            </w:r>
          </w:p>
          <w:p w14:paraId="1AABECB6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50A4CACC" w14:textId="77777777" w:rsidR="005F0F87" w:rsidRPr="005F0F87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>– ОКПДР будет собирать информацию об извлеченных уроках и передовой практике по реализации проектов ПДР с помощью новой базы данных или существующей базы данных, если это необходимо.</w:t>
            </w:r>
          </w:p>
          <w:p w14:paraId="5D04D54A" w14:textId="77777777" w:rsidR="005F0F87" w:rsidRPr="005F0F87" w:rsidRDefault="005F0F87" w:rsidP="005F0F87">
            <w:pPr>
              <w:pStyle w:val="ListParagraph"/>
              <w:ind w:left="0"/>
            </w:pPr>
            <w:r>
              <w:t xml:space="preserve">– Информация, подлежащая включению в базу данных, будет </w:t>
            </w:r>
            <w:r>
              <w:lastRenderedPageBreak/>
              <w:t xml:space="preserve">поступать, в частности, из отчетов о завершении проектов и результатах их оценки. </w:t>
            </w:r>
          </w:p>
          <w:p w14:paraId="1D776847" w14:textId="77777777" w:rsidR="005F0F87" w:rsidRPr="005F0F87" w:rsidRDefault="005F0F87" w:rsidP="005F0F87">
            <w:pPr>
              <w:pStyle w:val="ListParagraph"/>
              <w:ind w:left="0"/>
            </w:pPr>
            <w:r>
              <w:t>– Более подробная информация о структуре и функциях базы данных будет направляться государствам-членам в документе, который будет представляться Комитету.</w:t>
            </w:r>
          </w:p>
          <w:p w14:paraId="08E830F5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18FA00BA" w14:textId="2619B035" w:rsidR="0043374C" w:rsidRPr="00912E57" w:rsidRDefault="0043374C" w:rsidP="0043374C">
            <w:pPr>
              <w:pStyle w:val="ListParagraph"/>
              <w:spacing w:after="960"/>
              <w:ind w:left="0"/>
            </w:pPr>
            <w:r>
              <w:lastRenderedPageBreak/>
              <w:t xml:space="preserve">На реализацию данной стратегии направлены новые мероприятия, реализуемые Организацией, а именно: </w:t>
            </w:r>
          </w:p>
          <w:p w14:paraId="098FA940" w14:textId="77777777" w:rsidR="001864A7" w:rsidRDefault="001864A7" w:rsidP="005F0F87">
            <w:pPr>
              <w:pStyle w:val="ListParagraph"/>
              <w:spacing w:after="960"/>
              <w:ind w:left="0"/>
            </w:pPr>
          </w:p>
          <w:p w14:paraId="675CAFCC" w14:textId="63E1786B" w:rsidR="00CA7FB4" w:rsidRDefault="005E1341" w:rsidP="0043374C">
            <w:pPr>
              <w:pStyle w:val="ListParagraph"/>
              <w:spacing w:after="960"/>
              <w:ind w:left="0"/>
            </w:pPr>
            <w:r>
              <w:t xml:space="preserve">В рамках реализации проекта ПДР «Инструменты для подготовки успешных проектных предложений по Повестке дня в области развития» Секретариат, помимо прочего, пересмотрел методологию управления проектами ПДР и подготовил онлайновый каталог проектов ПДР и их результатов с </w:t>
            </w:r>
            <w:r>
              <w:lastRenderedPageBreak/>
              <w:t xml:space="preserve">возможностью поиска:  </w:t>
            </w:r>
            <w:hyperlink r:id="rId9" w:history="1">
              <w:r>
                <w:rPr>
                  <w:rStyle w:val="Hyperlink"/>
                </w:rPr>
                <w:t>https://dacatalogue.wipo.int/projects</w:t>
              </w:r>
            </w:hyperlink>
            <w:r>
              <w:t xml:space="preserve">. В данном каталоге собрана информация о завершенных и осуществляемых проектах ПДР, в том числе, в частности, отчеты об их завершении и оценке.  В этих отчетах освещены основные уроки, извлеченные в результате реализации проектов ПДР.  </w:t>
            </w:r>
          </w:p>
          <w:p w14:paraId="69D1241C" w14:textId="77777777" w:rsidR="00CA7FB4" w:rsidRDefault="00CA7FB4" w:rsidP="00CA7FB4">
            <w:pPr>
              <w:pStyle w:val="ListParagraph"/>
              <w:spacing w:after="960"/>
              <w:ind w:left="0"/>
            </w:pPr>
          </w:p>
          <w:p w14:paraId="176341CE" w14:textId="591C9B14" w:rsidR="00CA7FB4" w:rsidRDefault="00CA7FB4" w:rsidP="0043374C">
            <w:pPr>
              <w:pStyle w:val="ListParagraph"/>
              <w:ind w:left="0"/>
            </w:pPr>
            <w:r>
              <w:t xml:space="preserve">Кроме того, по результатам пересмотра методологии руководители проектов будут подготавливать информационную записку по завершении любого проекта ПДР.  В записке будут отражены основные выводы и рекомендации, проистекающие из проекта, с тем чтобы облегчить его масштабирование или воспроизведение в других условиях.  В записке также будут содержаться основные уроки, которые следует извлечь ВОИС и государствам-членам, и она будет опубликована в Каталоге. </w:t>
            </w:r>
          </w:p>
          <w:p w14:paraId="55E04A6F" w14:textId="77777777" w:rsidR="00CA7FB4" w:rsidRDefault="00CA7FB4" w:rsidP="00CA7FB4"/>
          <w:p w14:paraId="189472EC" w14:textId="77777777" w:rsidR="002B27BB" w:rsidRPr="002B27BB" w:rsidRDefault="00CA7FB4" w:rsidP="002B27BB">
            <w:r>
              <w:t>Наконец, в соответствии с предложенной Секретариатом стратегией будущего расширения технических возможностей WIPO Match,</w:t>
            </w:r>
            <w:r w:rsidRPr="002B27BB">
              <w:rPr>
                <w:rStyle w:val="FootnoteReference"/>
              </w:rPr>
              <w:footnoteReference w:id="12"/>
            </w:r>
            <w:r>
              <w:t xml:space="preserve"> </w:t>
            </w:r>
          </w:p>
          <w:p w14:paraId="12097F1C" w14:textId="77777777" w:rsidR="00CA7FB4" w:rsidRDefault="00CA7FB4" w:rsidP="00CA7FB4">
            <w:r>
              <w:t xml:space="preserve">усовершенствованная платформа, которая заменит существующую платформу WIPO Match, будет включать раздел, посвященный передовой практике и успешному опыту использования ИС в целях развития. </w:t>
            </w:r>
          </w:p>
          <w:p w14:paraId="115E1191" w14:textId="77777777" w:rsidR="005E1341" w:rsidRDefault="005E1341" w:rsidP="001E457E">
            <w:pPr>
              <w:pStyle w:val="ListParagraph"/>
              <w:ind w:left="0"/>
            </w:pPr>
          </w:p>
          <w:p w14:paraId="60D4AA96" w14:textId="77777777" w:rsidR="00520A10" w:rsidRDefault="0005176B" w:rsidP="001E457E">
            <w:pPr>
              <w:pStyle w:val="ListParagraph"/>
              <w:ind w:left="0"/>
            </w:pPr>
            <w:r>
              <w:t xml:space="preserve">В связи с этим Комитету предлагается считать, что данная стратегия на практике уже реализуется. </w:t>
            </w:r>
          </w:p>
          <w:p w14:paraId="59A11E33" w14:textId="77777777" w:rsidR="001E457E" w:rsidRDefault="001E457E" w:rsidP="001E457E">
            <w:pPr>
              <w:pStyle w:val="ListParagraph"/>
              <w:ind w:left="0"/>
            </w:pPr>
          </w:p>
        </w:tc>
      </w:tr>
      <w:tr w:rsidR="005F0F87" w14:paraId="5F58A9E7" w14:textId="77777777" w:rsidTr="005F0F87">
        <w:tc>
          <w:tcPr>
            <w:tcW w:w="3021" w:type="dxa"/>
          </w:tcPr>
          <w:p w14:paraId="30184522" w14:textId="77777777" w:rsidR="005F0F87" w:rsidRPr="005F0F87" w:rsidRDefault="005F0F87" w:rsidP="005F0F8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eastAsia="Times New Roman"/>
              </w:rPr>
            </w:pPr>
            <w:r>
              <w:lastRenderedPageBreak/>
              <w:t>ВОИС может развивать существующие методы распространения информации о ПДР, ее выполнении и других видах связанной с развитием деятельности, такие как широкое освещение ПДР в материалах, размещаемых на регулярно обновляемом веб-сайте ВОИС; использование социальных сетей (например, видеороликов в YouTube об итогах сессии КРИС; информации в Twitter); интернет-трансляций мероприятий; освещение вопросов развития в учебных курсах, проводимых Академией ВОИС; реализация проектов в рамках ПДР и публикации материалов по этой тематике.</w:t>
            </w:r>
            <w:r w:rsidR="00E51CE1">
              <w:rPr>
                <w:rStyle w:val="FootnoteReference"/>
                <w:lang w:val="en-AU"/>
              </w:rPr>
              <w:footnoteReference w:id="13"/>
            </w:r>
          </w:p>
          <w:p w14:paraId="2E20F88D" w14:textId="77777777" w:rsidR="005F0F87" w:rsidRPr="00681951" w:rsidRDefault="005F0F87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41EC12D6" w14:textId="77777777" w:rsidR="005F0F87" w:rsidRPr="00EA1AEB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t>– Секретариат подготовит новый курс дистанционного обучения по вопросам ПДР, основным аспектам ее выполнения, достигнутым результатам, текущей деятельности, роли и функциям КРИС и ключевым темам обсуждений, который будет предложен в рамках Академии ВОИС.  Секретариат разработает курс, который в итоговом виде будет включен в каталог курсов дистанционного обучения Академии ВОИС.</w:t>
            </w:r>
          </w:p>
          <w:p w14:paraId="189B7EE0" w14:textId="77777777" w:rsidR="005F0F87" w:rsidRPr="00EA1AEB" w:rsidRDefault="005F0F87" w:rsidP="005F0F87">
            <w:pPr>
              <w:pStyle w:val="ListParagraph"/>
              <w:ind w:left="0"/>
            </w:pPr>
            <w:r>
              <w:t>– По просьбе государств-членов ОКПДР будет организовывать мероприятия, способствующие углублению понимания ПДР.</w:t>
            </w:r>
          </w:p>
          <w:p w14:paraId="205F16C4" w14:textId="77777777" w:rsidR="005F0F87" w:rsidRPr="00EA1AEB" w:rsidRDefault="005F0F87" w:rsidP="005F0F87">
            <w:pPr>
              <w:pStyle w:val="ListParagraph"/>
              <w:ind w:left="0"/>
            </w:pPr>
            <w:r>
              <w:t xml:space="preserve">– На основе базы данных об извлеченных уроках, упомянутой в стратегии реализации 7, ВОИС разработает онлайн-платформу для облегчения поиска заинтересованными сторонами информации и статистических данных о проектах ПДР (в частности, о тематике, регионе, дате завершения или </w:t>
            </w:r>
            <w:r>
              <w:lastRenderedPageBreak/>
              <w:t>выполняемых рекомендациях ПДР).</w:t>
            </w:r>
          </w:p>
          <w:p w14:paraId="7AF92A4D" w14:textId="77777777" w:rsidR="005F0F87" w:rsidRPr="00EA1AEB" w:rsidRDefault="005F0F87" w:rsidP="00AC7459">
            <w:pPr>
              <w:pStyle w:val="ListParagraph"/>
              <w:ind w:left="0"/>
            </w:pPr>
            <w:r>
              <w:t>– ВОИС подготовит серию публикаций о результатах и исследованиях по тематике ПДР.</w:t>
            </w:r>
          </w:p>
        </w:tc>
        <w:tc>
          <w:tcPr>
            <w:tcW w:w="3021" w:type="dxa"/>
          </w:tcPr>
          <w:p w14:paraId="1B2F69D2" w14:textId="768EA0CA" w:rsidR="00912E57" w:rsidRPr="00912E57" w:rsidRDefault="00912E57" w:rsidP="00912E57">
            <w:r>
              <w:lastRenderedPageBreak/>
              <w:t xml:space="preserve">На выполнение данной стратегии частично направлены новые мероприятия, реализуемые Организацией, а именно: </w:t>
            </w:r>
          </w:p>
          <w:p w14:paraId="6E969218" w14:textId="77777777" w:rsidR="001864A7" w:rsidRPr="00EA1AEB" w:rsidRDefault="001864A7" w:rsidP="005F0F87">
            <w:pPr>
              <w:pStyle w:val="ListParagraph"/>
              <w:spacing w:after="960"/>
              <w:ind w:left="0"/>
            </w:pPr>
          </w:p>
          <w:p w14:paraId="216FA459" w14:textId="77777777" w:rsidR="005B41A2" w:rsidRPr="00EA1AEB" w:rsidRDefault="00AA5270" w:rsidP="005F0F87">
            <w:pPr>
              <w:pStyle w:val="ListParagraph"/>
              <w:spacing w:after="960"/>
              <w:ind w:left="0"/>
            </w:pPr>
            <w:r>
              <w:t>В сотрудничестве с Академией ВОИС был разработан новый курс дистанционного обучения, посвященный успешной реализации проектов ПДР. Курс дает представление о ПДР и, в частности, о том, как разрабатывать и осуществлять проекты ПДР. Данное новшество касается первого предлагаемого способа выполнения.</w:t>
            </w:r>
          </w:p>
          <w:p w14:paraId="5300A719" w14:textId="77777777" w:rsidR="00AA5270" w:rsidRPr="00EA1AEB" w:rsidRDefault="00AA5270" w:rsidP="005F0F87">
            <w:pPr>
              <w:pStyle w:val="ListParagraph"/>
              <w:spacing w:after="960"/>
              <w:ind w:left="0"/>
            </w:pPr>
          </w:p>
          <w:p w14:paraId="5B174FD5" w14:textId="77777777" w:rsidR="00AA5270" w:rsidRPr="00EA1AEB" w:rsidRDefault="00823F2E" w:rsidP="00AA5270">
            <w:pPr>
              <w:pStyle w:val="ListParagraph"/>
              <w:spacing w:after="960"/>
              <w:ind w:left="0"/>
            </w:pPr>
            <w:r>
              <w:t xml:space="preserve">Кроме того, в рамках реализации проекта ПДР «Инструменты для подготовки успешных проектных предложений по Повестке дня в области развития» был создан каталог проектов ПДР: </w:t>
            </w:r>
            <w:hyperlink r:id="rId10" w:history="1">
              <w:r>
                <w:rPr>
                  <w:rStyle w:val="Hyperlink"/>
                </w:rPr>
                <w:t>https://dacatalogue.wipo.int/projects</w:t>
              </w:r>
            </w:hyperlink>
            <w:r>
              <w:t>. В данном каталоге содержится информация о завершенных и осуществляемых проектах ПДР.  Это касается третьего предлагаемого способа выполнения.</w:t>
            </w:r>
          </w:p>
          <w:p w14:paraId="285E91D8" w14:textId="77777777" w:rsidR="00AA5270" w:rsidRPr="00EA1AEB" w:rsidRDefault="00AA5270" w:rsidP="00AA5270">
            <w:pPr>
              <w:pStyle w:val="ListParagraph"/>
              <w:spacing w:after="960"/>
              <w:ind w:left="0"/>
            </w:pPr>
          </w:p>
          <w:p w14:paraId="4F0DE1C9" w14:textId="77777777" w:rsidR="00722340" w:rsidRPr="00EA1AEB" w:rsidRDefault="00722340" w:rsidP="00722340">
            <w:pPr>
              <w:pStyle w:val="ListParagraph"/>
              <w:spacing w:after="960"/>
              <w:ind w:left="0"/>
            </w:pPr>
            <w:r>
              <w:t xml:space="preserve">В связи с этим Комитету предлагается считать, что данная стратегия на практике уже отчасти реализуется.  </w:t>
            </w:r>
          </w:p>
          <w:p w14:paraId="629BBF73" w14:textId="77777777" w:rsidR="00AA5270" w:rsidRPr="00EA1AEB" w:rsidRDefault="00AA5270" w:rsidP="00AA5270">
            <w:pPr>
              <w:pStyle w:val="ListParagraph"/>
              <w:spacing w:after="960"/>
              <w:ind w:left="0"/>
            </w:pPr>
          </w:p>
          <w:p w14:paraId="0C0C7A0B" w14:textId="77777777" w:rsidR="00722340" w:rsidRPr="00EA1AEB" w:rsidRDefault="00722340" w:rsidP="00722340">
            <w:pPr>
              <w:pStyle w:val="ListParagraph"/>
              <w:spacing w:after="960"/>
              <w:ind w:left="0"/>
            </w:pPr>
            <w:r>
              <w:t>Комитет должен сосредоточить свое внимание на следующих двух способах выполнения:</w:t>
            </w:r>
          </w:p>
          <w:p w14:paraId="55B2B49D" w14:textId="77777777" w:rsidR="00AA5270" w:rsidRPr="00EA1AEB" w:rsidRDefault="00AA5270" w:rsidP="00AA5270">
            <w:pPr>
              <w:pStyle w:val="ListParagraph"/>
              <w:spacing w:after="960"/>
              <w:ind w:left="0"/>
            </w:pPr>
          </w:p>
          <w:p w14:paraId="43C7C2DA" w14:textId="77777777" w:rsidR="00AA5270" w:rsidRPr="00EA1AEB" w:rsidRDefault="00722340" w:rsidP="005F0F87">
            <w:pPr>
              <w:pStyle w:val="ListParagraph"/>
              <w:spacing w:after="960"/>
              <w:ind w:left="0"/>
              <w:rPr>
                <w:i/>
              </w:rPr>
            </w:pPr>
            <w:r>
              <w:rPr>
                <w:i/>
              </w:rPr>
              <w:t>«– По просьбе государств-членов ОКПДР будет организовывать мероприятия, способствующие углублению понимания ПДР.</w:t>
            </w:r>
          </w:p>
          <w:p w14:paraId="618AFA89" w14:textId="77777777" w:rsidR="00722340" w:rsidRPr="00681951" w:rsidRDefault="00722340" w:rsidP="005F0F87">
            <w:pPr>
              <w:pStyle w:val="ListParagraph"/>
              <w:spacing w:after="960"/>
              <w:ind w:left="0"/>
              <w:rPr>
                <w:i/>
              </w:rPr>
            </w:pPr>
          </w:p>
          <w:p w14:paraId="2BBA55B4" w14:textId="77777777" w:rsidR="00722340" w:rsidRPr="00EA1AEB" w:rsidRDefault="00722340" w:rsidP="00722340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– ВОИС подготовит серию публикаций о результатах и </w:t>
            </w:r>
            <w:r>
              <w:rPr>
                <w:i/>
              </w:rPr>
              <w:lastRenderedPageBreak/>
              <w:t>исследованиях по тематике ПДР».</w:t>
            </w:r>
          </w:p>
          <w:p w14:paraId="26769E81" w14:textId="77777777" w:rsidR="00722340" w:rsidRPr="00681951" w:rsidRDefault="00722340" w:rsidP="005F0F87">
            <w:pPr>
              <w:pStyle w:val="ListParagraph"/>
              <w:spacing w:after="960"/>
              <w:ind w:left="0"/>
            </w:pPr>
          </w:p>
          <w:p w14:paraId="2FAB729C" w14:textId="77777777" w:rsidR="001864A7" w:rsidRPr="00EA1AEB" w:rsidRDefault="001864A7" w:rsidP="005F0F87">
            <w:pPr>
              <w:pStyle w:val="ListParagraph"/>
              <w:spacing w:after="960"/>
              <w:ind w:left="0"/>
            </w:pPr>
          </w:p>
        </w:tc>
      </w:tr>
    </w:tbl>
    <w:p w14:paraId="677AFDF3" w14:textId="77777777" w:rsidR="00E9193C" w:rsidRDefault="00E9193C" w:rsidP="00E9193C">
      <w:pPr>
        <w:pStyle w:val="ListParagraph"/>
        <w:keepNext/>
        <w:spacing w:after="960"/>
        <w:ind w:left="0"/>
      </w:pPr>
    </w:p>
    <w:p w14:paraId="746D36DB" w14:textId="77777777" w:rsidR="002C76B0" w:rsidRPr="00C90085" w:rsidRDefault="002C76B0" w:rsidP="00E9193C">
      <w:pPr>
        <w:pStyle w:val="ListParagraph"/>
        <w:keepNext/>
        <w:spacing w:after="960"/>
        <w:ind w:left="0"/>
      </w:pPr>
    </w:p>
    <w:p w14:paraId="1CDE58C3" w14:textId="77777777" w:rsidR="00291ED9" w:rsidRDefault="00291ED9" w:rsidP="00F03E6B">
      <w:pPr>
        <w:pStyle w:val="ListParagraph"/>
        <w:keepNext/>
        <w:keepLines/>
        <w:numPr>
          <w:ilvl w:val="0"/>
          <w:numId w:val="9"/>
        </w:numPr>
        <w:spacing w:after="960"/>
        <w:ind w:left="0" w:firstLine="0"/>
      </w:pPr>
      <w:r>
        <w:t>ЗАМЕЧАНИЯ И ПРЕДЛОЖЕНИЯ ГОСУДАРСТВ-ЧЛЕНОВ</w:t>
      </w:r>
    </w:p>
    <w:p w14:paraId="18FFE538" w14:textId="77777777" w:rsidR="00291ED9" w:rsidRDefault="00291ED9" w:rsidP="00291ED9">
      <w:pPr>
        <w:pStyle w:val="ListParagraph"/>
        <w:keepNext/>
        <w:keepLines/>
        <w:spacing w:after="960"/>
        <w:ind w:left="0"/>
      </w:pPr>
    </w:p>
    <w:p w14:paraId="2C09478C" w14:textId="77777777" w:rsidR="00291ED9" w:rsidRDefault="00291ED9" w:rsidP="00291ED9">
      <w:pPr>
        <w:pStyle w:val="ListParagraph"/>
        <w:numPr>
          <w:ilvl w:val="0"/>
          <w:numId w:val="8"/>
        </w:numPr>
        <w:spacing w:after="960"/>
        <w:ind w:left="0" w:firstLine="0"/>
      </w:pPr>
      <w:r>
        <w:t>Как указано выше, на двадцать четвертой сессии КРИС делегация Южной Африки предложила дополнительную стратегию выполнения, которая содержится в документе CDIP/24/15.  К настоящему времени Комитет не принял решения по данному вопросу.  Содержание этого предложения воспроизводится ниже для рассмотрения Комитетом.</w:t>
      </w:r>
    </w:p>
    <w:p w14:paraId="7B0A9428" w14:textId="77777777" w:rsidR="00291ED9" w:rsidRDefault="00291ED9" w:rsidP="00291ED9">
      <w:pPr>
        <w:pStyle w:val="ListParagraph"/>
        <w:spacing w:after="96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nputs from Member States"/>
        <w:tblDescription w:val="Implementation Strategy, Modalities, Recommendations of the Independent Review"/>
      </w:tblPr>
      <w:tblGrid>
        <w:gridCol w:w="3021"/>
        <w:gridCol w:w="3021"/>
        <w:gridCol w:w="3021"/>
      </w:tblGrid>
      <w:tr w:rsidR="00291ED9" w14:paraId="75602602" w14:textId="77777777" w:rsidTr="0071101C">
        <w:trPr>
          <w:trHeight w:val="940"/>
          <w:tblHeader/>
        </w:trPr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FE2BB9D" w14:textId="77777777" w:rsidR="00291ED9" w:rsidRPr="0071101C" w:rsidRDefault="00291ED9" w:rsidP="007D452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Стратегия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8446442" w14:textId="77777777" w:rsidR="00291ED9" w:rsidRPr="0071101C" w:rsidRDefault="00291ED9" w:rsidP="007110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Способы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2C6F2E0" w14:textId="77777777" w:rsidR="00291ED9" w:rsidRPr="0071101C" w:rsidRDefault="0071101C" w:rsidP="007110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Рекомендации, принятые по результатам независимого анализа</w:t>
            </w:r>
          </w:p>
        </w:tc>
      </w:tr>
      <w:tr w:rsidR="00291ED9" w14:paraId="66A0B9BA" w14:textId="77777777" w:rsidTr="00291ED9">
        <w:tc>
          <w:tcPr>
            <w:tcW w:w="3021" w:type="dxa"/>
          </w:tcPr>
          <w:p w14:paraId="049F0222" w14:textId="77777777" w:rsidR="00291ED9" w:rsidRDefault="0071101C" w:rsidP="0071101C">
            <w:r>
              <w:t>16. ВОИС следует разработать показатели для оценки воздействия и эффективности деятельности по осуществлению ПДР.</w:t>
            </w:r>
            <w:r>
              <w:rPr>
                <w:rStyle w:val="FootnoteReference"/>
              </w:rPr>
              <w:footnoteReference w:id="14"/>
            </w:r>
          </w:p>
        </w:tc>
        <w:tc>
          <w:tcPr>
            <w:tcW w:w="3021" w:type="dxa"/>
          </w:tcPr>
          <w:p w14:paraId="632178F0" w14:textId="77777777" w:rsidR="00291ED9" w:rsidRDefault="0071101C" w:rsidP="0071101C">
            <w:pPr>
              <w:pStyle w:val="ListParagraph"/>
              <w:ind w:left="0"/>
            </w:pPr>
            <w:r>
              <w:t>– Секретариату (в сотрудничестве с Отделом экономики) следует разработать показатели, с помощью которых КРИС сможет обеспечить координацию, мониторинг, отчетность и оценку в вопросах воздействия и эффективности деятельности по осуществлению ПДР, включая аспект устойчивости проектов, реализуемых в рамках ПДР.</w:t>
            </w:r>
          </w:p>
        </w:tc>
        <w:tc>
          <w:tcPr>
            <w:tcW w:w="3021" w:type="dxa"/>
          </w:tcPr>
          <w:p w14:paraId="16297DEF" w14:textId="77777777" w:rsidR="0071101C" w:rsidRDefault="0071101C" w:rsidP="0071101C">
            <w:pPr>
              <w:pStyle w:val="ListParagraph"/>
              <w:ind w:left="0"/>
            </w:pPr>
            <w:r>
              <w:t xml:space="preserve">3 (Секретариат) </w:t>
            </w:r>
          </w:p>
          <w:p w14:paraId="50D0FF22" w14:textId="77777777" w:rsidR="0071101C" w:rsidRDefault="0071101C" w:rsidP="0071101C">
            <w:pPr>
              <w:pStyle w:val="ListParagraph"/>
              <w:ind w:left="0"/>
            </w:pPr>
            <w:r>
              <w:t xml:space="preserve">7 (Государства–члены, КРИС и Секретариат) </w:t>
            </w:r>
          </w:p>
          <w:p w14:paraId="7CD895DD" w14:textId="77777777" w:rsidR="0071101C" w:rsidRDefault="0071101C" w:rsidP="0071101C">
            <w:pPr>
              <w:pStyle w:val="ListParagraph"/>
              <w:ind w:left="0"/>
            </w:pPr>
            <w:r>
              <w:t xml:space="preserve">8 (КРИС и Секретариат) </w:t>
            </w:r>
          </w:p>
          <w:p w14:paraId="1BFA2950" w14:textId="77777777" w:rsidR="0071101C" w:rsidRDefault="0071101C" w:rsidP="0071101C">
            <w:pPr>
              <w:pStyle w:val="ListParagraph"/>
              <w:ind w:left="0"/>
            </w:pPr>
            <w:r>
              <w:t xml:space="preserve">9 (Государства–члены и Секретариат) </w:t>
            </w:r>
          </w:p>
          <w:p w14:paraId="670F966F" w14:textId="77777777" w:rsidR="0071101C" w:rsidRDefault="0071101C" w:rsidP="0071101C">
            <w:pPr>
              <w:pStyle w:val="ListParagraph"/>
              <w:ind w:left="0"/>
            </w:pPr>
            <w:r>
              <w:t xml:space="preserve">10 (Секретариат) </w:t>
            </w:r>
          </w:p>
          <w:p w14:paraId="5C0B1F40" w14:textId="77777777" w:rsidR="0071101C" w:rsidRDefault="0071101C" w:rsidP="0071101C">
            <w:pPr>
              <w:pStyle w:val="ListParagraph"/>
              <w:ind w:left="0"/>
            </w:pPr>
            <w:r>
              <w:t>12 (Государства–члены и Секретариат)</w:t>
            </w:r>
          </w:p>
          <w:p w14:paraId="31BACEEA" w14:textId="77777777" w:rsidR="00291ED9" w:rsidRPr="0071101C" w:rsidRDefault="0071101C" w:rsidP="0071101C">
            <w:pPr>
              <w:tabs>
                <w:tab w:val="left" w:pos="897"/>
              </w:tabs>
            </w:pPr>
            <w:r>
              <w:tab/>
            </w:r>
          </w:p>
        </w:tc>
      </w:tr>
    </w:tbl>
    <w:p w14:paraId="3F0202CA" w14:textId="77777777" w:rsidR="00291ED9" w:rsidRDefault="00291ED9" w:rsidP="00291ED9">
      <w:pPr>
        <w:pStyle w:val="ListParagraph"/>
        <w:spacing w:after="960"/>
        <w:ind w:left="0"/>
      </w:pPr>
    </w:p>
    <w:p w14:paraId="4B31E0A4" w14:textId="77777777" w:rsidR="0071101C" w:rsidRDefault="0071101C" w:rsidP="00291ED9">
      <w:pPr>
        <w:pStyle w:val="ListParagraph"/>
        <w:keepNext/>
        <w:keepLines/>
        <w:spacing w:after="960"/>
        <w:ind w:left="0"/>
      </w:pPr>
    </w:p>
    <w:p w14:paraId="5383C493" w14:textId="77777777" w:rsidR="00C90085" w:rsidRPr="00C90085" w:rsidRDefault="00E51CE1" w:rsidP="00F03E6B">
      <w:pPr>
        <w:pStyle w:val="ListParagraph"/>
        <w:keepNext/>
        <w:keepLines/>
        <w:numPr>
          <w:ilvl w:val="0"/>
          <w:numId w:val="9"/>
        </w:numPr>
        <w:spacing w:after="960"/>
        <w:ind w:left="0" w:firstLine="0"/>
      </w:pPr>
      <w:r>
        <w:t>ВАРИАНТЫ ПРОЦЕДУР ПРЕДСТАВЛЕНИЯ ОТЧЕТНОСТИ И ПРОВЕДЕНИЯ ОБЗОРА</w:t>
      </w:r>
    </w:p>
    <w:p w14:paraId="011922CF" w14:textId="77777777" w:rsidR="00C90085" w:rsidRPr="00186E4E" w:rsidRDefault="00C90085" w:rsidP="00F03E6B">
      <w:pPr>
        <w:pStyle w:val="ListParagraph"/>
        <w:keepNext/>
        <w:keepLines/>
      </w:pPr>
    </w:p>
    <w:p w14:paraId="3C5905CA" w14:textId="77777777" w:rsidR="00C90085" w:rsidRDefault="002E35A0" w:rsidP="00747D97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Варианты процедур представления отчетности и проведения обзора, содержащиеся в документе CDIP/21/8, воспроизведены ниже для рассмотрения </w:t>
      </w:r>
      <w:r>
        <w:lastRenderedPageBreak/>
        <w:t xml:space="preserve">Комитетом.  Обновление вариантов процедур представления отчетности и проведения обзора не представляется необходимым. </w:t>
      </w:r>
    </w:p>
    <w:p w14:paraId="3E3FDEC4" w14:textId="77777777" w:rsidR="002E35A0" w:rsidRDefault="002E35A0" w:rsidP="002E35A0">
      <w:pPr>
        <w:pStyle w:val="ListParagraph"/>
        <w:keepNext/>
        <w:spacing w:after="960"/>
        <w:ind w:left="0"/>
      </w:pPr>
    </w:p>
    <w:p w14:paraId="3351D5FA" w14:textId="268678A7" w:rsidR="003C4728" w:rsidRPr="0080756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Следует напомнить, что одни рекомендации адресованы государствам-членам, другие – Комитету, а третьи – Секретариату</w:t>
      </w:r>
      <w:r>
        <w:rPr>
          <w:rStyle w:val="FootnoteReference"/>
        </w:rPr>
        <w:footnoteReference w:id="15"/>
      </w:r>
      <w:r>
        <w:t>.  В этой связи на своей девятнадцатой сессии Комитет постановил, чтобы Секретариат «ежегодно предоставлял отчеты о ходе выполнения принятых рекомендаций, которые его касаются».</w:t>
      </w:r>
      <w:r>
        <w:rPr>
          <w:rStyle w:val="FootnoteReference"/>
        </w:rPr>
        <w:footnoteReference w:id="16"/>
      </w:r>
      <w:r>
        <w:t xml:space="preserve">  Предложенные Секретариатом варианты процедур представления отчетности и проведения обзора прежде всего касаются способов и стратегий выполнения, в тех случаях, когда ответственность за выполнение возложена на Секретариат.  В тех случаях, когда ответственность за реализацию возложена на государства-члены или КРИС, представление отчетности и проведение обзора будет адекватным образом включено в процедуру, предложенную ниже.  В том, что касается мероприятий государств-членов или Комитета, в отношении которых может потребоваться иная методология представления отчетности и проведения обзора, Секретариату могут потребоваться указания от соответствующего субъекта относительно того, как удовлетворить эти конкретные потребности.</w:t>
      </w:r>
    </w:p>
    <w:p w14:paraId="658AAA50" w14:textId="77777777" w:rsidR="003C4728" w:rsidRPr="00681951" w:rsidRDefault="003C4728" w:rsidP="003C4728">
      <w:pPr>
        <w:pStyle w:val="ListParagraph"/>
        <w:keepNext/>
        <w:keepLines/>
        <w:ind w:left="0" w:right="-5"/>
      </w:pPr>
    </w:p>
    <w:p w14:paraId="13B4BEBE" w14:textId="0DE32A6D" w:rsidR="003C4728" w:rsidRDefault="003C4728" w:rsidP="00202B24">
      <w:pPr>
        <w:pStyle w:val="ListParagraph"/>
        <w:keepNext/>
        <w:keepLines/>
        <w:numPr>
          <w:ilvl w:val="0"/>
          <w:numId w:val="8"/>
        </w:numPr>
        <w:spacing w:after="960"/>
        <w:ind w:left="0" w:right="-5" w:firstLine="0"/>
      </w:pPr>
      <w:r>
        <w:t>Представление отчетности и проведение обзора является двухэтапной процедурой, в ходе которой оценивается достаточность принятых мер для выполнения: (i) первый этап или этап «представления отчетности» заключается в предоставлении Комитету информации о соответствующих мероприятиях; и (ii) второй этап или этап «проведения обзора» заключается в оценке их эффективности Комитетом.</w:t>
      </w:r>
    </w:p>
    <w:p w14:paraId="18064648" w14:textId="77777777" w:rsidR="003C4728" w:rsidRPr="00681951" w:rsidRDefault="003C4728" w:rsidP="003C4728">
      <w:pPr>
        <w:pStyle w:val="ListParagraph"/>
      </w:pPr>
    </w:p>
    <w:p w14:paraId="43C30808" w14:textId="77777777" w:rsidR="003C4728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Таким образом, предложение Секретариата, представленное ниже, включает варианты для (А) представления отчетности и (B) проведения обзора.</w:t>
      </w:r>
    </w:p>
    <w:p w14:paraId="2C17E683" w14:textId="77777777" w:rsidR="003C4728" w:rsidRPr="00681951" w:rsidRDefault="003C4728" w:rsidP="003C4728">
      <w:pPr>
        <w:pStyle w:val="ListParagraph"/>
        <w:ind w:right="-5"/>
      </w:pPr>
    </w:p>
    <w:p w14:paraId="2BF2EDA2" w14:textId="77777777" w:rsidR="003C4728" w:rsidRDefault="003C4728" w:rsidP="003C4728">
      <w:pPr>
        <w:pStyle w:val="ListParagraph"/>
        <w:keepNext/>
        <w:keepLines/>
        <w:numPr>
          <w:ilvl w:val="0"/>
          <w:numId w:val="16"/>
        </w:numPr>
        <w:ind w:hanging="180"/>
      </w:pPr>
      <w:r>
        <w:t>ВАРИАНТЫ ДЛЯ ПРЕДСТАВЛЕНИЯ ОТЧЕТНОСТИ</w:t>
      </w:r>
    </w:p>
    <w:p w14:paraId="2193229D" w14:textId="77777777" w:rsidR="003C4728" w:rsidRPr="00E14D1C" w:rsidRDefault="003C4728" w:rsidP="003C4728">
      <w:pPr>
        <w:pStyle w:val="ListParagraph"/>
        <w:keepNext/>
        <w:keepLines/>
        <w:rPr>
          <w:lang w:val="en-AU"/>
        </w:rPr>
      </w:pPr>
    </w:p>
    <w:p w14:paraId="24A3B4CF" w14:textId="77777777" w:rsidR="003C4728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Предлагаются следующие два варианта для представления отчетности:</w:t>
      </w:r>
    </w:p>
    <w:p w14:paraId="375C1F86" w14:textId="77777777" w:rsidR="003C4728" w:rsidRPr="00681951" w:rsidRDefault="003C4728" w:rsidP="003C4728">
      <w:pPr>
        <w:pStyle w:val="ListParagraph"/>
        <w:ind w:right="-5"/>
      </w:pPr>
    </w:p>
    <w:p w14:paraId="6432259A" w14:textId="77777777" w:rsidR="003C4728" w:rsidRPr="00B5399B" w:rsidRDefault="003C4728" w:rsidP="003C4728">
      <w:pPr>
        <w:pStyle w:val="ListParagraph"/>
        <w:keepNext/>
        <w:ind w:left="0" w:right="-5"/>
        <w:rPr>
          <w:u w:val="single"/>
        </w:rPr>
      </w:pPr>
      <w:r>
        <w:rPr>
          <w:u w:val="single"/>
        </w:rPr>
        <w:t>Вариант I: Использование существующей отчетной документации</w:t>
      </w:r>
    </w:p>
    <w:p w14:paraId="72D9818C" w14:textId="77777777" w:rsidR="003C4728" w:rsidRDefault="003C4728" w:rsidP="003C4728">
      <w:pPr>
        <w:pStyle w:val="ListParagraph"/>
        <w:keepNext/>
        <w:ind w:right="-5"/>
      </w:pPr>
    </w:p>
    <w:p w14:paraId="1D4BDAB0" w14:textId="77777777" w:rsidR="003C4728" w:rsidRPr="0080756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Процедура представления отчетности будет интегрирована в уже существующие механизмы отчетности.  В отчеты о ходе реализации проектов, которые ежегодно представляются Комитету для рассмотрения на его второй сессии, будет добавлен новый раздел о «проведении независимого анализа».  </w:t>
      </w:r>
    </w:p>
    <w:p w14:paraId="02114B1D" w14:textId="77777777" w:rsidR="003C4728" w:rsidRPr="00807562" w:rsidRDefault="003C4728" w:rsidP="003C4728">
      <w:pPr>
        <w:pStyle w:val="ListParagraph"/>
        <w:ind w:left="0" w:right="-5"/>
      </w:pPr>
    </w:p>
    <w:p w14:paraId="6C7B3B59" w14:textId="77777777" w:rsidR="003C4728" w:rsidRPr="00DC6C7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Кроме того, Секретариат продолжит практику информирования о всех касающихся ПДР мероприятиях, в том числе мероприятиях по проведению независимого анализа, иными способами, когда в этом будет возникать необходимость.</w:t>
      </w:r>
    </w:p>
    <w:p w14:paraId="4EA0BECB" w14:textId="77777777" w:rsidR="003C4728" w:rsidRPr="00590A37" w:rsidRDefault="003C4728" w:rsidP="003C4728">
      <w:pPr>
        <w:pStyle w:val="ListParagraph"/>
        <w:ind w:left="0"/>
      </w:pPr>
    </w:p>
    <w:p w14:paraId="07C44D16" w14:textId="77777777" w:rsidR="003C4728" w:rsidRPr="005A2F1F" w:rsidRDefault="003C4728" w:rsidP="003C4728">
      <w:pPr>
        <w:pStyle w:val="ListParagraph"/>
        <w:keepNext/>
        <w:ind w:left="0"/>
        <w:rPr>
          <w:u w:val="single"/>
        </w:rPr>
      </w:pPr>
      <w:r>
        <w:rPr>
          <w:u w:val="single"/>
        </w:rPr>
        <w:t>Вариант II: Подготовка отдельного отчетного документа</w:t>
      </w:r>
    </w:p>
    <w:p w14:paraId="10CE0895" w14:textId="77777777" w:rsidR="003C4728" w:rsidRPr="00681951" w:rsidRDefault="003C4728" w:rsidP="003C4728">
      <w:pPr>
        <w:pStyle w:val="ListParagraph"/>
        <w:keepNext/>
      </w:pPr>
    </w:p>
    <w:p w14:paraId="4B2BE976" w14:textId="77777777" w:rsidR="003C4728" w:rsidRPr="00151933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В качестве альтернативы Секретариат будет ежегодно представлять Комитету для рассмотрения на его второй сессии документ, специально посвященный отчету о ходе выполнения рекомендаций.  В отчете будет содержаться подробная информация о мерах, принятых в рамках стратегии реализации.  </w:t>
      </w:r>
    </w:p>
    <w:p w14:paraId="6EA82995" w14:textId="77777777" w:rsidR="003C4728" w:rsidRPr="00151933" w:rsidRDefault="003C4728" w:rsidP="003C4728">
      <w:pPr>
        <w:pStyle w:val="ListParagraph"/>
      </w:pPr>
    </w:p>
    <w:p w14:paraId="4450318A" w14:textId="77777777" w:rsidR="003C4728" w:rsidRPr="00151933" w:rsidRDefault="003C4728" w:rsidP="003C4728">
      <w:pPr>
        <w:pStyle w:val="ListParagraph"/>
        <w:keepNext/>
        <w:keepLines/>
        <w:numPr>
          <w:ilvl w:val="0"/>
          <w:numId w:val="16"/>
        </w:numPr>
        <w:ind w:right="-5" w:hanging="180"/>
      </w:pPr>
      <w:r>
        <w:lastRenderedPageBreak/>
        <w:t>ВАРИАНТЫ ПРОВЕДЕНИЯ ОБЗОРА</w:t>
      </w:r>
    </w:p>
    <w:p w14:paraId="53895113" w14:textId="77777777" w:rsidR="003C4728" w:rsidRPr="00151933" w:rsidRDefault="003C4728" w:rsidP="003C4728">
      <w:pPr>
        <w:pStyle w:val="ListParagraph"/>
        <w:keepNext/>
        <w:keepLines/>
        <w:ind w:right="-5"/>
      </w:pPr>
    </w:p>
    <w:p w14:paraId="55F82CDA" w14:textId="77777777" w:rsidR="003C4728" w:rsidRPr="00151933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Предлагается также два варианта процедуры проведения обзора.  Однако они не являются взаимоисключающими и, как следствие, могут проводиться одновременно.</w:t>
      </w:r>
    </w:p>
    <w:p w14:paraId="2CDD9711" w14:textId="77777777" w:rsidR="003C4728" w:rsidRPr="00681951" w:rsidRDefault="003C4728" w:rsidP="003C4728">
      <w:pPr>
        <w:pStyle w:val="ListParagraph"/>
        <w:keepNext/>
        <w:keepLines/>
        <w:ind w:left="0" w:right="-5"/>
      </w:pPr>
    </w:p>
    <w:p w14:paraId="4BF921EB" w14:textId="77777777" w:rsidR="003C4728" w:rsidRPr="00151933" w:rsidRDefault="003C4728" w:rsidP="003C4728">
      <w:pPr>
        <w:keepNext/>
        <w:ind w:right="-5"/>
        <w:rPr>
          <w:u w:val="single"/>
        </w:rPr>
      </w:pPr>
      <w:r>
        <w:rPr>
          <w:u w:val="single"/>
        </w:rPr>
        <w:t>Вариант I: Обзор по завершении мероприятия</w:t>
      </w:r>
    </w:p>
    <w:p w14:paraId="2F971DCC" w14:textId="77777777" w:rsidR="003C4728" w:rsidRPr="00681951" w:rsidRDefault="003C4728" w:rsidP="003C4728">
      <w:pPr>
        <w:pStyle w:val="ListParagraph"/>
        <w:keepNext/>
        <w:ind w:left="0" w:right="-5"/>
      </w:pPr>
    </w:p>
    <w:p w14:paraId="535EE463" w14:textId="77777777" w:rsidR="003C4728" w:rsidRPr="00151933" w:rsidRDefault="003C4728" w:rsidP="00496956">
      <w:pPr>
        <w:pStyle w:val="ListParagraph"/>
        <w:keepNext/>
        <w:numPr>
          <w:ilvl w:val="0"/>
          <w:numId w:val="8"/>
        </w:numPr>
        <w:ind w:left="0" w:firstLine="0"/>
      </w:pPr>
      <w:r>
        <w:t>По завершении каждого из мероприятий в рамках стратегии реализации Секретариат будет представлять Комитету отчет о его независимой оценке.  В отчете будет содержаться оценка проведенного мероприятия, обзор извлеченных уроков и информация о дальнейших мерах, если в таковых возникнет необходимость.</w:t>
      </w:r>
    </w:p>
    <w:p w14:paraId="7A6C9C87" w14:textId="77777777" w:rsidR="003C4728" w:rsidRPr="00681951" w:rsidRDefault="003C4728" w:rsidP="003C4728">
      <w:pPr>
        <w:ind w:right="-5"/>
      </w:pPr>
    </w:p>
    <w:p w14:paraId="33BDDCD5" w14:textId="77777777" w:rsidR="003C4728" w:rsidRPr="00151933" w:rsidRDefault="003C4728" w:rsidP="003C4728">
      <w:pPr>
        <w:pStyle w:val="ListParagraph"/>
        <w:keepNext/>
        <w:ind w:left="0" w:right="-5"/>
        <w:rPr>
          <w:u w:val="single"/>
        </w:rPr>
      </w:pPr>
      <w:r>
        <w:rPr>
          <w:u w:val="single"/>
        </w:rPr>
        <w:t>Вариант II: Обзор по результатам выполнения рекомендаций</w:t>
      </w:r>
    </w:p>
    <w:p w14:paraId="15CD9F8A" w14:textId="77777777" w:rsidR="003C4728" w:rsidRPr="00151933" w:rsidRDefault="003C4728" w:rsidP="003C4728">
      <w:pPr>
        <w:keepNext/>
        <w:ind w:right="-5"/>
        <w:rPr>
          <w:u w:val="single"/>
        </w:rPr>
      </w:pPr>
    </w:p>
    <w:p w14:paraId="0C6E218A" w14:textId="77777777" w:rsidR="003C4728" w:rsidRPr="0080756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  <w:rPr>
          <w:i/>
        </w:rPr>
      </w:pPr>
      <w:r>
        <w:t>Секретариат будет периодически представлять независимый обзор о ходе выполнения рекомендаций.  В обзоре будет содержаться оценка воздействия в результате выполнения рекомендаций на государства-члены, Комитет и Организацию и указываться, достигнуты ли цели рекомендаций, извлечены ли уроки в ходе их выполнения, и существуют ли возможности для улучшения.</w:t>
      </w:r>
    </w:p>
    <w:p w14:paraId="78096BA5" w14:textId="77777777" w:rsidR="003C4728" w:rsidRPr="00807562" w:rsidRDefault="003C4728" w:rsidP="003C4728">
      <w:pPr>
        <w:pStyle w:val="ListParagraph"/>
        <w:keepNext/>
        <w:keepLines/>
        <w:ind w:left="0" w:right="-5"/>
      </w:pPr>
    </w:p>
    <w:p w14:paraId="1648FA56" w14:textId="156790C6" w:rsidR="007F4314" w:rsidRPr="00E51CE1" w:rsidRDefault="003C4728" w:rsidP="009B6930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Настоящий обзор будет использован Комитетом для критической оценки достоинств и недостатков способов и стратегий реализации.  </w:t>
      </w:r>
    </w:p>
    <w:p w14:paraId="08B877EF" w14:textId="77777777" w:rsidR="00E51CE1" w:rsidRPr="009B6930" w:rsidRDefault="00E51CE1" w:rsidP="002978EE">
      <w:pPr>
        <w:pStyle w:val="ListParagraph"/>
        <w:ind w:left="5533"/>
        <w:rPr>
          <w:i/>
        </w:rPr>
      </w:pPr>
    </w:p>
    <w:p w14:paraId="27DDB244" w14:textId="77777777" w:rsidR="00056109" w:rsidRPr="002978EE" w:rsidRDefault="00AE1CF1" w:rsidP="002978EE">
      <w:pPr>
        <w:pStyle w:val="ListParagraph"/>
        <w:numPr>
          <w:ilvl w:val="0"/>
          <w:numId w:val="8"/>
        </w:numPr>
        <w:ind w:left="5533" w:hanging="540"/>
        <w:rPr>
          <w:i/>
        </w:rPr>
      </w:pPr>
      <w:r>
        <w:rPr>
          <w:i/>
        </w:rPr>
        <w:t>КРИС предлагается принять к сведению информацию, содержащуюся в настоящем документе.</w:t>
      </w:r>
    </w:p>
    <w:p w14:paraId="7F0C9525" w14:textId="77777777" w:rsidR="00056109" w:rsidRDefault="00056109" w:rsidP="00804DB7"/>
    <w:p w14:paraId="20C2A05C" w14:textId="77777777" w:rsidR="00056109" w:rsidRDefault="00056109" w:rsidP="00804DB7"/>
    <w:p w14:paraId="658E9CE5" w14:textId="77777777" w:rsidR="00056109" w:rsidRDefault="00056109" w:rsidP="00804DB7"/>
    <w:p w14:paraId="2B25F53A" w14:textId="77777777" w:rsidR="0002189C" w:rsidRDefault="0002189C" w:rsidP="00804DB7">
      <w:pPr>
        <w:sectPr w:rsidR="0002189C" w:rsidSect="00060B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450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14:paraId="6A3D8B75" w14:textId="4834D6C0" w:rsidR="00056109" w:rsidRPr="00795EA2" w:rsidRDefault="00114C21" w:rsidP="00804DB7">
      <w:pPr>
        <w:rPr>
          <w:u w:val="single"/>
        </w:rPr>
      </w:pPr>
      <w:r>
        <w:rPr>
          <w:u w:val="single"/>
        </w:rPr>
        <w:lastRenderedPageBreak/>
        <w:t>ПРИЛОЖЕНИЕ</w:t>
      </w:r>
    </w:p>
    <w:p w14:paraId="561BFC17" w14:textId="77777777" w:rsidR="00056109" w:rsidRPr="00795EA2" w:rsidRDefault="00056109" w:rsidP="00804DB7"/>
    <w:p w14:paraId="0AA2F07A" w14:textId="77777777" w:rsidR="00056109" w:rsidRDefault="00D00B30" w:rsidP="00804DB7">
      <w:r>
        <w:t>Стратегии и способы выполнения, согласованные КРИС</w:t>
      </w:r>
    </w:p>
    <w:p w14:paraId="27F01DF0" w14:textId="77777777" w:rsidR="00795EA2" w:rsidRDefault="00795EA2" w:rsidP="00804DB7"/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  <w:tblCaption w:val="Implementation Strategies and Modalities agreed by the CDIP"/>
        <w:tblDescription w:val="Implementation, Modalities, Recommendations of the Independent Review"/>
      </w:tblPr>
      <w:tblGrid>
        <w:gridCol w:w="3420"/>
        <w:gridCol w:w="3690"/>
        <w:gridCol w:w="2250"/>
      </w:tblGrid>
      <w:tr w:rsidR="00D00B30" w:rsidRPr="00A9146B" w14:paraId="124B810F" w14:textId="77777777" w:rsidTr="00597053">
        <w:trPr>
          <w:tblHeader/>
        </w:trPr>
        <w:tc>
          <w:tcPr>
            <w:tcW w:w="3420" w:type="dxa"/>
            <w:shd w:val="pct12" w:color="auto" w:fill="auto"/>
            <w:vAlign w:val="center"/>
          </w:tcPr>
          <w:p w14:paraId="41B93AB5" w14:textId="77777777" w:rsidR="00D00B30" w:rsidRPr="00A9146B" w:rsidRDefault="00D00B30" w:rsidP="0059705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Стратегии выполнения</w:t>
            </w:r>
          </w:p>
        </w:tc>
        <w:tc>
          <w:tcPr>
            <w:tcW w:w="3690" w:type="dxa"/>
            <w:shd w:val="pct12" w:color="auto" w:fill="auto"/>
            <w:vAlign w:val="center"/>
          </w:tcPr>
          <w:p w14:paraId="7A0E0645" w14:textId="77777777" w:rsidR="00D00B30" w:rsidRPr="00A9146B" w:rsidRDefault="00D00B30" w:rsidP="0059705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Способы выполнения </w:t>
            </w:r>
          </w:p>
        </w:tc>
        <w:tc>
          <w:tcPr>
            <w:tcW w:w="2250" w:type="dxa"/>
            <w:shd w:val="pct12" w:color="auto" w:fill="auto"/>
            <w:vAlign w:val="center"/>
          </w:tcPr>
          <w:p w14:paraId="07138114" w14:textId="77777777" w:rsidR="00D00B30" w:rsidRPr="00A9146B" w:rsidRDefault="00D00B30" w:rsidP="0059705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Рекомендации, принятые по результатам независимого анализа</w:t>
            </w:r>
          </w:p>
        </w:tc>
      </w:tr>
      <w:tr w:rsidR="00D00B30" w:rsidRPr="00A9146B" w14:paraId="3DB4CDB5" w14:textId="77777777" w:rsidTr="00597053">
        <w:tc>
          <w:tcPr>
            <w:tcW w:w="3420" w:type="dxa"/>
          </w:tcPr>
          <w:p w14:paraId="75A2D70A" w14:textId="77777777" w:rsidR="00D00B30" w:rsidRPr="00A9146B" w:rsidRDefault="00D00B30" w:rsidP="00D00B30">
            <w:pPr>
              <w:pStyle w:val="ListParagraph"/>
              <w:numPr>
                <w:ilvl w:val="0"/>
                <w:numId w:val="12"/>
              </w:numPr>
              <w:ind w:left="67" w:firstLine="0"/>
            </w:pPr>
            <w:r>
              <w:t>ВОИС может активизировать свою текущую деятельность по взаимодействию с другими МПО, учреждениями системы ООН и НПО (например в рамках ежегодного консультативного совещания Генерального директора и аккредитованных НПО; участия в осуществлении Повестки дня на период до 2030 г.).  ВОИС будет продолжать участвовать в мероприятиях и совещаниях, связанных с ИС и вопросами развития, обмениваться мнениями и содействовать повышению осведомленности о ПДР.</w:t>
            </w:r>
          </w:p>
          <w:p w14:paraId="03209C7D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152012A6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продолжать отслеживать мероприятия и совещания, организуемые другими учреждениями системы ООН, МПО и НПО для обсуждения тем, связанных с ИС и развитием, и принимать в них участие.</w:t>
            </w:r>
          </w:p>
          <w:p w14:paraId="0A78165E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информировать КРИС о проведении таких мероприятий (например, в отчетах о ходе работы) с учетом их актуальности, когда это необходимо.</w:t>
            </w:r>
          </w:p>
          <w:p w14:paraId="3BFED723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3A901C07" w14:textId="77777777" w:rsidR="00D00B30" w:rsidRPr="00A9146B" w:rsidRDefault="00D00B30" w:rsidP="00597053">
            <w:pPr>
              <w:pStyle w:val="ListParagraph"/>
              <w:ind w:left="0"/>
            </w:pPr>
            <w:r>
              <w:t>1 (КРИС)</w:t>
            </w:r>
          </w:p>
          <w:p w14:paraId="459008DE" w14:textId="77777777" w:rsidR="00D00B30" w:rsidRPr="00A9146B" w:rsidRDefault="00D00B30" w:rsidP="00597053">
            <w:pPr>
              <w:pStyle w:val="ListParagraph"/>
              <w:ind w:left="0"/>
            </w:pPr>
            <w:r>
              <w:t>4 (КРИС)</w:t>
            </w:r>
          </w:p>
          <w:p w14:paraId="41B0FBB3" w14:textId="77777777" w:rsidR="00D00B30" w:rsidRPr="00A9146B" w:rsidRDefault="00D00B30" w:rsidP="00597053">
            <w:pPr>
              <w:pStyle w:val="ListParagraph"/>
              <w:ind w:left="0"/>
            </w:pPr>
            <w:r>
              <w:t>12 (Государства – члены и Секретариат)</w:t>
            </w:r>
          </w:p>
        </w:tc>
      </w:tr>
      <w:tr w:rsidR="00D00B30" w:rsidRPr="00A9146B" w14:paraId="256C7CBB" w14:textId="77777777" w:rsidTr="00597053">
        <w:tc>
          <w:tcPr>
            <w:tcW w:w="3420" w:type="dxa"/>
          </w:tcPr>
          <w:p w14:paraId="5C445DC3" w14:textId="77777777" w:rsidR="00D00B30" w:rsidRPr="00A9146B" w:rsidRDefault="00D00B30" w:rsidP="00D00B30">
            <w:pPr>
              <w:pStyle w:val="ListParagraph"/>
              <w:numPr>
                <w:ilvl w:val="0"/>
                <w:numId w:val="12"/>
              </w:numPr>
              <w:ind w:left="0" w:firstLine="0"/>
            </w:pPr>
            <w:r>
              <w:t>Секретариат может представлять Комитету оценки воздействия отдельных завершенных проектов ПДР.</w:t>
            </w:r>
          </w:p>
          <w:p w14:paraId="45CDE6D8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71DC09E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ежегодно проводить оценку воздействия завершенного проекта ПДР.</w:t>
            </w:r>
          </w:p>
          <w:p w14:paraId="1B732034" w14:textId="77777777" w:rsidR="00D00B30" w:rsidRPr="00A9146B" w:rsidRDefault="00D00B30" w:rsidP="00597053">
            <w:pPr>
              <w:pStyle w:val="ListParagraph"/>
              <w:ind w:left="0"/>
            </w:pPr>
            <w:r>
              <w:t>– Оценка воздействия позволит определить долгосрочность воздействия проекта на страны-бенефициары, а также устойчивость его результатов.</w:t>
            </w:r>
          </w:p>
          <w:p w14:paraId="2AA72436" w14:textId="77777777" w:rsidR="00D00B30" w:rsidRPr="00A9146B" w:rsidRDefault="00D00B30" w:rsidP="00597053">
            <w:pPr>
              <w:pStyle w:val="ListParagraph"/>
              <w:ind w:left="0"/>
            </w:pPr>
            <w:r>
              <w:t>– Государства-члены смогут представлять свои просьбы по данному вопросу.</w:t>
            </w:r>
          </w:p>
          <w:p w14:paraId="692503BB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проводить оценку внутри Организации или поручать ее внешнему аналитику.</w:t>
            </w:r>
          </w:p>
          <w:p w14:paraId="4C0D0E2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2BE4B341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3 (Секретариат) </w:t>
            </w:r>
          </w:p>
          <w:p w14:paraId="7FBD8A38" w14:textId="77777777" w:rsidR="00D00B30" w:rsidRPr="00A9146B" w:rsidRDefault="00D00B30" w:rsidP="00597053">
            <w:pPr>
              <w:pStyle w:val="ListParagraph"/>
              <w:ind w:left="0"/>
            </w:pPr>
            <w:r>
              <w:t>7 (Государства –члены, КРИС и Секретариат)</w:t>
            </w:r>
          </w:p>
        </w:tc>
      </w:tr>
      <w:tr w:rsidR="00D00B30" w:rsidRPr="00A9146B" w14:paraId="0FFD3C59" w14:textId="77777777" w:rsidTr="00597053">
        <w:tc>
          <w:tcPr>
            <w:tcW w:w="3420" w:type="dxa"/>
          </w:tcPr>
          <w:p w14:paraId="4DF9EB79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 xml:space="preserve">ОКПДР может организовывать мероприятия в целях повышения осведомленности о ПДР и тем самым поощрения к сотрудничеству по вопросам ПДР и КРИС различных субъектов (например, </w:t>
            </w:r>
            <w:r>
              <w:lastRenderedPageBreak/>
              <w:t>базирующихся в Женеве делегатов, представителей ведомств ИС, других национальных органов, представителей гражданского общества и промышленности).</w:t>
            </w:r>
          </w:p>
          <w:p w14:paraId="07CB5D1F" w14:textId="77777777" w:rsidR="00D00B30" w:rsidRPr="00681951" w:rsidRDefault="00D00B30" w:rsidP="00597053">
            <w:pPr>
              <w:pStyle w:val="ListParagraph"/>
              <w:ind w:left="0"/>
            </w:pPr>
          </w:p>
          <w:p w14:paraId="1FC031C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2B4245A8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– ОКПДР совместно с региональными бюро будет организовывать мероприятия в целях повышения осведомленности о ПДР и ее осуществлении, а также о результатах реализации проектов и мероприятий.</w:t>
            </w:r>
          </w:p>
          <w:p w14:paraId="287717DF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– Эта деятельность будет требовать совместного участия различных субъектов (например, базирующихся в Женеве делегатов, представителей ведомств ИС, других национальных органов, представителей гражданского общества и промышленности) в вопросах, связанных с ПДР и деятельностью КРИС.</w:t>
            </w:r>
          </w:p>
          <w:p w14:paraId="7BDB97AE" w14:textId="77777777" w:rsidR="00D00B30" w:rsidRPr="00A9146B" w:rsidRDefault="00D00B30" w:rsidP="003F0711">
            <w:pPr>
              <w:pStyle w:val="ListParagraph"/>
              <w:ind w:left="0"/>
            </w:pPr>
            <w:r>
              <w:t>– Если деятельность будет носить региональный характер, то ОКПДР будет тесно сотрудничать с соответствующими региональными координаторами.</w:t>
            </w:r>
          </w:p>
        </w:tc>
        <w:tc>
          <w:tcPr>
            <w:tcW w:w="2250" w:type="dxa"/>
          </w:tcPr>
          <w:p w14:paraId="3256EDF7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3 (Секретариат)</w:t>
            </w:r>
          </w:p>
          <w:p w14:paraId="4BF3EB08" w14:textId="77777777" w:rsidR="00D00B30" w:rsidRPr="00A9146B" w:rsidRDefault="00D00B30" w:rsidP="00597053">
            <w:pPr>
              <w:pStyle w:val="ListParagraph"/>
              <w:ind w:left="0"/>
            </w:pPr>
            <w:r>
              <w:t>6 (Государства-члены и КРИС)</w:t>
            </w:r>
          </w:p>
          <w:p w14:paraId="678C64A0" w14:textId="77777777" w:rsidR="00D00B30" w:rsidRPr="00A9146B" w:rsidRDefault="00D00B30" w:rsidP="00597053">
            <w:pPr>
              <w:pStyle w:val="ListParagraph"/>
              <w:ind w:left="0"/>
            </w:pPr>
            <w:r>
              <w:t>12 (Государства – члены и Секретариат)</w:t>
            </w:r>
          </w:p>
        </w:tc>
      </w:tr>
      <w:tr w:rsidR="00D00B30" w:rsidRPr="00A9146B" w14:paraId="642951E2" w14:textId="77777777" w:rsidTr="00597053">
        <w:tc>
          <w:tcPr>
            <w:tcW w:w="3420" w:type="dxa"/>
          </w:tcPr>
          <w:p w14:paraId="0100DD3B" w14:textId="77777777" w:rsidR="00D00B30" w:rsidRPr="00D00B30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ОКПДР может организовывать информационные брифинги и учебные занятия для обеспечения более конструктивного участия и взаимодействия в рамках деятельности по ПДР, включая обсуждения КРИС, и удовлетворения потребностей государств-членов.  На занятиях могут рассматриваться конкретные вопросы существа, связанные с ПДР (например, техническая помощь, передача технологий), или процедурные вопросы, касающиеся КРИС (например, подготовка предложений по проектам), если это сочтет уместным Секретариат, или если об этом попросят государства-члены.</w:t>
            </w:r>
          </w:p>
          <w:p w14:paraId="1933CB12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73023293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ОКПДР, в случае необходимости, будет проводить информационные брифинги по ключевым вопросам ПДР и КРИС.  </w:t>
            </w:r>
          </w:p>
          <w:p w14:paraId="365B3038" w14:textId="77777777" w:rsidR="00D00B30" w:rsidRPr="00A9146B" w:rsidRDefault="00D00B30" w:rsidP="00597053">
            <w:pPr>
              <w:pStyle w:val="ListParagraph"/>
              <w:ind w:left="0"/>
            </w:pPr>
            <w:r>
              <w:t>– Брифинги будут открыты для участия всех государств-членов.</w:t>
            </w:r>
          </w:p>
          <w:p w14:paraId="6355AB7C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ОКПДР будет организовывать брифинги в сотрудничестве с соответствующими секторами ВОИС.  ОКПДР будет использовать существующие в Организации механизмы (например, WIPO Match) с целью определения конкретных потребностей государств-членов и предлагать меры по их удовлетворению.   </w:t>
            </w:r>
          </w:p>
          <w:p w14:paraId="68A09766" w14:textId="77777777" w:rsidR="00D00B30" w:rsidRPr="00A9146B" w:rsidRDefault="00D00B30" w:rsidP="00597053">
            <w:pPr>
              <w:pStyle w:val="ListParagraph"/>
              <w:ind w:left="0"/>
            </w:pPr>
            <w:r>
              <w:t>– Государства-члены могут также просить Секретариат об организации информационных брифингов по конкретным темам.</w:t>
            </w:r>
          </w:p>
          <w:p w14:paraId="73DD1EB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04F01339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3 (Секретариат) </w:t>
            </w:r>
          </w:p>
          <w:p w14:paraId="091E22CA" w14:textId="77777777" w:rsidR="00D00B30" w:rsidRPr="00A9146B" w:rsidRDefault="00D00B30" w:rsidP="00597053">
            <w:pPr>
              <w:pStyle w:val="ListParagraph"/>
              <w:ind w:left="0"/>
            </w:pPr>
            <w:r>
              <w:t>7 (Государства –члены, КРИС и Секретариат)</w:t>
            </w:r>
          </w:p>
        </w:tc>
      </w:tr>
      <w:tr w:rsidR="00D00B30" w:rsidRPr="00A9146B" w14:paraId="446E5B23" w14:textId="77777777" w:rsidTr="00597053">
        <w:tc>
          <w:tcPr>
            <w:tcW w:w="3420" w:type="dxa"/>
          </w:tcPr>
          <w:p w14:paraId="20373547" w14:textId="77777777" w:rsidR="00D00B30" w:rsidRPr="00D00B30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 xml:space="preserve">В качестве первого шага в отборе стран-бенефициаров такого проекта Секретариат может провести оценку потенциала освоения технологий и уровня </w:t>
            </w:r>
            <w:r>
              <w:lastRenderedPageBreak/>
              <w:t>компетенции стран, выразивших намерение участвовать в каком-либо проекте ПДР.  Эта оценка будет проводиться на основе существующего подхода Секретариата к отбору стран-бенефициаров в соответствии с критериями, включенными в предложенные проекты ПДР, с тем чтобы убедиться в том, что страны-бенефициары обладают необходимым потенциалом освоения технологий и могут извлекать долгосрочные выгоды из данного проекта.</w:t>
            </w:r>
          </w:p>
          <w:p w14:paraId="0103A709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42BA744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 xml:space="preserve">– В качестве первого шага во всех будущих проектах ПДР Секретариат будет проводить оценку потенциала освоения технологий и уровня компетенции государств-членов, </w:t>
            </w:r>
            <w:r>
              <w:lastRenderedPageBreak/>
              <w:t>выразивших намерение участвовать в проекте в качестве стран-бенефициаров.</w:t>
            </w:r>
          </w:p>
          <w:p w14:paraId="19BC8884" w14:textId="77777777" w:rsidR="00D00B30" w:rsidRPr="00A9146B" w:rsidRDefault="00D00B30" w:rsidP="00597053">
            <w:pPr>
              <w:pStyle w:val="ListParagraph"/>
              <w:ind w:left="0"/>
            </w:pPr>
            <w:r>
              <w:t>– Руководитель проекта будет тесно сотрудничать с представителями каждого обратившегося государства-члена в процессе подготовки оценки, которая впоследствии будет доведена до их сведения.</w:t>
            </w:r>
          </w:p>
          <w:p w14:paraId="70CDE063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25262BE3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8 (КРИС и Секретариат)</w:t>
            </w:r>
          </w:p>
        </w:tc>
      </w:tr>
      <w:tr w:rsidR="00D00B30" w:rsidRPr="00A9146B" w14:paraId="3052927C" w14:textId="77777777" w:rsidTr="00597053">
        <w:tc>
          <w:tcPr>
            <w:tcW w:w="3420" w:type="dxa"/>
          </w:tcPr>
          <w:p w14:paraId="58AB25FB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Государства-члены могут решать, какие соответствующие учреждения ООН и другие организации могли бы участвовать в реализации проекта.  Руководитель проекта будет учитывать эту информацию при осуществлении проекта и по возможности устанавливать партнерские отношения с этими организациями в целях повышения эффективности, комплексности и устойчивости проекта.</w:t>
            </w:r>
          </w:p>
          <w:p w14:paraId="38DCE6F9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D95C1AA" w14:textId="77777777" w:rsidR="00D00B30" w:rsidRPr="00A9146B" w:rsidRDefault="00D00B30" w:rsidP="00597053">
            <w:pPr>
              <w:pStyle w:val="ListParagraph"/>
              <w:ind w:left="0"/>
            </w:pPr>
            <w:r>
              <w:t>– В ходе обсуждения в рамках КРИС проектных предложений государства-члены будут решать, какие, по их мнению, учреждения ООН и другие организации должны привлекаться к осуществлению проекта в случае необходимости.</w:t>
            </w:r>
          </w:p>
          <w:p w14:paraId="45335D1E" w14:textId="77777777" w:rsidR="00D00B30" w:rsidRPr="00A9146B" w:rsidRDefault="00D00B30" w:rsidP="00597053">
            <w:pPr>
              <w:pStyle w:val="ListParagraph"/>
              <w:ind w:left="0"/>
            </w:pPr>
            <w:r>
              <w:t>– Комитет будет рассматривать эту информацию вместе с проектным предложением.</w:t>
            </w:r>
          </w:p>
          <w:p w14:paraId="5E8810E1" w14:textId="77777777" w:rsidR="00D00B30" w:rsidRPr="00A9146B" w:rsidRDefault="00D00B30" w:rsidP="00597053">
            <w:pPr>
              <w:pStyle w:val="ListParagraph"/>
              <w:ind w:left="0"/>
            </w:pPr>
            <w:r>
              <w:t>– После утверждения проектного предложения руководитель проекта будет разрабатывать стратегию его реализации с учетом данной информации.  В этой связи руководитель проекта будет проводить обзор проделанной работы и исследований, подготовленных соответствующими организациями.</w:t>
            </w:r>
          </w:p>
          <w:p w14:paraId="24FC5E6F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Руководитель проекта по возможности будет устанавливать партнерские отношения с соответствующими организациями.  </w:t>
            </w:r>
          </w:p>
          <w:p w14:paraId="00BF81E0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Информация о партнерских отношениях с другими организациями, если таковые имеются, будет включаться в </w:t>
            </w:r>
            <w:r>
              <w:lastRenderedPageBreak/>
              <w:t>отчеты о ходе работы, ежегодно представляемые Комитету.</w:t>
            </w:r>
          </w:p>
          <w:p w14:paraId="4DE60EAB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0DCD9AFB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7 (Государства –члены, КРИС и Секретариат)</w:t>
            </w:r>
          </w:p>
          <w:p w14:paraId="23BF3A7F" w14:textId="77777777" w:rsidR="00D00B30" w:rsidRPr="00A9146B" w:rsidRDefault="00D00B30" w:rsidP="00597053">
            <w:pPr>
              <w:pStyle w:val="ListParagraph"/>
              <w:ind w:left="0"/>
            </w:pPr>
            <w:r>
              <w:t>8 (КРИС и Секретариат)</w:t>
            </w:r>
          </w:p>
          <w:p w14:paraId="7A33CD29" w14:textId="77777777" w:rsidR="00D00B30" w:rsidRPr="00A9146B" w:rsidRDefault="00D00B30" w:rsidP="00597053">
            <w:pPr>
              <w:pStyle w:val="ListParagraph"/>
              <w:ind w:left="0"/>
            </w:pPr>
            <w:r>
              <w:t>12 (Государства – члены и Секретариат)</w:t>
            </w:r>
          </w:p>
        </w:tc>
      </w:tr>
      <w:tr w:rsidR="00D00B30" w:rsidRPr="00A9146B" w14:paraId="38D15873" w14:textId="77777777" w:rsidTr="00597053">
        <w:tc>
          <w:tcPr>
            <w:tcW w:w="3420" w:type="dxa"/>
          </w:tcPr>
          <w:p w14:paraId="6ACA6ACC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Чтобы уделить больше внимания ВОИС вопросам найма экспертов, хорошо знающих социально-экономические условия стран-получателей помощи, Секретариат будет стремиться расширить реестр консультантов.</w:t>
            </w:r>
          </w:p>
          <w:p w14:paraId="72700672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4EB44ACF" w14:textId="77777777" w:rsidR="00D00B30" w:rsidRPr="00A9146B" w:rsidRDefault="00D00B30" w:rsidP="00597053">
            <w:pPr>
              <w:pStyle w:val="ListParagraph"/>
              <w:ind w:left="0"/>
            </w:pPr>
            <w:r>
              <w:t>– Все соответствующие сектора ВОИС, включая региональные бюро и Отдел экономики и статистики, будут сотрудничать с целью включения новых экспертов, хорошо знающих социально-экономические условия развивающихся стран, в свой реестр консультантов.</w:t>
            </w:r>
          </w:p>
          <w:p w14:paraId="75A6C9BA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Государства-члены могут вносить на рассмотрение ОКПДР свои предложения по кандидатурам экспертов для их включения в реестр консультантов.  </w:t>
            </w:r>
          </w:p>
          <w:p w14:paraId="1A95DF4E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включать предложенных экспертов в свой реестр консультантов после оценки соответствующего предложения.</w:t>
            </w:r>
          </w:p>
          <w:p w14:paraId="02A47B32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7B16E80E" w14:textId="77777777" w:rsidR="00D00B30" w:rsidRPr="00A9146B" w:rsidRDefault="00D00B30" w:rsidP="00597053">
            <w:pPr>
              <w:pStyle w:val="ListParagraph"/>
              <w:ind w:left="0"/>
            </w:pPr>
            <w:r>
              <w:t>9 (Государства-члены и Секретариат)</w:t>
            </w:r>
          </w:p>
        </w:tc>
      </w:tr>
      <w:tr w:rsidR="00D00B30" w:rsidRPr="00A9146B" w14:paraId="6583D749" w14:textId="77777777" w:rsidTr="00597053">
        <w:tc>
          <w:tcPr>
            <w:tcW w:w="3420" w:type="dxa"/>
          </w:tcPr>
          <w:p w14:paraId="523B0BD1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В дополнение к бюджетной информации о расходах, связанных и не связанных с персоналом, и показателю освоения средств по проектам ПДР, который в настоящее время включается в отчеты о ходе реализации проектов, Секретариат может также включить подробную информацию о бюджетных и фактических расходах.  Кроме того, в отчетах о ходе реализации проектов может конкретно указываться, каким образом стратегия реализации проектов ПДР адаптируется к потребностям каждой страны-бенефициара.</w:t>
            </w:r>
          </w:p>
          <w:p w14:paraId="3E413B2D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787F68D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Структура отчетов о ходе реализации проектов будет изменена с целью: (i) включения раздела с информацией о бюджетных и фактических расходах, отраженных в отчете по каждому текущему проекту ПДР; и (ii) </w:t>
            </w:r>
          </w:p>
          <w:p w14:paraId="660A6AD1" w14:textId="77777777" w:rsidR="00D00B30" w:rsidRPr="00A9146B" w:rsidRDefault="00D00B30" w:rsidP="00597053">
            <w:pPr>
              <w:pStyle w:val="ListParagraph"/>
              <w:ind w:left="0"/>
            </w:pPr>
            <w:r>
              <w:t>указания на то, каким образом стратегия реализации проекта адаптируется к потребностям каждой страны-бенефициара.</w:t>
            </w:r>
          </w:p>
          <w:p w14:paraId="38B0CDD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71D55285" w14:textId="77777777" w:rsidR="00D00B30" w:rsidRPr="00A9146B" w:rsidRDefault="00D00B30" w:rsidP="00597053">
            <w:pPr>
              <w:pStyle w:val="ListParagraph"/>
              <w:ind w:left="0"/>
            </w:pPr>
            <w:r>
              <w:t>8 (КРИС и Секретариат)</w:t>
            </w:r>
          </w:p>
          <w:p w14:paraId="1FCBB8F8" w14:textId="77777777" w:rsidR="00D00B30" w:rsidRPr="00A9146B" w:rsidRDefault="00D00B30" w:rsidP="00597053">
            <w:pPr>
              <w:pStyle w:val="ListParagraph"/>
              <w:ind w:left="0"/>
            </w:pPr>
            <w:r>
              <w:t>10 (Секретариат)</w:t>
            </w:r>
          </w:p>
        </w:tc>
      </w:tr>
      <w:tr w:rsidR="00D00B30" w:rsidRPr="00A9146B" w14:paraId="795F307A" w14:textId="77777777" w:rsidTr="00597053">
        <w:tc>
          <w:tcPr>
            <w:tcW w:w="3420" w:type="dxa"/>
          </w:tcPr>
          <w:p w14:paraId="0DE6F985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 xml:space="preserve">Секретариат может взять на себя обязательство не поручать одному и тому же руководителю будущие </w:t>
            </w:r>
            <w:r>
              <w:lastRenderedPageBreak/>
              <w:t>проекты ПДР.  В случае назначения одного и того же руководителя на несколько одновременно осуществляемых проектов ПДР Секретариат проинформирует Комитет об основаниях для такого назначения.</w:t>
            </w:r>
          </w:p>
          <w:p w14:paraId="70FF094D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314D2B3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 xml:space="preserve">– Секретариат будет прилагать все усилия, чтобы по возможности избежать назначения одного и того же </w:t>
            </w:r>
            <w:r>
              <w:lastRenderedPageBreak/>
              <w:t>руководителя на несколько одновременно осуществляемых проектов ПДР.</w:t>
            </w:r>
          </w:p>
          <w:p w14:paraId="50E3DD17" w14:textId="77777777" w:rsidR="00D00B30" w:rsidRPr="00A9146B" w:rsidRDefault="00D00B30" w:rsidP="00597053">
            <w:pPr>
              <w:pStyle w:val="ListParagraph"/>
              <w:ind w:left="0"/>
            </w:pPr>
            <w:r>
              <w:t>– Если одному и тому же руководителю будет поручено осуществление нескольких текущих проектов, то Секретариат представит информацию о причинах такого назначения на рассмотрение Комитета.</w:t>
            </w:r>
          </w:p>
          <w:p w14:paraId="50A5A0CF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7D1713CA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10 (Секретариат)</w:t>
            </w:r>
          </w:p>
        </w:tc>
      </w:tr>
    </w:tbl>
    <w:p w14:paraId="53D3C183" w14:textId="77777777" w:rsidR="00056109" w:rsidRDefault="00056109" w:rsidP="00804DB7"/>
    <w:p w14:paraId="7DB3AEE7" w14:textId="77777777" w:rsidR="00D86954" w:rsidRDefault="00D86954" w:rsidP="00804DB7"/>
    <w:p w14:paraId="7149DED5" w14:textId="77777777" w:rsidR="00D00B30" w:rsidRDefault="00D00B30" w:rsidP="00804DB7"/>
    <w:p w14:paraId="39F68897" w14:textId="4A127DE3" w:rsidR="00D00B30" w:rsidRDefault="00F451C3" w:rsidP="002978EE">
      <w:pPr>
        <w:ind w:left="5533"/>
      </w:pPr>
      <w:r>
        <w:t>[Конец приложения</w:t>
      </w:r>
      <w:r w:rsidR="00D00B30">
        <w:t xml:space="preserve"> и документа]</w:t>
      </w:r>
    </w:p>
    <w:p w14:paraId="41E2E265" w14:textId="77777777" w:rsidR="00056109" w:rsidRDefault="00056109" w:rsidP="00804DB7"/>
    <w:sectPr w:rsidR="00056109" w:rsidSect="00B401F4">
      <w:headerReference w:type="default" r:id="rId17"/>
      <w:headerReference w:type="first" r:id="rId18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FD8D5" w14:textId="77777777" w:rsidR="00AE1CF1" w:rsidRDefault="00AE1CF1" w:rsidP="00AE1CF1">
      <w:r>
        <w:separator/>
      </w:r>
    </w:p>
  </w:endnote>
  <w:endnote w:type="continuationSeparator" w:id="0">
    <w:p w14:paraId="6066C9CE" w14:textId="77777777" w:rsidR="00AE1CF1" w:rsidRDefault="00AE1CF1" w:rsidP="00AE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91714" w14:textId="77777777" w:rsidR="00D06F72" w:rsidRDefault="00D06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BF9F" w14:textId="77777777" w:rsidR="00D06F72" w:rsidRDefault="00D06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7123" w14:textId="77777777" w:rsidR="00D06F72" w:rsidRDefault="00D06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0F55A" w14:textId="77777777" w:rsidR="00AE1CF1" w:rsidRDefault="00AE1CF1" w:rsidP="00AE1CF1">
      <w:r>
        <w:separator/>
      </w:r>
    </w:p>
  </w:footnote>
  <w:footnote w:type="continuationSeparator" w:id="0">
    <w:p w14:paraId="190C0923" w14:textId="77777777" w:rsidR="00AE1CF1" w:rsidRDefault="00AE1CF1" w:rsidP="00AE1CF1">
      <w:r>
        <w:continuationSeparator/>
      </w:r>
    </w:p>
  </w:footnote>
  <w:footnote w:id="1">
    <w:p w14:paraId="560FB012" w14:textId="77777777" w:rsidR="00E40C4B" w:rsidRPr="00E40C4B" w:rsidRDefault="00E40C4B">
      <w:pPr>
        <w:pStyle w:val="FootnoteText"/>
      </w:pPr>
      <w:r>
        <w:rPr>
          <w:rStyle w:val="FootnoteReference"/>
        </w:rPr>
        <w:footnoteRef/>
      </w:r>
      <w:r>
        <w:t xml:space="preserve"> Замечания и предложения содержатся в документах CDIP/21/11, CDIP/22/4 Rev и CDIP/23/3. Их подборка также доступна в приложении I к документу CDIP/23/8.</w:t>
      </w:r>
    </w:p>
  </w:footnote>
  <w:footnote w:id="2">
    <w:p w14:paraId="32E292B5" w14:textId="77777777" w:rsidR="00E40C4B" w:rsidRPr="00E40C4B" w:rsidRDefault="00E40C4B">
      <w:pPr>
        <w:pStyle w:val="FootnoteText"/>
      </w:pPr>
      <w:r>
        <w:rPr>
          <w:rStyle w:val="FootnoteReference"/>
        </w:rPr>
        <w:footnoteRef/>
      </w:r>
      <w:r>
        <w:t xml:space="preserve"> Документ CDIP/19/3.</w:t>
      </w:r>
    </w:p>
  </w:footnote>
  <w:footnote w:id="3">
    <w:p w14:paraId="3923005F" w14:textId="78AF863F" w:rsidR="001221CA" w:rsidRPr="001221CA" w:rsidRDefault="001221CA" w:rsidP="001221CA">
      <w:pPr>
        <w:pStyle w:val="FootnoteText"/>
      </w:pPr>
      <w:r>
        <w:rPr>
          <w:rStyle w:val="FootnoteReference"/>
        </w:rPr>
        <w:footnoteRef/>
      </w:r>
      <w:r>
        <w:t xml:space="preserve"> Пункт 9.8 Резюме Председателя</w:t>
      </w:r>
      <w:r w:rsidR="00303EEC">
        <w:t xml:space="preserve"> двадцать третьей сессии КРИС. </w:t>
      </w:r>
      <w:r>
        <w:t>Были согласованы следующие стратегии выполнения: 5, 6, 8, 9, 10, 11, 12 и 14.</w:t>
      </w:r>
    </w:p>
  </w:footnote>
  <w:footnote w:id="4">
    <w:p w14:paraId="0ED21574" w14:textId="77777777" w:rsidR="003B2CEB" w:rsidRPr="003B2CEB" w:rsidRDefault="003B2CEB" w:rsidP="003B2CEB">
      <w:pPr>
        <w:pStyle w:val="FootnoteText"/>
      </w:pPr>
      <w:r>
        <w:rPr>
          <w:rStyle w:val="FootnoteReference"/>
        </w:rPr>
        <w:footnoteRef/>
      </w:r>
      <w:r>
        <w:t xml:space="preserve"> Пункты 8.9 и 8.10 Резюме Председателя двадцать четвертой сессии КРИС. </w:t>
      </w:r>
    </w:p>
  </w:footnote>
  <w:footnote w:id="5">
    <w:p w14:paraId="60220026" w14:textId="6F5104FD" w:rsidR="00036BF3" w:rsidRDefault="00036BF3" w:rsidP="00036BF3">
      <w:pPr>
        <w:pStyle w:val="FootnoteText"/>
      </w:pPr>
      <w:r>
        <w:rPr>
          <w:rStyle w:val="FootnoteReference"/>
        </w:rPr>
        <w:footnoteRef/>
      </w:r>
      <w:r>
        <w:t xml:space="preserve"> Пункт 381 документа </w:t>
      </w:r>
      <w:hyperlink r:id="rId1" w:history="1">
        <w:r>
          <w:rPr>
            <w:rStyle w:val="Hyperlink"/>
          </w:rPr>
          <w:t>CDIP/23/17</w:t>
        </w:r>
      </w:hyperlink>
      <w:r>
        <w:t xml:space="preserve">: Отчет о двадцать первой сессии КРИС. </w:t>
      </w:r>
    </w:p>
  </w:footnote>
  <w:footnote w:id="6">
    <w:p w14:paraId="2C8DCDEC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4, 6 и 12.</w:t>
      </w:r>
    </w:p>
  </w:footnote>
  <w:footnote w:id="7">
    <w:p w14:paraId="572194D9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4 и 12.</w:t>
      </w:r>
    </w:p>
  </w:footnote>
  <w:footnote w:id="8">
    <w:p w14:paraId="3E5838ED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6 и 7.</w:t>
      </w:r>
    </w:p>
  </w:footnote>
  <w:footnote w:id="9">
    <w:p w14:paraId="598CABBF" w14:textId="77777777" w:rsidR="005F0F87" w:rsidRDefault="005F0F87" w:rsidP="005F0F87">
      <w:pPr>
        <w:pStyle w:val="FootnoteText"/>
      </w:pPr>
      <w:r>
        <w:rPr>
          <w:rStyle w:val="FootnoteReference"/>
        </w:rPr>
        <w:footnoteRef/>
      </w:r>
      <w:r>
        <w:t xml:space="preserve"> На своей восемнадцатой сессии КРИС утвердил состоящее из шести пунктов предложение, в котором Комитет, в частности, просил Секретариат создать веб-форум для обмена идеями, практическими методами и опытом в области технической помощи (п. 7.5 Резюме Председателя).</w:t>
      </w:r>
    </w:p>
  </w:footnote>
  <w:footnote w:id="10">
    <w:p w14:paraId="04A59B74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4 и 12.</w:t>
      </w:r>
    </w:p>
  </w:footnote>
  <w:footnote w:id="11">
    <w:p w14:paraId="6049552E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3, 7 и 12.</w:t>
      </w:r>
    </w:p>
  </w:footnote>
  <w:footnote w:id="12">
    <w:p w14:paraId="7855ADB5" w14:textId="77777777" w:rsidR="00CA7FB4" w:rsidRDefault="00CA7FB4">
      <w:pPr>
        <w:pStyle w:val="FootnoteText"/>
      </w:pPr>
      <w:r>
        <w:rPr>
          <w:rStyle w:val="FootnoteReference"/>
        </w:rPr>
        <w:footnoteRef/>
      </w:r>
      <w:r>
        <w:t xml:space="preserve"> Документ CDIP/28/5.</w:t>
      </w:r>
    </w:p>
  </w:footnote>
  <w:footnote w:id="13">
    <w:p w14:paraId="09F5FD75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принятую по результатам независимого анализа рекомендацию 12.</w:t>
      </w:r>
    </w:p>
  </w:footnote>
  <w:footnote w:id="14">
    <w:p w14:paraId="3D0918FE" w14:textId="77777777" w:rsidR="0071101C" w:rsidRDefault="0071101C">
      <w:pPr>
        <w:pStyle w:val="FootnoteText"/>
      </w:pPr>
      <w:r>
        <w:rPr>
          <w:rStyle w:val="FootnoteReference"/>
        </w:rPr>
        <w:footnoteRef/>
      </w:r>
      <w:r>
        <w:t xml:space="preserve"> Страница 34 независимого анализа гласит: «воздействие ПДР пока не проявилось так, как ожидалось». Кроме того, на странице 36 говорится следующее: «Воздействие проектов и мероприятий зависит от подозрительности и скепсиса по поводу как недостаточной связи данной работы с задачами развития, так и возможности компромисса между потребностями развития и необходимостью охраны и обеспечения соблюдения прав интеллектуальной собственности».</w:t>
      </w:r>
    </w:p>
  </w:footnote>
  <w:footnote w:id="15">
    <w:p w14:paraId="2110978D" w14:textId="77777777" w:rsidR="003C4728" w:rsidRPr="003C4728" w:rsidRDefault="003C4728">
      <w:pPr>
        <w:pStyle w:val="FootnoteText"/>
      </w:pPr>
      <w:r>
        <w:rPr>
          <w:rStyle w:val="FootnoteReference"/>
        </w:rPr>
        <w:footnoteRef/>
      </w:r>
      <w:r>
        <w:t xml:space="preserve"> Пункт 6.3 Резюме Председателя восемнадцатой сессии КРИС и документ CDIP/19/3. </w:t>
      </w:r>
    </w:p>
  </w:footnote>
  <w:footnote w:id="16">
    <w:p w14:paraId="1492B672" w14:textId="77777777" w:rsidR="003C4728" w:rsidRDefault="003C4728" w:rsidP="003C4728">
      <w:pPr>
        <w:pStyle w:val="FootnoteText"/>
      </w:pPr>
      <w:r>
        <w:rPr>
          <w:rStyle w:val="FootnoteReference"/>
        </w:rPr>
        <w:footnoteRef/>
      </w:r>
      <w:r>
        <w:t xml:space="preserve"> Пункт 8.1 Резюме Председателя девятнадцатой сессии КРИС.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3DA3" w14:textId="77777777" w:rsidR="00D06F72" w:rsidRDefault="00D06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9E80" w14:textId="5B8BFD7F" w:rsidR="00C90085" w:rsidRDefault="00C90085" w:rsidP="00C90085">
    <w:pPr>
      <w:pStyle w:val="Header"/>
      <w:jc w:val="right"/>
    </w:pPr>
    <w:r>
      <w:t>CDIP/29/6</w:t>
    </w:r>
  </w:p>
  <w:p w14:paraId="4E979C0B" w14:textId="4E4E6D7D" w:rsidR="00C90085" w:rsidRDefault="00C90085">
    <w:pPr>
      <w:pStyle w:val="Header"/>
      <w:jc w:val="right"/>
    </w:pPr>
    <w:r>
      <w:t xml:space="preserve">стр. </w:t>
    </w:r>
    <w:sdt>
      <w:sdtPr>
        <w:id w:val="-2891311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B47">
          <w:rPr>
            <w:noProof/>
          </w:rPr>
          <w:t>12</w:t>
        </w:r>
        <w:r>
          <w:fldChar w:fldCharType="end"/>
        </w:r>
      </w:sdtContent>
    </w:sdt>
  </w:p>
  <w:p w14:paraId="294A4277" w14:textId="77777777" w:rsidR="00AC7459" w:rsidRDefault="00AC7459">
    <w:pPr>
      <w:pStyle w:val="Header"/>
    </w:pPr>
  </w:p>
  <w:p w14:paraId="20E49B5C" w14:textId="77777777" w:rsidR="00AC7459" w:rsidRDefault="00AC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913C" w14:textId="77777777" w:rsidR="00D06F72" w:rsidRDefault="00D06F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E2216" w14:textId="77777777" w:rsidR="00D64D2B" w:rsidRDefault="00D64D2B" w:rsidP="00C90085">
    <w:pPr>
      <w:pStyle w:val="Header"/>
      <w:jc w:val="right"/>
    </w:pPr>
    <w:r>
      <w:t>CDIP/29/6</w:t>
    </w:r>
  </w:p>
  <w:p w14:paraId="42BE63BC" w14:textId="2C999C07" w:rsidR="00D64D2B" w:rsidRDefault="00D64D2B">
    <w:pPr>
      <w:pStyle w:val="Header"/>
      <w:jc w:val="right"/>
    </w:pPr>
    <w:r>
      <w:t xml:space="preserve">Приложение, стр. </w:t>
    </w:r>
    <w:sdt>
      <w:sdtPr>
        <w:id w:val="-15367998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B47">
          <w:rPr>
            <w:noProof/>
          </w:rPr>
          <w:t>5</w:t>
        </w:r>
        <w:r>
          <w:fldChar w:fldCharType="end"/>
        </w:r>
      </w:sdtContent>
    </w:sdt>
  </w:p>
  <w:p w14:paraId="1D04F08D" w14:textId="77777777" w:rsidR="00D64D2B" w:rsidRDefault="00D64D2B">
    <w:pPr>
      <w:pStyle w:val="Header"/>
    </w:pPr>
  </w:p>
  <w:p w14:paraId="618D0F1D" w14:textId="77777777" w:rsidR="00D64D2B" w:rsidRDefault="00D64D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F8C1" w14:textId="1664E7B3" w:rsidR="0002189C" w:rsidRDefault="0002189C" w:rsidP="00C92539">
    <w:pPr>
      <w:pStyle w:val="Header"/>
      <w:jc w:val="right"/>
    </w:pPr>
    <w:r>
      <w:t>CDIP/29/6</w:t>
    </w:r>
  </w:p>
  <w:p w14:paraId="6D86E3F2" w14:textId="77777777" w:rsidR="0002189C" w:rsidRDefault="0002189C" w:rsidP="008C0D87">
    <w:pPr>
      <w:pStyle w:val="Header"/>
      <w:jc w:val="right"/>
    </w:pPr>
    <w:r>
      <w:t>ПРИЛОЖЕНИЕ</w:t>
    </w:r>
  </w:p>
  <w:p w14:paraId="6AE3A0F7" w14:textId="77777777" w:rsidR="0002189C" w:rsidRDefault="0002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214DF2"/>
    <w:multiLevelType w:val="hybridMultilevel"/>
    <w:tmpl w:val="BD948698"/>
    <w:lvl w:ilvl="0" w:tplc="01821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466BD4"/>
    <w:multiLevelType w:val="hybridMultilevel"/>
    <w:tmpl w:val="F62CB122"/>
    <w:lvl w:ilvl="0" w:tplc="179AF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C16"/>
    <w:multiLevelType w:val="hybridMultilevel"/>
    <w:tmpl w:val="584CE3E4"/>
    <w:lvl w:ilvl="0" w:tplc="7A267614">
      <w:start w:val="7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205A9F"/>
    <w:multiLevelType w:val="hybridMultilevel"/>
    <w:tmpl w:val="903A95BA"/>
    <w:lvl w:ilvl="0" w:tplc="CBF03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B66E2"/>
    <w:multiLevelType w:val="hybridMultilevel"/>
    <w:tmpl w:val="E2462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6EFA45D9"/>
    <w:multiLevelType w:val="hybridMultilevel"/>
    <w:tmpl w:val="0E96D520"/>
    <w:lvl w:ilvl="0" w:tplc="B8CCE91C">
      <w:start w:val="1"/>
      <w:numFmt w:val="decimal"/>
      <w:lvlText w:val="%1."/>
      <w:lvlJc w:val="left"/>
      <w:pPr>
        <w:ind w:left="1530" w:hanging="360"/>
      </w:pPr>
      <w:rPr>
        <w:rFonts w:hint="default"/>
        <w:i w:val="0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56A2780"/>
    <w:multiLevelType w:val="hybridMultilevel"/>
    <w:tmpl w:val="5AA03560"/>
    <w:lvl w:ilvl="0" w:tplc="21589E8E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96D2021"/>
    <w:multiLevelType w:val="hybridMultilevel"/>
    <w:tmpl w:val="B6AA490C"/>
    <w:lvl w:ilvl="0" w:tplc="A18E5D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63B4A"/>
    <w:multiLevelType w:val="hybridMultilevel"/>
    <w:tmpl w:val="10F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61F8"/>
    <w:multiLevelType w:val="hybridMultilevel"/>
    <w:tmpl w:val="12C45542"/>
    <w:lvl w:ilvl="0" w:tplc="A75049F8">
      <w:start w:val="15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13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4"/>
  </w:num>
  <w:num w:numId="15">
    <w:abstractNumId w:val="1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9"/>
    <w:rsid w:val="0002189C"/>
    <w:rsid w:val="000226ED"/>
    <w:rsid w:val="00024DA0"/>
    <w:rsid w:val="00031E87"/>
    <w:rsid w:val="00036BF3"/>
    <w:rsid w:val="0005176B"/>
    <w:rsid w:val="00056109"/>
    <w:rsid w:val="00057149"/>
    <w:rsid w:val="00060B3B"/>
    <w:rsid w:val="0006516C"/>
    <w:rsid w:val="000748B7"/>
    <w:rsid w:val="00095380"/>
    <w:rsid w:val="00096B85"/>
    <w:rsid w:val="000A348A"/>
    <w:rsid w:val="000A3AA0"/>
    <w:rsid w:val="000A7DFF"/>
    <w:rsid w:val="000B0552"/>
    <w:rsid w:val="000E350C"/>
    <w:rsid w:val="000E5A17"/>
    <w:rsid w:val="000F5E56"/>
    <w:rsid w:val="00114C21"/>
    <w:rsid w:val="001221CA"/>
    <w:rsid w:val="00125328"/>
    <w:rsid w:val="001465C4"/>
    <w:rsid w:val="001502B8"/>
    <w:rsid w:val="00161614"/>
    <w:rsid w:val="001750A5"/>
    <w:rsid w:val="001864A7"/>
    <w:rsid w:val="00186E4E"/>
    <w:rsid w:val="00187E44"/>
    <w:rsid w:val="001A4186"/>
    <w:rsid w:val="001E33D6"/>
    <w:rsid w:val="001E457E"/>
    <w:rsid w:val="001F4DD1"/>
    <w:rsid w:val="0022201D"/>
    <w:rsid w:val="002317B2"/>
    <w:rsid w:val="002353AA"/>
    <w:rsid w:val="002521AF"/>
    <w:rsid w:val="00254604"/>
    <w:rsid w:val="00255DAC"/>
    <w:rsid w:val="002761AC"/>
    <w:rsid w:val="00291ED9"/>
    <w:rsid w:val="002978EE"/>
    <w:rsid w:val="002B27BB"/>
    <w:rsid w:val="002C76B0"/>
    <w:rsid w:val="002E35A0"/>
    <w:rsid w:val="002E70FB"/>
    <w:rsid w:val="002F5810"/>
    <w:rsid w:val="00303EEC"/>
    <w:rsid w:val="00311028"/>
    <w:rsid w:val="00320910"/>
    <w:rsid w:val="00324093"/>
    <w:rsid w:val="003277E1"/>
    <w:rsid w:val="00331590"/>
    <w:rsid w:val="00332C77"/>
    <w:rsid w:val="00335A30"/>
    <w:rsid w:val="00340047"/>
    <w:rsid w:val="003477AA"/>
    <w:rsid w:val="0035540E"/>
    <w:rsid w:val="003811B7"/>
    <w:rsid w:val="003901ED"/>
    <w:rsid w:val="003A1D20"/>
    <w:rsid w:val="003B2CEB"/>
    <w:rsid w:val="003C3F51"/>
    <w:rsid w:val="003C4728"/>
    <w:rsid w:val="003C56EE"/>
    <w:rsid w:val="003E6531"/>
    <w:rsid w:val="003F0711"/>
    <w:rsid w:val="003F5799"/>
    <w:rsid w:val="00431118"/>
    <w:rsid w:val="0043374C"/>
    <w:rsid w:val="00443B57"/>
    <w:rsid w:val="00486C7C"/>
    <w:rsid w:val="00495C85"/>
    <w:rsid w:val="00496684"/>
    <w:rsid w:val="00496956"/>
    <w:rsid w:val="004B296B"/>
    <w:rsid w:val="004D6D0B"/>
    <w:rsid w:val="004D7CF8"/>
    <w:rsid w:val="00506C13"/>
    <w:rsid w:val="00520A10"/>
    <w:rsid w:val="00534F68"/>
    <w:rsid w:val="00545061"/>
    <w:rsid w:val="0057637E"/>
    <w:rsid w:val="00582295"/>
    <w:rsid w:val="005959A3"/>
    <w:rsid w:val="005B41A2"/>
    <w:rsid w:val="005C0D21"/>
    <w:rsid w:val="005E1341"/>
    <w:rsid w:val="005E1B7B"/>
    <w:rsid w:val="005E3C49"/>
    <w:rsid w:val="005E3E4A"/>
    <w:rsid w:val="005F0F87"/>
    <w:rsid w:val="005F74DF"/>
    <w:rsid w:val="00621C97"/>
    <w:rsid w:val="00630DE2"/>
    <w:rsid w:val="00646B53"/>
    <w:rsid w:val="00663307"/>
    <w:rsid w:val="00664111"/>
    <w:rsid w:val="00672C97"/>
    <w:rsid w:val="00675436"/>
    <w:rsid w:val="00681951"/>
    <w:rsid w:val="00685B50"/>
    <w:rsid w:val="0069103E"/>
    <w:rsid w:val="006925FF"/>
    <w:rsid w:val="0069665E"/>
    <w:rsid w:val="006D7B2A"/>
    <w:rsid w:val="006E0F9E"/>
    <w:rsid w:val="006F7708"/>
    <w:rsid w:val="0070098D"/>
    <w:rsid w:val="0071101C"/>
    <w:rsid w:val="00722340"/>
    <w:rsid w:val="00723D2B"/>
    <w:rsid w:val="007250E4"/>
    <w:rsid w:val="00735CC3"/>
    <w:rsid w:val="00747D97"/>
    <w:rsid w:val="00753209"/>
    <w:rsid w:val="0079023F"/>
    <w:rsid w:val="00795EA2"/>
    <w:rsid w:val="0079750D"/>
    <w:rsid w:val="007B240C"/>
    <w:rsid w:val="007B3340"/>
    <w:rsid w:val="007D4525"/>
    <w:rsid w:val="007D53C7"/>
    <w:rsid w:val="007E3591"/>
    <w:rsid w:val="007F4314"/>
    <w:rsid w:val="008012B3"/>
    <w:rsid w:val="00804DB7"/>
    <w:rsid w:val="008207D4"/>
    <w:rsid w:val="00823F2E"/>
    <w:rsid w:val="00824297"/>
    <w:rsid w:val="00834135"/>
    <w:rsid w:val="00857249"/>
    <w:rsid w:val="00857943"/>
    <w:rsid w:val="008644B8"/>
    <w:rsid w:val="00875254"/>
    <w:rsid w:val="008A317C"/>
    <w:rsid w:val="008B718F"/>
    <w:rsid w:val="008C0D87"/>
    <w:rsid w:val="008E16E6"/>
    <w:rsid w:val="008E2C0E"/>
    <w:rsid w:val="008F47DB"/>
    <w:rsid w:val="00912E57"/>
    <w:rsid w:val="00945275"/>
    <w:rsid w:val="00945A11"/>
    <w:rsid w:val="00967D01"/>
    <w:rsid w:val="00983E6D"/>
    <w:rsid w:val="009A029B"/>
    <w:rsid w:val="009A1A1E"/>
    <w:rsid w:val="009B1F03"/>
    <w:rsid w:val="009B6930"/>
    <w:rsid w:val="009D167A"/>
    <w:rsid w:val="00A10643"/>
    <w:rsid w:val="00A20006"/>
    <w:rsid w:val="00A20C77"/>
    <w:rsid w:val="00A371FE"/>
    <w:rsid w:val="00A424B8"/>
    <w:rsid w:val="00A5065D"/>
    <w:rsid w:val="00A55BAA"/>
    <w:rsid w:val="00A80684"/>
    <w:rsid w:val="00A8433B"/>
    <w:rsid w:val="00A84FF7"/>
    <w:rsid w:val="00A878C3"/>
    <w:rsid w:val="00AA5270"/>
    <w:rsid w:val="00AC7459"/>
    <w:rsid w:val="00AD7691"/>
    <w:rsid w:val="00AE1CF1"/>
    <w:rsid w:val="00AF76D3"/>
    <w:rsid w:val="00B172CA"/>
    <w:rsid w:val="00B33AB4"/>
    <w:rsid w:val="00B401F4"/>
    <w:rsid w:val="00B46655"/>
    <w:rsid w:val="00B5182F"/>
    <w:rsid w:val="00B610E6"/>
    <w:rsid w:val="00B63393"/>
    <w:rsid w:val="00B660E5"/>
    <w:rsid w:val="00B66FD5"/>
    <w:rsid w:val="00B901EF"/>
    <w:rsid w:val="00B9497F"/>
    <w:rsid w:val="00B965CF"/>
    <w:rsid w:val="00BC57AB"/>
    <w:rsid w:val="00BD6A9B"/>
    <w:rsid w:val="00C12B08"/>
    <w:rsid w:val="00C22ACD"/>
    <w:rsid w:val="00C554EC"/>
    <w:rsid w:val="00C70CE2"/>
    <w:rsid w:val="00C90085"/>
    <w:rsid w:val="00C92539"/>
    <w:rsid w:val="00C9416E"/>
    <w:rsid w:val="00CA7FB4"/>
    <w:rsid w:val="00CB7607"/>
    <w:rsid w:val="00CE2DC1"/>
    <w:rsid w:val="00CE5B08"/>
    <w:rsid w:val="00CF6D4D"/>
    <w:rsid w:val="00D00B30"/>
    <w:rsid w:val="00D06F72"/>
    <w:rsid w:val="00D25C62"/>
    <w:rsid w:val="00D464C8"/>
    <w:rsid w:val="00D53A50"/>
    <w:rsid w:val="00D5599B"/>
    <w:rsid w:val="00D64D2B"/>
    <w:rsid w:val="00D86954"/>
    <w:rsid w:val="00D97192"/>
    <w:rsid w:val="00DA2222"/>
    <w:rsid w:val="00DE1E55"/>
    <w:rsid w:val="00DF450F"/>
    <w:rsid w:val="00E0155E"/>
    <w:rsid w:val="00E122DD"/>
    <w:rsid w:val="00E40C4B"/>
    <w:rsid w:val="00E42336"/>
    <w:rsid w:val="00E51CE1"/>
    <w:rsid w:val="00E558C7"/>
    <w:rsid w:val="00E611D0"/>
    <w:rsid w:val="00E65CA4"/>
    <w:rsid w:val="00E80AD8"/>
    <w:rsid w:val="00E80BCA"/>
    <w:rsid w:val="00E9193C"/>
    <w:rsid w:val="00EA1AEB"/>
    <w:rsid w:val="00EA2B47"/>
    <w:rsid w:val="00EB63D9"/>
    <w:rsid w:val="00EE1439"/>
    <w:rsid w:val="00EE7249"/>
    <w:rsid w:val="00F02B58"/>
    <w:rsid w:val="00F03E6B"/>
    <w:rsid w:val="00F319DB"/>
    <w:rsid w:val="00F451C3"/>
    <w:rsid w:val="00F640D9"/>
    <w:rsid w:val="00F67538"/>
    <w:rsid w:val="00F7021E"/>
    <w:rsid w:val="00F87883"/>
    <w:rsid w:val="00FB4A53"/>
    <w:rsid w:val="00FD1F85"/>
    <w:rsid w:val="00FD7571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4CD974C"/>
  <w15:chartTrackingRefBased/>
  <w15:docId w15:val="{C39BD37A-DB46-4D15-A6DF-B4CE0E9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F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link w:val="CommentTextChar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E1CF1"/>
    <w:pPr>
      <w:ind w:left="720"/>
      <w:contextualSpacing/>
    </w:pPr>
  </w:style>
  <w:style w:type="character" w:customStyle="1" w:styleId="size">
    <w:name w:val="size"/>
    <w:basedOn w:val="DefaultParagraphFont"/>
    <w:rsid w:val="009A029B"/>
  </w:style>
  <w:style w:type="paragraph" w:styleId="BalloonText">
    <w:name w:val="Balloon Text"/>
    <w:basedOn w:val="Normal"/>
    <w:link w:val="BalloonTextChar"/>
    <w:semiHidden/>
    <w:unhideWhenUsed/>
    <w:rsid w:val="0083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135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401F4"/>
    <w:rPr>
      <w:rFonts w:ascii="Arial" w:hAnsi="Arial" w:cs="Arial"/>
      <w:sz w:val="22"/>
    </w:rPr>
  </w:style>
  <w:style w:type="character" w:styleId="FootnoteReference">
    <w:name w:val="footnote reference"/>
    <w:basedOn w:val="DefaultParagraphFont"/>
    <w:unhideWhenUsed/>
    <w:rsid w:val="003B2CEB"/>
    <w:rPr>
      <w:vertAlign w:val="superscript"/>
    </w:rPr>
  </w:style>
  <w:style w:type="table" w:styleId="TableGrid">
    <w:name w:val="Table Grid"/>
    <w:basedOn w:val="TableNormal"/>
    <w:uiPriority w:val="39"/>
    <w:rsid w:val="0052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F87"/>
    <w:rPr>
      <w:rFonts w:ascii="Arial" w:hAnsi="Arial" w:cs="Arial"/>
      <w:sz w:val="18"/>
    </w:rPr>
  </w:style>
  <w:style w:type="character" w:styleId="Hyperlink">
    <w:name w:val="Hyperlink"/>
    <w:basedOn w:val="DefaultParagraphFont"/>
    <w:unhideWhenUsed/>
    <w:rsid w:val="005E13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A7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315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1590"/>
    <w:rPr>
      <w:rFonts w:eastAsia="SimSun"/>
      <w:b/>
      <w:bCs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33159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33159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acatalogue.wipo.int/projec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catalogue.wipo.int/project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46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2608-14E3-43EC-B95F-A793F57A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3847</Words>
  <Characters>26690</Characters>
  <Application>Microsoft Office Word</Application>
  <DocSecurity>0</DocSecurity>
  <Lines>1333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MARTINEZ LIMÓN Cristina</dc:creator>
  <cp:keywords>FOR OFFICIAL USE ONLY</cp:keywords>
  <dc:description/>
  <cp:lastModifiedBy>ESTEVES DOS SANTOS Anabela</cp:lastModifiedBy>
  <cp:revision>2</cp:revision>
  <cp:lastPrinted>2022-07-28T08:44:00Z</cp:lastPrinted>
  <dcterms:created xsi:type="dcterms:W3CDTF">2022-08-25T07:09:00Z</dcterms:created>
  <dcterms:modified xsi:type="dcterms:W3CDTF">2022-08-25T07:09:00Z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5efc3ed8-3052-4423-8bd8-18aa283faf56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