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7E8E" w14:textId="0A01F142" w:rsidR="008B2CC1" w:rsidRPr="00F043DE" w:rsidRDefault="00137896" w:rsidP="00A8389F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5126FEA2" wp14:editId="6003724E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FD00C" w14:textId="3978336F" w:rsidR="008B2CC1" w:rsidRPr="002326AB" w:rsidRDefault="00E4155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CDIP/32/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INF/2 </w:t>
      </w:r>
    </w:p>
    <w:p w14:paraId="794D3A9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2CEAC92" w14:textId="05E42F0D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5 МАРТА 2024 ГОДА</w:t>
      </w:r>
    </w:p>
    <w:bookmarkEnd w:id="2"/>
    <w:p w14:paraId="6DBF298A" w14:textId="77777777" w:rsidR="008B2CC1" w:rsidRPr="00720EFD" w:rsidRDefault="00E41552" w:rsidP="002D58D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59A97E6E" w14:textId="1A5B0778" w:rsidR="008B2CC1" w:rsidRDefault="00EB76CE" w:rsidP="00A766B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вторая сессия</w:t>
      </w:r>
      <w:r>
        <w:rPr>
          <w:b/>
          <w:sz w:val="24"/>
        </w:rPr>
        <w:br/>
        <w:t>Женева, 29 апреля – 3 мая 2024 года</w:t>
      </w:r>
    </w:p>
    <w:p w14:paraId="56641FFF" w14:textId="019DDD20" w:rsidR="001673B1" w:rsidRPr="007D1D9E" w:rsidRDefault="001673B1" w:rsidP="00C408FA">
      <w:pPr>
        <w:spacing w:after="360"/>
        <w:outlineLvl w:val="1"/>
        <w:rPr>
          <w:b/>
          <w:sz w:val="24"/>
          <w:szCs w:val="24"/>
        </w:rPr>
      </w:pPr>
      <w:r>
        <w:rPr>
          <w:sz w:val="24"/>
        </w:rPr>
        <w:t>КРАТКОЕ ОПИСАНИЕ СИСТЕМЫ СТАНДАРТИЗАЦИИ, ОБОГАЩЕНИЯ И ЭКОНОМИЧЕСКОГО АНАЛИЗА ДАННЫХ ОБ ИНТЕЛЛЕКТУАЛЬНОЙ СОБСТВЕННОСТИ И ИННОВАЦИЯХ ДЛЯ ЦЕЛЕЙ ПОДДЕРЖКИ РАЗРАБОТКИ ПОЛИТИКИ (ВЕРСИЯ 1.0)</w:t>
      </w:r>
      <w:r>
        <w:t xml:space="preserve"> </w:t>
      </w:r>
    </w:p>
    <w:p w14:paraId="5A2C51E7" w14:textId="12E9302B" w:rsidR="001673B1" w:rsidRPr="00D115FB" w:rsidRDefault="001673B1" w:rsidP="00D115FB">
      <w:pPr>
        <w:spacing w:after="960"/>
        <w:rPr>
          <w:i/>
        </w:rPr>
      </w:pPr>
      <w:bookmarkStart w:id="3" w:name="TitleOfDoc"/>
      <w:r>
        <w:rPr>
          <w:i/>
        </w:rPr>
        <w:t>Документ подготовлен Секретариатом</w:t>
      </w:r>
    </w:p>
    <w:p w14:paraId="714EE3B5" w14:textId="0C03921C" w:rsidR="001673B1" w:rsidRPr="000A5724" w:rsidRDefault="001673B1" w:rsidP="001673B1">
      <w:pPr>
        <w:spacing w:after="360"/>
        <w:rPr>
          <w:rFonts w:eastAsia="MS Mincho"/>
          <w:bCs/>
          <w:iCs/>
          <w:szCs w:val="22"/>
        </w:rPr>
      </w:pPr>
      <w:r w:rsidRPr="000A5724">
        <w:rPr>
          <w:rFonts w:eastAsia="Times New Roman"/>
          <w:color w:val="000000"/>
        </w:rPr>
        <w:fldChar w:fldCharType="begin"/>
      </w:r>
      <w:r w:rsidRPr="000A5724">
        <w:rPr>
          <w:rFonts w:eastAsia="Times New Roman"/>
          <w:color w:val="000000"/>
        </w:rPr>
        <w:instrText xml:space="preserve"> AUTONUM  </w:instrText>
      </w:r>
      <w:r w:rsidRPr="000A5724">
        <w:rPr>
          <w:rFonts w:eastAsia="Times New Roman"/>
          <w:color w:val="000000"/>
        </w:rPr>
        <w:fldChar w:fldCharType="end"/>
      </w:r>
      <w:r>
        <w:rPr>
          <w:color w:val="000000"/>
        </w:rPr>
        <w:tab/>
      </w:r>
      <w:r>
        <w:t xml:space="preserve">В приложении к настоящему документу содержится краткое описание Системы стандартизации, обогащения и экономического анализа данных об интеллектуальной собственности и инновациях для целей поддержки разработки политики (версия 1.0). </w:t>
      </w:r>
    </w:p>
    <w:p w14:paraId="7A8279F5" w14:textId="6208288F" w:rsidR="001673B1" w:rsidRPr="00303A96" w:rsidRDefault="001673B1" w:rsidP="001673B1">
      <w:pPr>
        <w:spacing w:after="360"/>
        <w:rPr>
          <w:rFonts w:eastAsia="MS Mincho"/>
          <w:bCs/>
          <w:iCs/>
          <w:szCs w:val="22"/>
        </w:rPr>
      </w:pPr>
      <w:r w:rsidRPr="000A5724">
        <w:rPr>
          <w:rFonts w:eastAsia="MS Mincho"/>
        </w:rPr>
        <w:fldChar w:fldCharType="begin"/>
      </w:r>
      <w:r w:rsidRPr="000A5724">
        <w:rPr>
          <w:rFonts w:eastAsia="MS Mincho"/>
        </w:rPr>
        <w:instrText xml:space="preserve"> AUTONUM  </w:instrText>
      </w:r>
      <w:r w:rsidRPr="000A5724">
        <w:rPr>
          <w:rFonts w:eastAsia="MS Mincho"/>
        </w:rPr>
        <w:fldChar w:fldCharType="end"/>
      </w:r>
      <w:r>
        <w:tab/>
        <w:t xml:space="preserve">Данная система была разработана в контексте проекта Повестки дня в области развития (ПДР)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 (документ CDIP/26/4). </w:t>
      </w:r>
    </w:p>
    <w:p w14:paraId="7A8D98B9" w14:textId="77777777" w:rsidR="001673B1" w:rsidRPr="000A5724" w:rsidRDefault="001673B1" w:rsidP="00C408FA">
      <w:pPr>
        <w:spacing w:after="720"/>
        <w:ind w:left="5530"/>
        <w:rPr>
          <w:rFonts w:eastAsia="MS Mincho"/>
          <w:bCs/>
          <w:iCs/>
          <w:szCs w:val="22"/>
        </w:rPr>
      </w:pPr>
      <w:r w:rsidRPr="00AC0955">
        <w:rPr>
          <w:rFonts w:eastAsia="MS Mincho"/>
          <w:i/>
        </w:rPr>
        <w:fldChar w:fldCharType="begin"/>
      </w:r>
      <w:r w:rsidRPr="00AC0955">
        <w:rPr>
          <w:rFonts w:eastAsia="MS Mincho"/>
          <w:i/>
        </w:rPr>
        <w:instrText xml:space="preserve"> AUTONUM  </w:instrText>
      </w:r>
      <w:r w:rsidRPr="00AC0955">
        <w:rPr>
          <w:rFonts w:eastAsia="MS Mincho"/>
          <w:i/>
        </w:rPr>
        <w:fldChar w:fldCharType="end"/>
      </w:r>
      <w:r>
        <w:tab/>
      </w:r>
      <w:r>
        <w:rPr>
          <w:i/>
          <w:color w:val="000000"/>
        </w:rPr>
        <w:t>Комитету предлагается принять к сведению информацию, содержащуюся в приложении к настоящему документу.</w:t>
      </w:r>
    </w:p>
    <w:p w14:paraId="2528E0A1" w14:textId="77777777" w:rsidR="000D3411" w:rsidRDefault="001673B1" w:rsidP="00BE2CA0">
      <w:pPr>
        <w:ind w:left="5533"/>
        <w:sectPr w:rsidR="000D3411" w:rsidSect="000D34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  <w:bookmarkStart w:id="5" w:name="Prepared"/>
      <w:bookmarkEnd w:id="3"/>
      <w:bookmarkEnd w:id="5"/>
      <w:r>
        <w:br w:type="page"/>
      </w:r>
    </w:p>
    <w:p w14:paraId="0821E046" w14:textId="6E85D7D3" w:rsidR="003E694B" w:rsidRDefault="003E694B" w:rsidP="003E694B">
      <w:pPr>
        <w:autoSpaceDE w:val="0"/>
        <w:autoSpaceDN w:val="0"/>
        <w:spacing w:line="245" w:lineRule="auto"/>
        <w:ind w:right="-10"/>
        <w:jc w:val="center"/>
        <w:rPr>
          <w:rFonts w:eastAsia="Arial"/>
          <w:b/>
          <w:color w:val="000000"/>
        </w:rPr>
      </w:pPr>
      <w:r>
        <w:rPr>
          <w:b/>
          <w:color w:val="000000"/>
        </w:rPr>
        <w:lastRenderedPageBreak/>
        <w:t>Краткое описание Системы стандартизации, обогащения и экономического анализа данных об интеллектуальной собственности и инновациях для целей поддержки разработки политики (версия 1.0)</w:t>
      </w:r>
    </w:p>
    <w:p w14:paraId="3553FAA0" w14:textId="77777777" w:rsidR="003E694B" w:rsidRDefault="003E694B" w:rsidP="003E694B">
      <w:pPr>
        <w:autoSpaceDE w:val="0"/>
        <w:autoSpaceDN w:val="0"/>
        <w:spacing w:line="245" w:lineRule="auto"/>
        <w:ind w:right="-10"/>
        <w:rPr>
          <w:rFonts w:eastAsia="Arial"/>
          <w:b/>
          <w:color w:val="000000"/>
        </w:rPr>
      </w:pPr>
    </w:p>
    <w:p w14:paraId="01B04C59" w14:textId="586DBC27" w:rsidR="003E694B" w:rsidRDefault="003E694B" w:rsidP="003E694B">
      <w:pPr>
        <w:spacing w:line="245" w:lineRule="auto"/>
        <w:rPr>
          <w:rFonts w:ascii="ArialMT" w:eastAsia="ArialMT" w:hAnsi="ArialMT"/>
          <w:color w:val="000000"/>
        </w:rPr>
      </w:pPr>
      <w:r>
        <w:rPr>
          <w:rFonts w:ascii="ArialMT" w:hAnsi="ArialMT"/>
          <w:color w:val="000000" w:themeColor="text1"/>
        </w:rPr>
        <w:t xml:space="preserve">В этом документе представлена первая версия системы, призванной обеспечить стандартизацию и обогащение данных об интеллектуальной собственности (ИС) и инновациях для проведения экономического анализа для целей поддержки разработки политики.  </w:t>
      </w:r>
      <w:r>
        <w:t xml:space="preserve">Данная система была разработана в контексте проекта Повестки дня в области развития (ПДР)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 (документ </w:t>
      </w:r>
      <w:hyperlink r:id="rId15" w:history="1">
        <w:r>
          <w:rPr>
            <w:rStyle w:val="Hyperlink"/>
            <w:rFonts w:ascii="ArialMT" w:hAnsi="ArialMT"/>
          </w:rPr>
          <w:t>CDIP/26/4</w:t>
        </w:r>
      </w:hyperlink>
      <w:r>
        <w:t>).</w:t>
      </w:r>
    </w:p>
    <w:p w14:paraId="636DA74F" w14:textId="77777777" w:rsidR="003E694B" w:rsidRDefault="003E694B" w:rsidP="003E694B">
      <w:pPr>
        <w:spacing w:line="245" w:lineRule="auto"/>
        <w:rPr>
          <w:rFonts w:ascii="ArialMT" w:eastAsia="ArialMT" w:hAnsi="ArialMT"/>
          <w:color w:val="000000"/>
        </w:rPr>
      </w:pPr>
    </w:p>
    <w:p w14:paraId="00B85C49" w14:textId="516AA791" w:rsidR="003E694B" w:rsidRDefault="003E694B" w:rsidP="003E694B">
      <w:pPr>
        <w:spacing w:line="245" w:lineRule="auto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Согласно цели данного проекта, настоящая система призвана обеспечить структуризацию методик проведения экономического анализа ИС и связанных с ней политик на национальном уровне.  Результаты работы системы должны служить опорой при разработке мер государственной политики, которые могут быть приняты в соответствии с национальными планами развития, а также способствовать укреплению взаимодействия между общественным капиталом, производственными предприятиями и ИС.  Целью также является развитие кадрового и технического потенциала соответствующих органов стран-бенефициаров и других государств-членов.</w:t>
      </w:r>
    </w:p>
    <w:p w14:paraId="3BB91F82" w14:textId="77777777" w:rsidR="003E694B" w:rsidRDefault="003E694B" w:rsidP="003E694B">
      <w:pPr>
        <w:spacing w:line="245" w:lineRule="auto"/>
        <w:rPr>
          <w:rFonts w:ascii="ArialMT" w:eastAsia="ArialMT" w:hAnsi="ArialMT"/>
          <w:color w:val="000000" w:themeColor="text1"/>
        </w:rPr>
      </w:pPr>
    </w:p>
    <w:p w14:paraId="192C3DCB" w14:textId="4035532B" w:rsidR="003E694B" w:rsidRPr="003E694B" w:rsidRDefault="003E694B" w:rsidP="003E694B">
      <w:pPr>
        <w:spacing w:line="245" w:lineRule="auto"/>
        <w:rPr>
          <w:rFonts w:ascii="ArialMT" w:eastAsia="ArialMT" w:hAnsi="ArialMT"/>
          <w:color w:val="000000"/>
        </w:rPr>
      </w:pPr>
      <w:r>
        <w:rPr>
          <w:rFonts w:ascii="ArialMT" w:hAnsi="ArialMT"/>
          <w:color w:val="000000" w:themeColor="text1"/>
        </w:rPr>
        <w:t>Настоящий документ имеет следующую структуру: в разделе I приводится контекст основных причин выбора Сальвадора в качестве первой пилотной страны и подробно описываются ожидаемые результаты этого выбора; в разделе II излагается стратегический подход к разработке различных методик и предлагается подробное руководство по обработке данных в рамках данной системой; в разделе III рассматриваются предварительные результаты проекта и их распространение среди заинтересованных сторон; в разделе IV описываются проблемы, возникшие на начальном этапе проекта, и подчеркиваются улучшения, которые планируется реализовать на последующем этапе.</w:t>
      </w:r>
    </w:p>
    <w:p w14:paraId="5BA8D366" w14:textId="49436999" w:rsidR="000D3411" w:rsidRPr="000D3411" w:rsidRDefault="003E694B" w:rsidP="0098522C">
      <w:pPr>
        <w:pStyle w:val="Heading2"/>
        <w:keepLines/>
        <w:numPr>
          <w:ilvl w:val="0"/>
          <w:numId w:val="8"/>
        </w:numPr>
        <w:spacing w:before="200" w:after="240" w:line="276" w:lineRule="auto"/>
        <w:rPr>
          <w:szCs w:val="22"/>
        </w:rPr>
      </w:pPr>
      <w:r>
        <w:t>КОНТЕКСТ</w:t>
      </w:r>
    </w:p>
    <w:p w14:paraId="55ADB3B0" w14:textId="61AAACE0" w:rsidR="00FE3FA3" w:rsidRDefault="00FE3FA3" w:rsidP="00FE3FA3">
      <w:pPr>
        <w:spacing w:line="245" w:lineRule="auto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Данный документ посвящен системе, разработанной для первой пилотной страны — Сальвадора.  В ходе первоначальной оценки, разработки и внедрения первой версии системы Сальвадор был признан подходящей пилотной страной благодаря нескольким особенностям, таким как размер, социально-экономическое развитие, демографические и географические характеристики.  Кроме того, Сальвадор отвечал потребностям проекта с точки зрения данных, в частности в том, что касается: </w:t>
      </w:r>
    </w:p>
    <w:p w14:paraId="03D34294" w14:textId="77777777" w:rsidR="00FE3FA3" w:rsidRDefault="00FE3FA3" w:rsidP="00FE3FA3">
      <w:pPr>
        <w:spacing w:line="245" w:lineRule="auto"/>
        <w:rPr>
          <w:rFonts w:ascii="ArialMT" w:eastAsia="ArialMT" w:hAnsi="ArialMT"/>
          <w:color w:val="000000" w:themeColor="text1"/>
        </w:rPr>
      </w:pPr>
    </w:p>
    <w:p w14:paraId="5AADE0DC" w14:textId="7C61A613" w:rsidR="00FE3FA3" w:rsidRPr="00663D71" w:rsidRDefault="00FE3FA3" w:rsidP="00FE3FA3">
      <w:pPr>
        <w:pStyle w:val="ListParagraph"/>
        <w:numPr>
          <w:ilvl w:val="0"/>
          <w:numId w:val="9"/>
        </w:numPr>
        <w:spacing w:line="245" w:lineRule="auto"/>
        <w:contextualSpacing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наличия значительных объемов национальных данных об ИС, которые не отражены в международных базах данных об ИС;</w:t>
      </w:r>
    </w:p>
    <w:p w14:paraId="5B98417F" w14:textId="640E4AE2" w:rsidR="00FE3FA3" w:rsidRDefault="0003405E" w:rsidP="00FE3FA3">
      <w:pPr>
        <w:pStyle w:val="ListParagraph"/>
        <w:numPr>
          <w:ilvl w:val="0"/>
          <w:numId w:val="9"/>
        </w:numPr>
        <w:spacing w:line="245" w:lineRule="auto"/>
        <w:contextualSpacing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значительного использования ИС национальными заинтересованными сторонами за пределами страны </w:t>
      </w:r>
      <w:r>
        <w:rPr>
          <w:rFonts w:ascii="ArialMT" w:hAnsi="ArialMT"/>
          <w:i/>
          <w:color w:val="000000" w:themeColor="text1"/>
        </w:rPr>
        <w:t>(</w:t>
      </w:r>
      <w:r>
        <w:rPr>
          <w:rFonts w:ascii="ArialMT" w:hAnsi="ArialMT"/>
          <w:color w:val="000000" w:themeColor="text1"/>
        </w:rPr>
        <w:t>это данные, источником которых не является национальное ведомство ИС); и</w:t>
      </w:r>
    </w:p>
    <w:p w14:paraId="7B157C5A" w14:textId="135B9DEA" w:rsidR="00FE3FA3" w:rsidRPr="002628B2" w:rsidRDefault="0003405E" w:rsidP="00FE3FA3">
      <w:pPr>
        <w:pStyle w:val="ListParagraph"/>
        <w:numPr>
          <w:ilvl w:val="0"/>
          <w:numId w:val="9"/>
        </w:numPr>
        <w:spacing w:after="240" w:line="245" w:lineRule="auto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активно работающие координаторы в национальном ведомстве ИС и других государственных структурах.</w:t>
      </w:r>
    </w:p>
    <w:p w14:paraId="6F930455" w14:textId="7F8B562C" w:rsidR="000D3411" w:rsidRPr="000D3411" w:rsidRDefault="00FE3FA3" w:rsidP="0098522C">
      <w:pPr>
        <w:pStyle w:val="Heading2"/>
        <w:keepLines/>
        <w:numPr>
          <w:ilvl w:val="0"/>
          <w:numId w:val="8"/>
        </w:numPr>
        <w:spacing w:before="200" w:after="240" w:line="276" w:lineRule="auto"/>
        <w:rPr>
          <w:szCs w:val="22"/>
        </w:rPr>
      </w:pPr>
      <w:r>
        <w:t>РАЗРАБОТКА МЕТОДИКИ</w:t>
      </w:r>
    </w:p>
    <w:p w14:paraId="42A23D48" w14:textId="76F98A01" w:rsidR="00FE3FA3" w:rsidRDefault="00FE3FA3" w:rsidP="00FE3FA3">
      <w:pPr>
        <w:autoSpaceDE w:val="0"/>
        <w:autoSpaceDN w:val="0"/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Разработка методики работы системы включала обзор технических отчетов и научных публикаций Всемирной организации интеллектуальной собственности (ВОИС), ведомств ИС, имеющих в структуре экономические подразделения, а также научно-</w:t>
      </w:r>
      <w:r>
        <w:rPr>
          <w:rFonts w:ascii="ArialMT" w:hAnsi="ArialMT"/>
          <w:color w:val="000000" w:themeColor="text1"/>
        </w:rPr>
        <w:lastRenderedPageBreak/>
        <w:t>образовательных кругов, в которых данные об ИС и инновационной деятельности использовались для проведения экономического анализа в целях разработки политики.</w:t>
      </w:r>
    </w:p>
    <w:p w14:paraId="6515D28A" w14:textId="0791291A" w:rsidR="00FE3FA3" w:rsidRDefault="00FE3FA3" w:rsidP="00FE3FA3">
      <w:pPr>
        <w:autoSpaceDE w:val="0"/>
        <w:autoSpaceDN w:val="0"/>
        <w:spacing w:before="288" w:line="245" w:lineRule="auto"/>
        <w:ind w:left="2"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Первая версия системы: a) разработана с опорой на передовой международный опыт и методики для разработки принципиально новой методики оценки, стандартизации и обогащения данных об ИС и инновациях; и b) представляет новые показатели и наборы данных об ИС и инновациях, готовые к использованию для целей экономического анализа.  В рамках проделанной работы были также реализованы улучшения структуры методики путем внедрения решений на основе ориентированных на удобство пользователей рекомендаций, полученных в ходе технических совещаний, проведенных с координаторами ведомства ИС участвующей пилотной станы и другими экспертами.</w:t>
      </w:r>
    </w:p>
    <w:p w14:paraId="113ADABE" w14:textId="66E27FCB" w:rsidR="00FE3FA3" w:rsidRPr="00840B08" w:rsidRDefault="00FE3FA3" w:rsidP="00FE3FA3">
      <w:pPr>
        <w:autoSpaceDE w:val="0"/>
        <w:autoSpaceDN w:val="0"/>
        <w:spacing w:before="288" w:after="240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Полученная методика и ее первое воплощение заложили основу для создания версий системы для каждой потенциальной пилотной страны.  Система состоит из трех основных субкомпонентов: (a) оценка и сбор данных; (b) обогащение данных и консолидация баз данных; и (c) представление данных для экономического анализа.  Каждый субкомпонент действует на основе независимых модулей, выполняющих функцию, необходимую для работы системы в целом.  Система состоит из следующих субкомпонентов:  </w:t>
      </w:r>
    </w:p>
    <w:p w14:paraId="19E66000" w14:textId="77777777" w:rsidR="00FE3FA3" w:rsidRDefault="00FE3FA3" w:rsidP="00FE3FA3">
      <w:pPr>
        <w:pStyle w:val="Heading3"/>
        <w:numPr>
          <w:ilvl w:val="0"/>
          <w:numId w:val="11"/>
        </w:numPr>
      </w:pPr>
      <w:r>
        <w:t>Сбор и оценка данных</w:t>
      </w:r>
    </w:p>
    <w:p w14:paraId="4AAF2E82" w14:textId="2AFB9E3D" w:rsidR="00510B66" w:rsidRDefault="00FE3FA3" w:rsidP="003D7E26">
      <w:p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Первый субкомпонент системы включает в себя модули подготовки и диагностики данных.  Эти модули предназначены для сбора и агрегирования данных страны-партнера или данных из международных массивов данных.  Первым шагом в разработке данных модулей является сбор необходимых исходных данных ИС и проверка обеспечения максимально возможного наличия данных путем организации нескольких технических совещаний с координаторами ведомства ИС.  В случае Сальвадора сотрудничество с Национальным центром реестров и другими государственными структурами позволило собрать значительный объем данных ИС, исходных данных и информации для проведения дальнейшего анализа.  Впоследствии для стандартизации данных применяются различные методы инженерии данных.  В конечном итоге данный процесс включает тщательную оценку качества данных об ИС, предоставленных ведомством ИС, включая их сравнение с существующими национальными и международными источниками данных об ИС для того, чтобы обеспечить целостность и надежность информации, используемой для целей анализа и разработки политики.  </w:t>
      </w:r>
    </w:p>
    <w:p w14:paraId="76F75827" w14:textId="1A4D752D" w:rsidR="00FE3FA3" w:rsidRPr="008F3AD0" w:rsidRDefault="00FE3FA3" w:rsidP="003D7E26">
      <w:p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Полученные модули подготовки и диагностики данных позволяют: i) применять базовые методы очистки и стандартизации ко всем собранным данным об ИС; и ii) проводить оценку охвата и качества имеющихся данных пилотной страны. </w:t>
      </w:r>
    </w:p>
    <w:p w14:paraId="09FDC895" w14:textId="77777777" w:rsidR="00FE3FA3" w:rsidRDefault="00FE3FA3" w:rsidP="00510B66">
      <w:pPr>
        <w:pStyle w:val="Heading3"/>
        <w:numPr>
          <w:ilvl w:val="0"/>
          <w:numId w:val="11"/>
        </w:numPr>
      </w:pPr>
      <w:r>
        <w:t>Обогащение данных и консолидация баз данных</w:t>
      </w:r>
    </w:p>
    <w:p w14:paraId="4CA82F9E" w14:textId="1F06E008" w:rsidR="00516E90" w:rsidRDefault="00516E90" w:rsidP="00516E90">
      <w:p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Второй субкомпонент разработанной системы включает в себя модули обогащения данных.  Второй набор модулей нацелен на добавление информации к очищенным и сформированным данным об ИС и инновациях, предоставляемым модулями системы первого этапа.  Применяются передовые методы, такие как геокодирование адресов субъектов </w:t>
      </w:r>
      <w:r>
        <w:rPr>
          <w:rFonts w:ascii="ArialMT" w:hAnsi="ArialMT"/>
          <w:i/>
          <w:color w:val="000000" w:themeColor="text1"/>
        </w:rPr>
        <w:t>(</w:t>
      </w:r>
      <w:r>
        <w:rPr>
          <w:rFonts w:ascii="ArialMT" w:hAnsi="ArialMT"/>
          <w:color w:val="000000" w:themeColor="text1"/>
        </w:rPr>
        <w:t xml:space="preserve">например, заявителей, изобретателей или авторов), устранение неоднозначности и классификация субъектов, определение пола, классификация отраслей и технологий, которые обычно используются при анализе данных об ИС и инновациях. </w:t>
      </w:r>
    </w:p>
    <w:p w14:paraId="099FA5CC" w14:textId="47B5F72C" w:rsidR="00516E90" w:rsidRPr="00516E90" w:rsidRDefault="00516E90" w:rsidP="00516E90">
      <w:pPr>
        <w:spacing w:before="288" w:line="245" w:lineRule="auto"/>
        <w:ind w:left="2"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Обогащение данных об ИС и инновациях позволяет повысить аналитический потенциал исходных данных.  Кроме того, модули данного субкомпонента обеспечивают консолидацию данных в стандартизированную, обогащенную базу данных, готовую к использованию для целей анализа.  В результате консолидированная база данных становится для аналитиков, экономистов, статистиков и других пользователей ведомства ИС полноценным источником данных для подготовки ими отчетности и для их исследовательской деятельности.  </w:t>
      </w:r>
    </w:p>
    <w:p w14:paraId="5EBE90BC" w14:textId="4663EFF5" w:rsidR="00516E90" w:rsidRDefault="00516E90" w:rsidP="00516E90">
      <w:pPr>
        <w:pStyle w:val="Heading3"/>
        <w:numPr>
          <w:ilvl w:val="0"/>
          <w:numId w:val="11"/>
        </w:numPr>
      </w:pPr>
      <w:r>
        <w:t>Исходные данные для экономического анализа</w:t>
      </w:r>
    </w:p>
    <w:p w14:paraId="4871311E" w14:textId="0A0D47F9" w:rsidR="00EB5415" w:rsidRDefault="00EB5415" w:rsidP="001B7C18">
      <w:p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Третий субкомпонент разработанной системы включает в себя модули получения исходных данных для экономического анализа.  Эти модули содержат тематические показатели, таблицы и рисунки, отражающие несколько аспектов экосистемы инноваций и использования ИС в ее рамках.  Темы охватывают как стандартные аспекты, такие как использование ИС в экономической среде Сальвадора (национальной и глобальной), так и более сложные, такие как инновационный потенциал, гендерное неравенство, география инноваций или сложность инноваций.  Показатели представлены в виде различных типов визуализации, призванных донести до аналитиков, экономистов и политиков ключевую полезную информацию.</w:t>
      </w:r>
    </w:p>
    <w:p w14:paraId="060284C8" w14:textId="77078809" w:rsidR="00EB5415" w:rsidRDefault="00EB5415" w:rsidP="001B7C18">
      <w:pPr>
        <w:spacing w:before="288" w:line="245" w:lineRule="auto"/>
        <w:ind w:left="2"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Результаты анализа по каждому из аспектов будут предоставлены заинтересованным сторонам пилотной страны вместе с соответствующим обучением.  Некоторые из полученных результатов будут использованы для подготовки экономического исследования, которое будет представлено в ходе учебных занятий.  Стратегия обучения и исследование описаны в следующем разделе.</w:t>
      </w:r>
    </w:p>
    <w:p w14:paraId="48D65AC0" w14:textId="77777777" w:rsidR="00FE3FA3" w:rsidRPr="00FE3FA3" w:rsidRDefault="00FE3FA3" w:rsidP="00FE3FA3"/>
    <w:p w14:paraId="7E414675" w14:textId="5B0FE9FF" w:rsidR="000D3411" w:rsidRPr="0017301A" w:rsidRDefault="00233410" w:rsidP="0098522C">
      <w:pPr>
        <w:pStyle w:val="Heading2"/>
        <w:keepLines/>
        <w:numPr>
          <w:ilvl w:val="0"/>
          <w:numId w:val="8"/>
        </w:numPr>
        <w:spacing w:before="200" w:after="240" w:line="276" w:lineRule="auto"/>
        <w:rPr>
          <w:szCs w:val="22"/>
        </w:rPr>
      </w:pPr>
      <w:r>
        <w:t>СТРАТЕГИЯ РАСПРОСТРАНЕНИЯ</w:t>
      </w:r>
    </w:p>
    <w:p w14:paraId="17858F07" w14:textId="01AA7F50" w:rsidR="00233410" w:rsidRPr="00233410" w:rsidRDefault="00233410" w:rsidP="00233410">
      <w:p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Методика и результаты проекта будут распространяться по нескольким каналам:</w:t>
      </w:r>
    </w:p>
    <w:p w14:paraId="36F70E1B" w14:textId="0C8F09DE" w:rsidR="001E5B60" w:rsidRDefault="00233410" w:rsidP="00233410">
      <w:pPr>
        <w:pStyle w:val="ListParagraph"/>
        <w:numPr>
          <w:ilvl w:val="0"/>
          <w:numId w:val="14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все коды, написанные для трех субкомпонентов, состоящих из модулей, будут опубликованы в воспроизводимых форматах в виде скриптов для программного обеспечения с открытым исходным кодом </w:t>
      </w:r>
      <w:r>
        <w:rPr>
          <w:rFonts w:ascii="ArialMT" w:hAnsi="ArialMT"/>
          <w:i/>
          <w:color w:val="000000" w:themeColor="text1"/>
        </w:rPr>
        <w:t>(</w:t>
      </w:r>
      <w:r>
        <w:rPr>
          <w:rFonts w:ascii="ArialMT" w:hAnsi="ArialMT"/>
          <w:color w:val="000000" w:themeColor="text1"/>
        </w:rPr>
        <w:t>например, с использованием SQL и Python) и на платформах для совместной работы, таких как GitHub;</w:t>
      </w:r>
    </w:p>
    <w:p w14:paraId="143EE498" w14:textId="05ADD63D" w:rsidR="001E5B60" w:rsidRDefault="001E5B60" w:rsidP="00233410">
      <w:pPr>
        <w:pStyle w:val="ListParagraph"/>
        <w:numPr>
          <w:ilvl w:val="0"/>
          <w:numId w:val="14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интерактивные примеры использования различных модулей и создания тематических показателей, таблиц и рисунков будут представлены в различных формах (например, в виде блокнотов Jupyter и интерактивных информационных панелей); и</w:t>
      </w:r>
    </w:p>
    <w:p w14:paraId="3D289065" w14:textId="0E5D1F89" w:rsidR="00233410" w:rsidRPr="001E5B60" w:rsidRDefault="00233410" w:rsidP="00233410">
      <w:pPr>
        <w:pStyle w:val="ListParagraph"/>
        <w:numPr>
          <w:ilvl w:val="0"/>
          <w:numId w:val="14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все модули и предварительные результаты будут распространяться посредством проведения технических учебных практикумов, предназначенных для различных групп пользователей из участвующего ведомства ИС и других государственных учреждений.  Это обучение направлено на укрепление человеческого потенциала, развитие сотрудничества и максимальное усиление воздействия проекта на различные группы заинтересованных сторон.</w:t>
      </w:r>
    </w:p>
    <w:p w14:paraId="5838488F" w14:textId="258F942A" w:rsidR="00233410" w:rsidRPr="00233410" w:rsidRDefault="00233410" w:rsidP="00233410">
      <w:p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Будет подготовлен набор учебных материалов, которые позволят целевым пользователям получить навыки и знания, необходимые для того, чтобы самостоятельно управлять системой для получения практических результатов.  Будут рассмотрены три целевые группы пользователей: </w:t>
      </w:r>
    </w:p>
    <w:p w14:paraId="6D05D89C" w14:textId="2894FE70" w:rsidR="001E5B60" w:rsidRDefault="00233410" w:rsidP="00233410">
      <w:pPr>
        <w:pStyle w:val="ListParagraph"/>
        <w:numPr>
          <w:ilvl w:val="0"/>
          <w:numId w:val="15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Лица, ответственные за формирование политики: будут обучены тому, как интерпретировать показатели ИС и инноваций, полученные с помощью аналитических модулей, что позволит им принимать обоснованные решения и разрабатывать эффективные меры политики на основе результатов работы системы. </w:t>
      </w:r>
    </w:p>
    <w:p w14:paraId="33BDFDD0" w14:textId="76F1E647" w:rsidR="001E5B60" w:rsidRDefault="00233410" w:rsidP="00233410">
      <w:pPr>
        <w:pStyle w:val="ListParagraph"/>
        <w:numPr>
          <w:ilvl w:val="0"/>
          <w:numId w:val="15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Аналитики данных, статистики и экономисты: будут обучены тому, как использовать аналитические модули, чтобы делать на основе данных выводы, значимые для целей выработки политики.</w:t>
      </w:r>
    </w:p>
    <w:p w14:paraId="61F7CC08" w14:textId="391C1898" w:rsidR="000D3411" w:rsidRPr="00524A41" w:rsidRDefault="00233410" w:rsidP="000D3411">
      <w:pPr>
        <w:pStyle w:val="ListParagraph"/>
        <w:numPr>
          <w:ilvl w:val="0"/>
          <w:numId w:val="15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>Лица, ответственные за управление данными: будут обучены тому, как использовать модули подготовки и обогащения данных, что даст им навыки, необходимые для эффективного управления и обогащения своих национальных источников данных.</w:t>
      </w:r>
    </w:p>
    <w:p w14:paraId="2CA1E768" w14:textId="28D2D8FF" w:rsidR="00233410" w:rsidRPr="00233410" w:rsidRDefault="00233410" w:rsidP="000D3411">
      <w:pPr>
        <w:pStyle w:val="Heading2"/>
        <w:keepLines/>
        <w:numPr>
          <w:ilvl w:val="0"/>
          <w:numId w:val="8"/>
        </w:numPr>
        <w:spacing w:before="200" w:after="240" w:line="276" w:lineRule="auto"/>
        <w:rPr>
          <w:szCs w:val="22"/>
        </w:rPr>
      </w:pPr>
      <w:r>
        <w:t>ИЗВЛЕЧЕННЫЕ УРОКИ И СЛЕДУЮЩИЕ ШАГИ</w:t>
      </w:r>
    </w:p>
    <w:p w14:paraId="066E1CA0" w14:textId="2F282C5C" w:rsidR="00233410" w:rsidRDefault="00233410" w:rsidP="00233410">
      <w:pPr>
        <w:spacing w:before="288" w:line="245" w:lineRule="auto"/>
        <w:ind w:left="2"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При разработке первой версии системы были выявлены следующие проблемы: </w:t>
      </w:r>
    </w:p>
    <w:p w14:paraId="13CC6200" w14:textId="45377DA8" w:rsidR="007510DB" w:rsidRDefault="008F5474" w:rsidP="007510DB">
      <w:pPr>
        <w:pStyle w:val="ListParagraph"/>
        <w:numPr>
          <w:ilvl w:val="0"/>
          <w:numId w:val="16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Непростой задачей было определение правильного баланса между внутренними и внешними навыками, необходимыми для разработки и внедрения системы.  Внедрение системы потребовало необычного сочетания передовых знаний в области данных ИС, показателей ИС и инноваций, а также программирования.  Аналогичным образом дополнительных технических навыков требует разработка и реализация стратегии распространения информации. </w:t>
      </w:r>
    </w:p>
    <w:p w14:paraId="26B9CDD4" w14:textId="61D61AE0" w:rsidR="00D86B4A" w:rsidRDefault="008F5474" w:rsidP="00D86B4A">
      <w:pPr>
        <w:pStyle w:val="ListParagraph"/>
        <w:numPr>
          <w:ilvl w:val="0"/>
          <w:numId w:val="16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Обеспечение доступа к данным потребовало согласования с различными институциональными структурами как в стране-участнице пилотного проекта, так и в Секретариате. </w:t>
      </w:r>
    </w:p>
    <w:p w14:paraId="466C395A" w14:textId="276275AE" w:rsidR="00233410" w:rsidRPr="00D86B4A" w:rsidRDefault="008F5474" w:rsidP="00D86B4A">
      <w:pPr>
        <w:pStyle w:val="ListParagraph"/>
        <w:numPr>
          <w:ilvl w:val="0"/>
          <w:numId w:val="16"/>
        </w:numPr>
        <w:spacing w:before="288" w:line="245" w:lineRule="auto"/>
        <w:ind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Потребовались значительные усилия для того, чтобы проанализировать и определить, какие компоненты следует включить в первую версию системы. </w:t>
      </w:r>
    </w:p>
    <w:p w14:paraId="65244636" w14:textId="4CFE8090" w:rsidR="00233410" w:rsidRDefault="00233410" w:rsidP="00D86B4A">
      <w:pPr>
        <w:spacing w:before="288" w:line="245" w:lineRule="auto"/>
        <w:ind w:left="2" w:right="144"/>
        <w:rPr>
          <w:rFonts w:ascii="ArialMT" w:eastAsia="ArialMT" w:hAnsi="ArialMT"/>
          <w:color w:val="000000" w:themeColor="text1"/>
        </w:rPr>
      </w:pPr>
      <w:r>
        <w:rPr>
          <w:rFonts w:ascii="ArialMT" w:hAnsi="ArialMT"/>
          <w:color w:val="000000" w:themeColor="text1"/>
        </w:rPr>
        <w:t xml:space="preserve">Эти проблемы, однако, послужили ценными возможностями для обучения, подчеркнув важность адаптивности и стойкости перед лицом трудностей при реализации проекта.  Извлеченные уроки в дальнейшем станут бесценным источником информации для последующих пилотных стран.  Следующими этапами станут проведение ВОИС обучения в пилотной стране № 1 и внедрение усовершенствованных версий системы в пилотных странах № 2 и 3.  Благодаря активному внедрению решений на основе извлеченных уроков и совместному планированию следующих шагов в рамках проекта сохраняется способность преодолевать трудности и добиваться устойчивого прогресса в разработке запланированного набора практических результатов. </w:t>
      </w:r>
    </w:p>
    <w:p w14:paraId="148326A4" w14:textId="77777777" w:rsidR="00233410" w:rsidRDefault="00233410" w:rsidP="000D3411">
      <w:pPr>
        <w:rPr>
          <w:color w:val="2B2C28"/>
        </w:rPr>
      </w:pPr>
    </w:p>
    <w:p w14:paraId="7A5B3854" w14:textId="77777777" w:rsidR="000D3411" w:rsidRPr="0017301A" w:rsidRDefault="000D3411" w:rsidP="000D3411">
      <w:pPr>
        <w:pStyle w:val="Endofdocument-Annex"/>
        <w:spacing w:before="720"/>
        <w:ind w:left="5530"/>
      </w:pPr>
      <w:r>
        <w:t>[Конец приложения и документа]</w:t>
      </w:r>
    </w:p>
    <w:p w14:paraId="188CDE29" w14:textId="77777777" w:rsidR="000D3411" w:rsidRPr="00EC59D1" w:rsidRDefault="000D3411" w:rsidP="000D3411">
      <w:pPr>
        <w:rPr>
          <w:color w:val="2B2C28"/>
          <w:szCs w:val="22"/>
        </w:rPr>
      </w:pPr>
    </w:p>
    <w:p w14:paraId="6F33973E" w14:textId="77777777" w:rsidR="002326AB" w:rsidRDefault="002326AB" w:rsidP="00A8389F">
      <w:pPr>
        <w:spacing w:after="240"/>
      </w:pPr>
    </w:p>
    <w:sectPr w:rsidR="002326AB" w:rsidSect="00277C28">
      <w:headerReference w:type="default" r:id="rId16"/>
      <w:headerReference w:type="first" r:id="rId17"/>
      <w:endnotePr>
        <w:numFmt w:val="decimal"/>
      </w:endnotePr>
      <w:pgSz w:w="11907" w:h="16840" w:code="9"/>
      <w:pgMar w:top="562" w:right="1138" w:bottom="1411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EC9C" w14:textId="77777777" w:rsidR="000A7937" w:rsidRDefault="000A7937">
      <w:r>
        <w:separator/>
      </w:r>
    </w:p>
  </w:endnote>
  <w:endnote w:type="continuationSeparator" w:id="0">
    <w:p w14:paraId="1EA8A49B" w14:textId="77777777" w:rsidR="000A7937" w:rsidRDefault="000A7937" w:rsidP="003B38C1">
      <w:r>
        <w:separator/>
      </w:r>
    </w:p>
    <w:p w14:paraId="46BF9A36" w14:textId="77777777" w:rsidR="000A7937" w:rsidRPr="00137896" w:rsidRDefault="000A7937" w:rsidP="003B38C1">
      <w:pPr>
        <w:spacing w:after="60"/>
        <w:rPr>
          <w:sz w:val="17"/>
          <w:lang w:val="en-US"/>
        </w:rPr>
      </w:pPr>
      <w:r w:rsidRPr="00137896">
        <w:rPr>
          <w:sz w:val="17"/>
          <w:lang w:val="en-US"/>
        </w:rPr>
        <w:t>[Endnote continued from previous page]</w:t>
      </w:r>
    </w:p>
  </w:endnote>
  <w:endnote w:type="continuationNotice" w:id="1">
    <w:p w14:paraId="74A4B10B" w14:textId="77777777" w:rsidR="000A7937" w:rsidRPr="00137896" w:rsidRDefault="000A7937" w:rsidP="003B38C1">
      <w:pPr>
        <w:spacing w:before="60"/>
        <w:jc w:val="right"/>
        <w:rPr>
          <w:sz w:val="17"/>
          <w:szCs w:val="17"/>
          <w:lang w:val="en-US"/>
        </w:rPr>
      </w:pPr>
      <w:r w:rsidRPr="0013789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B32F" w14:textId="77777777" w:rsidR="003F7D95" w:rsidRDefault="003F7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A942" w14:textId="77777777" w:rsidR="003F7D95" w:rsidRDefault="003F7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FB16" w14:textId="77777777" w:rsidR="003F7D95" w:rsidRDefault="003F7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5FA8" w14:textId="77777777" w:rsidR="000A7937" w:rsidRDefault="000A7937">
      <w:r>
        <w:separator/>
      </w:r>
    </w:p>
  </w:footnote>
  <w:footnote w:type="continuationSeparator" w:id="0">
    <w:p w14:paraId="4EFFF94B" w14:textId="77777777" w:rsidR="000A7937" w:rsidRDefault="000A7937" w:rsidP="008B60B2">
      <w:r>
        <w:separator/>
      </w:r>
    </w:p>
    <w:p w14:paraId="4D0B92FA" w14:textId="77777777" w:rsidR="000A7937" w:rsidRPr="00137896" w:rsidRDefault="000A7937" w:rsidP="008B60B2">
      <w:pPr>
        <w:spacing w:after="60"/>
        <w:rPr>
          <w:sz w:val="17"/>
          <w:szCs w:val="17"/>
          <w:lang w:val="en-US"/>
        </w:rPr>
      </w:pPr>
      <w:r w:rsidRPr="0013789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E09D616" w14:textId="77777777" w:rsidR="000A7937" w:rsidRPr="00137896" w:rsidRDefault="000A7937" w:rsidP="008B60B2">
      <w:pPr>
        <w:spacing w:before="60"/>
        <w:jc w:val="right"/>
        <w:rPr>
          <w:sz w:val="17"/>
          <w:szCs w:val="17"/>
          <w:lang w:val="en-US"/>
        </w:rPr>
      </w:pPr>
      <w:r w:rsidRPr="0013789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7E99" w14:textId="77777777" w:rsidR="003F7D95" w:rsidRDefault="003F7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02C5" w14:textId="77777777" w:rsidR="00D07C78" w:rsidRPr="002326AB" w:rsidRDefault="000D3411" w:rsidP="00477D6B">
    <w:pPr>
      <w:jc w:val="right"/>
      <w:rPr>
        <w:caps/>
      </w:rPr>
    </w:pPr>
    <w:bookmarkStart w:id="4" w:name="Code2"/>
    <w:bookmarkEnd w:id="4"/>
    <w:r>
      <w:rPr>
        <w:caps/>
      </w:rPr>
      <w:t>CDIP/31/INF/2</w:t>
    </w:r>
  </w:p>
  <w:p w14:paraId="46532FCF" w14:textId="77777777" w:rsidR="00827E3F" w:rsidRDefault="00827E3F" w:rsidP="00827E3F">
    <w:pPr>
      <w:pStyle w:val="Header"/>
      <w:jc w:val="right"/>
    </w:pPr>
    <w:r>
      <w:t xml:space="preserve">Приложение, стр. </w:t>
    </w:r>
    <w:sdt>
      <w:sdtPr>
        <w:id w:val="13536877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8FA">
          <w:t>2</w:t>
        </w:r>
        <w:r>
          <w:fldChar w:fldCharType="end"/>
        </w:r>
      </w:sdtContent>
    </w:sdt>
  </w:p>
  <w:p w14:paraId="005DF5F0" w14:textId="77777777" w:rsidR="00D07C78" w:rsidRDefault="00D07C78" w:rsidP="00477D6B">
    <w:pPr>
      <w:jc w:val="right"/>
    </w:pPr>
  </w:p>
  <w:p w14:paraId="2FB0B495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C91F" w14:textId="77777777" w:rsidR="003F7D95" w:rsidRDefault="003F7D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CA7B" w14:textId="657205CC" w:rsidR="00827E3F" w:rsidRPr="002326AB" w:rsidRDefault="00827E3F" w:rsidP="00477D6B">
    <w:pPr>
      <w:jc w:val="right"/>
      <w:rPr>
        <w:caps/>
      </w:rPr>
    </w:pPr>
    <w:r>
      <w:rPr>
        <w:caps/>
      </w:rPr>
      <w:t>CDIP/32/INF/2</w:t>
    </w:r>
  </w:p>
  <w:p w14:paraId="1E1288F5" w14:textId="4CD8FAD7" w:rsidR="00827E3F" w:rsidRDefault="00827E3F" w:rsidP="00827E3F">
    <w:pPr>
      <w:pStyle w:val="Header"/>
      <w:jc w:val="right"/>
    </w:pPr>
    <w:r>
      <w:t xml:space="preserve">Приложение, стр. </w:t>
    </w:r>
    <w:sdt>
      <w:sdtPr>
        <w:id w:val="8166893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22C">
          <w:t>2</w:t>
        </w:r>
        <w:r>
          <w:fldChar w:fldCharType="end"/>
        </w:r>
      </w:sdtContent>
    </w:sdt>
  </w:p>
  <w:p w14:paraId="481CE24A" w14:textId="77777777" w:rsidR="00827E3F" w:rsidRDefault="00827E3F" w:rsidP="00477D6B">
    <w:pPr>
      <w:jc w:val="right"/>
    </w:pPr>
  </w:p>
  <w:p w14:paraId="17220F12" w14:textId="77777777" w:rsidR="00827E3F" w:rsidRDefault="00827E3F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8AC9" w14:textId="27836528" w:rsidR="000D3411" w:rsidRDefault="000D3411" w:rsidP="000D3411">
    <w:pPr>
      <w:jc w:val="right"/>
      <w:rPr>
        <w:caps/>
      </w:rPr>
    </w:pPr>
    <w:r>
      <w:rPr>
        <w:caps/>
      </w:rPr>
      <w:t>CDIP/32/INF/2</w:t>
    </w:r>
  </w:p>
  <w:p w14:paraId="23FD24FA" w14:textId="77777777" w:rsidR="000D3411" w:rsidRPr="002326AB" w:rsidRDefault="000D3411" w:rsidP="000D3411">
    <w:pPr>
      <w:jc w:val="right"/>
      <w:rPr>
        <w:caps/>
      </w:rPr>
    </w:pPr>
    <w:r>
      <w:rPr>
        <w:caps/>
      </w:rPr>
      <w:t>ПРИЛОЖЕНИЕ</w:t>
    </w:r>
  </w:p>
  <w:p w14:paraId="41804A23" w14:textId="77777777" w:rsidR="000D3411" w:rsidRDefault="000D3411">
    <w:pPr>
      <w:pStyle w:val="Header"/>
    </w:pPr>
  </w:p>
  <w:p w14:paraId="71A8E6D8" w14:textId="77777777" w:rsidR="000D3411" w:rsidRDefault="000D3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33513C"/>
    <w:multiLevelType w:val="hybridMultilevel"/>
    <w:tmpl w:val="4304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3A248F1"/>
    <w:multiLevelType w:val="hybridMultilevel"/>
    <w:tmpl w:val="185CE95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02D6"/>
    <w:multiLevelType w:val="hybridMultilevel"/>
    <w:tmpl w:val="A54A9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5615F"/>
    <w:multiLevelType w:val="hybridMultilevel"/>
    <w:tmpl w:val="547C86E6"/>
    <w:lvl w:ilvl="0" w:tplc="8A44C288">
      <w:start w:val="13"/>
      <w:numFmt w:val="bullet"/>
      <w:lvlText w:val="-"/>
      <w:lvlJc w:val="left"/>
      <w:pPr>
        <w:ind w:left="684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3FEF76E6"/>
    <w:multiLevelType w:val="hybridMultilevel"/>
    <w:tmpl w:val="5F944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D2B46"/>
    <w:multiLevelType w:val="hybridMultilevel"/>
    <w:tmpl w:val="767CD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30082"/>
    <w:multiLevelType w:val="hybridMultilevel"/>
    <w:tmpl w:val="552868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1026"/>
    <w:multiLevelType w:val="hybridMultilevel"/>
    <w:tmpl w:val="EB8C0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B3C51"/>
    <w:multiLevelType w:val="hybridMultilevel"/>
    <w:tmpl w:val="85A814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F3BA6"/>
    <w:multiLevelType w:val="hybridMultilevel"/>
    <w:tmpl w:val="5028774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99260">
    <w:abstractNumId w:val="3"/>
  </w:num>
  <w:num w:numId="2" w16cid:durableId="2135323000">
    <w:abstractNumId w:val="9"/>
  </w:num>
  <w:num w:numId="3" w16cid:durableId="7872282">
    <w:abstractNumId w:val="0"/>
  </w:num>
  <w:num w:numId="4" w16cid:durableId="666858223">
    <w:abstractNumId w:val="10"/>
  </w:num>
  <w:num w:numId="5" w16cid:durableId="1960263288">
    <w:abstractNumId w:val="1"/>
  </w:num>
  <w:num w:numId="6" w16cid:durableId="953440592">
    <w:abstractNumId w:val="4"/>
  </w:num>
  <w:num w:numId="7" w16cid:durableId="503521275">
    <w:abstractNumId w:val="7"/>
  </w:num>
  <w:num w:numId="8" w16cid:durableId="638920625">
    <w:abstractNumId w:val="14"/>
  </w:num>
  <w:num w:numId="9" w16cid:durableId="1822845765">
    <w:abstractNumId w:val="15"/>
  </w:num>
  <w:num w:numId="10" w16cid:durableId="988285920">
    <w:abstractNumId w:val="6"/>
  </w:num>
  <w:num w:numId="11" w16cid:durableId="1227914524">
    <w:abstractNumId w:val="13"/>
  </w:num>
  <w:num w:numId="12" w16cid:durableId="940062553">
    <w:abstractNumId w:val="12"/>
  </w:num>
  <w:num w:numId="13" w16cid:durableId="389422000">
    <w:abstractNumId w:val="5"/>
  </w:num>
  <w:num w:numId="14" w16cid:durableId="1549801117">
    <w:abstractNumId w:val="8"/>
  </w:num>
  <w:num w:numId="15" w16cid:durableId="145321000">
    <w:abstractNumId w:val="2"/>
  </w:num>
  <w:num w:numId="16" w16cid:durableId="1164122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11"/>
    <w:rsid w:val="00007F76"/>
    <w:rsid w:val="00013596"/>
    <w:rsid w:val="0003405E"/>
    <w:rsid w:val="00043CAA"/>
    <w:rsid w:val="00056816"/>
    <w:rsid w:val="00075432"/>
    <w:rsid w:val="000809AE"/>
    <w:rsid w:val="000968ED"/>
    <w:rsid w:val="000A3D97"/>
    <w:rsid w:val="000A7937"/>
    <w:rsid w:val="000B5120"/>
    <w:rsid w:val="000D3411"/>
    <w:rsid w:val="000D6F09"/>
    <w:rsid w:val="000E10F0"/>
    <w:rsid w:val="000E13B2"/>
    <w:rsid w:val="000F5E56"/>
    <w:rsid w:val="001362EE"/>
    <w:rsid w:val="00137896"/>
    <w:rsid w:val="00146057"/>
    <w:rsid w:val="001647D5"/>
    <w:rsid w:val="001673B1"/>
    <w:rsid w:val="0017301A"/>
    <w:rsid w:val="001832A6"/>
    <w:rsid w:val="001958A9"/>
    <w:rsid w:val="001A761F"/>
    <w:rsid w:val="001B0702"/>
    <w:rsid w:val="001B7C18"/>
    <w:rsid w:val="001C02B7"/>
    <w:rsid w:val="001D4107"/>
    <w:rsid w:val="001E5B60"/>
    <w:rsid w:val="00203D24"/>
    <w:rsid w:val="0021217E"/>
    <w:rsid w:val="002326AB"/>
    <w:rsid w:val="00233410"/>
    <w:rsid w:val="0023469A"/>
    <w:rsid w:val="00243430"/>
    <w:rsid w:val="00255DFA"/>
    <w:rsid w:val="002634C4"/>
    <w:rsid w:val="00277C28"/>
    <w:rsid w:val="002830BA"/>
    <w:rsid w:val="002928D3"/>
    <w:rsid w:val="00294DAC"/>
    <w:rsid w:val="002D58DB"/>
    <w:rsid w:val="002F1FE6"/>
    <w:rsid w:val="002F4E68"/>
    <w:rsid w:val="00312F7F"/>
    <w:rsid w:val="00336EAA"/>
    <w:rsid w:val="00361450"/>
    <w:rsid w:val="003673CF"/>
    <w:rsid w:val="00381834"/>
    <w:rsid w:val="003845C1"/>
    <w:rsid w:val="0038471A"/>
    <w:rsid w:val="003920CB"/>
    <w:rsid w:val="0039607A"/>
    <w:rsid w:val="003A6F89"/>
    <w:rsid w:val="003B38C1"/>
    <w:rsid w:val="003C34E9"/>
    <w:rsid w:val="003C63E4"/>
    <w:rsid w:val="003D7E26"/>
    <w:rsid w:val="003E2CDA"/>
    <w:rsid w:val="003E694B"/>
    <w:rsid w:val="003F7D90"/>
    <w:rsid w:val="003F7D95"/>
    <w:rsid w:val="00423E3E"/>
    <w:rsid w:val="00427AF4"/>
    <w:rsid w:val="0045321E"/>
    <w:rsid w:val="004647DA"/>
    <w:rsid w:val="00474062"/>
    <w:rsid w:val="00477D6B"/>
    <w:rsid w:val="004802BA"/>
    <w:rsid w:val="004F29E0"/>
    <w:rsid w:val="004F35E4"/>
    <w:rsid w:val="005019FF"/>
    <w:rsid w:val="00510B66"/>
    <w:rsid w:val="00515175"/>
    <w:rsid w:val="00516E90"/>
    <w:rsid w:val="0052317B"/>
    <w:rsid w:val="00524A41"/>
    <w:rsid w:val="0053057A"/>
    <w:rsid w:val="00556076"/>
    <w:rsid w:val="00560A29"/>
    <w:rsid w:val="00585BBB"/>
    <w:rsid w:val="005C6649"/>
    <w:rsid w:val="005D2117"/>
    <w:rsid w:val="005E2DB2"/>
    <w:rsid w:val="005F68A1"/>
    <w:rsid w:val="00604038"/>
    <w:rsid w:val="00605827"/>
    <w:rsid w:val="00617EFC"/>
    <w:rsid w:val="00646050"/>
    <w:rsid w:val="006506EB"/>
    <w:rsid w:val="006713CA"/>
    <w:rsid w:val="00676C5C"/>
    <w:rsid w:val="006A2895"/>
    <w:rsid w:val="006B3D09"/>
    <w:rsid w:val="006C4247"/>
    <w:rsid w:val="006D2EA9"/>
    <w:rsid w:val="006E74B6"/>
    <w:rsid w:val="006F1984"/>
    <w:rsid w:val="00712966"/>
    <w:rsid w:val="00720EFD"/>
    <w:rsid w:val="0074220E"/>
    <w:rsid w:val="007510DB"/>
    <w:rsid w:val="00751E71"/>
    <w:rsid w:val="00776D0F"/>
    <w:rsid w:val="007854AF"/>
    <w:rsid w:val="00793A7C"/>
    <w:rsid w:val="007A398A"/>
    <w:rsid w:val="007D1613"/>
    <w:rsid w:val="007D1D9E"/>
    <w:rsid w:val="007E4C0E"/>
    <w:rsid w:val="007F2EB0"/>
    <w:rsid w:val="007F5939"/>
    <w:rsid w:val="00807CD4"/>
    <w:rsid w:val="00827E3F"/>
    <w:rsid w:val="00834FE1"/>
    <w:rsid w:val="00863A43"/>
    <w:rsid w:val="00877D3A"/>
    <w:rsid w:val="00877F08"/>
    <w:rsid w:val="00891DB3"/>
    <w:rsid w:val="008A134B"/>
    <w:rsid w:val="008A4658"/>
    <w:rsid w:val="008B2CC1"/>
    <w:rsid w:val="008B60B2"/>
    <w:rsid w:val="008C32BC"/>
    <w:rsid w:val="008E5ED0"/>
    <w:rsid w:val="008F5474"/>
    <w:rsid w:val="009033EB"/>
    <w:rsid w:val="0090731E"/>
    <w:rsid w:val="0091554D"/>
    <w:rsid w:val="00916EE2"/>
    <w:rsid w:val="0096509D"/>
    <w:rsid w:val="00966A22"/>
    <w:rsid w:val="0096722F"/>
    <w:rsid w:val="00980843"/>
    <w:rsid w:val="0098522C"/>
    <w:rsid w:val="00995405"/>
    <w:rsid w:val="009A217A"/>
    <w:rsid w:val="009C537C"/>
    <w:rsid w:val="009E2791"/>
    <w:rsid w:val="009E3F6F"/>
    <w:rsid w:val="009F499F"/>
    <w:rsid w:val="00A252FE"/>
    <w:rsid w:val="00A3693D"/>
    <w:rsid w:val="00A37342"/>
    <w:rsid w:val="00A42DAF"/>
    <w:rsid w:val="00A45BD8"/>
    <w:rsid w:val="00A50FCE"/>
    <w:rsid w:val="00A766B8"/>
    <w:rsid w:val="00A8389F"/>
    <w:rsid w:val="00A869B7"/>
    <w:rsid w:val="00A90F0A"/>
    <w:rsid w:val="00AB2807"/>
    <w:rsid w:val="00AC0955"/>
    <w:rsid w:val="00AC205C"/>
    <w:rsid w:val="00AC5A23"/>
    <w:rsid w:val="00AD6F23"/>
    <w:rsid w:val="00AF0A6B"/>
    <w:rsid w:val="00B05A69"/>
    <w:rsid w:val="00B46A55"/>
    <w:rsid w:val="00B50268"/>
    <w:rsid w:val="00B52735"/>
    <w:rsid w:val="00B73D1D"/>
    <w:rsid w:val="00B75281"/>
    <w:rsid w:val="00B761D0"/>
    <w:rsid w:val="00B92F1F"/>
    <w:rsid w:val="00B9734B"/>
    <w:rsid w:val="00BA30E2"/>
    <w:rsid w:val="00BA4CF1"/>
    <w:rsid w:val="00BD7189"/>
    <w:rsid w:val="00BE2CA0"/>
    <w:rsid w:val="00C11BFE"/>
    <w:rsid w:val="00C408FA"/>
    <w:rsid w:val="00C5068F"/>
    <w:rsid w:val="00C86D74"/>
    <w:rsid w:val="00CA24D5"/>
    <w:rsid w:val="00CA5149"/>
    <w:rsid w:val="00CD04F1"/>
    <w:rsid w:val="00CF681A"/>
    <w:rsid w:val="00CF6CF7"/>
    <w:rsid w:val="00D07C78"/>
    <w:rsid w:val="00D115FB"/>
    <w:rsid w:val="00D440E0"/>
    <w:rsid w:val="00D45252"/>
    <w:rsid w:val="00D71B4D"/>
    <w:rsid w:val="00D86B4A"/>
    <w:rsid w:val="00D93D55"/>
    <w:rsid w:val="00DD7B7F"/>
    <w:rsid w:val="00DF538E"/>
    <w:rsid w:val="00E15015"/>
    <w:rsid w:val="00E30460"/>
    <w:rsid w:val="00E335FE"/>
    <w:rsid w:val="00E41552"/>
    <w:rsid w:val="00E778D8"/>
    <w:rsid w:val="00EA7D6E"/>
    <w:rsid w:val="00EB2F76"/>
    <w:rsid w:val="00EB5415"/>
    <w:rsid w:val="00EB76CE"/>
    <w:rsid w:val="00EC4E49"/>
    <w:rsid w:val="00ED77FB"/>
    <w:rsid w:val="00EE45FA"/>
    <w:rsid w:val="00EF1650"/>
    <w:rsid w:val="00F043DE"/>
    <w:rsid w:val="00F61F90"/>
    <w:rsid w:val="00F66152"/>
    <w:rsid w:val="00F9165B"/>
    <w:rsid w:val="00FA08E5"/>
    <w:rsid w:val="00FB2FCD"/>
    <w:rsid w:val="00FC482F"/>
    <w:rsid w:val="00FD020C"/>
    <w:rsid w:val="00FD77CC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40657"/>
  <w15:docId w15:val="{EF6ECDF1-C77D-4F1B-93C9-DBB3FD5E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D3411"/>
    <w:pPr>
      <w:ind w:left="720"/>
    </w:pPr>
    <w:rPr>
      <w:rFonts w:ascii="Calibri" w:eastAsiaTheme="minorEastAsia" w:hAnsi="Calibri" w:cs="Calibri"/>
      <w:szCs w:val="22"/>
      <w:lang w:eastAsia="en-US"/>
    </w:rPr>
  </w:style>
  <w:style w:type="paragraph" w:customStyle="1" w:styleId="NormalBODYTEXT">
    <w:name w:val="Normal.BODY TEXT"/>
    <w:rsid w:val="000D3411"/>
    <w:pPr>
      <w:suppressAutoHyphens/>
      <w:jc w:val="both"/>
    </w:pPr>
    <w:rPr>
      <w:rFonts w:eastAsia="Arial"/>
      <w:sz w:val="24"/>
      <w:lang w:eastAsia="ar-SA"/>
    </w:rPr>
  </w:style>
  <w:style w:type="character" w:styleId="Hyperlink">
    <w:name w:val="Hyperlink"/>
    <w:basedOn w:val="DefaultParagraphFont"/>
    <w:unhideWhenUsed/>
    <w:rsid w:val="000D3411"/>
    <w:rPr>
      <w:color w:val="0000FF" w:themeColor="hyperlink"/>
      <w:u w:val="single"/>
    </w:rPr>
  </w:style>
  <w:style w:type="character" w:customStyle="1" w:styleId="Endofdocument-AnnexChar">
    <w:name w:val="[End of document - Annex] Char"/>
    <w:link w:val="Endofdocument-Annex"/>
    <w:rsid w:val="000D3411"/>
    <w:rPr>
      <w:rFonts w:ascii="Arial" w:eastAsia="SimSun" w:hAnsi="Arial" w:cs="Arial"/>
      <w:sz w:val="22"/>
      <w:lang w:val="ru-RU" w:eastAsia="zh-CN"/>
    </w:rPr>
  </w:style>
  <w:style w:type="character" w:customStyle="1" w:styleId="HeaderChar">
    <w:name w:val="Header Char"/>
    <w:basedOn w:val="DefaultParagraphFont"/>
    <w:link w:val="Header"/>
    <w:rsid w:val="000D3411"/>
    <w:rPr>
      <w:rFonts w:ascii="Arial" w:eastAsia="SimSun" w:hAnsi="Arial" w:cs="Arial"/>
      <w:sz w:val="22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9C5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537C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CF6CF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7D9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155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54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554D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1554D"/>
    <w:rPr>
      <w:rFonts w:ascii="Arial" w:eastAsia="SimSun" w:hAnsi="Arial" w:cs="Arial"/>
      <w:b/>
      <w:bCs/>
      <w:sz w:val="18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3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539054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1A8D-8C22-45A3-990C-63DD2296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 (E)</Template>
  <TotalTime>1</TotalTime>
  <Pages>3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CDIP/31/INF/2</vt:lpstr>
    </vt:vector>
  </TitlesOfParts>
  <Company>WIPO</Company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CDIP/31/INF/2</dc:title>
  <dc:subject/>
  <dc:creator>KHAZIN Bassam</dc:creator>
  <cp:keywords>FOR OFFICIAL USE ONLY</cp:keywords>
  <dc:description/>
  <cp:lastModifiedBy>ESTEVES DOS SANTOS Anabela</cp:lastModifiedBy>
  <cp:revision>3</cp:revision>
  <cp:lastPrinted>2011-02-15T11:56:00Z</cp:lastPrinted>
  <dcterms:created xsi:type="dcterms:W3CDTF">2024-03-07T14:38:00Z</dcterms:created>
  <dcterms:modified xsi:type="dcterms:W3CDTF">2024-03-08T15:37:00Z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2023-07-20T13:30:46Z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22ec67a1-7769-4004-aa0f-91dbf566358d</vt:lpwstr>
  </property>
  <property fmtid="{D5CDD505-2E9C-101B-9397-08002B2CF9AE}" pid="14" name="MSIP_Label_20773ee6-353b-4fb9-a59d-0b94c8c67bea_ContentBits">
    <vt:lpwstr>0</vt:lpwstr>
  </property>
</Properties>
</file>