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2872" w14:textId="3C16E9BA" w:rsidR="002E1251" w:rsidRPr="002E1251" w:rsidRDefault="004E6684" w:rsidP="002E1251">
      <w:pPr>
        <w:pBdr>
          <w:bottom w:val="single" w:sz="4" w:space="11" w:color="auto"/>
        </w:pBdr>
        <w:spacing w:before="360" w:after="240"/>
        <w:jc w:val="right"/>
        <w:rPr>
          <w:rFonts w:ascii="Arial" w:eastAsia="SimSun" w:hAnsi="Arial" w:cs="Arial"/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561166CD" wp14:editId="74A1A554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E639F" w14:textId="53A2DBB1" w:rsidR="002E1251" w:rsidRPr="002E1251" w:rsidRDefault="002E1251" w:rsidP="002E1251">
      <w:pPr>
        <w:jc w:val="right"/>
        <w:rPr>
          <w:rFonts w:ascii="Arial Black" w:eastAsia="SimSun" w:hAnsi="Arial Black" w:cs="Arial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CDIP/33/</w:t>
      </w:r>
      <w:bookmarkStart w:id="0" w:name="Code"/>
      <w:bookmarkEnd w:id="0"/>
      <w:r>
        <w:rPr>
          <w:rFonts w:ascii="Arial Black" w:hAnsi="Arial Black"/>
          <w:caps/>
          <w:sz w:val="15"/>
        </w:rPr>
        <w:t>7</w:t>
      </w:r>
    </w:p>
    <w:p w14:paraId="6910AC2B" w14:textId="00F06F5F" w:rsidR="002E1251" w:rsidRPr="002E1251" w:rsidRDefault="002E1251" w:rsidP="002E1251">
      <w:pPr>
        <w:jc w:val="right"/>
        <w:rPr>
          <w:rFonts w:ascii="Arial Black" w:eastAsia="SimSun" w:hAnsi="Arial Black" w:cs="Arial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  английский</w:t>
      </w:r>
    </w:p>
    <w:bookmarkEnd w:id="1"/>
    <w:p w14:paraId="3FA9CC8E" w14:textId="5C59BFA5" w:rsidR="002E1251" w:rsidRPr="004E6684" w:rsidRDefault="002E1251" w:rsidP="002E1251">
      <w:pPr>
        <w:spacing w:after="1200"/>
        <w:jc w:val="right"/>
        <w:rPr>
          <w:rFonts w:ascii="Arial Black" w:eastAsia="SimSun" w:hAnsi="Arial Black" w:cs="Arial"/>
          <w:caps/>
          <w:sz w:val="15"/>
          <w:szCs w:val="15"/>
        </w:rPr>
      </w:pPr>
      <w:r w:rsidRPr="004E6684">
        <w:rPr>
          <w:rFonts w:ascii="Arial Black" w:hAnsi="Arial Black"/>
          <w:sz w:val="15"/>
          <w:szCs w:val="15"/>
        </w:rPr>
        <w:t>ДАТА:</w:t>
      </w:r>
      <w:bookmarkStart w:id="2" w:name="Date"/>
      <w:r w:rsidRPr="004E6684">
        <w:rPr>
          <w:rFonts w:ascii="Arial Black" w:hAnsi="Arial Black"/>
          <w:sz w:val="15"/>
          <w:szCs w:val="15"/>
        </w:rPr>
        <w:t xml:space="preserve"> 27 </w:t>
      </w:r>
      <w:r w:rsidR="004E6684" w:rsidRPr="004E6684">
        <w:rPr>
          <w:rFonts w:ascii="Arial Black" w:hAnsi="Arial Black"/>
          <w:sz w:val="15"/>
          <w:szCs w:val="15"/>
        </w:rPr>
        <w:t xml:space="preserve">СЕНТЯБРЯ </w:t>
      </w:r>
      <w:r w:rsidRPr="004E6684">
        <w:rPr>
          <w:rFonts w:ascii="Arial Black" w:hAnsi="Arial Black"/>
          <w:sz w:val="15"/>
          <w:szCs w:val="15"/>
        </w:rPr>
        <w:t>2024 г.</w:t>
      </w:r>
    </w:p>
    <w:p w14:paraId="701942BE" w14:textId="77777777" w:rsidR="002E1251" w:rsidRPr="002E1251" w:rsidRDefault="002E1251" w:rsidP="002E1251">
      <w:pPr>
        <w:keepNext/>
        <w:spacing w:after="600"/>
        <w:outlineLvl w:val="0"/>
        <w:rPr>
          <w:rFonts w:ascii="Arial" w:eastAsia="SimSun" w:hAnsi="Arial" w:cs="Arial"/>
          <w:b/>
          <w:bCs/>
          <w:caps/>
          <w:kern w:val="32"/>
          <w:sz w:val="28"/>
          <w:szCs w:val="28"/>
        </w:rPr>
      </w:pPr>
      <w:bookmarkStart w:id="3" w:name="_Toc179462496"/>
      <w:bookmarkEnd w:id="2"/>
      <w:r>
        <w:rPr>
          <w:rFonts w:ascii="Arial" w:hAnsi="Arial"/>
          <w:b/>
          <w:sz w:val="28"/>
        </w:rPr>
        <w:t>Комитет по развитию и интеллектуальной собственности (КРИС)</w:t>
      </w:r>
      <w:bookmarkEnd w:id="3"/>
    </w:p>
    <w:p w14:paraId="14226717" w14:textId="77777777" w:rsidR="002E1251" w:rsidRPr="002E1251" w:rsidRDefault="002E1251" w:rsidP="002E1251">
      <w:pPr>
        <w:spacing w:after="720"/>
        <w:outlineLvl w:val="1"/>
        <w:rPr>
          <w:rFonts w:ascii="Arial" w:eastAsia="SimSun" w:hAnsi="Arial" w:cs="Arial"/>
          <w:b/>
          <w:bCs/>
        </w:rPr>
      </w:pPr>
      <w:bookmarkStart w:id="4" w:name="_Toc179462497"/>
      <w:r>
        <w:rPr>
          <w:rFonts w:ascii="Arial" w:hAnsi="Arial"/>
          <w:b/>
        </w:rPr>
        <w:t>Тридцать третья сессия</w:t>
      </w:r>
      <w:r>
        <w:rPr>
          <w:rFonts w:ascii="Arial" w:hAnsi="Arial"/>
          <w:b/>
        </w:rPr>
        <w:br/>
        <w:t>Женева, 9–13 декабря 2024 года</w:t>
      </w:r>
      <w:bookmarkEnd w:id="4"/>
    </w:p>
    <w:p w14:paraId="06D99EC6" w14:textId="19C56BE5" w:rsidR="002E1251" w:rsidRPr="002E1251" w:rsidRDefault="002E1251" w:rsidP="002E1251">
      <w:pPr>
        <w:keepNext/>
        <w:spacing w:before="240" w:after="360"/>
        <w:outlineLvl w:val="1"/>
        <w:rPr>
          <w:rFonts w:ascii="Arial" w:eastAsia="SimSun" w:hAnsi="Arial" w:cs="Arial"/>
          <w:bCs/>
          <w:iCs/>
          <w:caps/>
        </w:rPr>
      </w:pPr>
      <w:bookmarkStart w:id="5" w:name="_Toc179462498"/>
      <w:r>
        <w:rPr>
          <w:rFonts w:ascii="Arial" w:hAnsi="Arial"/>
        </w:rPr>
        <w:t>ОТЧЕТ ОБ ОЦЕНКЕ ПРОЕКТА «РАСШИРЕНИЕ ИСПОЛЬЗОВАНИЯ ИНТЕЛЛЕКТУАЛЬНОЙ СОБСТВЕННОСТИ ДЛЯ МОБИЛЬНЫХ ПРИЛОЖЕНИЙ В СЕКТОРЕ РАЗРАБОТКИ ПРОГРАММНОГО ОБЕСПЕЧЕНИЯ – ЭТАП II»</w:t>
      </w:r>
      <w:bookmarkEnd w:id="5"/>
    </w:p>
    <w:p w14:paraId="65ACB4FF" w14:textId="32917578" w:rsidR="002E1251" w:rsidRPr="00C5787D" w:rsidRDefault="002E1251" w:rsidP="00067E37">
      <w:pPr>
        <w:keepNext/>
        <w:spacing w:before="240" w:after="960"/>
        <w:outlineLvl w:val="2"/>
        <w:rPr>
          <w:rFonts w:ascii="Arial" w:eastAsia="SimSun" w:hAnsi="Arial" w:cs="Arial"/>
          <w:bCs/>
          <w:i/>
          <w:sz w:val="22"/>
          <w:szCs w:val="26"/>
        </w:rPr>
      </w:pPr>
      <w:bookmarkStart w:id="6" w:name="TitleOfDoc"/>
      <w:bookmarkStart w:id="7" w:name="_Toc179462499"/>
      <w:bookmarkEnd w:id="6"/>
      <w:r>
        <w:rPr>
          <w:rFonts w:ascii="Arial" w:hAnsi="Arial"/>
          <w:i/>
          <w:sz w:val="22"/>
        </w:rPr>
        <w:t>подготовлен г-жой Луизой Остин, независимым оценщиком (Лондон, Соединенное Королевство)</w:t>
      </w:r>
      <w:bookmarkEnd w:id="7"/>
    </w:p>
    <w:p w14:paraId="7398A36A" w14:textId="24251745" w:rsidR="00DB4117" w:rsidRDefault="00F86D5A" w:rsidP="00DB4117">
      <w:pPr>
        <w:pStyle w:val="Default"/>
        <w:rPr>
          <w:rFonts w:ascii="Arial" w:hAnsi="Arial" w:cs="Arial"/>
          <w:sz w:val="22"/>
          <w:szCs w:val="22"/>
        </w:rPr>
      </w:pPr>
      <w:r w:rsidRPr="00C5787D">
        <w:rPr>
          <w:rFonts w:ascii="Arial" w:hAnsi="Arial" w:cs="Arial"/>
          <w:sz w:val="22"/>
        </w:rPr>
        <w:fldChar w:fldCharType="begin"/>
      </w:r>
      <w:r w:rsidRPr="00C5787D">
        <w:rPr>
          <w:rFonts w:ascii="Arial" w:hAnsi="Arial" w:cs="Arial"/>
          <w:sz w:val="22"/>
        </w:rPr>
        <w:instrText xml:space="preserve"> AUTONUM  </w:instrText>
      </w:r>
      <w:r w:rsidRPr="00C5787D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ab/>
        <w:t>В приложении к настоящему документу содержится отчет о внешней независимой оценке проекта «Расширение использования интеллектуальной собственности для мобильных приложений в секторе разработки программного обеспечения – этап II», проведенной г-жой Луизой Остин, независимым оценщиком из Лондона, Соединенное Королевство.</w:t>
      </w:r>
    </w:p>
    <w:p w14:paraId="689523EC" w14:textId="02D47EE4" w:rsidR="00900270" w:rsidRPr="00C5787D" w:rsidRDefault="00900270" w:rsidP="00DB41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B2831E8" w14:textId="1C2A093D" w:rsidR="00DB4117" w:rsidRPr="00C5787D" w:rsidRDefault="00F86D5A" w:rsidP="00900270">
      <w:pPr>
        <w:pStyle w:val="Endofdocument-Annex"/>
        <w:tabs>
          <w:tab w:val="left" w:pos="567"/>
        </w:tabs>
        <w:spacing w:after="720"/>
        <w:ind w:left="5533"/>
        <w:rPr>
          <w:i/>
          <w:iCs/>
          <w:szCs w:val="22"/>
        </w:rPr>
      </w:pPr>
      <w:r w:rsidRPr="00900270">
        <w:rPr>
          <w:i/>
        </w:rPr>
        <w:fldChar w:fldCharType="begin"/>
      </w:r>
      <w:r w:rsidRPr="00900270">
        <w:rPr>
          <w:i/>
        </w:rPr>
        <w:instrText xml:space="preserve"> AUTONUM  </w:instrText>
      </w:r>
      <w:r w:rsidRPr="00900270">
        <w:rPr>
          <w:i/>
        </w:rPr>
        <w:fldChar w:fldCharType="end"/>
      </w:r>
      <w:r>
        <w:rPr>
          <w:i/>
        </w:rPr>
        <w:t>КРИС предлагается принять к сведению информацию, содержащуюся в приложении к настоящему документу.</w:t>
      </w:r>
    </w:p>
    <w:p w14:paraId="600F6426" w14:textId="217CAF6C" w:rsidR="000E58BF" w:rsidRPr="009856FB" w:rsidRDefault="00DB4117" w:rsidP="00900270">
      <w:pPr>
        <w:tabs>
          <w:tab w:val="left" w:pos="5533"/>
        </w:tabs>
        <w:ind w:left="5533"/>
        <w:rPr>
          <w:rFonts w:ascii="Arial" w:hAnsi="Arial" w:cs="Arial"/>
          <w:sz w:val="22"/>
          <w:szCs w:val="22"/>
        </w:rPr>
      </w:pPr>
      <w:r>
        <w:rPr>
          <w:sz w:val="22"/>
        </w:rPr>
        <w:t>[</w:t>
      </w:r>
      <w:r>
        <w:rPr>
          <w:rStyle w:val="Endofdocument-AnnexChar"/>
          <w:sz w:val="22"/>
        </w:rPr>
        <w:t>Приложение</w:t>
      </w:r>
      <w:r>
        <w:rPr>
          <w:sz w:val="22"/>
        </w:rPr>
        <w:t xml:space="preserve"> следует]</w:t>
      </w:r>
      <w:r>
        <w:rPr>
          <w:rFonts w:ascii="Arial" w:hAnsi="Arial"/>
          <w:sz w:val="22"/>
        </w:rPr>
        <w:br w:type="page"/>
      </w:r>
    </w:p>
    <w:p w14:paraId="7E0C6E3B" w14:textId="77777777" w:rsidR="000E58BF" w:rsidRPr="009856FB" w:rsidRDefault="000E58BF" w:rsidP="00DB4117">
      <w:pPr>
        <w:tabs>
          <w:tab w:val="left" w:pos="4950"/>
        </w:tabs>
        <w:rPr>
          <w:rFonts w:ascii="Arial" w:hAnsi="Arial" w:cs="Arial"/>
          <w:sz w:val="22"/>
          <w:szCs w:val="22"/>
          <w:lang w:val="en-US"/>
        </w:rPr>
        <w:sectPr w:rsidR="000E58BF" w:rsidRPr="009856FB" w:rsidSect="009856FB">
          <w:headerReference w:type="default" r:id="rId9"/>
          <w:footerReference w:type="default" r:id="rId10"/>
          <w:pgSz w:w="11906" w:h="16838"/>
          <w:pgMar w:top="72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  <w:lang w:eastAsia="en-GB"/>
        </w:rPr>
        <w:id w:val="-1453778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006E942" w14:textId="4CAE457F" w:rsidR="00C12B40" w:rsidRPr="00C5787D" w:rsidRDefault="00C12B40" w:rsidP="00450FCD">
          <w:pPr>
            <w:pStyle w:val="TOCHeading"/>
            <w:spacing w:after="240" w:line="24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/>
              <w:b/>
              <w:sz w:val="22"/>
            </w:rPr>
            <w:t>Содержание</w:t>
          </w:r>
        </w:p>
        <w:p w14:paraId="329A9CD4" w14:textId="40E10A39" w:rsidR="003240DB" w:rsidRDefault="00C12B40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9856FB">
            <w:fldChar w:fldCharType="begin"/>
          </w:r>
          <w:r w:rsidRPr="009856FB">
            <w:instrText xml:space="preserve"> TOC \o "1-3" \h \z \u </w:instrText>
          </w:r>
          <w:r w:rsidRPr="009856FB">
            <w:fldChar w:fldCharType="separate"/>
          </w:r>
          <w:hyperlink w:anchor="_Toc179462496" w:history="1">
            <w:r w:rsidR="003240DB" w:rsidRPr="00586373">
              <w:rPr>
                <w:rStyle w:val="Hyperlink"/>
                <w:b/>
              </w:rPr>
              <w:t>Комитет по развитию и интеллектуальной собственности (КРИС)</w:t>
            </w:r>
            <w:r w:rsidR="003240DB">
              <w:rPr>
                <w:webHidden/>
              </w:rPr>
              <w:tab/>
            </w:r>
            <w:r w:rsidR="003240DB">
              <w:rPr>
                <w:webHidden/>
              </w:rPr>
              <w:fldChar w:fldCharType="begin"/>
            </w:r>
            <w:r w:rsidR="003240DB">
              <w:rPr>
                <w:webHidden/>
              </w:rPr>
              <w:instrText xml:space="preserve"> PAGEREF _Toc179462496 \h </w:instrText>
            </w:r>
            <w:r w:rsidR="003240DB">
              <w:rPr>
                <w:webHidden/>
              </w:rPr>
            </w:r>
            <w:r w:rsidR="003240DB">
              <w:rPr>
                <w:webHidden/>
              </w:rPr>
              <w:fldChar w:fldCharType="separate"/>
            </w:r>
            <w:r w:rsidR="00587341">
              <w:rPr>
                <w:webHidden/>
              </w:rPr>
              <w:t>1</w:t>
            </w:r>
            <w:r w:rsidR="003240DB">
              <w:rPr>
                <w:webHidden/>
              </w:rPr>
              <w:fldChar w:fldCharType="end"/>
            </w:r>
          </w:hyperlink>
        </w:p>
        <w:p w14:paraId="707F49E1" w14:textId="2DC6E270" w:rsidR="003240DB" w:rsidRDefault="005873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497" w:history="1">
            <w:r w:rsidR="003240DB" w:rsidRPr="00586373">
              <w:rPr>
                <w:rStyle w:val="Hyperlink"/>
                <w:rFonts w:ascii="Arial" w:hAnsi="Arial"/>
                <w:b/>
                <w:noProof/>
              </w:rPr>
              <w:t>Тридцать третья сессия Женева, 9–13 декабря 2024 года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_Toc179462497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5E4226E9" w14:textId="7FA8DBB5" w:rsidR="003240DB" w:rsidRDefault="005873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498" w:history="1">
            <w:r w:rsidR="003240DB" w:rsidRPr="00586373">
              <w:rPr>
                <w:rStyle w:val="Hyperlink"/>
                <w:rFonts w:ascii="Arial" w:hAnsi="Arial"/>
                <w:noProof/>
              </w:rPr>
              <w:t>ОТЧЕТ ОБ ОЦЕНКЕ ПРОЕКТА «РАСШИРЕНИЕ ИСПОЛЬЗОВАНИЯ ИНТЕЛЛЕКТУАЛЬНОЙ СОБСТВЕННОСТИ ДЛЯ МОБИЛЬНЫХ ПРИЛОЖЕНИЙ В СЕКТОРЕ РАЗРАБОТКИ ПРОГРАММНОГО ОБЕСПЕЧЕНИЯ – ЭТАП II»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_Toc179462498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2ADBA152" w14:textId="7E6E5FFA" w:rsidR="003240DB" w:rsidRDefault="0058734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499" w:history="1">
            <w:r w:rsidR="003240DB" w:rsidRPr="00586373">
              <w:rPr>
                <w:rStyle w:val="Hyperlink"/>
                <w:rFonts w:ascii="Arial" w:hAnsi="Arial"/>
                <w:i/>
                <w:noProof/>
              </w:rPr>
              <w:t>подготовлен г-жой Луизой Остин, независимым оценщиком (Лондон, Соединенное Королевство)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_Toc179462499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46C8971D" w14:textId="0E894164" w:rsidR="003240DB" w:rsidRDefault="00587341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9462500" w:history="1">
            <w:r w:rsidR="003240DB" w:rsidRPr="00586373">
              <w:rPr>
                <w:rStyle w:val="Hyperlink"/>
                <w:b/>
              </w:rPr>
              <w:t>Сокращения и аббревиатуры</w:t>
            </w:r>
            <w:r w:rsidR="003240DB">
              <w:rPr>
                <w:webHidden/>
              </w:rPr>
              <w:tab/>
            </w:r>
            <w:r w:rsidR="003240DB">
              <w:rPr>
                <w:webHidden/>
              </w:rPr>
              <w:fldChar w:fldCharType="begin"/>
            </w:r>
            <w:r w:rsidR="003240DB">
              <w:rPr>
                <w:webHidden/>
              </w:rPr>
              <w:instrText xml:space="preserve"> PAGEREF _Toc179462500 \h </w:instrText>
            </w:r>
            <w:r w:rsidR="003240DB">
              <w:rPr>
                <w:webHidden/>
              </w:rPr>
            </w:r>
            <w:r w:rsidR="003240DB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3240DB">
              <w:rPr>
                <w:webHidden/>
              </w:rPr>
              <w:fldChar w:fldCharType="end"/>
            </w:r>
          </w:hyperlink>
        </w:p>
        <w:p w14:paraId="185A0296" w14:textId="33C6AA0A" w:rsidR="003240DB" w:rsidRDefault="00587341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9462501" w:history="1">
            <w:r w:rsidR="003240DB" w:rsidRPr="00586373">
              <w:rPr>
                <w:rStyle w:val="Hyperlink"/>
                <w:b/>
              </w:rPr>
              <w:t>РЕЗЮМЕ</w:t>
            </w:r>
            <w:r w:rsidR="003240DB">
              <w:rPr>
                <w:webHidden/>
              </w:rPr>
              <w:tab/>
            </w:r>
            <w:r w:rsidR="003240DB">
              <w:rPr>
                <w:webHidden/>
              </w:rPr>
              <w:fldChar w:fldCharType="begin"/>
            </w:r>
            <w:r w:rsidR="003240DB">
              <w:rPr>
                <w:webHidden/>
              </w:rPr>
              <w:instrText xml:space="preserve"> PAGEREF _Toc179462501 \h </w:instrText>
            </w:r>
            <w:r w:rsidR="003240DB">
              <w:rPr>
                <w:webHidden/>
              </w:rPr>
            </w:r>
            <w:r w:rsidR="003240D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3240DB">
              <w:rPr>
                <w:webHidden/>
              </w:rPr>
              <w:fldChar w:fldCharType="end"/>
            </w:r>
          </w:hyperlink>
        </w:p>
        <w:p w14:paraId="5022002B" w14:textId="1167FF2E" w:rsidR="003240DB" w:rsidRDefault="005873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2" w:history="1">
            <w:r w:rsidR="003240DB" w:rsidRPr="00586373">
              <w:rPr>
                <w:rStyle w:val="Hyperlink"/>
                <w:rFonts w:ascii="Arial" w:hAnsi="Arial"/>
                <w:b/>
                <w:noProof/>
              </w:rPr>
              <w:t>Введение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_Toc179462502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436D5CFE" w14:textId="7670D68F" w:rsidR="003240DB" w:rsidRDefault="00587341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9462503" w:history="1">
            <w:r w:rsidR="003240DB" w:rsidRPr="00586373">
              <w:rPr>
                <w:rStyle w:val="Hyperlink"/>
                <w:b/>
              </w:rPr>
              <w:t>Цели и методика оценки</w:t>
            </w:r>
            <w:r w:rsidR="003240DB">
              <w:rPr>
                <w:webHidden/>
              </w:rPr>
              <w:tab/>
            </w:r>
            <w:r w:rsidR="003240DB">
              <w:rPr>
                <w:webHidden/>
              </w:rPr>
              <w:fldChar w:fldCharType="begin"/>
            </w:r>
            <w:r w:rsidR="003240DB">
              <w:rPr>
                <w:webHidden/>
              </w:rPr>
              <w:instrText xml:space="preserve"> PAGEREF _Toc179462503 \h </w:instrText>
            </w:r>
            <w:r w:rsidR="003240DB">
              <w:rPr>
                <w:webHidden/>
              </w:rPr>
            </w:r>
            <w:r w:rsidR="003240DB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3240DB">
              <w:rPr>
                <w:webHidden/>
              </w:rPr>
              <w:fldChar w:fldCharType="end"/>
            </w:r>
          </w:hyperlink>
        </w:p>
        <w:p w14:paraId="55956147" w14:textId="696D0727" w:rsidR="003240DB" w:rsidRDefault="005873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4" w:history="1">
            <w:r w:rsidR="003240DB" w:rsidRPr="00586373">
              <w:rPr>
                <w:rStyle w:val="Hyperlink"/>
                <w:rFonts w:ascii="Arial" w:hAnsi="Arial"/>
                <w:b/>
                <w:noProof/>
              </w:rPr>
              <w:t>Основные выводы отчета.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_Toc179462504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5EC1B4F0" w14:textId="356E5D23" w:rsidR="003240DB" w:rsidRDefault="0058734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5" w:history="1">
            <w:r w:rsidR="003240DB" w:rsidRPr="00586373">
              <w:rPr>
                <w:rStyle w:val="Hyperlink"/>
                <w:rFonts w:ascii="Arial" w:hAnsi="Arial"/>
                <w:noProof/>
              </w:rPr>
              <w:t>Структура проекта и организация проектной деятельности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_Toc179462505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4847345A" w14:textId="4C2FF731" w:rsidR="003240DB" w:rsidRDefault="0058734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6" w:history="1">
            <w:r w:rsidR="003240DB" w:rsidRPr="00586373">
              <w:rPr>
                <w:rStyle w:val="Hyperlink"/>
                <w:rFonts w:ascii="Arial" w:hAnsi="Arial"/>
                <w:noProof/>
              </w:rPr>
              <w:t>Результативность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_Toc179462506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6EB04060" w14:textId="3912B456" w:rsidR="003240DB" w:rsidRDefault="0058734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7" w:history="1">
            <w:r w:rsidR="003240DB" w:rsidRPr="00586373">
              <w:rPr>
                <w:rStyle w:val="Hyperlink"/>
                <w:rFonts w:ascii="Arial" w:hAnsi="Arial"/>
                <w:noProof/>
              </w:rPr>
              <w:t>Устойчивость результатов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_Toc179462507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7AA2A15A" w14:textId="6D5CF23E" w:rsidR="003240DB" w:rsidRDefault="005873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8" w:history="1">
            <w:r w:rsidR="003240DB" w:rsidRPr="00586373">
              <w:rPr>
                <w:rStyle w:val="Hyperlink"/>
                <w:rFonts w:ascii="Arial" w:hAnsi="Arial"/>
                <w:b/>
                <w:noProof/>
              </w:rPr>
              <w:t>Заключения и рекомендации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_Toc179462508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4C14EAE9" w14:textId="34B774BF" w:rsidR="003240DB" w:rsidRDefault="0058734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9462509" w:history="1">
            <w:r w:rsidR="003240DB" w:rsidRPr="00586373">
              <w:rPr>
                <w:rStyle w:val="Hyperlink"/>
                <w:rFonts w:ascii="Arial" w:hAnsi="Arial"/>
                <w:noProof/>
              </w:rPr>
              <w:t>Рекомендации</w:t>
            </w:r>
            <w:r w:rsidR="003240DB">
              <w:rPr>
                <w:noProof/>
                <w:webHidden/>
              </w:rPr>
              <w:tab/>
            </w:r>
            <w:r w:rsidR="003240DB">
              <w:rPr>
                <w:noProof/>
                <w:webHidden/>
              </w:rPr>
              <w:fldChar w:fldCharType="begin"/>
            </w:r>
            <w:r w:rsidR="003240DB">
              <w:rPr>
                <w:noProof/>
                <w:webHidden/>
              </w:rPr>
              <w:instrText xml:space="preserve"> PAGEREF _Toc179462509 \h </w:instrText>
            </w:r>
            <w:r w:rsidR="003240DB">
              <w:rPr>
                <w:noProof/>
                <w:webHidden/>
              </w:rPr>
            </w:r>
            <w:r w:rsidR="003240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240DB">
              <w:rPr>
                <w:noProof/>
                <w:webHidden/>
              </w:rPr>
              <w:fldChar w:fldCharType="end"/>
            </w:r>
          </w:hyperlink>
        </w:p>
        <w:p w14:paraId="542F8D60" w14:textId="5984D82A" w:rsidR="00C12B40" w:rsidRPr="009856FB" w:rsidRDefault="00C12B40">
          <w:r w:rsidRPr="009856FB">
            <w:rPr>
              <w:rFonts w:ascii="Arial" w:hAnsi="Arial" w:cs="Arial"/>
              <w:b/>
              <w:sz w:val="22"/>
            </w:rPr>
            <w:fldChar w:fldCharType="end"/>
          </w:r>
        </w:p>
      </w:sdtContent>
    </w:sdt>
    <w:p w14:paraId="66BC5792" w14:textId="31EB0462" w:rsidR="00450FCD" w:rsidRPr="009856FB" w:rsidRDefault="00587341" w:rsidP="00450FCD">
      <w:pPr>
        <w:pStyle w:val="TOC1"/>
        <w:rPr>
          <w:rFonts w:eastAsiaTheme="minorEastAsia"/>
          <w:kern w:val="2"/>
          <w14:ligatures w14:val="standardContextual"/>
        </w:rPr>
      </w:pPr>
      <w:hyperlink w:anchor="_Toc176870486" w:history="1">
        <w:r w:rsidR="00B40FD5">
          <w:rPr>
            <w:rStyle w:val="Hyperlink"/>
            <w:b/>
            <w:color w:val="auto"/>
            <w:u w:val="none"/>
          </w:rPr>
          <w:t>Дополнения (прилагаются отдельно):</w:t>
        </w:r>
      </w:hyperlink>
      <w:r w:rsidR="00B40FD5">
        <w:t xml:space="preserve"> </w:t>
      </w:r>
    </w:p>
    <w:p w14:paraId="627869A8" w14:textId="39958DBC" w:rsidR="00450FCD" w:rsidRPr="009856FB" w:rsidRDefault="00587341" w:rsidP="00450FCD">
      <w:pPr>
        <w:pStyle w:val="TOC2"/>
        <w:tabs>
          <w:tab w:val="left" w:pos="1440"/>
          <w:tab w:val="right" w:leader="dot" w:pos="9016"/>
        </w:tabs>
        <w:spacing w:after="240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76870487" w:history="1"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Дополнение 1</w:t>
        </w:r>
        <w:r w:rsidR="00B40FD5">
          <w:rPr>
            <w:rStyle w:val="Hyperlink"/>
            <w:rFonts w:ascii="Arial" w:hAnsi="Arial"/>
            <w:sz w:val="22"/>
          </w:rPr>
          <w:tab/>
        </w:r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Ключевые источники информации</w:t>
        </w:r>
      </w:hyperlink>
    </w:p>
    <w:p w14:paraId="407A4845" w14:textId="5E76C085" w:rsidR="00450FCD" w:rsidRPr="009856FB" w:rsidRDefault="00587341" w:rsidP="00450FCD">
      <w:pPr>
        <w:pStyle w:val="TOC2"/>
        <w:tabs>
          <w:tab w:val="left" w:pos="1440"/>
          <w:tab w:val="right" w:leader="dot" w:pos="9016"/>
        </w:tabs>
        <w:spacing w:after="240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76870488" w:history="1"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Дополнение 2</w:t>
        </w:r>
        <w:r w:rsidR="00B40FD5">
          <w:rPr>
            <w:rStyle w:val="Hyperlink"/>
            <w:rFonts w:ascii="Arial" w:hAnsi="Arial"/>
            <w:sz w:val="22"/>
          </w:rPr>
          <w:tab/>
        </w:r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Перечень использованных документов/публикаций</w:t>
        </w:r>
      </w:hyperlink>
    </w:p>
    <w:p w14:paraId="2E334AAC" w14:textId="6D687884" w:rsidR="00450FCD" w:rsidRPr="009856FB" w:rsidRDefault="00587341" w:rsidP="00450FCD">
      <w:pPr>
        <w:pStyle w:val="TOC2"/>
        <w:tabs>
          <w:tab w:val="left" w:pos="1440"/>
          <w:tab w:val="right" w:leader="dot" w:pos="9016"/>
        </w:tabs>
        <w:spacing w:after="240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76870489" w:history="1"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Дополнение 3</w:t>
        </w:r>
        <w:r w:rsidR="00B40FD5">
          <w:rPr>
            <w:rStyle w:val="Hyperlink"/>
            <w:rFonts w:ascii="Arial" w:hAnsi="Arial"/>
            <w:sz w:val="22"/>
          </w:rPr>
          <w:tab/>
        </w:r>
        <w:r w:rsidR="003240DB" w:rsidRPr="004E6684">
          <w:rPr>
            <w:rStyle w:val="Hyperlink"/>
            <w:rFonts w:ascii="Arial" w:hAnsi="Arial"/>
            <w:sz w:val="22"/>
          </w:rPr>
          <w:tab/>
        </w:r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Использованные средства сбора данных (руководства по проведению опросов)</w:t>
        </w:r>
      </w:hyperlink>
      <w:r w:rsidR="00B40FD5">
        <w:rPr>
          <w:rFonts w:ascii="Arial" w:hAnsi="Arial"/>
          <w:sz w:val="22"/>
        </w:rPr>
        <w:t xml:space="preserve"> </w:t>
      </w:r>
    </w:p>
    <w:p w14:paraId="00C46687" w14:textId="6163E635" w:rsidR="00450FCD" w:rsidRPr="009856FB" w:rsidRDefault="00587341" w:rsidP="00450FCD">
      <w:pPr>
        <w:pStyle w:val="TOC2"/>
        <w:tabs>
          <w:tab w:val="left" w:pos="1440"/>
          <w:tab w:val="right" w:leader="dot" w:pos="9016"/>
        </w:tabs>
        <w:spacing w:after="240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76870490" w:history="1"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Дополнение 4</w:t>
        </w:r>
        <w:r w:rsidR="00B40FD5">
          <w:rPr>
            <w:rStyle w:val="Hyperlink"/>
            <w:rFonts w:ascii="Arial" w:hAnsi="Arial"/>
            <w:sz w:val="22"/>
          </w:rPr>
          <w:tab/>
        </w:r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Исходный отчет</w:t>
        </w:r>
      </w:hyperlink>
    </w:p>
    <w:p w14:paraId="099E0BCF" w14:textId="5CE63DE5" w:rsidR="00450FCD" w:rsidRPr="009856FB" w:rsidRDefault="00587341" w:rsidP="00450FCD">
      <w:pPr>
        <w:pStyle w:val="TOC2"/>
        <w:tabs>
          <w:tab w:val="left" w:pos="1440"/>
          <w:tab w:val="right" w:leader="dot" w:pos="9016"/>
        </w:tabs>
        <w:spacing w:after="240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76870491" w:history="1"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Дополнение 5</w:t>
        </w:r>
        <w:r w:rsidR="00B40FD5">
          <w:rPr>
            <w:rStyle w:val="Hyperlink"/>
            <w:rFonts w:ascii="Arial" w:hAnsi="Arial"/>
            <w:sz w:val="22"/>
          </w:rPr>
          <w:tab/>
        </w:r>
        <w:r w:rsidR="00B40FD5">
          <w:rPr>
            <w:rStyle w:val="Hyperlink"/>
            <w:rFonts w:ascii="Arial" w:hAnsi="Arial"/>
            <w:color w:val="auto"/>
            <w:sz w:val="22"/>
            <w:u w:val="none"/>
          </w:rPr>
          <w:t>Резюме составителя отчета</w:t>
        </w:r>
      </w:hyperlink>
    </w:p>
    <w:p w14:paraId="1D5DDCF8" w14:textId="77777777" w:rsidR="00C12B40" w:rsidRPr="004E6684" w:rsidRDefault="00C12B40" w:rsidP="0086797C">
      <w:pPr>
        <w:pStyle w:val="Heading1"/>
        <w:sectPr w:rsidR="00C12B40" w:rsidRPr="004E6684" w:rsidSect="00F06E4D">
          <w:head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fmt="lowerRoman" w:start="1"/>
          <w:cols w:space="708"/>
          <w:titlePg/>
          <w:docGrid w:linePitch="360"/>
        </w:sectPr>
      </w:pPr>
    </w:p>
    <w:p w14:paraId="0D09CC97" w14:textId="58F304AB" w:rsidR="00C12B40" w:rsidRPr="001A62BD" w:rsidRDefault="00C12B40" w:rsidP="00B26EA5">
      <w:pPr>
        <w:pStyle w:val="Heading1"/>
        <w:spacing w:after="240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179462500"/>
      <w:r>
        <w:rPr>
          <w:rFonts w:ascii="Arial" w:hAnsi="Arial"/>
          <w:b/>
          <w:color w:val="auto"/>
          <w:sz w:val="22"/>
        </w:rPr>
        <w:t>Сокращения и аббревиатуры</w:t>
      </w:r>
      <w:bookmarkEnd w:id="8"/>
    </w:p>
    <w:p w14:paraId="484D6694" w14:textId="654A8F6C" w:rsidR="003E1801" w:rsidRPr="004E6684" w:rsidRDefault="003E1801" w:rsidP="004A0ADD">
      <w:pPr>
        <w:spacing w:before="240" w:after="240"/>
        <w:rPr>
          <w:rFonts w:ascii="Arial" w:hAnsi="Arial" w:cs="Arial"/>
          <w:sz w:val="22"/>
          <w:szCs w:val="22"/>
        </w:rPr>
      </w:pPr>
    </w:p>
    <w:p w14:paraId="332E7F90" w14:textId="786D1CE4" w:rsidR="003E1801" w:rsidRPr="009856FB" w:rsidRDefault="003E1801" w:rsidP="004A0ADD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САПТО</w:t>
      </w:r>
      <w:r>
        <w:rPr>
          <w:rFonts w:ascii="Arial" w:hAnsi="Arial"/>
          <w:sz w:val="22"/>
        </w:rPr>
        <w:tab/>
        <w:t>Сектор авторского права и творческих отраслей</w:t>
      </w:r>
    </w:p>
    <w:p w14:paraId="5C651767" w14:textId="0D4978C5" w:rsidR="003E1801" w:rsidRPr="009856FB" w:rsidRDefault="003E1801" w:rsidP="004A0ADD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КРИС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Комитет по развитию и интеллектуальной собственности</w:t>
      </w:r>
    </w:p>
    <w:p w14:paraId="2D3FA9E1" w14:textId="19D1C339" w:rsidR="003E1801" w:rsidRPr="009856FB" w:rsidRDefault="003E1801" w:rsidP="004A0ADD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ИС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интеллектуальная собственность</w:t>
      </w:r>
    </w:p>
    <w:p w14:paraId="7E64DFF2" w14:textId="493642D3" w:rsidR="003E1801" w:rsidRPr="009856FB" w:rsidRDefault="003E1801" w:rsidP="004A0ADD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ВОИС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Всемирная организация интеллектуальной собственности</w:t>
      </w:r>
    </w:p>
    <w:p w14:paraId="525DD59F" w14:textId="77777777" w:rsidR="00C12B40" w:rsidRPr="004E6684" w:rsidRDefault="00C12B40" w:rsidP="00C12B40">
      <w:pPr>
        <w:rPr>
          <w:rFonts w:ascii="Arial" w:hAnsi="Arial" w:cs="Arial"/>
          <w:sz w:val="22"/>
          <w:szCs w:val="22"/>
        </w:rPr>
        <w:sectPr w:rsidR="00C12B40" w:rsidRPr="004E6684" w:rsidSect="00F06E4D">
          <w:headerReference w:type="default" r:id="rId13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613C15AA" w14:textId="50E966B7" w:rsidR="0086797C" w:rsidRPr="009856FB" w:rsidRDefault="00B05019" w:rsidP="00214EF8">
      <w:pPr>
        <w:pStyle w:val="Heading1"/>
        <w:spacing w:before="240" w:after="240"/>
        <w:ind w:firstLine="86"/>
        <w:rPr>
          <w:rFonts w:ascii="Arial" w:hAnsi="Arial" w:cs="Arial"/>
          <w:b/>
          <w:bCs/>
          <w:sz w:val="24"/>
          <w:szCs w:val="24"/>
        </w:rPr>
      </w:pPr>
      <w:bookmarkStart w:id="9" w:name="_Toc179462501"/>
      <w:r>
        <w:rPr>
          <w:rFonts w:ascii="Arial" w:hAnsi="Arial"/>
          <w:b/>
          <w:sz w:val="24"/>
        </w:rPr>
        <w:t>РЕЗЮМЕ</w:t>
      </w:r>
      <w:bookmarkEnd w:id="9"/>
    </w:p>
    <w:p w14:paraId="41C08DA4" w14:textId="490EB319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После успешной реализации проекта по расширению использования интеллектуальной собственности (ИС) для мобильных приложений в секторе разработки программного обеспечения (январь 2019 года – декабрь 2021 года) Комитет по развитию и интеллектуальной собственности (КРИС) на своей двадцать девятой сессии одобрил второй этап проекта с упором на мобильные приложения в конкретных отраслевых условиях.</w:t>
      </w:r>
    </w:p>
    <w:p w14:paraId="1306ACF0" w14:textId="4099C596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Этап II был направлен на обеспечение долгосрочной устойчивости результатов проекта путем их включения в комплексный учебный курс (в виде пособия).  По согласованию с тремя странами-бенефициарами (Кенией, Филиппинами и Тринидадом и Тобаго) было решено также разработать практические руководства по более эффективному использованию системы охраны прав ИС в поддержку отрасли мобильных приложений в четырех творческих отраслях: музыка, издательское дело, видеоигры и аудиовизуальный контент.</w:t>
      </w:r>
    </w:p>
    <w:p w14:paraId="02253D4C" w14:textId="41F28148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Цель оценки, проведенной независимым консультантом, – извлечь уроки из опыта, полученного в ходе реализации проекта, в частности, с точки зрения разработки и управления проектом, его эффективности и устойчивости.  Были изучены все документы и результаты проекта, а также проведены беседы с 16 специалистами из ВОИС и трех стран-бенефициаров.</w:t>
      </w:r>
    </w:p>
    <w:p w14:paraId="69AD325F" w14:textId="77777777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основе анализа всех собранных данных было сделано 13 ключевых выводов по трем основным направлениям оценки.</w:t>
      </w:r>
    </w:p>
    <w:p w14:paraId="7A4AE6A9" w14:textId="77777777" w:rsidR="003530C2" w:rsidRPr="009856FB" w:rsidRDefault="003530C2" w:rsidP="00214EF8">
      <w:pPr>
        <w:shd w:val="clear" w:color="auto" w:fill="DAE9F7" w:themeFill="text2" w:themeFillTint="1A"/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Разработка проекта и система управления проектом</w:t>
      </w:r>
      <w:r>
        <w:rPr>
          <w:rFonts w:ascii="Arial" w:hAnsi="Arial"/>
          <w:sz w:val="22"/>
        </w:rPr>
        <w:t xml:space="preserve"> </w:t>
      </w:r>
    </w:p>
    <w:p w14:paraId="21408129" w14:textId="0357D70E" w:rsidR="00334CA3" w:rsidRPr="009856FB" w:rsidRDefault="005E7230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Руководство этапом II успешно осуществлялось заместителем директора и старшим административным сотрудником Отдела распространения информации и цифрового контента Сектора авторского права и творческих отраслей (САПТО) – тем же руководителем проекта, что и на этапе I. Другие подразделения ВОИС не принимали активного участия в проекте, а взаимодействие с соответствующими региональными структурами сводилось в основном к согласованию сроков проведения мероприятий проекта, с тем чтобы они не пересекались с другими мероприятиями.</w:t>
      </w:r>
    </w:p>
    <w:p w14:paraId="06D0AB54" w14:textId="77777777" w:rsidR="0055655C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Деятельность в рамках проекта началась в январе 2023 года, и разработка трех из четырех практических руководств по более эффективному использованию системы охраны прав ИС в поддержку отрасли мобильных приложений шла согласно плану.  При разработке четвертого руководства, по аудиовизуальному контенту, возникли трудности.  Однако управление проектом было достаточно грамотным, что позволило изменить его тематику и сосредоточиться на социальных сетях; эта корректировка была согласована со странами-бенефициарами.</w:t>
      </w:r>
    </w:p>
    <w:p w14:paraId="7A43EF93" w14:textId="77777777" w:rsidR="0055655C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Одним из ключевых рисков, обозначенных в исходном проектном документе, были возможные трудности с поиском разработчиков мобильных приложений в четырех выбранных творческих секторах.  Усилия по снижению этого риска были успешными, поскольку ВОИС и страны-бенефициары совместно работали над поиском представителей этой группы заинтересованных сторон в каждой стране.</w:t>
      </w:r>
    </w:p>
    <w:p w14:paraId="462ECBBE" w14:textId="347B53A0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Руководства, разработанные в рамках проекта, были сосредоточены на динамичных областях, в которых наблюдаются высокие темпы развития новых технологий, и ВОИС использовала ведущих экспертов в этих четырех секторах, чтобы обеспечить актуальность, высокий профессиональный уровень и полезность руководств для различных категорий пользователей.</w:t>
      </w:r>
    </w:p>
    <w:p w14:paraId="377002AE" w14:textId="77777777" w:rsidR="0055655C" w:rsidRPr="009856FB" w:rsidRDefault="0055655C" w:rsidP="00214EF8">
      <w:pPr>
        <w:shd w:val="clear" w:color="auto" w:fill="DAE9F7" w:themeFill="text2" w:themeFillTint="1A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Результативность</w:t>
      </w:r>
    </w:p>
    <w:p w14:paraId="375AD890" w14:textId="5BE1F08D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Основная цель этапа II состояла в том, чтобы доработать руководства и расширить возможности, созданные в ходе реализации первого этапа проекта, а также обеспечить бóльшую устойчивость результатов проекта.  Ожидаемый итог проекта заключался в улучшении понимания актуальности ИС и расширении использования средств ее охраны в поддержку индустрии мобильных приложений в четырех согласованных творческих секторах.  Для достижения результатов и цели проекта было запланировано три вида деятельности:</w:t>
      </w:r>
    </w:p>
    <w:p w14:paraId="3332CCAD" w14:textId="155D01E8" w:rsidR="00334CA3" w:rsidRPr="009856FB" w:rsidRDefault="00334CA3" w:rsidP="00125B67">
      <w:pPr>
        <w:pStyle w:val="ListParagraph"/>
        <w:numPr>
          <w:ilvl w:val="0"/>
          <w:numId w:val="12"/>
        </w:numPr>
        <w:spacing w:afterLines="220" w:after="528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разработка комплексного учебного материала (в виде пособия) по ИС для мобильных приложений;</w:t>
      </w:r>
    </w:p>
    <w:p w14:paraId="3EE2E3D0" w14:textId="77777777" w:rsidR="00334CA3" w:rsidRPr="009856FB" w:rsidRDefault="00334CA3" w:rsidP="00125B67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разработка практических руководств по ИС в четырех выбранных секторах;</w:t>
      </w:r>
    </w:p>
    <w:p w14:paraId="214A69AC" w14:textId="77777777" w:rsidR="00334CA3" w:rsidRPr="009856FB" w:rsidRDefault="00334CA3" w:rsidP="00125B67">
      <w:pPr>
        <w:pStyle w:val="ListParagraph"/>
        <w:numPr>
          <w:ilvl w:val="0"/>
          <w:numId w:val="12"/>
        </w:numPr>
        <w:spacing w:after="2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проведение мероприятий в каждой из трех стран-бенефициаров с целью презентации подготовленных материалов и получения обратной связи от заинтересованных сторон.</w:t>
      </w:r>
    </w:p>
    <w:p w14:paraId="3EC4AD6C" w14:textId="77777777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Все три вида деятельности по проекту были успешно реализованы.  В пособии были освещены все основные аспекты, связанные с использованием ИС в приложениях, и в течение первых трех месяцев после публикации его скачали 852 раза.</w:t>
      </w:r>
    </w:p>
    <w:p w14:paraId="57BF7369" w14:textId="05D64178" w:rsidR="00D62D93" w:rsidRPr="009856FB" w:rsidRDefault="00BF6936" w:rsidP="00125B67">
      <w:pPr>
        <w:pStyle w:val="ListParagraph"/>
        <w:numPr>
          <w:ilvl w:val="0"/>
          <w:numId w:val="13"/>
        </w:numPr>
        <w:spacing w:after="2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Учитывая вышеупомянутое изменение темы одного из руководств, все четыре руководства были успешно разработаны и размещены на специальной веб-странице ВОИС.  Показатели результатов проекта предусматривали не менее 100 скачиваний руководств в течение первых трех месяцев после их публикации, при этом в случае следующих руководств этот показатель был даже превышен: </w:t>
      </w:r>
    </w:p>
    <w:p w14:paraId="1A3DDC15" w14:textId="3A9A97D4" w:rsidR="00334CA3" w:rsidRPr="009856FB" w:rsidRDefault="00334CA3" w:rsidP="000A69A2">
      <w:pPr>
        <w:pStyle w:val="ListParagraph"/>
        <w:spacing w:after="220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видеоигры (385 скачиваний), цифровая издательская деятельность (418 скачиваний) и музыка (274 скачивания).  Данные о количестве скачиваний руководства для социальных сетей на момент проведения оценки отсутствовали.</w:t>
      </w:r>
    </w:p>
    <w:p w14:paraId="1811FDAE" w14:textId="45F4D9BF" w:rsidR="003D00F7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Все три мероприятия, запланированных в рамках проекта, были успешно проведены, причем два из них были очными, а одно было организовано в дистанционном формате в форме вебинара.  Отзывы участников всех трех мероприятий были исключительно положительными с точки зрения квалификации докладчиков, полезности мероприятий для повышения осведомленности и заинтересованности в будущих семинарах подобного рода.</w:t>
      </w:r>
    </w:p>
    <w:p w14:paraId="357EFD8A" w14:textId="5C17CCA0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ВОИС обеспечила широкий доступ к пособию и руководствам, разместив их на специальной веб-странице проекта, что сыграло важную роль в расширении использования средств охраны ИС в поддержку индустрии мобильных приложений.</w:t>
      </w:r>
    </w:p>
    <w:p w14:paraId="63D16DC0" w14:textId="77777777" w:rsidR="00334CA3" w:rsidRPr="009856FB" w:rsidRDefault="00334CA3" w:rsidP="00214EF8">
      <w:pPr>
        <w:shd w:val="clear" w:color="auto" w:fill="DAE9F7" w:themeFill="text2" w:themeFillTint="1A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Устойчивость результатов</w:t>
      </w:r>
    </w:p>
    <w:p w14:paraId="65F0A628" w14:textId="77777777" w:rsidR="003D00F7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Как отмечалось выше, в сочетании с постоянными усилиями стран-бенефициаров по повышению осведомленности, создание специальной веб-страницы поможет обеспечить устойчивость результатов и итогов проекта.  Кроме того, ВОИС продолжает работу по обеспечению устойчивости результатов проекта путем разработки мобильного приложения, содержащего все материалы, разработанные в рамках обоих этапов проекта.</w:t>
      </w:r>
    </w:p>
    <w:p w14:paraId="76A14C14" w14:textId="23E366EF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Стратегия обеспечения устойчивости изложена в исходном проектном документе.  В ней подчеркивается важность того, чтобы ВОИС и государства-члены обеспечили доступность руководств, разработанных в рамках проекта, а также необходимость постоянной работы по повышению информированности.  Проект был завершен совсем недавно (в августе 2024 года), и пока что эта стратегия обеспечения устойчивости выполняется.</w:t>
      </w:r>
    </w:p>
    <w:p w14:paraId="39674BEF" w14:textId="77777777" w:rsidR="00334CA3" w:rsidRPr="009856FB" w:rsidRDefault="00334CA3" w:rsidP="00214EF8">
      <w:pPr>
        <w:shd w:val="clear" w:color="auto" w:fill="DAE9F7" w:themeFill="text2" w:themeFillTint="1A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Рекомендации</w:t>
      </w:r>
    </w:p>
    <w:p w14:paraId="4AD8DE33" w14:textId="77777777" w:rsidR="00334CA3" w:rsidRPr="009856FB" w:rsidRDefault="00334CA3" w:rsidP="00125B67">
      <w:pPr>
        <w:pStyle w:val="ListParagraph"/>
        <w:numPr>
          <w:ilvl w:val="0"/>
          <w:numId w:val="13"/>
        </w:numPr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основе ключевых выводов оценки предлагается к рассмотрению 8 рекомендаций.  Одни рекомендации предназначены для ВОИС, другие – для стран-бенефициаров.</w:t>
      </w:r>
    </w:p>
    <w:p w14:paraId="7CD12437" w14:textId="77777777" w:rsidR="00334CA3" w:rsidRPr="009856FB" w:rsidRDefault="00334CA3" w:rsidP="00214EF8">
      <w:pPr>
        <w:shd w:val="clear" w:color="auto" w:fill="E8E8E8" w:themeFill="background2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Рекомендации для ВОИС</w:t>
      </w:r>
    </w:p>
    <w:p w14:paraId="5978ACE5" w14:textId="77777777" w:rsidR="00334CA3" w:rsidRPr="009856FB" w:rsidRDefault="00334CA3" w:rsidP="00D62D93">
      <w:pPr>
        <w:shd w:val="clear" w:color="auto" w:fill="DAE9F7" w:themeFill="text2" w:themeFillTint="1A"/>
        <w:spacing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Структура проекта и организация проектной деятельности</w:t>
      </w:r>
    </w:p>
    <w:p w14:paraId="6008B343" w14:textId="77777777" w:rsidR="001A62BD" w:rsidRPr="004E6684" w:rsidRDefault="001A62BD" w:rsidP="00D62D93">
      <w:pPr>
        <w:tabs>
          <w:tab w:val="left" w:pos="0"/>
          <w:tab w:val="left" w:pos="23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8DC11C" w14:textId="79056BE2" w:rsidR="00334CA3" w:rsidRPr="009856FB" w:rsidRDefault="00334CA3" w:rsidP="00D62D93">
      <w:pPr>
        <w:tabs>
          <w:tab w:val="left" w:pos="0"/>
          <w:tab w:val="left" w:pos="23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1. Вовлечение структур ВОИС</w:t>
      </w:r>
    </w:p>
    <w:p w14:paraId="2A360293" w14:textId="7091B7D7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Для того чтобы региональные подразделения ВОИС были в курсе деятельности по проекту и хода его реализации, руководителям проектов следует рекомендовать составлять резюме на одной-двух страницах с описанием успехов и проблем, возникших в ходе реализации проектов, поддерживаемых КРИС.  Это поможет региональным подразделениям поддерживать траекторию развития каждого проекта и вносить свой вклад в преодоление возникающих проблем.</w:t>
      </w:r>
    </w:p>
    <w:p w14:paraId="23C4C552" w14:textId="77777777" w:rsidR="00334CA3" w:rsidRPr="009856FB" w:rsidRDefault="00334CA3" w:rsidP="00D62D93">
      <w:pPr>
        <w:shd w:val="clear" w:color="auto" w:fill="DAE9F7" w:themeFill="text2" w:themeFillTint="1A"/>
        <w:spacing w:after="2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Результативность</w:t>
      </w:r>
    </w:p>
    <w:p w14:paraId="4ED2A8A4" w14:textId="77777777" w:rsidR="00334CA3" w:rsidRPr="009856FB" w:rsidRDefault="00334CA3" w:rsidP="00D62D93">
      <w:pPr>
        <w:tabs>
          <w:tab w:val="left" w:pos="2340"/>
        </w:tabs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2. Измерение результативности проекта</w:t>
      </w:r>
    </w:p>
    <w:p w14:paraId="029C6ADB" w14:textId="77777777" w:rsidR="00334CA3" w:rsidRPr="009856FB" w:rsidRDefault="00334CA3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Чтобы иметь возможность измерять результативность, следует рассмотреть возможность создания простых инструментов (помимо самооценки) для более точного измерения эффективности и результативности будущих проектов, осуществляемых при поддержке КРИС.  Чтобы максимально точно оценить результативность, через год следует провести дальнейший анализ использования пособия и руководств.</w:t>
      </w:r>
    </w:p>
    <w:p w14:paraId="5A696A4E" w14:textId="77777777" w:rsidR="00334CA3" w:rsidRPr="009856FB" w:rsidRDefault="00334CA3" w:rsidP="00214EF8">
      <w:pPr>
        <w:shd w:val="clear" w:color="auto" w:fill="DAE9F7" w:themeFill="text2" w:themeFillTint="1A"/>
        <w:spacing w:before="240"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Устойчивость результатов</w:t>
      </w:r>
    </w:p>
    <w:p w14:paraId="1920091B" w14:textId="5E15AD66" w:rsidR="00334CA3" w:rsidRPr="009856FB" w:rsidRDefault="00334CA3" w:rsidP="00D62D93">
      <w:pPr>
        <w:tabs>
          <w:tab w:val="left" w:pos="23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3. Преобразование проектных публикаций в официальные публикации ВОИС</w:t>
      </w:r>
    </w:p>
    <w:p w14:paraId="7D0A1152" w14:textId="77777777" w:rsidR="00334CA3" w:rsidRPr="00C5787D" w:rsidRDefault="00334CA3" w:rsidP="00125B67">
      <w:pPr>
        <w:pStyle w:val="TableParagraph"/>
        <w:numPr>
          <w:ilvl w:val="0"/>
          <w:numId w:val="13"/>
        </w:numPr>
        <w:spacing w:after="220"/>
        <w:ind w:left="0" w:right="166" w:firstLine="0"/>
        <w:rPr>
          <w:iCs/>
        </w:rPr>
      </w:pPr>
      <w:r>
        <w:t>Руководства и материалы, разработанные в ходе обоих этапов проекта, являются ценными источниками информации. Следует рассмотреть вопрос об их преобразовании в полноценные публикации ВОИС, что будет способствовать устойчивости.</w:t>
      </w:r>
    </w:p>
    <w:p w14:paraId="7B2EC82A" w14:textId="77777777" w:rsidR="00334CA3" w:rsidRPr="00C5787D" w:rsidRDefault="00334CA3" w:rsidP="00D62D93">
      <w:pPr>
        <w:pStyle w:val="TableParagraph"/>
        <w:tabs>
          <w:tab w:val="left" w:pos="2340"/>
        </w:tabs>
        <w:spacing w:after="120"/>
        <w:ind w:right="173"/>
        <w:rPr>
          <w:b/>
          <w:bCs/>
          <w:i/>
        </w:rPr>
      </w:pPr>
      <w:r>
        <w:rPr>
          <w:b/>
          <w:i/>
        </w:rPr>
        <w:t>Рекомендация 4. Актуализация результатов проекта</w:t>
      </w:r>
    </w:p>
    <w:p w14:paraId="4CC1DC4F" w14:textId="6CE5E275" w:rsidR="00334CA3" w:rsidRPr="00C5787D" w:rsidRDefault="00334CA3" w:rsidP="00125B67">
      <w:pPr>
        <w:pStyle w:val="TableParagraph"/>
        <w:numPr>
          <w:ilvl w:val="0"/>
          <w:numId w:val="13"/>
        </w:numPr>
        <w:spacing w:after="220"/>
        <w:ind w:left="0" w:right="173" w:firstLine="0"/>
      </w:pPr>
      <w:r>
        <w:t>Чтобы обеспечить устойчивость результатов проекта, необходимо предусмотреть в бюджете средства на регулярную актуализацию руководств.  Это потребует включения данного направления работы в основную деятельность.</w:t>
      </w:r>
    </w:p>
    <w:p w14:paraId="22ECC20D" w14:textId="77777777" w:rsidR="00334CA3" w:rsidRPr="009856FB" w:rsidRDefault="00334CA3" w:rsidP="00D62D93">
      <w:pPr>
        <w:pStyle w:val="TableParagraph"/>
        <w:tabs>
          <w:tab w:val="left" w:pos="2340"/>
        </w:tabs>
        <w:spacing w:after="120"/>
        <w:ind w:right="173"/>
        <w:jc w:val="both"/>
        <w:rPr>
          <w:b/>
          <w:bCs/>
          <w:i/>
        </w:rPr>
      </w:pPr>
      <w:r>
        <w:rPr>
          <w:b/>
          <w:i/>
        </w:rPr>
        <w:t>Рекомендация 5. Поддерживать мобильные приложения в актуальном состоянии в соответствии с текущим уровнем контента и компетенций ВОИС</w:t>
      </w:r>
    </w:p>
    <w:p w14:paraId="6FDD3207" w14:textId="25FCAECA" w:rsidR="00334CA3" w:rsidRPr="009856FB" w:rsidRDefault="00334CA3" w:rsidP="00125B67">
      <w:pPr>
        <w:pStyle w:val="ListParagraph"/>
        <w:numPr>
          <w:ilvl w:val="0"/>
          <w:numId w:val="13"/>
        </w:numPr>
        <w:spacing w:after="22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Учитывая актуальность работы, проделанной в рамках проекта, ВОИС следует продолжать предоставлять рекомендации и экспертные знания всем государствам-членам в рамках своего контента, а также рассматривать соответствующие вопросы в ходе национальных и региональных мероприятий.</w:t>
      </w:r>
    </w:p>
    <w:p w14:paraId="75BBEDE4" w14:textId="77777777" w:rsidR="00334CA3" w:rsidRPr="009856FB" w:rsidRDefault="00334CA3" w:rsidP="00D62D93">
      <w:pPr>
        <w:tabs>
          <w:tab w:val="left" w:pos="23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6. Интеграция темы «ИС в мобильных приложениях» в основную деятельность</w:t>
      </w:r>
    </w:p>
    <w:p w14:paraId="45A244DB" w14:textId="77777777" w:rsidR="00334CA3" w:rsidRPr="009856FB" w:rsidRDefault="00334CA3" w:rsidP="00125B67">
      <w:pPr>
        <w:pStyle w:val="ListParagraph"/>
        <w:numPr>
          <w:ilvl w:val="0"/>
          <w:numId w:val="13"/>
        </w:numPr>
        <w:spacing w:after="220" w:line="240" w:lineRule="atLea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Учитывая положительные результаты проекта, рекомендуется включить тему «ИС в мобильных приложениях» в основную деятельность ВОИС и создать необходимые бюджетные механизмы для обеспечения соответствующей деятельности.</w:t>
      </w:r>
    </w:p>
    <w:p w14:paraId="757A2BB1" w14:textId="77777777" w:rsidR="00334CA3" w:rsidRPr="009856FB" w:rsidRDefault="00334CA3" w:rsidP="00D62D93">
      <w:pPr>
        <w:tabs>
          <w:tab w:val="left" w:pos="23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7. Рассмотрение вторых этапов проектов КРИС</w:t>
      </w:r>
    </w:p>
    <w:p w14:paraId="6AEB15EA" w14:textId="1913A527" w:rsidR="00334CA3" w:rsidRPr="009856FB" w:rsidRDefault="00334CA3" w:rsidP="00125B67">
      <w:pPr>
        <w:pStyle w:val="ListParagraph"/>
        <w:numPr>
          <w:ilvl w:val="0"/>
          <w:numId w:val="13"/>
        </w:numPr>
        <w:spacing w:after="22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Второй этап проекта был важен для закрепления и развития достижений первого этапа.  Следует и впредь рассматривать возможность реализации вторых этапов проектов КРИС в тех случаях, когда это позволит обеспечить эффективность и устойчивость результатов, достигнутых на первом этапе.</w:t>
      </w:r>
    </w:p>
    <w:p w14:paraId="4A3112D9" w14:textId="77777777" w:rsidR="00334CA3" w:rsidRPr="009856FB" w:rsidRDefault="00334CA3" w:rsidP="00214EF8">
      <w:pPr>
        <w:shd w:val="clear" w:color="auto" w:fill="E8E8E8" w:themeFill="background2"/>
        <w:spacing w:before="240"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Рекомендации для стран-бенефициаров</w:t>
      </w:r>
    </w:p>
    <w:p w14:paraId="57ACDEB4" w14:textId="4EFA9F4F" w:rsidR="00334CA3" w:rsidRPr="00C5787D" w:rsidRDefault="00334CA3" w:rsidP="003D00F7">
      <w:pPr>
        <w:pStyle w:val="TableParagraph"/>
        <w:tabs>
          <w:tab w:val="left" w:pos="2340"/>
          <w:tab w:val="left" w:pos="6841"/>
        </w:tabs>
        <w:spacing w:before="120" w:after="120"/>
        <w:ind w:right="166"/>
        <w:rPr>
          <w:b/>
          <w:bCs/>
          <w:i/>
          <w:iCs/>
        </w:rPr>
      </w:pPr>
      <w:r>
        <w:rPr>
          <w:b/>
          <w:i/>
        </w:rPr>
        <w:t>Рекомендация 8. Обеспечить легкий доступ к результатам проекта</w:t>
      </w:r>
    </w:p>
    <w:p w14:paraId="1DE8915C" w14:textId="77777777" w:rsidR="00334CA3" w:rsidRPr="00C5787D" w:rsidRDefault="00334CA3" w:rsidP="00125B67">
      <w:pPr>
        <w:pStyle w:val="ListParagraph"/>
        <w:numPr>
          <w:ilvl w:val="0"/>
          <w:numId w:val="13"/>
        </w:numPr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Странам-бенефициарам рекомендуется размещать все результаты проекта на своих собственных веб-сайтах и платформах и продолжать повышать осведомленность о продуктах.  Странам-бенефициарам следует по возможности предоставлять ВОИС информацию о количестве скачиваний каждого из результатов проекта.</w:t>
      </w:r>
    </w:p>
    <w:p w14:paraId="59181180" w14:textId="77777777" w:rsidR="0086797C" w:rsidRPr="004E6684" w:rsidRDefault="0086797C" w:rsidP="00334CA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1312D2" w14:textId="77777777" w:rsidR="0086797C" w:rsidRPr="004E6684" w:rsidRDefault="0086797C" w:rsidP="0086797C">
      <w:pPr>
        <w:spacing w:line="240" w:lineRule="atLeast"/>
        <w:ind w:left="720"/>
        <w:rPr>
          <w:rFonts w:ascii="Arial" w:hAnsi="Arial" w:cs="Arial"/>
          <w:sz w:val="22"/>
          <w:szCs w:val="22"/>
        </w:rPr>
        <w:sectPr w:rsidR="0086797C" w:rsidRPr="004E6684" w:rsidSect="00942303">
          <w:pgSz w:w="11906" w:h="16838"/>
          <w:pgMar w:top="1440" w:right="1440" w:bottom="1440" w:left="1440" w:header="708" w:footer="708" w:gutter="0"/>
          <w:pgNumType w:start="3"/>
          <w:cols w:space="708"/>
          <w:docGrid w:linePitch="360"/>
        </w:sectPr>
      </w:pPr>
    </w:p>
    <w:p w14:paraId="0B643964" w14:textId="1E6E9DA7" w:rsidR="0086797C" w:rsidRPr="009856FB" w:rsidRDefault="0086797C" w:rsidP="00AA1743">
      <w:pPr>
        <w:pStyle w:val="Heading2"/>
        <w:spacing w:before="240" w:after="240"/>
        <w:rPr>
          <w:rFonts w:ascii="Arial" w:hAnsi="Arial" w:cs="Arial"/>
          <w:b/>
          <w:bCs/>
          <w:sz w:val="24"/>
          <w:szCs w:val="24"/>
        </w:rPr>
      </w:pPr>
      <w:bookmarkStart w:id="10" w:name="_Toc179462502"/>
      <w:r>
        <w:rPr>
          <w:rFonts w:ascii="Arial" w:hAnsi="Arial"/>
          <w:b/>
          <w:sz w:val="24"/>
        </w:rPr>
        <w:t>Введение</w:t>
      </w:r>
      <w:bookmarkEnd w:id="10"/>
    </w:p>
    <w:p w14:paraId="1EFA554C" w14:textId="30866356" w:rsidR="0086797C" w:rsidRPr="00C5787D" w:rsidRDefault="00E83E68" w:rsidP="00125B67">
      <w:pPr>
        <w:pStyle w:val="TableParagraph"/>
        <w:numPr>
          <w:ilvl w:val="0"/>
          <w:numId w:val="13"/>
        </w:numPr>
        <w:spacing w:after="220"/>
        <w:ind w:left="0" w:firstLine="0"/>
      </w:pPr>
      <w:r>
        <w:t xml:space="preserve">На своей двадцать восьмой сессии Комитет по развитию и интеллектуальной собственности (КРИС) рассмотрел отчет об оценке проекта «Расширение использования интеллектуальной собственности для мобильных приложений в секторе программного обеспечения», содержащийся в документе </w:t>
      </w:r>
      <w:hyperlink r:id="rId14" w:history="1">
        <w:r>
          <w:rPr>
            <w:rStyle w:val="Hyperlink"/>
          </w:rPr>
          <w:t>CDIP/28/6</w:t>
        </w:r>
      </w:hyperlink>
      <w:r>
        <w:t xml:space="preserve">.  КРИС просил, в частности, «представить ему документ в развитие темы о дальнейших мероприятиях Секретариата в данной области».  В ходе обсуждений на двадцать восьмой сессии КРИС было отмечено, что акцент на мобильных приложениях в контексте конкретных секторов будет способствовать устойчивости первоначальных результатов проекта.  На двадцать девятой сессии Комитет одобрил второй этап проекта (документ </w:t>
      </w:r>
      <w:hyperlink r:id="rId15" w:history="1">
        <w:r>
          <w:rPr>
            <w:rStyle w:val="Hyperlink"/>
          </w:rPr>
          <w:t>CDIP/29/8 Rev.</w:t>
        </w:r>
      </w:hyperlink>
      <w:r>
        <w:t>) с учетом замечаний, высказанных государствами-членами.</w:t>
      </w:r>
    </w:p>
    <w:p w14:paraId="369AF98A" w14:textId="1B7669D1" w:rsidR="00E83E68" w:rsidRPr="009856FB" w:rsidRDefault="00E83E68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Первый этап проекта, который был реализован в Кении, на Филиппинах и в Тринидаде и Тобаго в период с января 2019 года по декабрь 2021 года, был направлен на мобильные приложения в целом, без акцента на отдельных секторах.  Комитет принял решение интегрировать результаты проекта в работу ВОИС и поручил представить ему на следующей сессии документ в развитие темы о дальнейших мероприятиях Секретариата в данной области.</w:t>
      </w:r>
    </w:p>
    <w:p w14:paraId="16FA28EE" w14:textId="47662791" w:rsidR="000643F7" w:rsidRPr="009856FB" w:rsidRDefault="000643F7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Соответственно, целью второго этапа проекта (предмет настоящей оценки) стало обеспечение долгосрочной устойчивости результатов проекта путем их включения в материалы всеобъемлющего учебного курса (в виде пособия), благодаря которым будут созданы возможности для дальнейшего самообразования и обучения и которые будут использоваться в качестве справочных и дополнительных информационных материалов.  По согласованию со странами-бенефициарами (Кенией, Филиппинами и Тринидадом и Тобаго) было решено, что на втором этапе проекта основное внимание будет уделено более активному использованию системы охраны прав ИС в поддержку индустрии мобильных приложений в следующих четырех творческих секторах:  музыка, издательское дело, видеоигры и аудиовизуальный контент.</w:t>
      </w:r>
    </w:p>
    <w:p w14:paraId="7A264768" w14:textId="00F93858" w:rsidR="0089265A" w:rsidRPr="009856FB" w:rsidRDefault="0089265A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Основная цель этапа II, реализация которого началась в январе 2023 года, заключалась в том, чтобы усовершенствовать материалы и укрепить потенциал, созданные в ходе первого этапа проекта, и обеспечить большую устойчивость результатов проекта, при этом ожидаемый итог заключался в улучшении понимания актуальности ИС и расширении использования средств ее охраны в поддержку индустрии мобильных приложений в таких секторах, как музыка, издательское дело, видеоигры и аудиовизуальный контент.</w:t>
      </w:r>
    </w:p>
    <w:p w14:paraId="7ACEA22D" w14:textId="0F1FDAD6" w:rsidR="0089265A" w:rsidRPr="009856FB" w:rsidRDefault="0089265A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Для достижения ожидаемых целей и результатов проекта в тесном сотрудничестве с партнерами в каждой из стран-бенефициаров и в консультации с заинтересованными сторонами в области мобильных приложений и творческих секторах была реализована следующая деятельность:</w:t>
      </w:r>
    </w:p>
    <w:p w14:paraId="7396495A" w14:textId="03167422" w:rsidR="0089265A" w:rsidRPr="009856FB" w:rsidRDefault="00847180" w:rsidP="00125B67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подготовлены материалы для учебного курса «ИС для мобильных приложений»;</w:t>
      </w:r>
    </w:p>
    <w:p w14:paraId="00025A58" w14:textId="77A083B2" w:rsidR="00847180" w:rsidRPr="009856FB" w:rsidRDefault="00847180" w:rsidP="00125B67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разработаны руководства по ИС для мобильных приложений в секторах музыки, издательского дела, видеоигр и аудиовизуального контента;</w:t>
      </w:r>
    </w:p>
    <w:p w14:paraId="036DD4F9" w14:textId="2AEBF39A" w:rsidR="00847180" w:rsidRPr="009856FB" w:rsidRDefault="00847180" w:rsidP="001A62B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организованы мероприятия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предложений.</w:t>
      </w:r>
    </w:p>
    <w:p w14:paraId="74CAF09D" w14:textId="77777777" w:rsidR="000A69A2" w:rsidRPr="00B95680" w:rsidRDefault="0086797C" w:rsidP="00390651">
      <w:pPr>
        <w:spacing w:before="360" w:after="220"/>
        <w:jc w:val="both"/>
        <w:rPr>
          <w:rStyle w:val="Heading1Char"/>
          <w:rFonts w:ascii="Arial" w:hAnsi="Arial" w:cs="Arial"/>
          <w:b/>
          <w:bCs/>
          <w:sz w:val="22"/>
          <w:szCs w:val="22"/>
        </w:rPr>
      </w:pPr>
      <w:bookmarkStart w:id="11" w:name="_Toc179462503"/>
      <w:r>
        <w:rPr>
          <w:rStyle w:val="Heading1Char"/>
          <w:rFonts w:ascii="Arial" w:hAnsi="Arial"/>
          <w:b/>
          <w:sz w:val="22"/>
        </w:rPr>
        <w:t>Цели и методика оценки</w:t>
      </w:r>
      <w:bookmarkEnd w:id="11"/>
    </w:p>
    <w:p w14:paraId="24C4BCE8" w14:textId="56316670" w:rsidR="00E83E68" w:rsidRPr="009856FB" w:rsidRDefault="00E83E68" w:rsidP="001A62BD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Оценка преследовала две основные цели:</w:t>
      </w:r>
    </w:p>
    <w:p w14:paraId="6BD692CC" w14:textId="39EAE32A" w:rsidR="00E83E68" w:rsidRPr="009856FB" w:rsidRDefault="00E83E68" w:rsidP="001A62BD">
      <w:pPr>
        <w:pStyle w:val="ListParagraph"/>
        <w:numPr>
          <w:ilvl w:val="0"/>
          <w:numId w:val="1"/>
        </w:numPr>
        <w:spacing w:after="2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изучить опыт, полученный в ходе реализации проекта,  отметив для целей продолжения работы в этой области, какие меры дали надлежащий эффект, а какие – нет.  Для этого были оценены три ключевые области:</w:t>
      </w:r>
    </w:p>
    <w:p w14:paraId="60DFE595" w14:textId="6A2C379A" w:rsidR="00C12B40" w:rsidRPr="009856FB" w:rsidRDefault="00C12B40" w:rsidP="00125B67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структура проекта и организация проектной деятельности</w:t>
      </w:r>
    </w:p>
    <w:p w14:paraId="21CA8815" w14:textId="305FA8EA" w:rsidR="00E83E68" w:rsidRPr="009856FB" w:rsidRDefault="00E83E68" w:rsidP="00125B67">
      <w:pPr>
        <w:pStyle w:val="ListParagraph"/>
        <w:numPr>
          <w:ilvl w:val="2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общая структура проекта </w:t>
      </w:r>
    </w:p>
    <w:p w14:paraId="71D35DB9" w14:textId="77777777" w:rsidR="00E83E68" w:rsidRPr="009856FB" w:rsidRDefault="00E83E68" w:rsidP="00125B67">
      <w:pPr>
        <w:pStyle w:val="ListParagraph"/>
        <w:numPr>
          <w:ilvl w:val="2"/>
          <w:numId w:val="7"/>
        </w:numPr>
        <w:spacing w:after="120"/>
        <w:ind w:left="234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организация проектной деятельности, в том числе использование средств мониторинга и отчетности</w:t>
      </w:r>
    </w:p>
    <w:p w14:paraId="7B899FF3" w14:textId="77777777" w:rsidR="00C12B40" w:rsidRPr="009856FB" w:rsidRDefault="00C12B40" w:rsidP="00125B67">
      <w:pPr>
        <w:pStyle w:val="ListParagraph"/>
        <w:numPr>
          <w:ilvl w:val="1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результативность</w:t>
      </w:r>
    </w:p>
    <w:p w14:paraId="54BF8914" w14:textId="1915FCA2" w:rsidR="00E83E68" w:rsidRPr="009856FB" w:rsidRDefault="00C12B40" w:rsidP="00125B67">
      <w:pPr>
        <w:pStyle w:val="ListParagraph"/>
        <w:numPr>
          <w:ilvl w:val="2"/>
          <w:numId w:val="8"/>
        </w:numPr>
        <w:spacing w:after="120"/>
        <w:ind w:left="234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измерение достигнутых на заданную дату результатов и отчетность по ним</w:t>
      </w:r>
    </w:p>
    <w:p w14:paraId="317C8D77" w14:textId="77777777" w:rsidR="00C12B40" w:rsidRPr="009856FB" w:rsidRDefault="00C12B40" w:rsidP="00125B67">
      <w:pPr>
        <w:pStyle w:val="ListParagraph"/>
        <w:numPr>
          <w:ilvl w:val="1"/>
          <w:numId w:val="1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устойчивость результатов</w:t>
      </w:r>
    </w:p>
    <w:p w14:paraId="52FA9C4E" w14:textId="3BD690C4" w:rsidR="00E83E68" w:rsidRPr="009856FB" w:rsidRDefault="00E83E68" w:rsidP="00125B67">
      <w:pPr>
        <w:pStyle w:val="ListParagraph"/>
        <w:numPr>
          <w:ilvl w:val="2"/>
          <w:numId w:val="1"/>
        </w:numPr>
        <w:spacing w:after="120"/>
        <w:ind w:left="234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вероятность того, что достигнутые результаты окажутся устойчивыми.</w:t>
      </w:r>
    </w:p>
    <w:p w14:paraId="29DFB1B3" w14:textId="25624028" w:rsidR="00E83E68" w:rsidRPr="009856FB" w:rsidRDefault="00E83E68" w:rsidP="00125B67">
      <w:pPr>
        <w:pStyle w:val="ListParagraph"/>
        <w:numPr>
          <w:ilvl w:val="0"/>
          <w:numId w:val="1"/>
        </w:numPr>
        <w:spacing w:after="2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предоставить основанную на фактах оценочную информацию, которая может быть использована КРИС при принятии решений.</w:t>
      </w:r>
    </w:p>
    <w:p w14:paraId="6E5AEEC1" w14:textId="1FEB369B" w:rsidR="00E83E68" w:rsidRPr="009856FB" w:rsidRDefault="00E83E68" w:rsidP="00125B67">
      <w:pPr>
        <w:pStyle w:val="ListParagraph"/>
        <w:numPr>
          <w:ilvl w:val="0"/>
          <w:numId w:val="13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частности, в рамках данной оценки рассматривалось, в какой степени проект способствовал достижению следующих целей:</w:t>
      </w:r>
    </w:p>
    <w:p w14:paraId="0823B575" w14:textId="50B29C40" w:rsidR="00E83E68" w:rsidRPr="009856FB" w:rsidRDefault="00E83E68" w:rsidP="00125B6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(i) способствовать более широкому и эффективному использованию ИС в поддержку сектора мобильных приложений путем обучения исследователей, разработчиков и предпринимателей методам использования целого ряда имеющихся инструментов ИС и тому, как такие инструменты могут использоваться для решения соответствующих задач;</w:t>
      </w:r>
    </w:p>
    <w:p w14:paraId="5CF4FBB4" w14:textId="77777777" w:rsidR="00E83E68" w:rsidRPr="009856FB" w:rsidRDefault="00E83E68" w:rsidP="00125B6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(ii) способствовать повышению осведомленности среди предпринимателей, финансовых учреждений, венчурных компаний и других инвесторов относительно использования ИС в качестве актива и инструмента сотрудничества путем содействия обмену знаниями и опытом;</w:t>
      </w:r>
    </w:p>
    <w:p w14:paraId="3D691D0E" w14:textId="77777777" w:rsidR="00E83E68" w:rsidRPr="009856FB" w:rsidRDefault="00E83E68" w:rsidP="00125B67">
      <w:pPr>
        <w:pStyle w:val="ListParagraph"/>
        <w:numPr>
          <w:ilvl w:val="0"/>
          <w:numId w:val="2"/>
        </w:numPr>
        <w:spacing w:after="2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(iii) способствовать обеспечению уважения ИС в секторе разработки программного обеспечения путем обучения исследователей, разработчиков и предпринимателей методам и процедурам эффективной охраны прав ИС в области мобильных приложений, в том числе методам и процедурам посредничества и арбитража.  </w:t>
      </w:r>
    </w:p>
    <w:p w14:paraId="1B69F10F" w14:textId="3C4483BE" w:rsidR="00E83E68" w:rsidRPr="009856FB" w:rsidRDefault="00E83E68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ходе оценки не оценивались отдельные мероприятия или результаты; оценивался проект в целом и его вклад в выявление потребностей государств-членов и изыскание ресурсов или средств для удовлетворения этих потребностей.  Была дана оценка развитию проекта во времени и его результативности.</w:t>
      </w:r>
    </w:p>
    <w:p w14:paraId="222DA014" w14:textId="637CF780" w:rsidR="004D48C5" w:rsidRPr="009856FB" w:rsidRDefault="004D48C5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 сборе и анализе данных применялся качественный подход, который заключался в изучении соответствующей документации и материалов (см. дополнение 2) и проведении 16 частично структурированных бесед с сотрудниками ВОИС и представителями стран-бенефициаров (см. дополнение 1).</w:t>
      </w:r>
    </w:p>
    <w:p w14:paraId="71E6C45F" w14:textId="4C2FDDDD" w:rsidR="004D48C5" w:rsidRPr="009856FB" w:rsidRDefault="004D48C5" w:rsidP="00125B67">
      <w:pPr>
        <w:pStyle w:val="ListParagraph"/>
        <w:numPr>
          <w:ilvl w:val="0"/>
          <w:numId w:val="13"/>
        </w:numPr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Проект отчета об оценке был представлен ВОИС до его окончательной доработки.</w:t>
      </w:r>
    </w:p>
    <w:p w14:paraId="159C2940" w14:textId="77777777" w:rsidR="0086797C" w:rsidRPr="00B95680" w:rsidRDefault="0086797C" w:rsidP="001A62BD">
      <w:pPr>
        <w:pStyle w:val="Heading2"/>
        <w:spacing w:before="240" w:after="120"/>
        <w:rPr>
          <w:rFonts w:ascii="Arial" w:hAnsi="Arial" w:cs="Arial"/>
          <w:b/>
          <w:bCs/>
          <w:sz w:val="22"/>
          <w:szCs w:val="22"/>
        </w:rPr>
      </w:pPr>
      <w:bookmarkStart w:id="12" w:name="_Toc179462504"/>
      <w:r>
        <w:rPr>
          <w:rFonts w:ascii="Arial" w:hAnsi="Arial"/>
          <w:b/>
          <w:sz w:val="22"/>
        </w:rPr>
        <w:t>Основные выводы отчета.</w:t>
      </w:r>
      <w:bookmarkEnd w:id="12"/>
    </w:p>
    <w:p w14:paraId="22E749A7" w14:textId="77777777" w:rsidR="0086797C" w:rsidRPr="009856FB" w:rsidRDefault="0086797C" w:rsidP="001A62BD">
      <w:pPr>
        <w:pStyle w:val="Heading3"/>
        <w:spacing w:before="120" w:after="240"/>
        <w:rPr>
          <w:rFonts w:ascii="Arial" w:hAnsi="Arial" w:cs="Arial"/>
          <w:sz w:val="22"/>
          <w:szCs w:val="22"/>
          <w:u w:val="single"/>
        </w:rPr>
      </w:pPr>
      <w:bookmarkStart w:id="13" w:name="_Toc179462505"/>
      <w:r>
        <w:rPr>
          <w:rFonts w:ascii="Arial" w:hAnsi="Arial"/>
          <w:sz w:val="22"/>
          <w:u w:val="single"/>
        </w:rPr>
        <w:t>Структура проекта и организация проектной деятельности</w:t>
      </w:r>
      <w:bookmarkEnd w:id="13"/>
    </w:p>
    <w:p w14:paraId="5CD27F23" w14:textId="27FC43D6" w:rsidR="00217F0C" w:rsidRPr="009856FB" w:rsidRDefault="00A80566" w:rsidP="00D57315">
      <w:pPr>
        <w:shd w:val="clear" w:color="auto" w:fill="E8E8E8" w:themeFill="background2"/>
        <w:spacing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Основные выводы</w:t>
      </w:r>
    </w:p>
    <w:p w14:paraId="0583C55B" w14:textId="77777777" w:rsidR="00913E74" w:rsidRPr="009856FB" w:rsidRDefault="00913E74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1. Структура проекта является достаточно гибкой и обеспечила возможность корректировки первоначально предусмотренной тематики руководств для достижения поставленных целей и гибкого реагирования на изменение ситуации.</w:t>
      </w:r>
    </w:p>
    <w:p w14:paraId="2B36D627" w14:textId="75554AB4" w:rsidR="00913E74" w:rsidRPr="009856FB" w:rsidRDefault="00913E74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2. Акцент на четырех конкретных секторах в ходе второго этапа обеспечил четкое развитие по сравнению с этапом I, как и ожидал КРИС.</w:t>
      </w:r>
    </w:p>
    <w:p w14:paraId="71C26271" w14:textId="3B0D47FF" w:rsidR="00913E74" w:rsidRPr="009856FB" w:rsidRDefault="00913E74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3. В типовом шаблоне проектного документа ВОИС подробно описаны параметры проекта, включая предварительные результаты и итоги, а также указаны соответствующие оценочные показатели.  Этот документ служил полезным ориентиром для всех заинтересованных сторон на протяжении всего срока реализации проекта.</w:t>
      </w:r>
    </w:p>
    <w:p w14:paraId="494785CE" w14:textId="32B60215" w:rsidR="00913E74" w:rsidRPr="009856FB" w:rsidRDefault="00913E74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4. Руководства, разработанные в рамках проекта, ориентированы на динамичные области, в которых активно появляются новые технологии.  Выбор областей специализации и работа с экспертами во всех четырех предметных областях при подготовке руководств помогли обеспечить актуальность проекта в свете новых тенденций и технологий.</w:t>
      </w:r>
    </w:p>
    <w:p w14:paraId="57E51A4F" w14:textId="0E73EE6D" w:rsidR="00913E74" w:rsidRPr="009856FB" w:rsidRDefault="00913E74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5. Представители стран-бенефициаров положительно отозвались о тематической направленности этапа II и высоко оценили опыт и подход руководителя проекта.</w:t>
      </w:r>
    </w:p>
    <w:p w14:paraId="62EAD415" w14:textId="44B0D8F4" w:rsidR="00214EF8" w:rsidRDefault="00FB20CF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</w:rPr>
        <w:t xml:space="preserve">Реализацией этапа II проекта руководил заместитель директора и старший административный сотрудник Отдела распространения информации и цифрового контента Сектора авторского права и творческих отраслей (САПТО) – тот же руководитель проекта, что и на этапе I.  Руководителю проекта помогал сотрудник, который активно занимался специальной веб-страницей и визуальными материалами, а также распространением информации о проекте. </w:t>
      </w:r>
    </w:p>
    <w:p w14:paraId="74C43BD1" w14:textId="78278EDF" w:rsidR="00214EF8" w:rsidRDefault="00AF476B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</w:rPr>
        <w:t xml:space="preserve">Деятельность по проекту была начата в январе 2023 года, и разработка трех из четырех запланированных руководств шла в соответствии с планом.  Работа над четвертым руководством (по аудиовизуальному контенту) несколько затянулась, что привело к необходимости увеличить продолжительность проекта до 19 месяцев.  Кроме того, после получения комментариев от государств-членов </w:t>
      </w:r>
      <w:r w:rsidR="003240DB" w:rsidRPr="004E6684">
        <w:rPr>
          <w:rFonts w:ascii="Arial" w:hAnsi="Arial"/>
          <w:sz w:val="22"/>
        </w:rPr>
        <w:t>руководство</w:t>
      </w:r>
      <w:r>
        <w:rPr>
          <w:rFonts w:ascii="Arial" w:hAnsi="Arial"/>
          <w:sz w:val="22"/>
        </w:rPr>
        <w:t xml:space="preserve"> был</w:t>
      </w:r>
      <w:r w:rsidR="003240DB" w:rsidRPr="004E6684"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 переориентирован</w:t>
      </w:r>
      <w:r w:rsidR="003240DB" w:rsidRPr="004E6684"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 на использование системы ИС в мобильных приложениях для социальных сетей, что лучше соответствовало актуальной проблематике.</w:t>
      </w:r>
    </w:p>
    <w:p w14:paraId="0CBE734D" w14:textId="4F7FF36A" w:rsidR="00214EF8" w:rsidRDefault="00F93DA6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</w:rPr>
        <w:t>Координаторы в трех странах-бенефициарах положительно оценили тематическую направленность этапа II на четыре конкретных сектора как явный шаг вперед с опорой на результаты первого этапа. Такой гибкий подход был признан важным для решения различных типов проблем, характерных для каждого сектора.</w:t>
      </w:r>
    </w:p>
    <w:p w14:paraId="304F44F9" w14:textId="6ABCB361" w:rsidR="00214EF8" w:rsidRPr="00214EF8" w:rsidRDefault="00A80566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ходе обсуждений, проводившихся в рамках оценки, координаторы из стран-бенефициаров особо отметили конструктивные отношения с руководителем проекта и высоко оценили проделанную им работу, его отзывчивость и компетентность, а также результаты, полученные благодаря проекту.</w:t>
      </w:r>
    </w:p>
    <w:p w14:paraId="0201D07F" w14:textId="71BF2A8F" w:rsidR="00217F0C" w:rsidRPr="00214EF8" w:rsidRDefault="00C12B40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/>
          <w:sz w:val="22"/>
        </w:rPr>
        <w:t>Для составления первоначального проектного документа использовался типовой шаблон ВОИС (</w:t>
      </w:r>
      <w:hyperlink r:id="rId16" w:history="1">
        <w:r>
          <w:rPr>
            <w:rStyle w:val="Hyperlink"/>
            <w:rFonts w:ascii="Arial" w:hAnsi="Arial"/>
            <w:sz w:val="22"/>
          </w:rPr>
          <w:t>CDIP/29/8 Rev.</w:t>
        </w:r>
      </w:hyperlink>
      <w:r>
        <w:rPr>
          <w:rStyle w:val="Hyperlink"/>
          <w:rFonts w:ascii="Arial" w:hAnsi="Arial"/>
          <w:color w:val="auto"/>
          <w:sz w:val="22"/>
        </w:rPr>
        <w:t>)</w:t>
      </w:r>
      <w:r>
        <w:rPr>
          <w:rStyle w:val="Hyperlink"/>
          <w:rFonts w:ascii="Arial" w:hAnsi="Arial"/>
          <w:color w:val="auto"/>
          <w:sz w:val="22"/>
          <w:u w:val="none"/>
        </w:rPr>
        <w:t>, в котором предусмотрены следующие ключевые элементы проекта:</w:t>
      </w:r>
    </w:p>
    <w:p w14:paraId="05ABB73E" w14:textId="07D0400A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Код проекта</w:t>
      </w:r>
    </w:p>
    <w:p w14:paraId="2EFD8EC8" w14:textId="3C47820A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Название проекта</w:t>
      </w:r>
    </w:p>
    <w:p w14:paraId="2E203554" w14:textId="4C51F258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Рекомендации ПДР</w:t>
      </w:r>
    </w:p>
    <w:p w14:paraId="499F2D64" w14:textId="1599A808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Продолжительность проекта</w:t>
      </w:r>
    </w:p>
    <w:p w14:paraId="3D779D18" w14:textId="59600019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Бюджет проекта</w:t>
      </w:r>
    </w:p>
    <w:p w14:paraId="755ACE0E" w14:textId="5E16E2E5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Описание проекта</w:t>
      </w:r>
    </w:p>
    <w:p w14:paraId="626C0726" w14:textId="72D5203E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Цель, итоги и результаты проекта</w:t>
      </w:r>
    </w:p>
    <w:p w14:paraId="240B49B2" w14:textId="37E51EFB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Стратегия реализации проекта</w:t>
      </w:r>
    </w:p>
    <w:p w14:paraId="6628C013" w14:textId="61CE0B82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Показатели проекта</w:t>
      </w:r>
    </w:p>
    <w:p w14:paraId="62ECC3D8" w14:textId="27F5CBB3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Стратегия обеспечения устойчивости</w:t>
      </w:r>
    </w:p>
    <w:p w14:paraId="2537D523" w14:textId="57CB0F6E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Критерии отбора пилотных стран/стран-бенефициаров</w:t>
      </w:r>
    </w:p>
    <w:p w14:paraId="5999EAA4" w14:textId="643A6F9F" w:rsidR="004045CA" w:rsidRPr="009856FB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Реализующая организационная структура</w:t>
      </w:r>
    </w:p>
    <w:p w14:paraId="3850ED4C" w14:textId="30D9095E" w:rsidR="004045CA" w:rsidRPr="009856FB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Связи с другими организационными структурами</w:t>
      </w:r>
    </w:p>
    <w:p w14:paraId="75FE117E" w14:textId="1149367D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Вклад в достижение ожидаемых результатов, предусмотренных Программой и бюджетом ВОИС</w:t>
      </w:r>
    </w:p>
    <w:p w14:paraId="35A776F3" w14:textId="51A75C1B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Риски и их снижение</w:t>
      </w:r>
    </w:p>
    <w:p w14:paraId="431B4DA6" w14:textId="4FC8DE51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Ориентировочный график реализации</w:t>
      </w:r>
    </w:p>
    <w:p w14:paraId="3AF93D84" w14:textId="79D40EDF" w:rsidR="004045CA" w:rsidRPr="00214EF8" w:rsidRDefault="004045CA" w:rsidP="00125B6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Общий объем необходимых ресурсов в разбивке по результатам</w:t>
      </w:r>
    </w:p>
    <w:p w14:paraId="7856969A" w14:textId="6D792B5E" w:rsidR="004045CA" w:rsidRPr="00214EF8" w:rsidRDefault="004045CA" w:rsidP="00125B67">
      <w:pPr>
        <w:pStyle w:val="ListParagraph"/>
        <w:numPr>
          <w:ilvl w:val="0"/>
          <w:numId w:val="9"/>
        </w:numPr>
        <w:spacing w:after="2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Ресурсы, не связанные с персоналом, в разбивке по категориям расходов</w:t>
      </w:r>
    </w:p>
    <w:p w14:paraId="3495F0B8" w14:textId="77777777" w:rsidR="00E008A3" w:rsidRDefault="00E92051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Обсуждения в ходе оценки показали, что первоначальный проектный документ служил для всех заинтересованных сторон полезным ориентиром на протяжении всего срока реализации проекта.  Документ, в котором прописаны основные руководящие принципы реализации проекта, стал полезным инструментом для оценки степени достижения целей проекта.</w:t>
      </w:r>
    </w:p>
    <w:p w14:paraId="143A0CA8" w14:textId="0BB13656" w:rsidR="00E008A3" w:rsidRDefault="00CA61DD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Отслеживать реализацию проекта было относительно просто с учетом относительно короткого срока реализации (19 месяцев) и небольшого числа ожидаемых результатов.  Включение итогов и результатов проекта, а также показателей, по которым можно оценить их достижение, было особенно полезно для руководителя проекта, поскольку облегчило ему задачу по контролю за достижениями.  Мониторинг проводился на регулярной основе с учетом соответствующих сроков завершения различных элементов проекта (например, разработки руководств, которая была передана на внешний подряд).</w:t>
      </w:r>
    </w:p>
    <w:p w14:paraId="2DECB4CB" w14:textId="0C1B2FA2" w:rsidR="00E008A3" w:rsidRDefault="00C97440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Руководство проектом осуществлялось Отделом распространения информации и цифрового контента ВОИС.  Участие других подразделений ВОИС было ограниченным, хотя региональные подразделения (бюро Африки, Азии, Латинской Америки и Карибского бассейна) приняли участие в организации трех мероприятий в рамках проекта.   Координация усилий была важна для того, чтобы региональные подразделения были осведомлены о проекте, его результатах и итогах, а также для того, чтобы избежать мероприятия по проекту не пересекались с другими мероприятиями, проводимыми в соответствующих регионах.  Однако не все региональные подразделения были в равной степени осведомлены о деятельности в рамках проекта на протяжении всего периода его реализации, хотя и получали копии соответствующих служебных записок и отчетов о мероприятиях и имели доступ к отчетам о ходе реализации проекта.</w:t>
      </w:r>
    </w:p>
    <w:p w14:paraId="02D627AB" w14:textId="77777777" w:rsidR="00E008A3" w:rsidRDefault="009B4E72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 реализации этого проекта, как и всех проектов КРИС в принципе, важную роль в плане координации усилий сыграл Отдел координации деятельности в рамках Повестки дня в области развития (ОКПДР).</w:t>
      </w:r>
    </w:p>
    <w:p w14:paraId="6083E9D0" w14:textId="46674530" w:rsidR="00217F0C" w:rsidRPr="00E008A3" w:rsidRDefault="00217F0C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Как показано на рисунке 1 ниже, в первоначальном проектном документе было предусмотрено два потенциальных риска и были предложены стратегии на случай их материализации.</w:t>
      </w:r>
    </w:p>
    <w:p w14:paraId="3BA1E428" w14:textId="35D37B70" w:rsidR="00913E74" w:rsidRPr="00214EF8" w:rsidRDefault="00913E74" w:rsidP="00E008A3">
      <w:pPr>
        <w:spacing w:before="120" w:after="60"/>
        <w:rPr>
          <w:rFonts w:ascii="Arial" w:hAnsi="Arial" w:cs="Arial"/>
          <w:b/>
          <w:bCs/>
          <w:i/>
          <w:iCs/>
          <w:color w:val="156082" w:themeColor="accent1"/>
          <w:sz w:val="22"/>
          <w:szCs w:val="22"/>
        </w:rPr>
      </w:pPr>
      <w:r>
        <w:rPr>
          <w:rFonts w:ascii="Arial" w:hAnsi="Arial"/>
          <w:b/>
          <w:i/>
          <w:color w:val="156082" w:themeColor="accent1"/>
          <w:sz w:val="22"/>
        </w:rPr>
        <w:t>Рисунок 1.</w:t>
      </w:r>
    </w:p>
    <w:p w14:paraId="2BAB0D55" w14:textId="7A6C7DF8" w:rsidR="00217F0C" w:rsidRPr="00C5787D" w:rsidRDefault="00217F0C" w:rsidP="00217F0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2F299ACA" wp14:editId="00C6BE25">
            <wp:extent cx="5486400" cy="2609850"/>
            <wp:effectExtent l="0" t="209550" r="0" b="209550"/>
            <wp:docPr id="902016375" name="Diagram 1" descr="Figure 1: Risk I, Risk II, Mitigation I and Mitigation II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FF36901" w14:textId="77777777" w:rsidR="00E008A3" w:rsidRDefault="00392B12" w:rsidP="001A62BD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ходе реализации проекта были предприняты результативные усилия по снижению риска I путем поиска разработчиков мобильных приложений для участия в проекте (и особенно в мероприятиях) с привлечением партнеров ВОИС и координаторов в каждой из трех стран-бенефициаров.  Такой подход по-прежнему важен в долгосрочной перспективе, поскольку ВОИС не контактирует напрямую с разработчиками мобильных приложений: этим занимаются национальные ведомства ИС и/или соответствующие национальные учреждения.  Использование партнеров и координаторов для поиска участников мероприятий по проекту дало положительные результаты.</w:t>
      </w:r>
    </w:p>
    <w:p w14:paraId="21C7775F" w14:textId="6943251B" w:rsidR="00392B12" w:rsidRPr="00E008A3" w:rsidRDefault="00392B12" w:rsidP="00125B67">
      <w:pPr>
        <w:pStyle w:val="ListParagraph"/>
        <w:numPr>
          <w:ilvl w:val="0"/>
          <w:numId w:val="13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Риск II был связан с тем, что на реализацию первого этапа повлияла пандемия COVID-19.  Ограничения, существовавшие во время первого этапа (например, в отношении поездок и проведения очных мероприятий), были сняты к началу реализации второго этапа уже не действовали, поэтому два мероприятия (на Филиппинах и в Тринидаде и Тобаго) удалось провести в очном формате.  Третье мероприятие, в Кении, по просьбе руководителя ведомства авторского права этой страны было проведено в формате вебинара.</w:t>
      </w:r>
    </w:p>
    <w:p w14:paraId="08C1B14E" w14:textId="06D25594" w:rsidR="00217F0C" w:rsidRPr="00C5787D" w:rsidRDefault="00217F0C" w:rsidP="00125B67">
      <w:pPr>
        <w:pStyle w:val="ListParagraph"/>
        <w:numPr>
          <w:ilvl w:val="0"/>
          <w:numId w:val="13"/>
        </w:numPr>
        <w:ind w:left="0" w:firstLine="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sz w:val="22"/>
        </w:rPr>
        <w:t>Реагирование на новые тенденции, технологии и другие внешние факторы</w:t>
      </w:r>
    </w:p>
    <w:p w14:paraId="2EBCF52D" w14:textId="0AF51EBB" w:rsidR="00217F0C" w:rsidRPr="00C5787D" w:rsidRDefault="002E124F" w:rsidP="00E008A3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4E6684">
        <w:rPr>
          <w:rFonts w:ascii="Arial" w:hAnsi="Arial"/>
          <w:sz w:val="22"/>
        </w:rPr>
        <w:t>Руководства</w:t>
      </w:r>
      <w:r w:rsidR="00392B12">
        <w:rPr>
          <w:rFonts w:ascii="Arial" w:hAnsi="Arial"/>
          <w:sz w:val="22"/>
        </w:rPr>
        <w:t>, разработанные в рамках проекта, были ориентированы на очень динамичные области, в которых активно появляются новые технологии.  Для того чтобы руководства соответствовали актуальным и новым тенденциям, ВОИС работала с экспертами и авторами в четырех проектных областях.  Например, руководство для приложений в издательском деле было разработано ведущим мировым экспертом по этой теме, которому удалось учесть последние тенденции в этой области.  Руководство для видеоигр также было разработано ведущей компанией в этом секторе.</w:t>
      </w:r>
    </w:p>
    <w:p w14:paraId="26406A32" w14:textId="5ED7D0A7" w:rsidR="00392B12" w:rsidRPr="00C5787D" w:rsidRDefault="00392B12" w:rsidP="00125B67">
      <w:pPr>
        <w:pStyle w:val="ListParagraph"/>
        <w:numPr>
          <w:ilvl w:val="0"/>
          <w:numId w:val="13"/>
        </w:numPr>
        <w:spacing w:after="2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Разработка руководства для приложений в секторе социальных сетей сама по себе стала ответом на новые тенденции, набирающие особенную силу среди молодежи.</w:t>
      </w:r>
    </w:p>
    <w:p w14:paraId="1E01577F" w14:textId="77777777" w:rsidR="0086797C" w:rsidRPr="00B95680" w:rsidRDefault="0086797C" w:rsidP="00AA1743">
      <w:pPr>
        <w:pStyle w:val="Heading3"/>
        <w:spacing w:before="240" w:after="220"/>
        <w:rPr>
          <w:rFonts w:ascii="Arial" w:hAnsi="Arial" w:cs="Arial"/>
          <w:sz w:val="22"/>
          <w:szCs w:val="22"/>
          <w:u w:val="single"/>
        </w:rPr>
      </w:pPr>
      <w:bookmarkStart w:id="14" w:name="_Toc179462506"/>
      <w:r>
        <w:rPr>
          <w:rFonts w:ascii="Arial" w:hAnsi="Arial"/>
          <w:sz w:val="22"/>
          <w:u w:val="single"/>
        </w:rPr>
        <w:t>Результативность</w:t>
      </w:r>
      <w:bookmarkEnd w:id="14"/>
    </w:p>
    <w:p w14:paraId="577AD262" w14:textId="1EB7CAD0" w:rsidR="00913E74" w:rsidRPr="00C5787D" w:rsidRDefault="00913E74" w:rsidP="00913E74">
      <w:pPr>
        <w:shd w:val="clear" w:color="auto" w:fill="E8E8E8" w:themeFill="background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Основные выводы</w:t>
      </w:r>
    </w:p>
    <w:p w14:paraId="4E56D75E" w14:textId="77777777" w:rsidR="00AD3798" w:rsidRPr="00E008A3" w:rsidRDefault="00AD3798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6.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Проект предусматривал три результата: подготовку комплексного учебного материала (в виде пособия) по ИС для мобильных приложений; разработку руководств по применению ИС в четырех выбранных секторах; проведение мероприятий в каждой из трех стран-бенефициаров с целью презентации подготовленных материалов и получения обратной связи от заинтересованных сторон.  Все три результата были достигнуты.</w:t>
      </w:r>
    </w:p>
    <w:p w14:paraId="7491024B" w14:textId="220BBD4B" w:rsidR="00AD3798" w:rsidRPr="00E008A3" w:rsidRDefault="00AD3798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7.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В пособии, подготовленном в качестве результата 1, должным образом освещены все основные аспекты, связанные с использованием ИС в приложениях.  В течение первых трех месяцев после публикации на специальной веб-странице проекта пособие было скачано 852 раза, что значительно больше плана в 100 скачиваний.</w:t>
      </w:r>
    </w:p>
    <w:p w14:paraId="7A11EC95" w14:textId="09FF095C" w:rsidR="00AD3798" w:rsidRPr="00E008A3" w:rsidRDefault="00AD3798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8.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Результат 2 проекта предусматривает создание практических руководств по использованию ИС в мобильных приложениях в четырех секторах: музыка, издательское дело, видеоигры и аудиовизуальный контент.  Учитывая трудности с поиском достаточного количества специалистов для разработки руководства для аудиовизуального контента, а также после консультаций со странами-бенефициарами было принято решение переориентировать четвертое руководство на тематику «ИС в социальных сетях».  Все четыре руководства были успешно разработаны и размещены на специальной веб-странице проекта на сайте ВОИС.</w:t>
      </w:r>
    </w:p>
    <w:p w14:paraId="422D3C3E" w14:textId="437C5EF3" w:rsidR="009C5044" w:rsidRPr="00202BEA" w:rsidRDefault="009C5044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9.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В проекте было предусмотрено не менее 100 скачиваний руководств в течение первых трех месяцев после их публикации.  Этот показатель был превышен в случае трех руководств: для видеоигр (385 скачиваний); цифровых публикаций (418 скачиваний) и музыки (274 скачивания).  Данные о количестве скачиваний руководства для социальных сетей отсутствуют, поскольку на момент проведения данной оценки его разработка только что завершилась.</w:t>
      </w:r>
    </w:p>
    <w:p w14:paraId="5C6CE32C" w14:textId="3DBE7FB0" w:rsidR="009C5044" w:rsidRPr="00202BEA" w:rsidRDefault="009C5044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10.</w:t>
      </w:r>
      <w:r>
        <w:rPr>
          <w:rFonts w:ascii="Arial" w:hAnsi="Arial"/>
          <w:b/>
          <w:sz w:val="22"/>
        </w:rPr>
        <w:tab/>
        <w:t>Три мероприятия, запланированных для достижения результата 3 проекта, были успешно проведены, причем два мероприятия прошли в очном формате, а одно –дистанционно.  Отзывы участников всех трех мероприятий были исключительно положительными с точки зрения квалификации докладчиков, полезности мероприятий для повышения осведомленности и заинтересованности в будущих семинарах подобного рода.</w:t>
      </w:r>
    </w:p>
    <w:p w14:paraId="58540838" w14:textId="2BF57BCB" w:rsidR="009C5044" w:rsidRPr="00202BEA" w:rsidRDefault="009C5044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11. Размещение руководств и пособия, разработанных в рамках проекта, на специальной веб-странице сайта ВОИС сыграло важную роль в стимулировании более широкого использования средств охраны ИС в поддержку отрасли мобильных приложений.</w:t>
      </w:r>
    </w:p>
    <w:p w14:paraId="257A31B6" w14:textId="25F0AE63" w:rsidR="00B239BB" w:rsidRPr="00214EF8" w:rsidRDefault="00C97440" w:rsidP="00125B67">
      <w:pPr>
        <w:pStyle w:val="ListParagraph"/>
        <w:numPr>
          <w:ilvl w:val="0"/>
          <w:numId w:val="13"/>
        </w:numPr>
        <w:spacing w:before="220" w:after="2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Под «результативностью» понимается степень достижения целей проекта.  Стоит отметить, что второй этап проекта был основан на конкретных результатах первого этапа, что позволило обеспечить результативность проекта.</w:t>
      </w:r>
    </w:p>
    <w:p w14:paraId="241F0DCF" w14:textId="14655060" w:rsidR="000222E2" w:rsidRPr="00214EF8" w:rsidRDefault="004B0640" w:rsidP="000222E2">
      <w:pPr>
        <w:tabs>
          <w:tab w:val="left" w:pos="6841"/>
        </w:tabs>
        <w:spacing w:before="220" w:after="220"/>
        <w:ind w:right="1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таблице 1 ниже представлены итоги и результаты проекта и соответствующие показатели.</w:t>
      </w:r>
    </w:p>
    <w:p w14:paraId="5D216E83" w14:textId="68F5E7AE" w:rsidR="00F87B95" w:rsidRPr="00C5787D" w:rsidRDefault="00F87B95" w:rsidP="00E008A3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Таблица 1. Итоги, результаты и показатели проекта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Project Outcome, Outputs and Indicators"/>
      </w:tblPr>
      <w:tblGrid>
        <w:gridCol w:w="1838"/>
        <w:gridCol w:w="7178"/>
      </w:tblGrid>
      <w:tr w:rsidR="004B0640" w:rsidRPr="00C5787D" w14:paraId="1AC0BCB1" w14:textId="77777777" w:rsidTr="00495FC3">
        <w:tc>
          <w:tcPr>
            <w:tcW w:w="1838" w:type="dxa"/>
            <w:shd w:val="clear" w:color="auto" w:fill="DAE9F7" w:themeFill="text2" w:themeFillTint="1A"/>
          </w:tcPr>
          <w:p w14:paraId="1864586A" w14:textId="2475E2A2" w:rsidR="004B0640" w:rsidRPr="00C5787D" w:rsidRDefault="004B0640" w:rsidP="000222E2">
            <w:pPr>
              <w:spacing w:before="220" w:after="2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Итог проекта</w:t>
            </w:r>
          </w:p>
        </w:tc>
        <w:tc>
          <w:tcPr>
            <w:tcW w:w="7178" w:type="dxa"/>
            <w:shd w:val="clear" w:color="auto" w:fill="DAE9F7" w:themeFill="text2" w:themeFillTint="1A"/>
          </w:tcPr>
          <w:p w14:paraId="5CA0AAAE" w14:textId="06C8A75B" w:rsidR="004B0640" w:rsidRPr="00C5787D" w:rsidRDefault="004B0640" w:rsidP="000222E2">
            <w:pPr>
              <w:spacing w:before="220" w:after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Улучшение понимания актуальности ИС и расширение использования средств ее охраны в поддержку индустрии мобильных приложений в секторах музыки, издательского дела, видеоигр и аудиовизуального контента</w:t>
            </w:r>
          </w:p>
        </w:tc>
      </w:tr>
      <w:tr w:rsidR="004B0640" w:rsidRPr="00C5787D" w14:paraId="20AAD3D6" w14:textId="77777777" w:rsidTr="00495FC3">
        <w:tc>
          <w:tcPr>
            <w:tcW w:w="1838" w:type="dxa"/>
            <w:shd w:val="clear" w:color="auto" w:fill="A5C9EB" w:themeFill="text2" w:themeFillTint="40"/>
          </w:tcPr>
          <w:p w14:paraId="6F137FDB" w14:textId="5FA13235" w:rsidR="004B0640" w:rsidRPr="00C5787D" w:rsidRDefault="004B0640" w:rsidP="000222E2">
            <w:pPr>
              <w:spacing w:before="220" w:after="2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Показатели достижения итога</w:t>
            </w:r>
          </w:p>
        </w:tc>
        <w:tc>
          <w:tcPr>
            <w:tcW w:w="7178" w:type="dxa"/>
            <w:shd w:val="clear" w:color="auto" w:fill="A5C9EB" w:themeFill="text2" w:themeFillTint="40"/>
          </w:tcPr>
          <w:p w14:paraId="43E1F569" w14:textId="20BBDB74" w:rsidR="004B0640" w:rsidRPr="00C5787D" w:rsidRDefault="004B0640" w:rsidP="00125B67">
            <w:pPr>
              <w:pStyle w:val="ListParagraph"/>
              <w:numPr>
                <w:ilvl w:val="0"/>
                <w:numId w:val="4"/>
              </w:numPr>
              <w:spacing w:before="220" w:after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70% соответствующих заинтересованных сторон в странах-бенефициарах согласны с тем, что ИС является действенным инструментом, который может быть весьма полезным для индустрии мобильных приложений в сферах музыки, издательского дела, видеоигр и аудиовизуального контента</w:t>
            </w:r>
          </w:p>
          <w:p w14:paraId="5A1CDF2E" w14:textId="4361BF5B" w:rsidR="004B0640" w:rsidRPr="00C5787D" w:rsidRDefault="00A44F5F" w:rsidP="00125B67">
            <w:pPr>
              <w:pStyle w:val="ListParagraph"/>
              <w:numPr>
                <w:ilvl w:val="0"/>
                <w:numId w:val="4"/>
              </w:numPr>
              <w:spacing w:before="220" w:after="220"/>
              <w:rPr>
                <w:rFonts w:ascii="Arial" w:hAnsi="Arial" w:cs="Arial"/>
                <w:sz w:val="22"/>
                <w:szCs w:val="22"/>
              </w:rPr>
            </w:pPr>
            <w:bookmarkStart w:id="15" w:name="_Hlk174627538"/>
            <w:r w:rsidRPr="004E6684">
              <w:rPr>
                <w:rFonts w:ascii="Arial" w:hAnsi="Arial"/>
                <w:sz w:val="22"/>
              </w:rPr>
              <w:t>Н</w:t>
            </w:r>
            <w:r w:rsidR="004B0640">
              <w:rPr>
                <w:rFonts w:ascii="Arial" w:hAnsi="Arial"/>
                <w:sz w:val="22"/>
              </w:rPr>
              <w:t>е менее 100 скачиваний руководств в течение первых трех месяцев с момента их публикации</w:t>
            </w:r>
            <w:bookmarkEnd w:id="15"/>
          </w:p>
        </w:tc>
      </w:tr>
      <w:tr w:rsidR="004B0640" w:rsidRPr="00C5787D" w14:paraId="28AC9CD5" w14:textId="77777777" w:rsidTr="00495FC3">
        <w:tc>
          <w:tcPr>
            <w:tcW w:w="1838" w:type="dxa"/>
            <w:shd w:val="clear" w:color="auto" w:fill="D9F2D0" w:themeFill="accent6" w:themeFillTint="33"/>
          </w:tcPr>
          <w:p w14:paraId="548D7057" w14:textId="60E93FA7" w:rsidR="004B0640" w:rsidRPr="00C5787D" w:rsidRDefault="00495FC3" w:rsidP="000222E2">
            <w:pPr>
              <w:spacing w:before="220" w:after="2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Результаты проекта</w:t>
            </w:r>
          </w:p>
        </w:tc>
        <w:tc>
          <w:tcPr>
            <w:tcW w:w="7178" w:type="dxa"/>
            <w:shd w:val="clear" w:color="auto" w:fill="D9F2D0" w:themeFill="accent6" w:themeFillTint="33"/>
          </w:tcPr>
          <w:p w14:paraId="40D2F384" w14:textId="58143028" w:rsidR="004B0640" w:rsidRPr="00C5787D" w:rsidRDefault="00A44F5F" w:rsidP="00125B67">
            <w:pPr>
              <w:pStyle w:val="ListParagraph"/>
              <w:numPr>
                <w:ilvl w:val="0"/>
                <w:numId w:val="5"/>
              </w:numPr>
              <w:spacing w:before="220"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684">
              <w:rPr>
                <w:rFonts w:ascii="Arial" w:hAnsi="Arial"/>
                <w:sz w:val="22"/>
              </w:rPr>
              <w:t>М</w:t>
            </w:r>
            <w:r w:rsidR="00495FC3">
              <w:rPr>
                <w:rFonts w:ascii="Arial" w:hAnsi="Arial"/>
                <w:sz w:val="22"/>
              </w:rPr>
              <w:t xml:space="preserve">атериалы для учебного курса «ИС для мобильных приложений» (пособие)  </w:t>
            </w:r>
            <w:r w:rsidR="00495FC3">
              <w:rPr>
                <w:rFonts w:ascii="Arial" w:hAnsi="Arial"/>
                <w:b/>
                <w:sz w:val="22"/>
              </w:rPr>
              <w:t>(Учебное пособие по ИС для мобильных приложений [</w:t>
            </w:r>
            <w:hyperlink r:id="rId22" w:tgtFrame="_blank" w:history="1">
              <w:r w:rsidR="00495FC3">
                <w:rPr>
                  <w:rStyle w:val="Hyperlink"/>
                  <w:rFonts w:ascii="Arial" w:hAnsi="Arial"/>
                  <w:b/>
                  <w:sz w:val="22"/>
                </w:rPr>
                <w:t>PDF</w:t>
              </w:r>
            </w:hyperlink>
            <w:r w:rsidR="00495FC3">
              <w:rPr>
                <w:rFonts w:ascii="Arial" w:hAnsi="Arial"/>
                <w:b/>
                <w:sz w:val="22"/>
              </w:rPr>
              <w:t>])</w:t>
            </w:r>
          </w:p>
          <w:p w14:paraId="21E560C3" w14:textId="57E988BC" w:rsidR="00495FC3" w:rsidRPr="00C5787D" w:rsidRDefault="00A44F5F" w:rsidP="00125B67">
            <w:pPr>
              <w:pStyle w:val="ListParagraph"/>
              <w:numPr>
                <w:ilvl w:val="0"/>
                <w:numId w:val="5"/>
              </w:numPr>
              <w:spacing w:before="220" w:after="220"/>
              <w:jc w:val="both"/>
              <w:rPr>
                <w:rFonts w:ascii="Arial" w:hAnsi="Arial" w:cs="Arial"/>
                <w:color w:val="0F4761" w:themeColor="accent1" w:themeShade="BF"/>
                <w:sz w:val="22"/>
                <w:szCs w:val="22"/>
              </w:rPr>
            </w:pPr>
            <w:r w:rsidRPr="004E6684">
              <w:rPr>
                <w:rFonts w:ascii="Arial" w:hAnsi="Arial"/>
                <w:sz w:val="22"/>
              </w:rPr>
              <w:t>Р</w:t>
            </w:r>
            <w:r w:rsidR="00495FC3">
              <w:rPr>
                <w:rFonts w:ascii="Arial" w:hAnsi="Arial"/>
                <w:sz w:val="22"/>
              </w:rPr>
              <w:t>уководства по ИС для мобильных приложений в секторах музыки, издательского дела, видеоигр и аудиовизуального контента</w:t>
            </w:r>
          </w:p>
          <w:p w14:paraId="511B8AE7" w14:textId="77256BF2" w:rsidR="00495FC3" w:rsidRPr="00C5787D" w:rsidRDefault="00A44F5F" w:rsidP="00125B67">
            <w:pPr>
              <w:pStyle w:val="ListParagraph"/>
              <w:numPr>
                <w:ilvl w:val="0"/>
                <w:numId w:val="5"/>
              </w:numPr>
              <w:spacing w:before="220" w:after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684">
              <w:rPr>
                <w:rFonts w:ascii="Arial" w:hAnsi="Arial"/>
                <w:sz w:val="22"/>
              </w:rPr>
              <w:t>П</w:t>
            </w:r>
            <w:r w:rsidR="00495FC3">
              <w:rPr>
                <w:rFonts w:ascii="Arial" w:hAnsi="Arial"/>
                <w:sz w:val="22"/>
              </w:rPr>
              <w:t>роведение мероприятий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</w:t>
            </w:r>
          </w:p>
        </w:tc>
      </w:tr>
      <w:tr w:rsidR="004B0640" w:rsidRPr="00C5787D" w14:paraId="53CAA4B4" w14:textId="77777777" w:rsidTr="00495FC3">
        <w:tc>
          <w:tcPr>
            <w:tcW w:w="1838" w:type="dxa"/>
            <w:shd w:val="clear" w:color="auto" w:fill="B3E5A1" w:themeFill="accent6" w:themeFillTint="66"/>
          </w:tcPr>
          <w:p w14:paraId="010953DA" w14:textId="32046936" w:rsidR="004B0640" w:rsidRPr="00C5787D" w:rsidRDefault="00495FC3" w:rsidP="000222E2">
            <w:pPr>
              <w:spacing w:before="220" w:after="2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Показатели достижения результатов</w:t>
            </w:r>
          </w:p>
        </w:tc>
        <w:tc>
          <w:tcPr>
            <w:tcW w:w="7178" w:type="dxa"/>
            <w:shd w:val="clear" w:color="auto" w:fill="B3E5A1" w:themeFill="accent6" w:themeFillTint="66"/>
          </w:tcPr>
          <w:p w14:paraId="0F66F09B" w14:textId="409B57B6" w:rsidR="004B0640" w:rsidRPr="00C5787D" w:rsidRDefault="00495FC3" w:rsidP="00125B67">
            <w:pPr>
              <w:pStyle w:val="ListParagraph"/>
              <w:numPr>
                <w:ilvl w:val="0"/>
                <w:numId w:val="6"/>
              </w:numPr>
              <w:spacing w:before="220" w:after="2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Материалы для учебного курса «ИС для мобильных приложений» разработаны и опубликованы онлайн в течение шести месяцев с начала реализации проекта</w:t>
            </w:r>
          </w:p>
          <w:p w14:paraId="113D225A" w14:textId="6C2C1CF8" w:rsidR="00495FC3" w:rsidRPr="00C5787D" w:rsidRDefault="00495FC3" w:rsidP="00125B67">
            <w:pPr>
              <w:pStyle w:val="ListParagraph"/>
              <w:numPr>
                <w:ilvl w:val="0"/>
                <w:numId w:val="6"/>
              </w:numPr>
              <w:spacing w:before="220" w:after="2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Четыре руководства по ИС для мобильных приложений в секторах музыки, издательского дела, видеоигр и аудиовизуального контента разработаны и опубликованы онлайн в течение 9 месяцев с начала реализации проекта</w:t>
            </w:r>
          </w:p>
          <w:p w14:paraId="5DE275B6" w14:textId="79CE3793" w:rsidR="00495FC3" w:rsidRPr="00C5787D" w:rsidRDefault="00495FC3" w:rsidP="00125B67">
            <w:pPr>
              <w:pStyle w:val="ListParagraph"/>
              <w:numPr>
                <w:ilvl w:val="0"/>
                <w:numId w:val="6"/>
              </w:numPr>
              <w:spacing w:before="220" w:after="2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Проведены три мероприятия (по одному в каждой из стран-бенефициаров), в которых приняли участие не менее двух представителей каждого из выбранных творческих секторов  Разработанные руководства успешно скорректированы с учетом полученных замечаний и предложений при наличии таковых в течение одного месяца с даты мероприятия</w:t>
            </w:r>
          </w:p>
        </w:tc>
      </w:tr>
    </w:tbl>
    <w:p w14:paraId="0EF99D72" w14:textId="2004AB61" w:rsidR="00202BEA" w:rsidRDefault="00C97440" w:rsidP="00202BEA">
      <w:pPr>
        <w:spacing w:before="220" w:after="220"/>
        <w:rPr>
          <w:rFonts w:ascii="Arial" w:hAnsi="Arial" w:cs="Arial"/>
          <w:sz w:val="22"/>
          <w:szCs w:val="22"/>
        </w:rPr>
        <w:sectPr w:rsidR="00202BEA" w:rsidSect="00942303">
          <w:headerReference w:type="default" r:id="rId23"/>
          <w:footerReference w:type="default" r:id="rId24"/>
          <w:headerReference w:type="first" r:id="rId25"/>
          <w:pgSz w:w="11906" w:h="16838" w:code="9"/>
          <w:pgMar w:top="1440" w:right="1440" w:bottom="1440" w:left="1440" w:header="709" w:footer="709" w:gutter="0"/>
          <w:pgNumType w:start="6"/>
          <w:cols w:space="708"/>
          <w:titlePg/>
          <w:docGrid w:linePitch="360"/>
        </w:sectPr>
      </w:pPr>
      <w:r>
        <w:rPr>
          <w:rFonts w:ascii="Arial" w:hAnsi="Arial"/>
          <w:sz w:val="22"/>
        </w:rPr>
        <w:t xml:space="preserve">Результаты 1 и 2 проекта были успешно размещены на специальной </w:t>
      </w:r>
      <w:hyperlink r:id="rId26" w:history="1">
        <w:r>
          <w:rPr>
            <w:rStyle w:val="Hyperlink"/>
            <w:rFonts w:ascii="Arial" w:hAnsi="Arial"/>
            <w:sz w:val="22"/>
          </w:rPr>
          <w:t>веб-странице</w:t>
        </w:r>
      </w:hyperlink>
      <w:r>
        <w:rPr>
          <w:rFonts w:ascii="Arial" w:hAnsi="Arial"/>
          <w:sz w:val="22"/>
        </w:rPr>
        <w:t xml:space="preserve"> на сайте ВОИС, которая была создана на первом этапе.</w:t>
      </w:r>
    </w:p>
    <w:p w14:paraId="45631277" w14:textId="3CDA3CDC" w:rsidR="00107BE9" w:rsidRPr="00202BEA" w:rsidRDefault="00AD662C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Результатом 1</w:t>
      </w:r>
      <w:r>
        <w:rPr>
          <w:rFonts w:ascii="Arial" w:hAnsi="Arial"/>
          <w:sz w:val="22"/>
        </w:rPr>
        <w:t xml:space="preserve"> проекта была </w:t>
      </w:r>
      <w:r>
        <w:rPr>
          <w:rFonts w:ascii="Arial" w:hAnsi="Arial"/>
          <w:b/>
          <w:sz w:val="22"/>
        </w:rPr>
        <w:t>подготовка комплексного учебного материала</w:t>
      </w:r>
      <w:r>
        <w:rPr>
          <w:rFonts w:ascii="Arial" w:hAnsi="Arial"/>
          <w:sz w:val="22"/>
        </w:rPr>
        <w:t xml:space="preserve"> в виде пособия по использованию инструментов ИС в мобильных приложениях, в котором освещаются все основные аспекты этой темы.  </w:t>
      </w:r>
    </w:p>
    <w:p w14:paraId="47AD23D6" w14:textId="33F11676" w:rsidR="00D70F96" w:rsidRPr="00C5787D" w:rsidRDefault="00D70F96" w:rsidP="00202BEA">
      <w:pPr>
        <w:pStyle w:val="ListParagraph"/>
        <w:spacing w:before="2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Пособие содержит краткие, но всесторонние учебные материалы по использованию инструментов ИС в мобильных приложениях, раскрывающие широкий круг вопросов, включая следующие:</w:t>
      </w:r>
    </w:p>
    <w:p w14:paraId="2AC8F108" w14:textId="1EC60DCA" w:rsidR="00D70F96" w:rsidRPr="00C5787D" w:rsidRDefault="00107BE9" w:rsidP="00125B67">
      <w:pPr>
        <w:pStyle w:val="ListParagraph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экосистема мобильных приложений через призму ИС, лежащей в основе экономики приложений;</w:t>
      </w:r>
    </w:p>
    <w:p w14:paraId="37E4235F" w14:textId="77777777" w:rsidR="00D70F96" w:rsidRPr="00C5787D" w:rsidRDefault="00107BE9" w:rsidP="00125B67">
      <w:pPr>
        <w:pStyle w:val="ListParagraph"/>
        <w:numPr>
          <w:ilvl w:val="0"/>
          <w:numId w:val="11"/>
        </w:numPr>
        <w:spacing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заинтересованные стороны;</w:t>
      </w:r>
    </w:p>
    <w:p w14:paraId="5AAAEFF6" w14:textId="77777777" w:rsidR="00D70F96" w:rsidRPr="00C5787D" w:rsidRDefault="00107BE9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вопросы, связанные с механизмами ИС для мобильных приложений;</w:t>
      </w:r>
    </w:p>
    <w:p w14:paraId="19419996" w14:textId="77777777" w:rsidR="00D70F96" w:rsidRPr="00C5787D" w:rsidRDefault="00107BE9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доходы в отрасли, которые позволяет получить ИС;</w:t>
      </w:r>
    </w:p>
    <w:p w14:paraId="6895611D" w14:textId="6C595F6E" w:rsidR="00D70F96" w:rsidRPr="00C5787D" w:rsidRDefault="00107BE9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спрос и предложение на мобильные приложения, а также виды рыночного вмешательства в связи с ИС;</w:t>
      </w:r>
    </w:p>
    <w:p w14:paraId="128AA14A" w14:textId="77777777" w:rsidR="00D70F96" w:rsidRPr="00C5787D" w:rsidRDefault="00107BE9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вопросы конкуренции;</w:t>
      </w:r>
    </w:p>
    <w:p w14:paraId="6680CC99" w14:textId="1816C80B" w:rsidR="00D70F96" w:rsidRPr="00214EF8" w:rsidRDefault="00D70F96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процесс коммерциализации;</w:t>
      </w:r>
    </w:p>
    <w:p w14:paraId="59B6AD30" w14:textId="77777777" w:rsidR="00D70F96" w:rsidRPr="00214EF8" w:rsidRDefault="00107BE9" w:rsidP="00125B6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уважение и поощрение прав ИС разработчиков;</w:t>
      </w:r>
    </w:p>
    <w:p w14:paraId="6D02F6CF" w14:textId="77777777" w:rsidR="00D70F96" w:rsidRPr="00214EF8" w:rsidRDefault="00107BE9" w:rsidP="00125B67">
      <w:pPr>
        <w:pStyle w:val="ListParagraph"/>
        <w:numPr>
          <w:ilvl w:val="0"/>
          <w:numId w:val="11"/>
        </w:numPr>
        <w:spacing w:after="2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роль профессиональных ассоциаций.</w:t>
      </w:r>
    </w:p>
    <w:p w14:paraId="3CDD3153" w14:textId="757A1C6E" w:rsidR="00C54DF9" w:rsidRPr="00214EF8" w:rsidRDefault="00D70F96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пособии также приводятся тематические исследования, контрольные списки и справочные материалы, кроме того, его авторы дают пояснения относительно функционирования ИС в мобильных приложениях и соответствующих финансовых потоков, демонстрируя, как ИС подпитывает экономику сектора приложений и способствует повышению эффективности отрасли и экономическому росту.  В дружелюбной и профессиональной манере авторы пособия рассказывают о функционировании ИС в мобильных приложениях и соответствующих финансовых потоках, демонстрируя, как ИС подпитывает экономику сектора приложений и способствует повышению эффективности отрасли и экономическому росту.  На конкретных примерах разбирается широкий спектр вопросов.  Пособие дополняет различные материалы, подготовленные ВОИС, и предназначено для всех, кто хочет лучше разобраться в различных аспектах применения системы ИС в экономике приложений и получить новые знания об этом важнейшем секторе цифровой экономики.</w:t>
      </w:r>
    </w:p>
    <w:p w14:paraId="487747C5" w14:textId="36616C26" w:rsidR="00AD662C" w:rsidRPr="00214EF8" w:rsidRDefault="00AD662C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отчете о завершении проекта отмечается, что за первые три месяца после публикации пособие было скачано 852 раза, к концу августа 2024 года число скачиваний выросло до 857 при 11 736 уникальных посетителей.</w:t>
      </w:r>
    </w:p>
    <w:p w14:paraId="0BACBE13" w14:textId="77777777" w:rsidR="009676A9" w:rsidRPr="00214EF8" w:rsidRDefault="00AD662C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качестве </w:t>
      </w:r>
      <w:r>
        <w:rPr>
          <w:rFonts w:ascii="Arial" w:hAnsi="Arial"/>
          <w:b/>
          <w:sz w:val="22"/>
        </w:rPr>
        <w:t>результата 2</w:t>
      </w:r>
      <w:r>
        <w:rPr>
          <w:rFonts w:ascii="Arial" w:hAnsi="Arial"/>
          <w:sz w:val="22"/>
        </w:rPr>
        <w:t xml:space="preserve"> была заявлена </w:t>
      </w:r>
      <w:r>
        <w:rPr>
          <w:rFonts w:ascii="Arial" w:hAnsi="Arial"/>
          <w:b/>
          <w:sz w:val="22"/>
        </w:rPr>
        <w:t>разработка четырех практических руководств</w:t>
      </w:r>
      <w:r>
        <w:rPr>
          <w:rFonts w:ascii="Arial" w:hAnsi="Arial"/>
          <w:sz w:val="22"/>
        </w:rPr>
        <w:t>, по одному для каждого из творческих секторов.  Структура руководств носила вертикальный характер, так как они разрабатывались для конкретных секторов (не были универсальными).  Руководства по ИС для мобильных приложений в целевых творческих секторах содержат материалы, предназначенные для разработчиков приложений и других игроков этой отрасли в таких секторах, как музыка, издательское дело, видеоигры и аудиовизуальный контент.  Руководства предназначены для самых разных участников отрасли мобильных приложений, включая индивидуальных предпринимателей и малые и средние предприятия (МСП).  Их авторы проанализировали место ИС в бизнес-модели каждого из целевых секторов.  Они разъясняют деловые процессы, демонстрируют приумноженный эффект мобильных приложений и их связь с лежащей в основе разработки ИС, а также принцип должной осмотрительности и потенциал ИС с точки зрения формирования многочисленных источников дохода.  Более того, эти руководства предлагают рекомендации практического характера и на примерах из практики и из передового опыта иллюстрируют роль ИС в четырех секторах.</w:t>
      </w:r>
    </w:p>
    <w:p w14:paraId="4F408429" w14:textId="3F3C699F" w:rsidR="000F0A9A" w:rsidRPr="00214EF8" w:rsidRDefault="00521787" w:rsidP="00202BEA">
      <w:pPr>
        <w:pStyle w:val="ListParagraph"/>
        <w:spacing w:after="220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рамках этапа II были разработаны следующие практические руководства:</w:t>
      </w:r>
    </w:p>
    <w:p w14:paraId="277C7F8D" w14:textId="77777777" w:rsidR="000F0A9A" w:rsidRPr="00C5787D" w:rsidRDefault="00521787" w:rsidP="00125B67">
      <w:pPr>
        <w:pStyle w:val="TableParagraph"/>
        <w:numPr>
          <w:ilvl w:val="0"/>
          <w:numId w:val="10"/>
        </w:numPr>
        <w:spacing w:after="220"/>
      </w:pPr>
      <w:r>
        <w:rPr>
          <w:b/>
        </w:rPr>
        <w:t>Руководство по мобильным приложениям в индустрии видеоигр</w:t>
      </w:r>
    </w:p>
    <w:p w14:paraId="0BDF25C2" w14:textId="3D1E65B8" w:rsidR="000F0A9A" w:rsidRPr="00214EF8" w:rsidRDefault="00521787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этом руководстве предлагается практический подход к изучению приложений в секторе видеоигр с коммерческой и юридической точек зрения, рассматриваются различные типы видеоигр и новые способы их монетизации. </w:t>
      </w:r>
    </w:p>
    <w:p w14:paraId="6928DB49" w14:textId="33F9FF6D" w:rsidR="000F0A9A" w:rsidRPr="00C5787D" w:rsidRDefault="00833ACA" w:rsidP="00125B67">
      <w:pPr>
        <w:pStyle w:val="TableParagraph"/>
        <w:numPr>
          <w:ilvl w:val="0"/>
          <w:numId w:val="14"/>
        </w:numPr>
        <w:spacing w:after="220"/>
        <w:ind w:left="0" w:firstLine="0"/>
      </w:pPr>
      <w:r>
        <w:rPr>
          <w:b/>
        </w:rPr>
        <w:t xml:space="preserve">Итог:  </w:t>
      </w:r>
      <w:r>
        <w:t>За первые три месяца после публикации (с 26 марта по 26 июня 2024 года) руководство было скачано 385 раз.  К концу августа 2024 года количество зарегистрированных скачиваний выросло до 720 при 514 уникальных посетителях.</w:t>
      </w:r>
    </w:p>
    <w:p w14:paraId="168345A0" w14:textId="77777777" w:rsidR="000F0A9A" w:rsidRPr="00214EF8" w:rsidRDefault="00521787" w:rsidP="00125B67">
      <w:pPr>
        <w:pStyle w:val="ListParagraph"/>
        <w:numPr>
          <w:ilvl w:val="0"/>
          <w:numId w:val="10"/>
        </w:numPr>
        <w:spacing w:after="22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Руководство по мобильным приложениям в цифровом издательском деле</w:t>
      </w:r>
    </w:p>
    <w:p w14:paraId="65C8565D" w14:textId="391EC367" w:rsidR="000F0A9A" w:rsidRPr="00214EF8" w:rsidRDefault="00521787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этом документе анализируется сектор цифровых публикаций и влияние новых технологий на рынок электронных книг.  В нем рассматриваются доступные решения для дистрибуции электронных книг с помощью мобильных приложений, а также точки соприкосновения права ИС и мобильных приложений для чтения. </w:t>
      </w:r>
    </w:p>
    <w:p w14:paraId="63A84F81" w14:textId="7B3BA580" w:rsidR="000F0A9A" w:rsidRPr="00214EF8" w:rsidRDefault="00833ACA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Итог:  </w:t>
      </w:r>
      <w:r>
        <w:rPr>
          <w:rFonts w:ascii="Arial" w:hAnsi="Arial"/>
          <w:sz w:val="22"/>
        </w:rPr>
        <w:t>За первые три месяца после публикации руководство было скачано 418 раз.  К концу августа 2024 года количество зарегистрированных скачиваний выросло до 1023 при 723 уникальных посетителях.</w:t>
      </w:r>
    </w:p>
    <w:p w14:paraId="7697D221" w14:textId="77777777" w:rsidR="000F0A9A" w:rsidRPr="00214EF8" w:rsidRDefault="00521787" w:rsidP="00125B67">
      <w:pPr>
        <w:pStyle w:val="ListParagraph"/>
        <w:numPr>
          <w:ilvl w:val="0"/>
          <w:numId w:val="10"/>
        </w:numPr>
        <w:spacing w:before="220" w:after="22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Руководство по мобильным приложениям в музыкальной индустрии</w:t>
      </w:r>
    </w:p>
    <w:p w14:paraId="37741F39" w14:textId="66DA6750" w:rsidR="00C96D07" w:rsidRPr="00214EF8" w:rsidRDefault="00521787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Это руководство посвящено тому, как мобильные приложения используются для создания музыки, а также вопросам ИС при использовании приложений для создания музыки.  ИС играет важную роль в экономике музыкальной индустрии и способствует устойчивости как экосистемы приложений, так и музыкальной экосистемы. </w:t>
      </w:r>
    </w:p>
    <w:p w14:paraId="4BE702EC" w14:textId="5F94D893" w:rsidR="00C96D07" w:rsidRPr="00214EF8" w:rsidRDefault="00833ACA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Итог:  </w:t>
      </w:r>
      <w:r>
        <w:rPr>
          <w:rFonts w:ascii="Arial" w:hAnsi="Arial"/>
          <w:sz w:val="22"/>
        </w:rPr>
        <w:t>За первые три месяца после публикации руководство было скачано 274 раза.  К концу августа 2024 года количество зарегистрированных скачиваний выросло до 420 при 256 уникальных посетителях.</w:t>
      </w:r>
    </w:p>
    <w:p w14:paraId="45D2AEF3" w14:textId="77777777" w:rsidR="00C96D07" w:rsidRPr="00214EF8" w:rsidRDefault="00521787" w:rsidP="00125B67">
      <w:pPr>
        <w:pStyle w:val="ListParagraph"/>
        <w:numPr>
          <w:ilvl w:val="0"/>
          <w:numId w:val="10"/>
        </w:numPr>
        <w:spacing w:before="220" w:after="22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Руководство по мобильным приложениям и социальным сетям</w:t>
      </w:r>
    </w:p>
    <w:p w14:paraId="3303537A" w14:textId="77777777" w:rsidR="001E53F6" w:rsidRPr="00214EF8" w:rsidRDefault="00521787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 xml:space="preserve">В этом руководстве предлагается практический подход к интеграции платформ социальных сетей в мобильные приложения, основанный на использовании ИС и позволяющий компаниям защитить инновации и стать более конкурентоспособными, используя ИС в условиях цифровой экономики. </w:t>
      </w:r>
    </w:p>
    <w:p w14:paraId="5D75ADC7" w14:textId="523121BA" w:rsidR="001E53F6" w:rsidRPr="00214EF8" w:rsidRDefault="00C54DF9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Итог:  </w:t>
      </w:r>
      <w:r>
        <w:rPr>
          <w:rFonts w:ascii="Arial" w:hAnsi="Arial"/>
          <w:sz w:val="22"/>
        </w:rPr>
        <w:t>Руководство было опубликовано только 22 августа 2024 года, и на момент проведения оценки данные о числе скачиваний отсутствовали.</w:t>
      </w:r>
    </w:p>
    <w:p w14:paraId="4025ED81" w14:textId="02ADB7ED" w:rsidR="00C54DF9" w:rsidRPr="00214EF8" w:rsidRDefault="003D13DB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>Анализ бесед, проведенных в ходе оценки, и обзор результатов проекта подтвердили, что в ходе этапа II были разработаны полезные практические руководства, которые углубляют понимание роли ИС в конкретных творческих секторах и полезны для деятельности правообладателей, разработчиков и пользователей в соответствующих секторах.  Страны-бенефициары были ознакомлены с примерами передовой практики в области интеграции приложений и получили материалы и контакты для продолжения сотрудничества.</w:t>
      </w:r>
    </w:p>
    <w:p w14:paraId="50A875B2" w14:textId="5410A724" w:rsidR="00401C8E" w:rsidRPr="00214EF8" w:rsidRDefault="00442D14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качестве </w:t>
      </w:r>
      <w:r>
        <w:rPr>
          <w:rFonts w:ascii="Arial" w:hAnsi="Arial"/>
          <w:b/>
          <w:sz w:val="22"/>
        </w:rPr>
        <w:t>результата 3</w:t>
      </w:r>
      <w:r>
        <w:rPr>
          <w:rFonts w:ascii="Arial" w:hAnsi="Arial"/>
          <w:sz w:val="22"/>
        </w:rPr>
        <w:t xml:space="preserve"> было предусмотрено проведение в каждой из трех стран-бенефициаров мероприятия с участием приглашенных докладчиков и представителей стран-бенефициаров, в том числе в режиме онлайн (см. таблицу 2 ниже).</w:t>
      </w:r>
    </w:p>
    <w:p w14:paraId="22CF5E66" w14:textId="4AF1315D" w:rsidR="009C5044" w:rsidRPr="00214EF8" w:rsidRDefault="009C5044" w:rsidP="00AA1743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Таблица 2. Мероприятия, организованные в рамках проекта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"/>
        <w:tblDescription w:val="Overview of project events"/>
      </w:tblPr>
      <w:tblGrid>
        <w:gridCol w:w="1724"/>
        <w:gridCol w:w="7292"/>
      </w:tblGrid>
      <w:tr w:rsidR="00442D14" w:rsidRPr="00214EF8" w14:paraId="59D9AF1F" w14:textId="77777777" w:rsidTr="00F87B95">
        <w:tc>
          <w:tcPr>
            <w:tcW w:w="1555" w:type="dxa"/>
            <w:shd w:val="clear" w:color="auto" w:fill="CAEDFB" w:themeFill="accent4" w:themeFillTint="33"/>
          </w:tcPr>
          <w:p w14:paraId="2864FF59" w14:textId="6DF69BC3" w:rsidR="00442D14" w:rsidRPr="00214EF8" w:rsidRDefault="00442D14" w:rsidP="00442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Тринидад и Тобаго</w:t>
            </w:r>
          </w:p>
        </w:tc>
        <w:tc>
          <w:tcPr>
            <w:tcW w:w="7461" w:type="dxa"/>
            <w:shd w:val="clear" w:color="auto" w:fill="CAEDFB" w:themeFill="accent4" w:themeFillTint="33"/>
          </w:tcPr>
          <w:p w14:paraId="754C3380" w14:textId="4B2D41B7" w:rsidR="00442D14" w:rsidRPr="00C5787D" w:rsidRDefault="00442D14" w:rsidP="001E53F6">
            <w:pPr>
              <w:pStyle w:val="TableParagraph"/>
              <w:tabs>
                <w:tab w:val="left" w:pos="6841"/>
              </w:tabs>
              <w:spacing w:after="120"/>
              <w:ind w:right="166"/>
            </w:pPr>
            <w:r>
              <w:t>18</w:t>
            </w:r>
            <w:r w:rsidR="00A44F5F" w:rsidRPr="004E6684">
              <w:t>–</w:t>
            </w:r>
            <w:r>
              <w:t>19 марта года в Порт-оф-Спейн был проведен семинар на тему «</w:t>
            </w:r>
            <w:r>
              <w:rPr>
                <w:i/>
              </w:rPr>
              <w:t>Интеллектуальная собственность в мобильных приложениях</w:t>
            </w:r>
            <w:r>
              <w:t>:</w:t>
            </w:r>
            <w:r>
              <w:rPr>
                <w:i/>
              </w:rPr>
              <w:t xml:space="preserve"> деловые и юридические аспекты»</w:t>
            </w:r>
            <w:r>
              <w:t>, в котором приняли участие 70 специалистов.</w:t>
            </w:r>
          </w:p>
          <w:p w14:paraId="45A4AEFB" w14:textId="41E7CD43" w:rsidR="00442D14" w:rsidRPr="00C5787D" w:rsidRDefault="00F87B95" w:rsidP="001E53F6">
            <w:pPr>
              <w:pStyle w:val="TableParagraph"/>
              <w:tabs>
                <w:tab w:val="left" w:pos="6841"/>
              </w:tabs>
              <w:spacing w:before="120" w:after="120"/>
              <w:ind w:right="166"/>
            </w:pPr>
            <w:r>
              <w:rPr>
                <w:b/>
              </w:rPr>
              <w:t xml:space="preserve">Итог:  </w:t>
            </w:r>
            <w:r>
              <w:t>40% участников были женщинами, 60% мужчинами, 44% представляли частный сектор, 43% – государственные организации, 7% – научные круги, 6% – другие структуры.  92% участников семинара заявили, что он оправдал их ожидания.  72% сочли семинар очень полезным.  Все они выразили заинтересованность в участии в подобных семинарах в будущем.</w:t>
            </w:r>
          </w:p>
        </w:tc>
      </w:tr>
      <w:tr w:rsidR="00442D14" w:rsidRPr="009856FB" w14:paraId="66E51265" w14:textId="77777777" w:rsidTr="00F87B95">
        <w:trPr>
          <w:trHeight w:val="2521"/>
        </w:trPr>
        <w:tc>
          <w:tcPr>
            <w:tcW w:w="1555" w:type="dxa"/>
            <w:shd w:val="clear" w:color="auto" w:fill="95DCF7" w:themeFill="accent4" w:themeFillTint="66"/>
          </w:tcPr>
          <w:p w14:paraId="0F200D3C" w14:textId="1406D1E7" w:rsidR="00442D14" w:rsidRPr="009856FB" w:rsidRDefault="00442D14" w:rsidP="00442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ФИЛИППИНЫ</w:t>
            </w:r>
          </w:p>
        </w:tc>
        <w:tc>
          <w:tcPr>
            <w:tcW w:w="7461" w:type="dxa"/>
            <w:shd w:val="clear" w:color="auto" w:fill="95DCF7" w:themeFill="accent4" w:themeFillTint="66"/>
          </w:tcPr>
          <w:p w14:paraId="1DECA1E5" w14:textId="61531615" w:rsidR="00442D14" w:rsidRPr="00C5787D" w:rsidRDefault="00442D14" w:rsidP="00F87B95">
            <w:pPr>
              <w:pStyle w:val="TableParagraph"/>
              <w:jc w:val="both"/>
            </w:pPr>
            <w:r>
              <w:t>26</w:t>
            </w:r>
            <w:r w:rsidR="00A44F5F" w:rsidRPr="004E6684">
              <w:t>–</w:t>
            </w:r>
            <w:r>
              <w:t>28 июня 2024 года в Маниле был проведен семинар на тему «</w:t>
            </w:r>
            <w:r>
              <w:rPr>
                <w:i/>
              </w:rPr>
              <w:t>Интеллектуальная собственность в мобильных приложениях</w:t>
            </w:r>
            <w:r>
              <w:t>:</w:t>
            </w:r>
            <w:r>
              <w:rPr>
                <w:i/>
              </w:rPr>
              <w:t xml:space="preserve"> деловые и юридические аспекты»</w:t>
            </w:r>
            <w:r>
              <w:t>, в котором приняли участие 20 специалистов.</w:t>
            </w:r>
          </w:p>
          <w:p w14:paraId="1A0B856B" w14:textId="77777777" w:rsidR="00442D14" w:rsidRPr="00C5787D" w:rsidRDefault="00442D14" w:rsidP="00F87B95">
            <w:pPr>
              <w:pStyle w:val="TableParagraph"/>
              <w:ind w:left="829"/>
              <w:jc w:val="both"/>
            </w:pPr>
          </w:p>
          <w:p w14:paraId="5BA86986" w14:textId="2DA972F8" w:rsidR="00442D14" w:rsidRPr="00C5787D" w:rsidRDefault="00F87B95" w:rsidP="00F87B95">
            <w:pPr>
              <w:pStyle w:val="TableParagraph"/>
              <w:jc w:val="both"/>
            </w:pPr>
            <w:r>
              <w:rPr>
                <w:b/>
              </w:rPr>
              <w:t xml:space="preserve">Итог:  </w:t>
            </w:r>
            <w:r>
              <w:t xml:space="preserve">Все участники остались довольны программой и организацией семинара. 93% оценили компетентность докладчиков по высшему баллу, а 96% отметили, что будут использовать представленные материалы и рекомендовать этот семинар коллегам. </w:t>
            </w:r>
          </w:p>
        </w:tc>
      </w:tr>
      <w:tr w:rsidR="00442D14" w:rsidRPr="00214EF8" w14:paraId="710CD24E" w14:textId="77777777" w:rsidTr="00F87B95">
        <w:tc>
          <w:tcPr>
            <w:tcW w:w="1555" w:type="dxa"/>
            <w:shd w:val="clear" w:color="auto" w:fill="60CAF3" w:themeFill="accent4" w:themeFillTint="99"/>
          </w:tcPr>
          <w:p w14:paraId="7CFF88ED" w14:textId="204E251E" w:rsidR="00442D14" w:rsidRPr="009856FB" w:rsidRDefault="00442D14" w:rsidP="00442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Кения</w:t>
            </w:r>
          </w:p>
        </w:tc>
        <w:tc>
          <w:tcPr>
            <w:tcW w:w="7461" w:type="dxa"/>
            <w:shd w:val="clear" w:color="auto" w:fill="60CAF3" w:themeFill="accent4" w:themeFillTint="99"/>
          </w:tcPr>
          <w:p w14:paraId="5A2CDCD4" w14:textId="0F7FF106" w:rsidR="00442D14" w:rsidRPr="009856FB" w:rsidRDefault="00442D14" w:rsidP="00F87B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 июля 2024 года был проведен вебинар на тему «</w:t>
            </w:r>
            <w:r>
              <w:rPr>
                <w:rFonts w:ascii="Arial" w:hAnsi="Arial"/>
                <w:i/>
                <w:sz w:val="22"/>
              </w:rPr>
              <w:t>Интеллектуальная собственность в мобильных приложениях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i/>
                <w:sz w:val="22"/>
              </w:rPr>
              <w:t xml:space="preserve"> деловые и юридические аспекты»</w:t>
            </w:r>
            <w:r>
              <w:rPr>
                <w:rFonts w:ascii="Arial" w:hAnsi="Arial"/>
                <w:sz w:val="22"/>
              </w:rPr>
              <w:t>, в котором приняли участие 80 специалистов.</w:t>
            </w:r>
          </w:p>
          <w:p w14:paraId="06209D37" w14:textId="77777777" w:rsidR="00442D14" w:rsidRPr="004E6684" w:rsidRDefault="00442D14" w:rsidP="00F87B95">
            <w:pPr>
              <w:pStyle w:val="ListParagraph"/>
              <w:ind w:left="82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4DCF0" w14:textId="6CBD9583" w:rsidR="00442D14" w:rsidRPr="00214EF8" w:rsidRDefault="00F87B95" w:rsidP="00F87B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Итог:  </w:t>
            </w:r>
            <w:r>
              <w:rPr>
                <w:rFonts w:ascii="Arial" w:hAnsi="Arial"/>
                <w:sz w:val="22"/>
              </w:rPr>
              <w:t>82% участников остались довольны программой семинара, а 76% высоко оценили его организацию.  Еще 82% охарактеризовали уровень компетентности докладчиков как очень высокий.</w:t>
            </w:r>
          </w:p>
        </w:tc>
      </w:tr>
    </w:tbl>
    <w:p w14:paraId="4434767C" w14:textId="77777777" w:rsidR="00AA1743" w:rsidRDefault="00107BE9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Проведенные в каждой из стран-бенефициаров мероприятия, участники которых получили представление о практических руководствах, способствовали объективной оценке уровня их принятия и их практической направленности.  В ходе этих мероприятий участники также высказали свои замечания и предложения с целью пересмотра и/или соответствующей корректировки содержания, если это будет признано необходимым.</w:t>
      </w:r>
    </w:p>
    <w:p w14:paraId="5D18B8A2" w14:textId="77777777" w:rsidR="00AA1743" w:rsidRDefault="00392B12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ходе мероприятий, проведенных в каждой из трех стран-бенефициаров, была проведена оценка того, насколько изменился уровень осведомленности и понимания проблематики ИС среди заинтересованных сторон в индустрии мобильных приложений.  Разработчики мобильных приложений также участвовали в мероприятиях, и, как правило, они мало знали об ИС.  Заинтересованные стороны из стран-бенефициаров отметили полезность семинаров, особенно в плане повышения осведомленности.  Например, на Филиппинах после мероприятия, проведенного в марте 2024 года, было отмечено увеличение числа регистраций и заявок на регистрацию авторских прав на мобильные приложения.</w:t>
      </w:r>
    </w:p>
    <w:p w14:paraId="7D017789" w14:textId="77777777" w:rsidR="00AA1743" w:rsidRDefault="009C5044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Как отмечается в отчетах по проекту и подтверждается в беседах, проект помог сообществам разработчиков приложений в странах-бенефициарах осознать, что у них есть общие интересы.  Опрошенные отметили, что проект помог начать обсуждение организационных механизмов, позволяющих лучше представлять профессиональные интересы разработчиков приложений. </w:t>
      </w:r>
    </w:p>
    <w:p w14:paraId="32F983A7" w14:textId="77777777" w:rsidR="00AA1743" w:rsidRDefault="009C5044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Кроме того, проект вызвал значительный интерес среди государств-членов, которые не являлись его непосредственными бенефициарами, но при этом проявили интерес к конкретным результатам его осуществления и возможной реализации аналогичных проектов у себя.</w:t>
      </w:r>
    </w:p>
    <w:p w14:paraId="46770CF6" w14:textId="0B2203D4" w:rsidR="00E53D1B" w:rsidRPr="00AA1743" w:rsidRDefault="00E53D1B" w:rsidP="00125B67">
      <w:pPr>
        <w:pStyle w:val="ListParagraph"/>
        <w:numPr>
          <w:ilvl w:val="0"/>
          <w:numId w:val="14"/>
        </w:numPr>
        <w:spacing w:before="220"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Опрошенные участники проекта особо отметили, что размещение руководств и учебного пособия на специальной веб-странице сайта ВОИС сыграло важную роль в стимулировании более широкого использования средств охраны ИС в поддержку отрасли мобильных приложений.  В определенной степени это подтверждается числом скачиваний материалов, как отмечено выше.</w:t>
      </w:r>
    </w:p>
    <w:p w14:paraId="34867615" w14:textId="77777777" w:rsidR="0086797C" w:rsidRPr="00B95680" w:rsidRDefault="0086797C" w:rsidP="00AA1743">
      <w:pPr>
        <w:pStyle w:val="Heading3"/>
        <w:spacing w:before="240" w:after="240"/>
        <w:rPr>
          <w:rFonts w:ascii="Arial" w:hAnsi="Arial" w:cs="Arial"/>
          <w:sz w:val="22"/>
          <w:szCs w:val="22"/>
          <w:u w:val="single"/>
        </w:rPr>
      </w:pPr>
      <w:bookmarkStart w:id="16" w:name="_Toc179462507"/>
      <w:r>
        <w:rPr>
          <w:rFonts w:ascii="Arial" w:hAnsi="Arial"/>
          <w:sz w:val="22"/>
          <w:u w:val="single"/>
        </w:rPr>
        <w:t>Устойчивость результатов</w:t>
      </w:r>
      <w:bookmarkEnd w:id="16"/>
      <w:r>
        <w:rPr>
          <w:rFonts w:ascii="Arial" w:hAnsi="Arial"/>
          <w:sz w:val="22"/>
          <w:u w:val="single"/>
        </w:rPr>
        <w:t xml:space="preserve"> </w:t>
      </w:r>
    </w:p>
    <w:p w14:paraId="08D4975E" w14:textId="77777777" w:rsidR="00347995" w:rsidRPr="00214EF8" w:rsidRDefault="00347995" w:rsidP="00AA1743">
      <w:pPr>
        <w:shd w:val="clear" w:color="auto" w:fill="E8E8E8" w:themeFill="background2"/>
        <w:spacing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Основные выводы</w:t>
      </w:r>
    </w:p>
    <w:p w14:paraId="79087392" w14:textId="0A87B3EB" w:rsidR="00E15231" w:rsidRPr="00AA1743" w:rsidRDefault="00E15231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12. Устойчивости результатов и итогов проекта могут способствовать такие действия, как создание специальной веб-страницы ВОИС, с которой можно будет легко получить доступ к руководствам и пособию, а также систематические усилия стран-бенефициаров, направленные на их использование в дальнейшей работе по повышению осведомленности.</w:t>
      </w:r>
    </w:p>
    <w:p w14:paraId="5446AE76" w14:textId="1681658C" w:rsidR="00E15231" w:rsidRPr="00AA1743" w:rsidRDefault="00E15231" w:rsidP="00125B67">
      <w:pPr>
        <w:pStyle w:val="ListParagraph"/>
        <w:numPr>
          <w:ilvl w:val="0"/>
          <w:numId w:val="14"/>
        </w:numPr>
        <w:spacing w:after="220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Основной вывод 13. Работа по обеспечению устойчивости результатов проекта продолжается.  Она, в частности, включает разработку ВОИС мобильного приложения, содержащего все материалы, разработанные в рамках этапов I и II проекта.</w:t>
      </w:r>
    </w:p>
    <w:p w14:paraId="5B22BC55" w14:textId="77777777" w:rsidR="00AA1743" w:rsidRDefault="00401C8E" w:rsidP="00125B67">
      <w:pPr>
        <w:pStyle w:val="TableParagraph"/>
        <w:numPr>
          <w:ilvl w:val="0"/>
          <w:numId w:val="14"/>
        </w:numPr>
        <w:spacing w:after="220" w:line="240" w:lineRule="atLeast"/>
        <w:ind w:left="0" w:firstLine="0"/>
      </w:pPr>
      <w:r>
        <w:t>Целью второго этапа проекта стало обеспечение долгосрочной устойчивости результатов, полученных на первом этапе, путем их включения в материалы всеобъемлющего учебного курса, благодаря которым будут созданы возможности для дальнейшего самообразования и обучения и которые будут использоваться в качестве справочных и дополнительных информационных материалов.</w:t>
      </w:r>
    </w:p>
    <w:p w14:paraId="256CE064" w14:textId="5C2A3AE8" w:rsidR="0086797C" w:rsidRPr="00AA1743" w:rsidRDefault="00495FC3" w:rsidP="00125B67">
      <w:pPr>
        <w:pStyle w:val="TableParagraph"/>
        <w:numPr>
          <w:ilvl w:val="0"/>
          <w:numId w:val="14"/>
        </w:numPr>
        <w:spacing w:after="220" w:line="240" w:lineRule="atLeast"/>
        <w:ind w:left="0" w:firstLine="0"/>
      </w:pPr>
      <w:r>
        <w:t xml:space="preserve">В исходном проектном документе была предусмотрена стратегия обеспечения устойчивости.  В частности, в ней подчеркивается необходимость поддержания актуальности руководств, разработанных на этапах I и II, чтобы они могли приносить пользу заинтересованным сторонам.  Кроме того, особо отмечается важность того, чтобы ВОИС и государства-члены и в дальнейшем обеспечивали легкий доступ заинтересованных сторон к руководствам, разработанным в рамках проекта, и принимали меры по дальнейшему повышению осведомленности о существовании этих руководств.  Заинтересованные стороны из стран-бенефициаров подтвердили намерение использовать руководства и материалы, подготовленные на этапе II (а также на этапе I), в рамках дальнейшей работы по повышению осведомленности.  </w:t>
      </w:r>
    </w:p>
    <w:p w14:paraId="385BC59D" w14:textId="401DA918" w:rsidR="00AA1743" w:rsidRDefault="00847180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 подготовке учебных материалов для пособия использовались руководства, разработанные на первом этапе проекта, при этом оно является самостоятельным учебным пособием, соответствующим стандартным требованиям к высококачественным учебным материалам.  Учебные материалы были предоставлены странам-бенефициарам (и всем государствам-членам) для использования в их дальнейшей деятельности.  Материалы курса были опубликованы онлайн и будут регулярно обновляться, а Академия ВОИС сможет использовать их в образовательной деятельности.  Таким образом, пособие будет способствовать устойчивости результатов, поскольку все государства-члены смогут использовать его в информационной работе по улучшению понимания роли ИС в секторе мобильных приложений.</w:t>
      </w:r>
    </w:p>
    <w:p w14:paraId="159794BB" w14:textId="77777777" w:rsidR="00AA1743" w:rsidRDefault="00E15231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Опрошенные лица подтвердили, что и пособие, и руководства будут стимулировать экономическое развитие, так как помогут своим пользователям действовать более профессионально и экономически выгодно в крупнейших на сегодняшний день секторах разработки приложений (например, в секторе видеоигр).</w:t>
      </w:r>
    </w:p>
    <w:p w14:paraId="19B9D2D3" w14:textId="6AF3E41E" w:rsidR="002727F0" w:rsidRPr="00AA1743" w:rsidRDefault="002727F0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Руководства, посвященные четырем различным отраслям, выходят за рамки традиционных тем и освещают темы, которые важны сегодня и будут актуальны в будущем (таким, как социальные сети).  Это важный подход, поскольку он позволил национальным ведомствам ИС предложить своим членам и пользователям материалы, представляющие интерес.  Например, в Тринидаде и Тобаго Министерство цифровой трансформации создало информационный центр (D'Hub), где разме</w:t>
      </w:r>
      <w:r w:rsidR="00A44F5F" w:rsidRPr="004E6684">
        <w:rPr>
          <w:rFonts w:ascii="Arial" w:hAnsi="Arial"/>
          <w:sz w:val="22"/>
        </w:rPr>
        <w:t>стило</w:t>
      </w:r>
      <w:r>
        <w:rPr>
          <w:rFonts w:ascii="Arial" w:hAnsi="Arial"/>
          <w:sz w:val="22"/>
        </w:rPr>
        <w:t xml:space="preserve"> информаци</w:t>
      </w:r>
      <w:r w:rsidR="00A44F5F" w:rsidRPr="004E6684">
        <w:rPr>
          <w:rFonts w:ascii="Arial" w:hAnsi="Arial"/>
          <w:sz w:val="22"/>
        </w:rPr>
        <w:t>ю</w:t>
      </w:r>
      <w:r>
        <w:rPr>
          <w:rFonts w:ascii="Arial" w:hAnsi="Arial"/>
          <w:sz w:val="22"/>
        </w:rPr>
        <w:t xml:space="preserve"> о пособии и руководствах.</w:t>
      </w:r>
    </w:p>
    <w:p w14:paraId="7C2BEF37" w14:textId="2FDE01CE" w:rsidR="00F95244" w:rsidRPr="00AA1743" w:rsidRDefault="00E15231" w:rsidP="00125B67">
      <w:pPr>
        <w:pStyle w:val="ListParagraph"/>
        <w:numPr>
          <w:ilvl w:val="0"/>
          <w:numId w:val="14"/>
        </w:numPr>
        <w:spacing w:after="220" w:line="240" w:lineRule="atLea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Уже ведется дальнейшая работа по обеспечению устойчивости результатов проекта.  Она, в частности, включает разработку ВОИС мобильного приложения, содержащего все материалы, разработанные в рамках этапов I и II проекта.  Приложение можно будет скачать в App Store и в Google Play.  Оно разрабатывается по модульному принципу, чтобы обеспечить поддержание интереса к нему, и ВОИС планирует регулярно обновлять приложение.  Технологии постоянно развиваются, поэтому необходимо обеспечить регулярное обновление руководств.  </w:t>
      </w:r>
    </w:p>
    <w:p w14:paraId="5CE93138" w14:textId="29F1C3A3" w:rsidR="0086797C" w:rsidRPr="00C5787D" w:rsidRDefault="0086797C" w:rsidP="00AA1743">
      <w:pPr>
        <w:pStyle w:val="Heading2"/>
        <w:spacing w:before="240" w:after="240"/>
        <w:rPr>
          <w:rFonts w:ascii="Arial" w:hAnsi="Arial" w:cs="Arial"/>
          <w:b/>
          <w:bCs/>
          <w:sz w:val="24"/>
          <w:szCs w:val="24"/>
        </w:rPr>
      </w:pPr>
      <w:bookmarkStart w:id="17" w:name="_Toc179462508"/>
      <w:r>
        <w:rPr>
          <w:rFonts w:ascii="Arial" w:hAnsi="Arial"/>
          <w:b/>
          <w:sz w:val="24"/>
        </w:rPr>
        <w:t>Заключения и рекомендации</w:t>
      </w:r>
      <w:bookmarkEnd w:id="17"/>
    </w:p>
    <w:p w14:paraId="2C622F66" w14:textId="77777777" w:rsidR="00AA1743" w:rsidRDefault="00AD35EF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Этап II можно считать успешным с точки зрения достижения ожидаемых результатов и итогов.  На всех этапах реализации проекта управление было профессиональным, а его структура была достаточно гибкой, чтобы при необходимости вносить коррективы и реагировать на изменение ситуации.</w:t>
      </w:r>
    </w:p>
    <w:p w14:paraId="0FA4C6FF" w14:textId="4CECC3C7" w:rsidR="00AA1743" w:rsidRDefault="00CC0BD6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Сосредоточение внимания в рамках второго этапа на четырех творческих секторах позволило развить результаты этапа I и обеспечило поступательное развитие.  На втором этапе основное внимание уделялось секторам, в которых наблюдается бурное развитие новых технологий, и ВОИС удалось привлечь отраслевых экспертов для завершения разработки пособия и руководств, а также для участия в мероприятиях, проводимых в рамках проекта.</w:t>
      </w:r>
    </w:p>
    <w:p w14:paraId="7A3E33D8" w14:textId="77777777" w:rsidR="00AA1743" w:rsidRDefault="00AD35EF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Три результата проекта (пособие, руководства и мероприятия) в комплексе способствовали более эффективному использованию системы ИС в поддержку сектора мобильных приложений и помогли повысить осведомленность широкого круга заинтересованных сторон о возможностях использования ИС в качестве актива.  В течение первых трех месяцев после публикации пособие и руководства были скачаны со специальной веб-страницы ВОИС сотни раз, что превзошло ожидания и свидетельствует о полезности этих материалов.</w:t>
      </w:r>
    </w:p>
    <w:p w14:paraId="100B3319" w14:textId="77777777" w:rsidR="00AA1743" w:rsidRDefault="00AD35EF" w:rsidP="00125B67">
      <w:pPr>
        <w:pStyle w:val="ListParagraph"/>
        <w:numPr>
          <w:ilvl w:val="0"/>
          <w:numId w:val="14"/>
        </w:numPr>
        <w:spacing w:after="2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Опираясь на горизонтальный подход к теме, разработанный в рамках первого этапа, в рамках второго этапа удалось адаптировать поддержку и ресурсы для разработчиков приложений в конкретных творческих секторах.  Поскольку мобильные приложения играют все более важную роль во всех секторах экономической, социальной и культурной жизни по всему миру, руководства и материалы, разработанные в рамках проекта, послужат ценными источниками информации для пользователей контента, заинтересованных в различных аспектах результатов проекта.</w:t>
      </w:r>
    </w:p>
    <w:p w14:paraId="35C2BA4B" w14:textId="77777777" w:rsidR="00AA1743" w:rsidRDefault="00CC0BD6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Страны-бенефициары высоко оценили качество управления проектом сотрудниками ВОИС, а интерес других государств-членов к осуществлению аналогичной деятельности свидетельствует о признании актуальности проекта и его результатов.</w:t>
      </w:r>
    </w:p>
    <w:p w14:paraId="792079E0" w14:textId="705987FC" w:rsidR="00CC0BD6" w:rsidRPr="00AA1743" w:rsidRDefault="00CC0BD6" w:rsidP="00125B67">
      <w:pPr>
        <w:pStyle w:val="ListParagraph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Стремясь обеспечить устойчивость результатов проекта, ВОИС и страны-бенефициары продолжают повышать осведомленность о существовании руководств и пособия.  Особое значение в этом отношении имеет создание специальной веб-страницы ВОИС.  ВОИС уже проводит дополнительную работу, направленную на обеспечение устойчивости результатов проекта, и в этой связи необходимо рассмотреть вопрос о дальнейших действиях, которые можно предпринять для обеспечения устойчивости результатов проекта.</w:t>
      </w:r>
    </w:p>
    <w:p w14:paraId="0078CF0B" w14:textId="3EBBA251" w:rsidR="003434EA" w:rsidRPr="00214EF8" w:rsidRDefault="003434EA" w:rsidP="001A62BD">
      <w:pPr>
        <w:pStyle w:val="Heading3"/>
        <w:spacing w:before="120" w:after="240"/>
        <w:rPr>
          <w:rFonts w:ascii="Arial" w:hAnsi="Arial" w:cs="Arial"/>
          <w:sz w:val="22"/>
          <w:szCs w:val="22"/>
          <w:u w:val="single"/>
        </w:rPr>
      </w:pPr>
      <w:bookmarkStart w:id="18" w:name="_Toc179462509"/>
      <w:r>
        <w:rPr>
          <w:rFonts w:ascii="Arial" w:hAnsi="Arial"/>
          <w:sz w:val="22"/>
          <w:u w:val="single"/>
        </w:rPr>
        <w:t>Рекомендации</w:t>
      </w:r>
      <w:bookmarkEnd w:id="18"/>
    </w:p>
    <w:p w14:paraId="4E65E038" w14:textId="4FABFDE0" w:rsidR="003434EA" w:rsidRPr="00AA1743" w:rsidRDefault="003434EA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основе ключевых выводов оценки предлагается к рассмотрению восемь рекомендаций.  Одни рекомендации предназначены для ВОИС, другие – для стран-бенефициаров.</w:t>
      </w:r>
    </w:p>
    <w:p w14:paraId="33D81AA5" w14:textId="6F8B7FE8" w:rsidR="00DA0BA9" w:rsidRPr="00214EF8" w:rsidRDefault="00DA0BA9" w:rsidP="005F79CC">
      <w:pPr>
        <w:shd w:val="clear" w:color="auto" w:fill="E8E8E8" w:themeFill="background2"/>
        <w:spacing w:after="2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Рекомендации для ВОИС</w:t>
      </w:r>
    </w:p>
    <w:p w14:paraId="3C0B1049" w14:textId="5B5DFB4D" w:rsidR="003434EA" w:rsidRPr="00214EF8" w:rsidRDefault="003434EA" w:rsidP="001A62BD">
      <w:pPr>
        <w:shd w:val="clear" w:color="auto" w:fill="DAE9F7" w:themeFill="text2" w:themeFillTint="1A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Структура проекта и организация проектной деятельности</w:t>
      </w:r>
    </w:p>
    <w:p w14:paraId="7FBCDBC5" w14:textId="475B57D6" w:rsidR="003434EA" w:rsidRPr="00214EF8" w:rsidRDefault="003434EA" w:rsidP="00125B6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1. Вовлечение структур ВОИС</w:t>
      </w:r>
    </w:p>
    <w:p w14:paraId="3773061D" w14:textId="575F73DD" w:rsidR="003434EA" w:rsidRPr="00AA1743" w:rsidRDefault="003434EA" w:rsidP="001A62BD">
      <w:pPr>
        <w:pStyle w:val="ListParagraph"/>
        <w:numPr>
          <w:ilvl w:val="0"/>
          <w:numId w:val="14"/>
        </w:numPr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Для того чтобы региональные подразделения ВОИС были в курсе деятельности по проекту и хода его реализации, руководителям проектов следует рекомендовать составлять резюме на одной-двух страницах с описанием успехов и проблем, возникших в ходе реализации проектов, поддерживаемых КРИС.  Это поможет региональным подразделениям поддерживать траекторию развития каждого проекта и вносить свой вклад в преодоление возникающих проблем.</w:t>
      </w:r>
    </w:p>
    <w:p w14:paraId="379E0351" w14:textId="19710820" w:rsidR="003434EA" w:rsidRPr="00214EF8" w:rsidRDefault="003434EA" w:rsidP="001A62BD">
      <w:pPr>
        <w:shd w:val="clear" w:color="auto" w:fill="DAE9F7" w:themeFill="text2" w:themeFillTint="1A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Результативность</w:t>
      </w:r>
    </w:p>
    <w:p w14:paraId="03AC964D" w14:textId="090CAC38" w:rsidR="003434EA" w:rsidRPr="00214EF8" w:rsidRDefault="003434EA" w:rsidP="005F79CC">
      <w:pPr>
        <w:spacing w:after="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2. Измерение результативности проекта</w:t>
      </w:r>
    </w:p>
    <w:p w14:paraId="3380F045" w14:textId="29255021" w:rsidR="003434EA" w:rsidRPr="00125B67" w:rsidRDefault="003434EA" w:rsidP="00125B67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Чтобы иметь возможность измерять результативность, следует рассмотреть возможность создания простых инструментов (помимо самооценки) для более точного измерения эффективности и результативности будущих проектов, осуществляемых при поддержке КРИС.  Чтобы максимально точно оценить результативность, через год следует провести дальнейший анализ использования пособия и руководств.</w:t>
      </w:r>
    </w:p>
    <w:p w14:paraId="154C9EC1" w14:textId="212B29B0" w:rsidR="003434EA" w:rsidRPr="00214EF8" w:rsidRDefault="003434EA" w:rsidP="00942303">
      <w:pPr>
        <w:shd w:val="clear" w:color="auto" w:fill="DAE9F7" w:themeFill="text2" w:themeFillTint="1A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Устойчивость результатов</w:t>
      </w:r>
    </w:p>
    <w:p w14:paraId="23F9E8EB" w14:textId="400801B4" w:rsidR="003434EA" w:rsidRDefault="003434EA" w:rsidP="00942303">
      <w:pPr>
        <w:spacing w:before="120" w:after="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3. Преобразование проектных публикаций в официальные публикации ВОИС</w:t>
      </w:r>
    </w:p>
    <w:p w14:paraId="69CA7DEF" w14:textId="43AEC767" w:rsidR="003434EA" w:rsidRPr="005F79CC" w:rsidRDefault="00401C8E" w:rsidP="005F79CC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Руководства и материалы, разработанные в ходе обоих этапов проекта, являются ценными источниками информации.  Следует рассмотреть вопрос об их преобразовании в полноценные публикации ВОИС, что будет способствовать устойчивости.</w:t>
      </w:r>
    </w:p>
    <w:p w14:paraId="61163FE6" w14:textId="07019960" w:rsidR="00DA0BA9" w:rsidRPr="00C5787D" w:rsidRDefault="00DA0BA9" w:rsidP="005F79CC">
      <w:pPr>
        <w:pStyle w:val="TableParagraph"/>
        <w:spacing w:after="60"/>
        <w:ind w:right="173"/>
        <w:rPr>
          <w:b/>
          <w:bCs/>
          <w:i/>
        </w:rPr>
      </w:pPr>
      <w:r>
        <w:rPr>
          <w:b/>
          <w:i/>
        </w:rPr>
        <w:t>Рекомендация 4. Актуализация результатов проекта</w:t>
      </w:r>
    </w:p>
    <w:p w14:paraId="0BF5D1FC" w14:textId="759C04B5" w:rsidR="00DA0BA9" w:rsidRPr="00C5787D" w:rsidRDefault="00DA0BA9" w:rsidP="005F79CC">
      <w:pPr>
        <w:pStyle w:val="TableParagraph"/>
        <w:numPr>
          <w:ilvl w:val="0"/>
          <w:numId w:val="14"/>
        </w:numPr>
        <w:spacing w:after="220"/>
        <w:ind w:left="0" w:right="173" w:firstLine="0"/>
      </w:pPr>
      <w:r>
        <w:t>Чтобы обеспечить устойчивость результатов проекта, необходимо предусмотреть в бюджете средства на регулярную актуализацию руководств.  Это потребует включения данного направления работы в основную деятельность.</w:t>
      </w:r>
    </w:p>
    <w:p w14:paraId="006FBCE7" w14:textId="574AF054" w:rsidR="00DA0BA9" w:rsidRPr="00214EF8" w:rsidRDefault="00DA0BA9" w:rsidP="005F79CC">
      <w:pPr>
        <w:pStyle w:val="TableParagraph"/>
        <w:spacing w:after="60"/>
        <w:ind w:right="173"/>
        <w:jc w:val="both"/>
        <w:rPr>
          <w:b/>
          <w:bCs/>
          <w:i/>
        </w:rPr>
      </w:pPr>
      <w:r>
        <w:rPr>
          <w:b/>
          <w:i/>
        </w:rPr>
        <w:t>Рекомендация 5. Поддерживать мобильные приложения в актуальном состоянии в соответствии с текущим уровнем контента и компетенций ВОИС</w:t>
      </w:r>
    </w:p>
    <w:p w14:paraId="6DC83CE7" w14:textId="450965BB" w:rsidR="00401C8E" w:rsidRPr="005F79CC" w:rsidRDefault="00DA0BA9" w:rsidP="005F79CC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Учитывая актуальность работы, проделанной в рамках проекта, ВОИС следует продолжать предоставлять рекомендации и экспертные знания всем государствам-членам в рамках своего контента, а также рассматривать соответствующие вопросы в ходе национальных и региональных мероприятий.</w:t>
      </w:r>
    </w:p>
    <w:p w14:paraId="4A8D8D21" w14:textId="40FA3115" w:rsidR="00CF03C1" w:rsidRPr="00214EF8" w:rsidRDefault="00DA0BA9" w:rsidP="005F79CC">
      <w:pPr>
        <w:spacing w:after="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6. Интеграция темы «ИС в мобильных приложениях» в основную деятельность</w:t>
      </w:r>
    </w:p>
    <w:p w14:paraId="2CDFE2F4" w14:textId="73F7C9D3" w:rsidR="00F93DA6" w:rsidRPr="005F79CC" w:rsidRDefault="00DA0BA9" w:rsidP="001A62BD">
      <w:pPr>
        <w:pStyle w:val="ListParagraph"/>
        <w:numPr>
          <w:ilvl w:val="0"/>
          <w:numId w:val="14"/>
        </w:numPr>
        <w:spacing w:after="2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Учитывая положительные результаты проекта, рекомендуется включить тему «ИС в мобильных приложениях» в основную деятельность ВОИС и создать необходимые бюджетные механизмы для обеспечения соответствующей деятельности.</w:t>
      </w:r>
    </w:p>
    <w:p w14:paraId="7457AD3F" w14:textId="77777777" w:rsidR="00755C0D" w:rsidRPr="00214EF8" w:rsidRDefault="00755C0D" w:rsidP="005F79CC">
      <w:pPr>
        <w:spacing w:after="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i/>
          <w:sz w:val="22"/>
        </w:rPr>
        <w:t>Рекомендация 7. Рассмотрение вторых этапов проектов КРИС</w:t>
      </w:r>
    </w:p>
    <w:p w14:paraId="629E4957" w14:textId="4836DAB4" w:rsidR="00755C0D" w:rsidRPr="005F79CC" w:rsidRDefault="00755C0D" w:rsidP="005F79CC">
      <w:pPr>
        <w:pStyle w:val="ListParagraph"/>
        <w:numPr>
          <w:ilvl w:val="0"/>
          <w:numId w:val="14"/>
        </w:numPr>
        <w:spacing w:after="2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Второй этап проекта был важен для закрепления и развития достижений первого этапа. Следует и впредь рассматривать возможность реализации вторых этапов проектов КРИС в тех случаях, когда это позволит обеспечить эффективность и устойчивость результатов, достигнутых на первом этапе.</w:t>
      </w:r>
    </w:p>
    <w:p w14:paraId="5FDA03C9" w14:textId="2FF98408" w:rsidR="00DA0BA9" w:rsidRPr="00214EF8" w:rsidRDefault="00DA0BA9" w:rsidP="00942303">
      <w:pPr>
        <w:shd w:val="clear" w:color="auto" w:fill="E8E8E8" w:themeFill="background2"/>
        <w:spacing w:before="120"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Рекомендации для стран-бенефициаров</w:t>
      </w:r>
    </w:p>
    <w:p w14:paraId="509A6622" w14:textId="143E10D1" w:rsidR="00334CA3" w:rsidRPr="005F79CC" w:rsidRDefault="00334CA3" w:rsidP="005F79CC">
      <w:pPr>
        <w:pStyle w:val="ListParagraph"/>
        <w:spacing w:after="60"/>
        <w:ind w:left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sz w:val="22"/>
        </w:rPr>
        <w:t>Рекомендация 8. Обеспечить легкий доступ к результатам проекта</w:t>
      </w:r>
    </w:p>
    <w:p w14:paraId="6F876C51" w14:textId="58653464" w:rsidR="00401C8E" w:rsidRPr="00F06E4D" w:rsidRDefault="00755C0D" w:rsidP="005F79CC">
      <w:pPr>
        <w:pStyle w:val="ListParagraph"/>
        <w:numPr>
          <w:ilvl w:val="0"/>
          <w:numId w:val="14"/>
        </w:numPr>
        <w:spacing w:line="240" w:lineRule="atLeast"/>
        <w:ind w:left="0" w:firstLine="0"/>
      </w:pPr>
      <w:r>
        <w:rPr>
          <w:rFonts w:ascii="Arial" w:hAnsi="Arial"/>
          <w:sz w:val="22"/>
        </w:rPr>
        <w:t>Странам-бенефициарам рекомендуется размещать все результаты проекта на своих собственных веб-сайтах и платформах и продолжать повышать осведомленность о продуктах.  Странам-бенефициарам следует по возможности предоставлять ВОИС информацию о количестве скачиваний каждого из результатов проекта.</w:t>
      </w:r>
    </w:p>
    <w:p w14:paraId="133DB335" w14:textId="68687D36" w:rsidR="00F06E4D" w:rsidRPr="004A006E" w:rsidRDefault="00F06E4D" w:rsidP="00900270">
      <w:pPr>
        <w:pStyle w:val="Endofdocument"/>
        <w:spacing w:before="720" w:line="240" w:lineRule="auto"/>
        <w:ind w:left="5533"/>
        <w:rPr>
          <w:rFonts w:cs="Arial"/>
        </w:rPr>
      </w:pPr>
      <w:r>
        <w:t>[Дополнения прилагаются отдельно (на английском языке)]</w:t>
      </w:r>
    </w:p>
    <w:p w14:paraId="01CAF878" w14:textId="77777777" w:rsidR="00F06E4D" w:rsidRPr="004E6684" w:rsidRDefault="00F06E4D" w:rsidP="00F06E4D">
      <w:pPr>
        <w:pStyle w:val="ListParagraph"/>
        <w:spacing w:line="240" w:lineRule="atLeast"/>
        <w:ind w:left="0"/>
      </w:pPr>
    </w:p>
    <w:sectPr w:rsidR="00F06E4D" w:rsidRPr="004E6684" w:rsidSect="00942303">
      <w:headerReference w:type="default" r:id="rId27"/>
      <w:type w:val="continuous"/>
      <w:pgSz w:w="11906" w:h="16838" w:code="9"/>
      <w:pgMar w:top="1440" w:right="1440" w:bottom="1440" w:left="1440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6F39" w14:textId="77777777" w:rsidR="00EE6156" w:rsidRDefault="00EE6156" w:rsidP="00347995">
      <w:r>
        <w:separator/>
      </w:r>
    </w:p>
  </w:endnote>
  <w:endnote w:type="continuationSeparator" w:id="0">
    <w:p w14:paraId="3ABC89DE" w14:textId="77777777" w:rsidR="00EE6156" w:rsidRDefault="00EE6156" w:rsidP="0034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94FE" w14:textId="18659BC0" w:rsidR="00347995" w:rsidRDefault="00347995">
    <w:pPr>
      <w:pStyle w:val="Footer"/>
      <w:jc w:val="center"/>
    </w:pPr>
  </w:p>
  <w:p w14:paraId="458E7D28" w14:textId="77777777" w:rsidR="00347995" w:rsidRDefault="0034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276B" w14:textId="4CEFD815" w:rsidR="00450FCD" w:rsidRDefault="00450FCD">
    <w:pPr>
      <w:pStyle w:val="Footer"/>
      <w:jc w:val="center"/>
    </w:pPr>
  </w:p>
  <w:p w14:paraId="7E8CFEF2" w14:textId="77777777" w:rsidR="00450FCD" w:rsidRDefault="00450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05C9" w14:textId="77777777" w:rsidR="00EE6156" w:rsidRDefault="00EE6156" w:rsidP="00347995">
      <w:r>
        <w:separator/>
      </w:r>
    </w:p>
  </w:footnote>
  <w:footnote w:type="continuationSeparator" w:id="0">
    <w:p w14:paraId="486C62D3" w14:textId="77777777" w:rsidR="00EE6156" w:rsidRDefault="00EE6156" w:rsidP="0034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6A9B" w14:textId="77777777" w:rsidR="00F06E4D" w:rsidRPr="00EB0D93" w:rsidRDefault="00F06E4D" w:rsidP="00F06E4D">
    <w:pPr>
      <w:jc w:val="right"/>
      <w:rPr>
        <w:caps/>
      </w:rPr>
    </w:pPr>
    <w:r>
      <w:rPr>
        <w:caps/>
      </w:rPr>
      <w:t>CDIP/31/7</w:t>
    </w:r>
  </w:p>
  <w:p w14:paraId="424239C5" w14:textId="219D29E6" w:rsidR="00F06E4D" w:rsidRDefault="00F06E4D">
    <w:pPr>
      <w:pStyle w:val="Header"/>
    </w:pPr>
    <w:r>
      <w:t>ПРИЛОЖЕНИЕ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B434" w14:textId="77777777" w:rsidR="00F06E4D" w:rsidRPr="00EB0D93" w:rsidRDefault="00F06E4D" w:rsidP="00F06E4D">
    <w:pPr>
      <w:jc w:val="right"/>
      <w:rPr>
        <w:caps/>
      </w:rPr>
    </w:pPr>
    <w:r>
      <w:rPr>
        <w:caps/>
      </w:rPr>
      <w:t>CDIP/31/7</w:t>
    </w:r>
  </w:p>
  <w:p w14:paraId="122FE777" w14:textId="77777777" w:rsidR="00F06E4D" w:rsidRDefault="00F06E4D">
    <w:pPr>
      <w:pStyle w:val="Header"/>
    </w:pPr>
    <w:r>
      <w:t>ПРИЛОЖЕНИЕ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2E04" w14:textId="2E82759C" w:rsidR="00F06E4D" w:rsidRPr="00F06E4D" w:rsidRDefault="00F06E4D" w:rsidP="00F06E4D">
    <w:pPr>
      <w:jc w:val="right"/>
      <w:rPr>
        <w:rFonts w:ascii="Arial" w:hAnsi="Arial" w:cs="Arial"/>
        <w:caps/>
        <w:sz w:val="22"/>
        <w:szCs w:val="22"/>
      </w:rPr>
    </w:pPr>
    <w:r>
      <w:rPr>
        <w:rFonts w:ascii="Arial" w:hAnsi="Arial"/>
        <w:caps/>
        <w:sz w:val="22"/>
      </w:rPr>
      <w:t>CDIP/33/7</w:t>
    </w:r>
  </w:p>
  <w:p w14:paraId="7A2C6ECF" w14:textId="76DD5593" w:rsidR="00F06E4D" w:rsidRDefault="00F06E4D" w:rsidP="00F06E4D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/>
        <w:sz w:val="22"/>
      </w:rPr>
      <w:t>ПРИЛОЖЕНИЕ</w:t>
    </w:r>
  </w:p>
  <w:p w14:paraId="47206989" w14:textId="77777777" w:rsidR="00F06E4D" w:rsidRDefault="00F06E4D" w:rsidP="00F06E4D">
    <w:pPr>
      <w:pStyle w:val="Header"/>
      <w:jc w:val="right"/>
      <w:rPr>
        <w:rFonts w:ascii="Arial" w:hAnsi="Arial" w:cs="Arial"/>
        <w:sz w:val="22"/>
        <w:szCs w:val="22"/>
      </w:rPr>
    </w:pPr>
  </w:p>
  <w:p w14:paraId="09702755" w14:textId="77777777" w:rsidR="00F06E4D" w:rsidRPr="00F06E4D" w:rsidRDefault="00F06E4D" w:rsidP="00F06E4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F175" w14:textId="103FBA87" w:rsidR="00F06E4D" w:rsidRPr="004E6684" w:rsidRDefault="00F06E4D" w:rsidP="00F06E4D">
    <w:pPr>
      <w:jc w:val="right"/>
      <w:rPr>
        <w:rFonts w:ascii="Arial" w:hAnsi="Arial" w:cs="Arial"/>
        <w:caps/>
        <w:sz w:val="22"/>
        <w:szCs w:val="22"/>
      </w:rPr>
    </w:pPr>
    <w:r w:rsidRPr="004E6684">
      <w:rPr>
        <w:rFonts w:ascii="Arial" w:hAnsi="Arial" w:cs="Arial"/>
        <w:caps/>
        <w:sz w:val="22"/>
        <w:szCs w:val="22"/>
      </w:rPr>
      <w:t>CDIP/33/7</w:t>
    </w:r>
  </w:p>
  <w:p w14:paraId="223509C8" w14:textId="53875CD9" w:rsidR="00F06E4D" w:rsidRPr="004E6684" w:rsidRDefault="00F06E4D" w:rsidP="00F06E4D">
    <w:pPr>
      <w:jc w:val="right"/>
      <w:rPr>
        <w:rFonts w:ascii="Arial" w:hAnsi="Arial" w:cs="Arial"/>
        <w:sz w:val="22"/>
        <w:szCs w:val="22"/>
      </w:rPr>
    </w:pPr>
    <w:r w:rsidRPr="004E6684">
      <w:rPr>
        <w:rFonts w:ascii="Arial" w:hAnsi="Arial" w:cs="Arial"/>
        <w:sz w:val="22"/>
        <w:szCs w:val="22"/>
      </w:rPr>
      <w:t xml:space="preserve">Приложение, стр. </w:t>
    </w:r>
    <w:r w:rsidR="00942303" w:rsidRPr="004E6684">
      <w:rPr>
        <w:rFonts w:ascii="Arial" w:hAnsi="Arial" w:cs="Arial"/>
        <w:sz w:val="22"/>
        <w:szCs w:val="22"/>
      </w:rPr>
      <w:fldChar w:fldCharType="begin"/>
    </w:r>
    <w:r w:rsidR="00942303" w:rsidRPr="004E6684">
      <w:rPr>
        <w:rFonts w:ascii="Arial" w:hAnsi="Arial" w:cs="Arial"/>
        <w:sz w:val="22"/>
        <w:szCs w:val="22"/>
      </w:rPr>
      <w:instrText xml:space="preserve"> PAGE  \* MERGEFORMAT </w:instrText>
    </w:r>
    <w:r w:rsidR="00942303" w:rsidRPr="004E6684">
      <w:rPr>
        <w:rFonts w:ascii="Arial" w:hAnsi="Arial" w:cs="Arial"/>
        <w:sz w:val="22"/>
        <w:szCs w:val="22"/>
      </w:rPr>
      <w:fldChar w:fldCharType="separate"/>
    </w:r>
    <w:r w:rsidR="00942303" w:rsidRPr="004E6684">
      <w:rPr>
        <w:rFonts w:ascii="Arial" w:hAnsi="Arial" w:cs="Arial"/>
        <w:sz w:val="22"/>
        <w:szCs w:val="22"/>
      </w:rPr>
      <w:t>21</w:t>
    </w:r>
    <w:r w:rsidR="00942303" w:rsidRPr="004E6684">
      <w:rPr>
        <w:rFonts w:ascii="Arial" w:hAnsi="Arial" w:cs="Arial"/>
        <w:sz w:val="22"/>
        <w:szCs w:val="22"/>
      </w:rPr>
      <w:fldChar w:fldCharType="end"/>
    </w:r>
  </w:p>
  <w:p w14:paraId="29DF1C35" w14:textId="77777777" w:rsidR="00F06E4D" w:rsidRPr="004E6684" w:rsidRDefault="00F06E4D" w:rsidP="00F06E4D">
    <w:pPr>
      <w:pStyle w:val="Header"/>
      <w:jc w:val="right"/>
      <w:rPr>
        <w:rFonts w:ascii="Arial" w:hAnsi="Arial" w:cs="Arial"/>
        <w:sz w:val="22"/>
        <w:szCs w:val="22"/>
      </w:rPr>
    </w:pPr>
  </w:p>
  <w:p w14:paraId="372AA03D" w14:textId="77777777" w:rsidR="00F06E4D" w:rsidRPr="004E6684" w:rsidRDefault="00F06E4D" w:rsidP="00F06E4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B082" w14:textId="77777777" w:rsidR="00942303" w:rsidRPr="004E6684" w:rsidRDefault="00942303" w:rsidP="00F06E4D">
    <w:pPr>
      <w:jc w:val="right"/>
      <w:rPr>
        <w:rFonts w:ascii="Arial" w:hAnsi="Arial" w:cs="Arial"/>
        <w:caps/>
        <w:sz w:val="22"/>
        <w:szCs w:val="22"/>
      </w:rPr>
    </w:pPr>
    <w:r w:rsidRPr="004E6684">
      <w:rPr>
        <w:rFonts w:ascii="Arial" w:hAnsi="Arial" w:cs="Arial"/>
        <w:caps/>
        <w:sz w:val="22"/>
        <w:szCs w:val="22"/>
      </w:rPr>
      <w:t>CDIP/33/7</w:t>
    </w:r>
  </w:p>
  <w:p w14:paraId="7BC556AC" w14:textId="0C30CAD5" w:rsidR="00942303" w:rsidRPr="004E6684" w:rsidRDefault="00942303" w:rsidP="00F06E4D">
    <w:pPr>
      <w:jc w:val="right"/>
      <w:rPr>
        <w:rFonts w:ascii="Arial" w:hAnsi="Arial" w:cs="Arial"/>
        <w:sz w:val="22"/>
        <w:szCs w:val="22"/>
      </w:rPr>
    </w:pPr>
    <w:r w:rsidRPr="004E6684">
      <w:rPr>
        <w:rFonts w:ascii="Arial" w:hAnsi="Arial" w:cs="Arial"/>
        <w:sz w:val="22"/>
        <w:szCs w:val="22"/>
      </w:rPr>
      <w:t xml:space="preserve">Приложение, стр. </w:t>
    </w:r>
    <w:r w:rsidRPr="004E6684">
      <w:rPr>
        <w:rFonts w:ascii="Arial" w:hAnsi="Arial" w:cs="Arial"/>
        <w:sz w:val="22"/>
        <w:szCs w:val="22"/>
      </w:rPr>
      <w:fldChar w:fldCharType="begin"/>
    </w:r>
    <w:r w:rsidRPr="004E6684">
      <w:rPr>
        <w:rFonts w:ascii="Arial" w:hAnsi="Arial" w:cs="Arial"/>
        <w:sz w:val="22"/>
        <w:szCs w:val="22"/>
      </w:rPr>
      <w:instrText xml:space="preserve"> PAGE  \* MERGEFORMAT </w:instrText>
    </w:r>
    <w:r w:rsidRPr="004E6684">
      <w:rPr>
        <w:rFonts w:ascii="Arial" w:hAnsi="Arial" w:cs="Arial"/>
        <w:sz w:val="22"/>
        <w:szCs w:val="22"/>
      </w:rPr>
      <w:fldChar w:fldCharType="separate"/>
    </w:r>
    <w:r w:rsidRPr="004E6684">
      <w:rPr>
        <w:rFonts w:ascii="Arial" w:hAnsi="Arial" w:cs="Arial"/>
        <w:sz w:val="22"/>
        <w:szCs w:val="22"/>
      </w:rPr>
      <w:t>21</w:t>
    </w:r>
    <w:r w:rsidRPr="004E6684">
      <w:rPr>
        <w:rFonts w:ascii="Arial" w:hAnsi="Arial" w:cs="Arial"/>
        <w:sz w:val="22"/>
        <w:szCs w:val="22"/>
      </w:rPr>
      <w:fldChar w:fldCharType="end"/>
    </w:r>
  </w:p>
  <w:p w14:paraId="5C9AF074" w14:textId="77777777" w:rsidR="00942303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  <w:p w14:paraId="3F07889A" w14:textId="77777777" w:rsidR="00942303" w:rsidRPr="00F06E4D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89EE" w14:textId="77777777" w:rsidR="00942303" w:rsidRPr="00F06E4D" w:rsidRDefault="00942303" w:rsidP="00F06E4D">
    <w:pPr>
      <w:jc w:val="right"/>
      <w:rPr>
        <w:rFonts w:ascii="Arial" w:hAnsi="Arial" w:cs="Arial"/>
        <w:caps/>
        <w:sz w:val="22"/>
        <w:szCs w:val="22"/>
      </w:rPr>
    </w:pPr>
    <w:r>
      <w:rPr>
        <w:rFonts w:ascii="Arial" w:hAnsi="Arial"/>
        <w:caps/>
        <w:sz w:val="22"/>
      </w:rPr>
      <w:t>CDIP/33/7</w:t>
    </w:r>
  </w:p>
  <w:p w14:paraId="09C4CF3B" w14:textId="77777777" w:rsidR="00942303" w:rsidRPr="00942303" w:rsidRDefault="00942303" w:rsidP="00942303">
    <w:pPr>
      <w:jc w:val="right"/>
      <w:rPr>
        <w:rFonts w:ascii="Arial" w:hAnsi="Arial" w:cs="Arial"/>
        <w:sz w:val="22"/>
        <w:szCs w:val="22"/>
      </w:rPr>
    </w:pPr>
    <w:r>
      <w:t xml:space="preserve">Приложение, стр. </w:t>
    </w:r>
    <w:r w:rsidRPr="00942303">
      <w:rPr>
        <w:rFonts w:ascii="Arial" w:hAnsi="Arial" w:cs="Arial"/>
        <w:sz w:val="22"/>
      </w:rPr>
      <w:fldChar w:fldCharType="begin"/>
    </w:r>
    <w:r w:rsidRPr="00942303">
      <w:rPr>
        <w:rFonts w:ascii="Arial" w:hAnsi="Arial" w:cs="Arial"/>
        <w:sz w:val="22"/>
      </w:rPr>
      <w:instrText xml:space="preserve"> PAGE  \* MERGEFORMAT </w:instrText>
    </w:r>
    <w:r w:rsidRPr="00942303">
      <w:rPr>
        <w:rFonts w:ascii="Arial" w:hAnsi="Arial" w:cs="Arial"/>
        <w:sz w:val="22"/>
      </w:rPr>
      <w:fldChar w:fldCharType="separate"/>
    </w:r>
    <w:r w:rsidRPr="00942303">
      <w:rPr>
        <w:rFonts w:ascii="Arial" w:hAnsi="Arial" w:cs="Arial"/>
        <w:sz w:val="22"/>
      </w:rPr>
      <w:t>5</w:t>
    </w:r>
    <w:r w:rsidRPr="00942303">
      <w:rPr>
        <w:rFonts w:ascii="Arial" w:hAnsi="Arial" w:cs="Arial"/>
        <w:sz w:val="22"/>
      </w:rPr>
      <w:fldChar w:fldCharType="end"/>
    </w:r>
  </w:p>
  <w:p w14:paraId="7B1219A8" w14:textId="77777777" w:rsidR="00942303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  <w:p w14:paraId="006F496E" w14:textId="77777777" w:rsidR="00942303" w:rsidRPr="00F06E4D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8674" w14:textId="77777777" w:rsidR="00942303" w:rsidRPr="00F06E4D" w:rsidRDefault="00942303" w:rsidP="00F06E4D">
    <w:pPr>
      <w:jc w:val="right"/>
      <w:rPr>
        <w:rFonts w:ascii="Arial" w:hAnsi="Arial" w:cs="Arial"/>
        <w:caps/>
        <w:sz w:val="22"/>
        <w:szCs w:val="22"/>
      </w:rPr>
    </w:pPr>
    <w:r>
      <w:rPr>
        <w:rFonts w:ascii="Arial" w:hAnsi="Arial"/>
        <w:caps/>
        <w:sz w:val="22"/>
      </w:rPr>
      <w:t>CDIP/33/7</w:t>
    </w:r>
  </w:p>
  <w:p w14:paraId="1290D3F4" w14:textId="24B07678" w:rsidR="00942303" w:rsidRPr="00F06E4D" w:rsidRDefault="00942303" w:rsidP="00F06E4D">
    <w:pPr>
      <w:jc w:val="right"/>
      <w:rPr>
        <w:rFonts w:ascii="Arial" w:hAnsi="Arial" w:cs="Arial"/>
        <w:sz w:val="22"/>
        <w:szCs w:val="22"/>
      </w:rPr>
    </w:pPr>
    <w:r>
      <w:t xml:space="preserve">Приложение, стр. </w:t>
    </w:r>
    <w:r w:rsidRPr="00942303">
      <w:rPr>
        <w:rFonts w:ascii="Arial" w:hAnsi="Arial" w:cs="Arial"/>
        <w:sz w:val="22"/>
      </w:rPr>
      <w:fldChar w:fldCharType="begin"/>
    </w:r>
    <w:r w:rsidRPr="00942303">
      <w:rPr>
        <w:rFonts w:ascii="Arial" w:hAnsi="Arial" w:cs="Arial"/>
        <w:sz w:val="22"/>
      </w:rPr>
      <w:instrText xml:space="preserve"> PAGE  \* MERGEFORMAT </w:instrText>
    </w:r>
    <w:r w:rsidRPr="00942303">
      <w:rPr>
        <w:rFonts w:ascii="Arial" w:hAnsi="Arial" w:cs="Arial"/>
        <w:sz w:val="22"/>
      </w:rPr>
      <w:fldChar w:fldCharType="separate"/>
    </w:r>
    <w:r w:rsidRPr="00942303">
      <w:rPr>
        <w:rFonts w:ascii="Arial" w:hAnsi="Arial" w:cs="Arial"/>
        <w:sz w:val="22"/>
      </w:rPr>
      <w:t>21</w:t>
    </w:r>
    <w:r w:rsidRPr="00942303">
      <w:rPr>
        <w:rFonts w:ascii="Arial" w:hAnsi="Arial" w:cs="Arial"/>
        <w:sz w:val="22"/>
      </w:rPr>
      <w:fldChar w:fldCharType="end"/>
    </w:r>
  </w:p>
  <w:p w14:paraId="591FF9E0" w14:textId="77777777" w:rsidR="00942303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  <w:p w14:paraId="3AC1F618" w14:textId="77777777" w:rsidR="00942303" w:rsidRPr="00F06E4D" w:rsidRDefault="00942303" w:rsidP="00F06E4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6265"/>
    <w:multiLevelType w:val="hybridMultilevel"/>
    <w:tmpl w:val="FA32DF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686"/>
    <w:multiLevelType w:val="hybridMultilevel"/>
    <w:tmpl w:val="F7F646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600D"/>
    <w:multiLevelType w:val="hybridMultilevel"/>
    <w:tmpl w:val="22EC2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016E1"/>
    <w:multiLevelType w:val="hybridMultilevel"/>
    <w:tmpl w:val="E2986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76F"/>
    <w:multiLevelType w:val="hybridMultilevel"/>
    <w:tmpl w:val="72B4DAF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29A0"/>
    <w:multiLevelType w:val="hybridMultilevel"/>
    <w:tmpl w:val="93DAAD2E"/>
    <w:lvl w:ilvl="0" w:tplc="693C9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27"/>
    <w:multiLevelType w:val="hybridMultilevel"/>
    <w:tmpl w:val="1E04D64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55D"/>
    <w:multiLevelType w:val="hybridMultilevel"/>
    <w:tmpl w:val="BC0E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E25"/>
    <w:multiLevelType w:val="hybridMultilevel"/>
    <w:tmpl w:val="C8BC7030"/>
    <w:lvl w:ilvl="0" w:tplc="5BC05486">
      <w:start w:val="6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70BC"/>
    <w:multiLevelType w:val="hybridMultilevel"/>
    <w:tmpl w:val="552E5D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79FF"/>
    <w:multiLevelType w:val="hybridMultilevel"/>
    <w:tmpl w:val="86D87E8A"/>
    <w:lvl w:ilvl="0" w:tplc="D6F06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71891"/>
    <w:multiLevelType w:val="hybridMultilevel"/>
    <w:tmpl w:val="B2C4890A"/>
    <w:lvl w:ilvl="0" w:tplc="28CC5F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F17DA"/>
    <w:multiLevelType w:val="hybridMultilevel"/>
    <w:tmpl w:val="C568C12A"/>
    <w:lvl w:ilvl="0" w:tplc="65C6B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0285"/>
    <w:multiLevelType w:val="hybridMultilevel"/>
    <w:tmpl w:val="BBF4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572B1"/>
    <w:multiLevelType w:val="hybridMultilevel"/>
    <w:tmpl w:val="7758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752F3"/>
    <w:multiLevelType w:val="hybridMultilevel"/>
    <w:tmpl w:val="0B22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22CC"/>
    <w:multiLevelType w:val="hybridMultilevel"/>
    <w:tmpl w:val="C04226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528C8"/>
    <w:multiLevelType w:val="hybridMultilevel"/>
    <w:tmpl w:val="11149F26"/>
    <w:lvl w:ilvl="0" w:tplc="FD4291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E64DA"/>
    <w:multiLevelType w:val="hybridMultilevel"/>
    <w:tmpl w:val="F5E88D14"/>
    <w:lvl w:ilvl="0" w:tplc="6BCAB2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2196"/>
    <w:multiLevelType w:val="hybridMultilevel"/>
    <w:tmpl w:val="56FA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8976">
    <w:abstractNumId w:val="5"/>
  </w:num>
  <w:num w:numId="2" w16cid:durableId="873465234">
    <w:abstractNumId w:val="16"/>
  </w:num>
  <w:num w:numId="3" w16cid:durableId="1919553940">
    <w:abstractNumId w:val="0"/>
  </w:num>
  <w:num w:numId="4" w16cid:durableId="190412618">
    <w:abstractNumId w:val="18"/>
  </w:num>
  <w:num w:numId="5" w16cid:durableId="2003044049">
    <w:abstractNumId w:val="12"/>
  </w:num>
  <w:num w:numId="6" w16cid:durableId="693070561">
    <w:abstractNumId w:val="11"/>
  </w:num>
  <w:num w:numId="7" w16cid:durableId="1492797701">
    <w:abstractNumId w:val="6"/>
  </w:num>
  <w:num w:numId="8" w16cid:durableId="823857547">
    <w:abstractNumId w:val="4"/>
  </w:num>
  <w:num w:numId="9" w16cid:durableId="852643115">
    <w:abstractNumId w:val="7"/>
  </w:num>
  <w:num w:numId="10" w16cid:durableId="1077246697">
    <w:abstractNumId w:val="1"/>
  </w:num>
  <w:num w:numId="11" w16cid:durableId="437213424">
    <w:abstractNumId w:val="9"/>
  </w:num>
  <w:num w:numId="12" w16cid:durableId="1838379846">
    <w:abstractNumId w:val="3"/>
  </w:num>
  <w:num w:numId="13" w16cid:durableId="1932812653">
    <w:abstractNumId w:val="17"/>
  </w:num>
  <w:num w:numId="14" w16cid:durableId="574823746">
    <w:abstractNumId w:val="8"/>
  </w:num>
  <w:num w:numId="15" w16cid:durableId="709308382">
    <w:abstractNumId w:val="2"/>
  </w:num>
  <w:num w:numId="16" w16cid:durableId="253249008">
    <w:abstractNumId w:val="14"/>
  </w:num>
  <w:num w:numId="17" w16cid:durableId="1453551522">
    <w:abstractNumId w:val="15"/>
  </w:num>
  <w:num w:numId="18" w16cid:durableId="1990938598">
    <w:abstractNumId w:val="19"/>
  </w:num>
  <w:num w:numId="19" w16cid:durableId="7022539">
    <w:abstractNumId w:val="13"/>
  </w:num>
  <w:num w:numId="20" w16cid:durableId="211054596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7C"/>
    <w:rsid w:val="00021C47"/>
    <w:rsid w:val="000222E2"/>
    <w:rsid w:val="00027964"/>
    <w:rsid w:val="000331DE"/>
    <w:rsid w:val="00040662"/>
    <w:rsid w:val="0004756D"/>
    <w:rsid w:val="000643F7"/>
    <w:rsid w:val="00067E37"/>
    <w:rsid w:val="000807EC"/>
    <w:rsid w:val="00081EC7"/>
    <w:rsid w:val="00086F02"/>
    <w:rsid w:val="000A4460"/>
    <w:rsid w:val="000A69A2"/>
    <w:rsid w:val="000B1872"/>
    <w:rsid w:val="000C6F0E"/>
    <w:rsid w:val="000E58BF"/>
    <w:rsid w:val="000F0A9A"/>
    <w:rsid w:val="000F2AA6"/>
    <w:rsid w:val="00107BE9"/>
    <w:rsid w:val="001171CA"/>
    <w:rsid w:val="0012075E"/>
    <w:rsid w:val="00122088"/>
    <w:rsid w:val="00125B67"/>
    <w:rsid w:val="0013598B"/>
    <w:rsid w:val="00146909"/>
    <w:rsid w:val="001A62BD"/>
    <w:rsid w:val="001E53F6"/>
    <w:rsid w:val="00200F33"/>
    <w:rsid w:val="00202BEA"/>
    <w:rsid w:val="00214EF8"/>
    <w:rsid w:val="00217F0C"/>
    <w:rsid w:val="00226781"/>
    <w:rsid w:val="00226ACB"/>
    <w:rsid w:val="00232619"/>
    <w:rsid w:val="00236820"/>
    <w:rsid w:val="00236D99"/>
    <w:rsid w:val="0025589B"/>
    <w:rsid w:val="00256A09"/>
    <w:rsid w:val="00265B00"/>
    <w:rsid w:val="00270006"/>
    <w:rsid w:val="002727F0"/>
    <w:rsid w:val="00291BFF"/>
    <w:rsid w:val="002A66E0"/>
    <w:rsid w:val="002B0AEA"/>
    <w:rsid w:val="002B4A14"/>
    <w:rsid w:val="002C0785"/>
    <w:rsid w:val="002D41DD"/>
    <w:rsid w:val="002E124F"/>
    <w:rsid w:val="002E1251"/>
    <w:rsid w:val="002E1A83"/>
    <w:rsid w:val="002E6C73"/>
    <w:rsid w:val="00315278"/>
    <w:rsid w:val="003240DB"/>
    <w:rsid w:val="00334CA3"/>
    <w:rsid w:val="003434EA"/>
    <w:rsid w:val="00347995"/>
    <w:rsid w:val="003530C2"/>
    <w:rsid w:val="00366575"/>
    <w:rsid w:val="0038441A"/>
    <w:rsid w:val="00390651"/>
    <w:rsid w:val="00391890"/>
    <w:rsid w:val="00392B12"/>
    <w:rsid w:val="0039486E"/>
    <w:rsid w:val="003C63D9"/>
    <w:rsid w:val="003D00F7"/>
    <w:rsid w:val="003D13DB"/>
    <w:rsid w:val="003E1801"/>
    <w:rsid w:val="00401C8E"/>
    <w:rsid w:val="004045CA"/>
    <w:rsid w:val="00442D14"/>
    <w:rsid w:val="00450FCD"/>
    <w:rsid w:val="00476F24"/>
    <w:rsid w:val="00495FC3"/>
    <w:rsid w:val="004A017F"/>
    <w:rsid w:val="004A0ADD"/>
    <w:rsid w:val="004B0640"/>
    <w:rsid w:val="004B738B"/>
    <w:rsid w:val="004C644B"/>
    <w:rsid w:val="004C700B"/>
    <w:rsid w:val="004C745E"/>
    <w:rsid w:val="004D036E"/>
    <w:rsid w:val="004D48C5"/>
    <w:rsid w:val="004E6684"/>
    <w:rsid w:val="00500007"/>
    <w:rsid w:val="0051745D"/>
    <w:rsid w:val="00521787"/>
    <w:rsid w:val="0055655C"/>
    <w:rsid w:val="005568CF"/>
    <w:rsid w:val="00582702"/>
    <w:rsid w:val="0058612C"/>
    <w:rsid w:val="00587341"/>
    <w:rsid w:val="00595145"/>
    <w:rsid w:val="005A7611"/>
    <w:rsid w:val="005E7230"/>
    <w:rsid w:val="005F79CC"/>
    <w:rsid w:val="00642A25"/>
    <w:rsid w:val="00666884"/>
    <w:rsid w:val="006712BB"/>
    <w:rsid w:val="00696854"/>
    <w:rsid w:val="006A3C0B"/>
    <w:rsid w:val="006E5344"/>
    <w:rsid w:val="006F5838"/>
    <w:rsid w:val="006F6518"/>
    <w:rsid w:val="007055AA"/>
    <w:rsid w:val="007243B8"/>
    <w:rsid w:val="00755C0D"/>
    <w:rsid w:val="00762785"/>
    <w:rsid w:val="00790461"/>
    <w:rsid w:val="0079635F"/>
    <w:rsid w:val="007A2CC3"/>
    <w:rsid w:val="007A4691"/>
    <w:rsid w:val="007C47D4"/>
    <w:rsid w:val="007D26C2"/>
    <w:rsid w:val="007E3F1A"/>
    <w:rsid w:val="00807452"/>
    <w:rsid w:val="008121FA"/>
    <w:rsid w:val="00833ACA"/>
    <w:rsid w:val="00847180"/>
    <w:rsid w:val="0086797C"/>
    <w:rsid w:val="00867FA3"/>
    <w:rsid w:val="0089265A"/>
    <w:rsid w:val="008D24EE"/>
    <w:rsid w:val="008E2277"/>
    <w:rsid w:val="008F2907"/>
    <w:rsid w:val="00900270"/>
    <w:rsid w:val="00902CE9"/>
    <w:rsid w:val="00913E74"/>
    <w:rsid w:val="00924FCA"/>
    <w:rsid w:val="00942303"/>
    <w:rsid w:val="0095584F"/>
    <w:rsid w:val="00960ABC"/>
    <w:rsid w:val="00967156"/>
    <w:rsid w:val="009676A9"/>
    <w:rsid w:val="009856FB"/>
    <w:rsid w:val="009B4E72"/>
    <w:rsid w:val="009C5044"/>
    <w:rsid w:val="009D66C4"/>
    <w:rsid w:val="009E0B0A"/>
    <w:rsid w:val="009F4A81"/>
    <w:rsid w:val="009F4FA6"/>
    <w:rsid w:val="009F66EC"/>
    <w:rsid w:val="00A0017C"/>
    <w:rsid w:val="00A12AF2"/>
    <w:rsid w:val="00A42252"/>
    <w:rsid w:val="00A44F5F"/>
    <w:rsid w:val="00A46CCC"/>
    <w:rsid w:val="00A478EC"/>
    <w:rsid w:val="00A76E9A"/>
    <w:rsid w:val="00A80566"/>
    <w:rsid w:val="00A86078"/>
    <w:rsid w:val="00AA1743"/>
    <w:rsid w:val="00AA2A84"/>
    <w:rsid w:val="00AB65D7"/>
    <w:rsid w:val="00AD35EF"/>
    <w:rsid w:val="00AD3798"/>
    <w:rsid w:val="00AD662C"/>
    <w:rsid w:val="00AF476B"/>
    <w:rsid w:val="00B03027"/>
    <w:rsid w:val="00B05019"/>
    <w:rsid w:val="00B23365"/>
    <w:rsid w:val="00B239BB"/>
    <w:rsid w:val="00B26EA5"/>
    <w:rsid w:val="00B40FD5"/>
    <w:rsid w:val="00B45A8F"/>
    <w:rsid w:val="00B607EC"/>
    <w:rsid w:val="00B62D89"/>
    <w:rsid w:val="00B64F9A"/>
    <w:rsid w:val="00B732CA"/>
    <w:rsid w:val="00B95680"/>
    <w:rsid w:val="00BC57E8"/>
    <w:rsid w:val="00BF6936"/>
    <w:rsid w:val="00C1144E"/>
    <w:rsid w:val="00C12B40"/>
    <w:rsid w:val="00C2349C"/>
    <w:rsid w:val="00C23608"/>
    <w:rsid w:val="00C243BF"/>
    <w:rsid w:val="00C4247F"/>
    <w:rsid w:val="00C54DF9"/>
    <w:rsid w:val="00C5787D"/>
    <w:rsid w:val="00C658B0"/>
    <w:rsid w:val="00C96D07"/>
    <w:rsid w:val="00C97440"/>
    <w:rsid w:val="00CA61DD"/>
    <w:rsid w:val="00CC0BD6"/>
    <w:rsid w:val="00CD778E"/>
    <w:rsid w:val="00CE6D27"/>
    <w:rsid w:val="00CF03C1"/>
    <w:rsid w:val="00D27742"/>
    <w:rsid w:val="00D34E46"/>
    <w:rsid w:val="00D41D4C"/>
    <w:rsid w:val="00D57315"/>
    <w:rsid w:val="00D5754D"/>
    <w:rsid w:val="00D62D93"/>
    <w:rsid w:val="00D70ED7"/>
    <w:rsid w:val="00D70F96"/>
    <w:rsid w:val="00D80817"/>
    <w:rsid w:val="00DA0BA9"/>
    <w:rsid w:val="00DB4117"/>
    <w:rsid w:val="00DB5AC1"/>
    <w:rsid w:val="00DB7C2D"/>
    <w:rsid w:val="00DC2AD4"/>
    <w:rsid w:val="00DF32F1"/>
    <w:rsid w:val="00E008A3"/>
    <w:rsid w:val="00E05304"/>
    <w:rsid w:val="00E1504F"/>
    <w:rsid w:val="00E15231"/>
    <w:rsid w:val="00E20FBD"/>
    <w:rsid w:val="00E34BF0"/>
    <w:rsid w:val="00E53D1B"/>
    <w:rsid w:val="00E556B7"/>
    <w:rsid w:val="00E83324"/>
    <w:rsid w:val="00E83E68"/>
    <w:rsid w:val="00E92051"/>
    <w:rsid w:val="00E9716D"/>
    <w:rsid w:val="00EA1023"/>
    <w:rsid w:val="00EE6156"/>
    <w:rsid w:val="00F06E4D"/>
    <w:rsid w:val="00F33218"/>
    <w:rsid w:val="00F63371"/>
    <w:rsid w:val="00F7574B"/>
    <w:rsid w:val="00F86D5A"/>
    <w:rsid w:val="00F87B95"/>
    <w:rsid w:val="00F93DA6"/>
    <w:rsid w:val="00F95244"/>
    <w:rsid w:val="00FA0D5E"/>
    <w:rsid w:val="00FB20CF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630E1"/>
  <w15:chartTrackingRefBased/>
  <w15:docId w15:val="{B33900D8-AD28-4711-93B0-4E7A46D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7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67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7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B40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12B40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0FCD"/>
    <w:pPr>
      <w:tabs>
        <w:tab w:val="right" w:leader="dot" w:pos="9016"/>
      </w:tabs>
      <w:spacing w:after="24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12B40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C12B4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E2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01C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0F0A9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7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95"/>
    <w:rPr>
      <w:rFonts w:ascii="Times New Roman" w:eastAsia="MS Mincho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7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95"/>
    <w:rPr>
      <w:rFonts w:ascii="Times New Roman" w:eastAsia="MS Mincho" w:hAnsi="Times New Roman" w:cs="Times New Roman"/>
      <w:kern w:val="0"/>
      <w:sz w:val="24"/>
      <w:szCs w:val="24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12AF2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3C63D9"/>
    <w:pPr>
      <w:widowControl w:val="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63D9"/>
    <w:rPr>
      <w:rFonts w:ascii="Tahoma" w:eastAsia="Tahoma" w:hAnsi="Tahoma" w:cs="Tahoma"/>
      <w:kern w:val="0"/>
      <w:sz w:val="19"/>
      <w:szCs w:val="19"/>
      <w:lang w:val="ru-RU"/>
      <w14:ligatures w14:val="none"/>
    </w:rPr>
  </w:style>
  <w:style w:type="paragraph" w:styleId="Revision">
    <w:name w:val="Revision"/>
    <w:hidden/>
    <w:uiPriority w:val="99"/>
    <w:semiHidden/>
    <w:rsid w:val="005E723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4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D4C"/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4C"/>
    <w:rPr>
      <w:rFonts w:ascii="Times New Roman" w:eastAsia="MS Mincho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Endofdocument-Annex">
    <w:name w:val="[End of document - Annex]"/>
    <w:basedOn w:val="Normal"/>
    <w:link w:val="Endofdocument-AnnexChar"/>
    <w:rsid w:val="00DB4117"/>
    <w:pPr>
      <w:ind w:left="5534"/>
    </w:pPr>
    <w:rPr>
      <w:rFonts w:ascii="Arial" w:eastAsia="SimSun" w:hAnsi="Arial" w:cs="Arial"/>
      <w:sz w:val="22"/>
      <w:szCs w:val="20"/>
      <w:lang w:eastAsia="zh-CN"/>
    </w:rPr>
  </w:style>
  <w:style w:type="paragraph" w:customStyle="1" w:styleId="Default">
    <w:name w:val="Default"/>
    <w:rsid w:val="00DB411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kern w:val="0"/>
      <w:sz w:val="24"/>
      <w:szCs w:val="24"/>
      <w:lang w:eastAsia="ko-KR"/>
      <w14:ligatures w14:val="none"/>
    </w:rPr>
  </w:style>
  <w:style w:type="character" w:customStyle="1" w:styleId="Endofdocument-AnnexChar">
    <w:name w:val="[End of document - Annex] Char"/>
    <w:link w:val="Endofdocument-Annex"/>
    <w:rsid w:val="00DB4117"/>
    <w:rPr>
      <w:rFonts w:ascii="Arial" w:eastAsia="SimSun" w:hAnsi="Arial" w:cs="Arial"/>
      <w:kern w:val="0"/>
      <w:szCs w:val="20"/>
      <w:lang w:val="ru-RU" w:eastAsia="zh-CN"/>
      <w14:ligatures w14:val="none"/>
    </w:rPr>
  </w:style>
  <w:style w:type="paragraph" w:customStyle="1" w:styleId="Endofdocument">
    <w:name w:val="End of document"/>
    <w:basedOn w:val="Normal"/>
    <w:rsid w:val="00F06E4D"/>
    <w:pPr>
      <w:spacing w:line="260" w:lineRule="atLeast"/>
      <w:ind w:left="5534"/>
    </w:pPr>
    <w:rPr>
      <w:rFonts w:ascii="Arial" w:eastAsia="Times New Roman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diagramLayout" Target="diagrams/layout1.xml"/><Relationship Id="rId26" Type="http://schemas.openxmlformats.org/officeDocument/2006/relationships/hyperlink" Target="https://www.wipo.int/en/web/mobile-apps/index" TargetMode="Externa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Data" Target="diagrams/data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oc_details.jsp?doc_id=589139" TargetMode="External"/><Relationship Id="rId20" Type="http://schemas.openxmlformats.org/officeDocument/2006/relationships/diagramColors" Target="diagrams/colors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oc_details.jsp?doc_id=589139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wipo.int/meetings/ru/doc_details.jsp?doc_id=569485" TargetMode="External"/><Relationship Id="rId22" Type="http://schemas.openxmlformats.org/officeDocument/2006/relationships/hyperlink" Target="https://www.wipo.int/documents/d/mobile-apps/docs-handbook-ip-mobile-apps.pdf" TargetMode="External"/><Relationship Id="rId27" Type="http://schemas.openxmlformats.org/officeDocument/2006/relationships/header" Target="header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628EDE-B2B0-4592-9AA9-823A31E74B40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F313A81-9BD1-4714-BFE9-74BDDD49D414}">
      <dgm:prSet phldrT="[Text]" custT="1"/>
      <dgm:spPr/>
      <dgm:t>
        <a:bodyPr/>
        <a:lstStyle/>
        <a:p>
          <a:r>
            <a:rPr lang="ru-RU" sz="1100"/>
            <a:t>Риск I: трудности с поиском разработчиков мобильных приложений в четырех выбранных творческих секторах</a:t>
          </a:r>
        </a:p>
      </dgm:t>
    </dgm:pt>
    <dgm:pt modelId="{E4B59BB3-5985-4E64-82EB-248F2E4E4DFD}" type="parTrans" cxnId="{A3D145CE-58EA-42A1-91FD-753579373BA7}">
      <dgm:prSet/>
      <dgm:spPr/>
      <dgm:t>
        <a:bodyPr/>
        <a:lstStyle/>
        <a:p>
          <a:endParaRPr lang="en-GB"/>
        </a:p>
      </dgm:t>
    </dgm:pt>
    <dgm:pt modelId="{7EF7CFA3-A7E8-4663-9205-2C793E394C8D}" type="sibTrans" cxnId="{A3D145CE-58EA-42A1-91FD-753579373BA7}">
      <dgm:prSet/>
      <dgm:spPr/>
      <dgm:t>
        <a:bodyPr/>
        <a:lstStyle/>
        <a:p>
          <a:endParaRPr lang="en-GB"/>
        </a:p>
      </dgm:t>
    </dgm:pt>
    <dgm:pt modelId="{704A3840-4DEF-439E-BD97-BCAA4145E6AC}">
      <dgm:prSet phldrT="[Text]" custT="1"/>
      <dgm:spPr/>
      <dgm:t>
        <a:bodyPr/>
        <a:lstStyle/>
        <a:p>
          <a:r>
            <a:rPr lang="ru-RU" sz="1100"/>
            <a:t>Меры по снижению риска I: разработка четкой и целенаправленной коммуникационной или информационной стратегии в тесном сотрудничестве с местными партнерами в каждой из стран-бенефициаров.</a:t>
          </a:r>
        </a:p>
      </dgm:t>
    </dgm:pt>
    <dgm:pt modelId="{8E7D196E-C864-455A-B91B-A9FCAE295420}" type="parTrans" cxnId="{DA6FD13A-C545-48DE-83D3-CC36AF1883A0}">
      <dgm:prSet/>
      <dgm:spPr/>
      <dgm:t>
        <a:bodyPr/>
        <a:lstStyle/>
        <a:p>
          <a:endParaRPr lang="en-GB"/>
        </a:p>
      </dgm:t>
    </dgm:pt>
    <dgm:pt modelId="{1E4F506A-E3C7-4B80-A5F8-25537087DB57}" type="sibTrans" cxnId="{DA6FD13A-C545-48DE-83D3-CC36AF1883A0}">
      <dgm:prSet/>
      <dgm:spPr/>
      <dgm:t>
        <a:bodyPr/>
        <a:lstStyle/>
        <a:p>
          <a:endParaRPr lang="en-GB"/>
        </a:p>
      </dgm:t>
    </dgm:pt>
    <dgm:pt modelId="{2FACBFB5-EDAA-4FC3-A1BF-7DBE4237F61A}">
      <dgm:prSet phldrT="[Text]" custT="1"/>
      <dgm:spPr/>
      <dgm:t>
        <a:bodyPr/>
        <a:lstStyle/>
        <a:p>
          <a:r>
            <a:rPr lang="ru-RU" sz="1100"/>
            <a:t>Риск II: продолжающие действовать различные ограничения, связанные с COVID-19, в каждой из стран-бенефициаров, которые могут воспрепятствовать необходимому уровню взаимодействия, налаживанию контактов и запланированным мероприятиям в очном формате.</a:t>
          </a:r>
        </a:p>
      </dgm:t>
    </dgm:pt>
    <dgm:pt modelId="{EE0CD4EE-D667-4F9F-9F83-B3E39667359D}" type="parTrans" cxnId="{1EBD5494-551E-439A-A963-4EA2FD9E9C99}">
      <dgm:prSet/>
      <dgm:spPr/>
      <dgm:t>
        <a:bodyPr/>
        <a:lstStyle/>
        <a:p>
          <a:endParaRPr lang="en-GB"/>
        </a:p>
      </dgm:t>
    </dgm:pt>
    <dgm:pt modelId="{C492FE32-4E62-44AA-92A1-C80124B24F14}" type="sibTrans" cxnId="{1EBD5494-551E-439A-A963-4EA2FD9E9C99}">
      <dgm:prSet/>
      <dgm:spPr/>
      <dgm:t>
        <a:bodyPr/>
        <a:lstStyle/>
        <a:p>
          <a:endParaRPr lang="en-GB"/>
        </a:p>
      </dgm:t>
    </dgm:pt>
    <dgm:pt modelId="{40C1E084-FA4E-4876-B9F9-9B3501E57B7E}">
      <dgm:prSet phldrT="[Text]" custT="1"/>
      <dgm:spPr/>
      <dgm:t>
        <a:bodyPr/>
        <a:lstStyle/>
        <a:p>
          <a:r>
            <a:rPr lang="ru-RU" sz="1100"/>
            <a:t>Меры по снижению риска II: обеспечение согласованной реализации проекта во всех трех странах-бенефициарах путем проведения мероприятий в виртуальном формате или в Женеве.</a:t>
          </a:r>
        </a:p>
      </dgm:t>
    </dgm:pt>
    <dgm:pt modelId="{19304FDF-CD73-4DF5-A318-51325B2581D9}" type="parTrans" cxnId="{0794F38A-EE21-465C-BEEC-158B95BB66A5}">
      <dgm:prSet/>
      <dgm:spPr/>
      <dgm:t>
        <a:bodyPr/>
        <a:lstStyle/>
        <a:p>
          <a:endParaRPr lang="en-GB"/>
        </a:p>
      </dgm:t>
    </dgm:pt>
    <dgm:pt modelId="{23C4BD90-70E0-4582-8E69-422850035A27}" type="sibTrans" cxnId="{0794F38A-EE21-465C-BEEC-158B95BB66A5}">
      <dgm:prSet/>
      <dgm:spPr/>
      <dgm:t>
        <a:bodyPr/>
        <a:lstStyle/>
        <a:p>
          <a:endParaRPr lang="en-GB"/>
        </a:p>
      </dgm:t>
    </dgm:pt>
    <dgm:pt modelId="{81B5DEFA-78BD-4DC8-B02C-B2097D28463D}" type="pres">
      <dgm:prSet presAssocID="{B8628EDE-B2B0-4592-9AA9-823A31E74B4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0F1B34C-C63B-409A-9376-F70B3933F2D2}" type="pres">
      <dgm:prSet presAssocID="{5F313A81-9BD1-4714-BFE9-74BDDD49D414}" presName="root" presStyleCnt="0"/>
      <dgm:spPr/>
    </dgm:pt>
    <dgm:pt modelId="{18F94C55-9E24-4153-8781-FD9EE4B45DF3}" type="pres">
      <dgm:prSet presAssocID="{5F313A81-9BD1-4714-BFE9-74BDDD49D414}" presName="rootComposite" presStyleCnt="0"/>
      <dgm:spPr/>
    </dgm:pt>
    <dgm:pt modelId="{AA101957-8EBB-41EC-9ACE-BBEA0DFB6439}" type="pres">
      <dgm:prSet presAssocID="{5F313A81-9BD1-4714-BFE9-74BDDD49D414}" presName="rootText" presStyleLbl="node1" presStyleIdx="0" presStyleCnt="2"/>
      <dgm:spPr/>
    </dgm:pt>
    <dgm:pt modelId="{86855779-08B9-4733-89D6-E33CA302809A}" type="pres">
      <dgm:prSet presAssocID="{5F313A81-9BD1-4714-BFE9-74BDDD49D414}" presName="rootConnector" presStyleLbl="node1" presStyleIdx="0" presStyleCnt="2"/>
      <dgm:spPr/>
    </dgm:pt>
    <dgm:pt modelId="{E9A43354-6107-4B5E-BC2B-49C147C62709}" type="pres">
      <dgm:prSet presAssocID="{5F313A81-9BD1-4714-BFE9-74BDDD49D414}" presName="childShape" presStyleCnt="0"/>
      <dgm:spPr/>
    </dgm:pt>
    <dgm:pt modelId="{D4106BE4-FCDA-4DE9-A670-9FA262F0AE55}" type="pres">
      <dgm:prSet presAssocID="{8E7D196E-C864-455A-B91B-A9FCAE295420}" presName="Name13" presStyleLbl="parChTrans1D2" presStyleIdx="0" presStyleCnt="2"/>
      <dgm:spPr/>
    </dgm:pt>
    <dgm:pt modelId="{BF7DE41A-42E0-4D15-9FBC-EA422E5FC685}" type="pres">
      <dgm:prSet presAssocID="{704A3840-4DEF-439E-BD97-BCAA4145E6AC}" presName="childText" presStyleLbl="bgAcc1" presStyleIdx="0" presStyleCnt="2">
        <dgm:presLayoutVars>
          <dgm:bulletEnabled val="1"/>
        </dgm:presLayoutVars>
      </dgm:prSet>
      <dgm:spPr/>
    </dgm:pt>
    <dgm:pt modelId="{57E47418-33E7-4714-A49C-428D67A1F53A}" type="pres">
      <dgm:prSet presAssocID="{2FACBFB5-EDAA-4FC3-A1BF-7DBE4237F61A}" presName="root" presStyleCnt="0"/>
      <dgm:spPr/>
    </dgm:pt>
    <dgm:pt modelId="{C0C32AFC-A8D3-45C2-95A3-03EB90CFB9A1}" type="pres">
      <dgm:prSet presAssocID="{2FACBFB5-EDAA-4FC3-A1BF-7DBE4237F61A}" presName="rootComposite" presStyleCnt="0"/>
      <dgm:spPr/>
    </dgm:pt>
    <dgm:pt modelId="{77974E80-5C4E-4EF7-ACB5-FF69E5D4C8FD}" type="pres">
      <dgm:prSet presAssocID="{2FACBFB5-EDAA-4FC3-A1BF-7DBE4237F61A}" presName="rootText" presStyleLbl="node1" presStyleIdx="1" presStyleCnt="2"/>
      <dgm:spPr/>
    </dgm:pt>
    <dgm:pt modelId="{40F2615B-D428-445B-A51C-FA21DAFF4C88}" type="pres">
      <dgm:prSet presAssocID="{2FACBFB5-EDAA-4FC3-A1BF-7DBE4237F61A}" presName="rootConnector" presStyleLbl="node1" presStyleIdx="1" presStyleCnt="2"/>
      <dgm:spPr/>
    </dgm:pt>
    <dgm:pt modelId="{4B4B727A-205E-4C97-B644-0DCEEE0693C3}" type="pres">
      <dgm:prSet presAssocID="{2FACBFB5-EDAA-4FC3-A1BF-7DBE4237F61A}" presName="childShape" presStyleCnt="0"/>
      <dgm:spPr/>
    </dgm:pt>
    <dgm:pt modelId="{6592B12A-F150-420A-A9CF-786884722008}" type="pres">
      <dgm:prSet presAssocID="{19304FDF-CD73-4DF5-A318-51325B2581D9}" presName="Name13" presStyleLbl="parChTrans1D2" presStyleIdx="1" presStyleCnt="2"/>
      <dgm:spPr/>
    </dgm:pt>
    <dgm:pt modelId="{07EEE05D-5FF4-4A32-8C02-B04206E0C9B5}" type="pres">
      <dgm:prSet presAssocID="{40C1E084-FA4E-4876-B9F9-9B3501E57B7E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DA6FD13A-C545-48DE-83D3-CC36AF1883A0}" srcId="{5F313A81-9BD1-4714-BFE9-74BDDD49D414}" destId="{704A3840-4DEF-439E-BD97-BCAA4145E6AC}" srcOrd="0" destOrd="0" parTransId="{8E7D196E-C864-455A-B91B-A9FCAE295420}" sibTransId="{1E4F506A-E3C7-4B80-A5F8-25537087DB57}"/>
    <dgm:cxn modelId="{7626B83F-B2DC-43D3-A2FF-6E4906B27A2E}" type="presOf" srcId="{5F313A81-9BD1-4714-BFE9-74BDDD49D414}" destId="{86855779-08B9-4733-89D6-E33CA302809A}" srcOrd="1" destOrd="0" presId="urn:microsoft.com/office/officeart/2005/8/layout/hierarchy3"/>
    <dgm:cxn modelId="{3158B440-ABB1-4D98-9A0F-557810EFA3AB}" type="presOf" srcId="{8E7D196E-C864-455A-B91B-A9FCAE295420}" destId="{D4106BE4-FCDA-4DE9-A670-9FA262F0AE55}" srcOrd="0" destOrd="0" presId="urn:microsoft.com/office/officeart/2005/8/layout/hierarchy3"/>
    <dgm:cxn modelId="{257FD85C-B7B2-45F5-8AFA-28CEA8E4795D}" type="presOf" srcId="{40C1E084-FA4E-4876-B9F9-9B3501E57B7E}" destId="{07EEE05D-5FF4-4A32-8C02-B04206E0C9B5}" srcOrd="0" destOrd="0" presId="urn:microsoft.com/office/officeart/2005/8/layout/hierarchy3"/>
    <dgm:cxn modelId="{2A9CA249-CD6E-4CF7-9D77-8A9ED236B1EF}" type="presOf" srcId="{19304FDF-CD73-4DF5-A318-51325B2581D9}" destId="{6592B12A-F150-420A-A9CF-786884722008}" srcOrd="0" destOrd="0" presId="urn:microsoft.com/office/officeart/2005/8/layout/hierarchy3"/>
    <dgm:cxn modelId="{AC07F36A-2DC2-49D5-9E4A-0A0E1EEC7AB1}" type="presOf" srcId="{2FACBFB5-EDAA-4FC3-A1BF-7DBE4237F61A}" destId="{40F2615B-D428-445B-A51C-FA21DAFF4C88}" srcOrd="1" destOrd="0" presId="urn:microsoft.com/office/officeart/2005/8/layout/hierarchy3"/>
    <dgm:cxn modelId="{0794F38A-EE21-465C-BEEC-158B95BB66A5}" srcId="{2FACBFB5-EDAA-4FC3-A1BF-7DBE4237F61A}" destId="{40C1E084-FA4E-4876-B9F9-9B3501E57B7E}" srcOrd="0" destOrd="0" parTransId="{19304FDF-CD73-4DF5-A318-51325B2581D9}" sibTransId="{23C4BD90-70E0-4582-8E69-422850035A27}"/>
    <dgm:cxn modelId="{1EBD5494-551E-439A-A963-4EA2FD9E9C99}" srcId="{B8628EDE-B2B0-4592-9AA9-823A31E74B40}" destId="{2FACBFB5-EDAA-4FC3-A1BF-7DBE4237F61A}" srcOrd="1" destOrd="0" parTransId="{EE0CD4EE-D667-4F9F-9F83-B3E39667359D}" sibTransId="{C492FE32-4E62-44AA-92A1-C80124B24F14}"/>
    <dgm:cxn modelId="{2A72EDBF-F69E-46D1-80B9-87B4533FCB4D}" type="presOf" srcId="{5F313A81-9BD1-4714-BFE9-74BDDD49D414}" destId="{AA101957-8EBB-41EC-9ACE-BBEA0DFB6439}" srcOrd="0" destOrd="0" presId="urn:microsoft.com/office/officeart/2005/8/layout/hierarchy3"/>
    <dgm:cxn modelId="{A3D145CE-58EA-42A1-91FD-753579373BA7}" srcId="{B8628EDE-B2B0-4592-9AA9-823A31E74B40}" destId="{5F313A81-9BD1-4714-BFE9-74BDDD49D414}" srcOrd="0" destOrd="0" parTransId="{E4B59BB3-5985-4E64-82EB-248F2E4E4DFD}" sibTransId="{7EF7CFA3-A7E8-4663-9205-2C793E394C8D}"/>
    <dgm:cxn modelId="{96BEE2E6-CE93-4E30-BACE-C83CCE6C4725}" type="presOf" srcId="{704A3840-4DEF-439E-BD97-BCAA4145E6AC}" destId="{BF7DE41A-42E0-4D15-9FBC-EA422E5FC685}" srcOrd="0" destOrd="0" presId="urn:microsoft.com/office/officeart/2005/8/layout/hierarchy3"/>
    <dgm:cxn modelId="{D90098E7-7F36-470F-A381-58C23FF3B6B5}" type="presOf" srcId="{B8628EDE-B2B0-4592-9AA9-823A31E74B40}" destId="{81B5DEFA-78BD-4DC8-B02C-B2097D28463D}" srcOrd="0" destOrd="0" presId="urn:microsoft.com/office/officeart/2005/8/layout/hierarchy3"/>
    <dgm:cxn modelId="{99833EF8-8B38-42E0-A17C-A84772B26925}" type="presOf" srcId="{2FACBFB5-EDAA-4FC3-A1BF-7DBE4237F61A}" destId="{77974E80-5C4E-4EF7-ACB5-FF69E5D4C8FD}" srcOrd="0" destOrd="0" presId="urn:microsoft.com/office/officeart/2005/8/layout/hierarchy3"/>
    <dgm:cxn modelId="{EE94F94B-4766-4891-B0B8-22A453104DB7}" type="presParOf" srcId="{81B5DEFA-78BD-4DC8-B02C-B2097D28463D}" destId="{E0F1B34C-C63B-409A-9376-F70B3933F2D2}" srcOrd="0" destOrd="0" presId="urn:microsoft.com/office/officeart/2005/8/layout/hierarchy3"/>
    <dgm:cxn modelId="{C6D12BAB-4708-4D0F-8632-F008786FF652}" type="presParOf" srcId="{E0F1B34C-C63B-409A-9376-F70B3933F2D2}" destId="{18F94C55-9E24-4153-8781-FD9EE4B45DF3}" srcOrd="0" destOrd="0" presId="urn:microsoft.com/office/officeart/2005/8/layout/hierarchy3"/>
    <dgm:cxn modelId="{734CE6DB-707D-4415-8A35-05D7C3796A28}" type="presParOf" srcId="{18F94C55-9E24-4153-8781-FD9EE4B45DF3}" destId="{AA101957-8EBB-41EC-9ACE-BBEA0DFB6439}" srcOrd="0" destOrd="0" presId="urn:microsoft.com/office/officeart/2005/8/layout/hierarchy3"/>
    <dgm:cxn modelId="{C97426DD-B9CC-4B3A-9EE1-6BFA27FC6281}" type="presParOf" srcId="{18F94C55-9E24-4153-8781-FD9EE4B45DF3}" destId="{86855779-08B9-4733-89D6-E33CA302809A}" srcOrd="1" destOrd="0" presId="urn:microsoft.com/office/officeart/2005/8/layout/hierarchy3"/>
    <dgm:cxn modelId="{009E1741-A6DC-43C9-8D6A-5CC0A0870C32}" type="presParOf" srcId="{E0F1B34C-C63B-409A-9376-F70B3933F2D2}" destId="{E9A43354-6107-4B5E-BC2B-49C147C62709}" srcOrd="1" destOrd="0" presId="urn:microsoft.com/office/officeart/2005/8/layout/hierarchy3"/>
    <dgm:cxn modelId="{EFAC3AD0-5EDA-47CD-9305-B7C1A6DF9FF7}" type="presParOf" srcId="{E9A43354-6107-4B5E-BC2B-49C147C62709}" destId="{D4106BE4-FCDA-4DE9-A670-9FA262F0AE55}" srcOrd="0" destOrd="0" presId="urn:microsoft.com/office/officeart/2005/8/layout/hierarchy3"/>
    <dgm:cxn modelId="{2724E2EC-5A47-4371-8C33-3A0F8A1CF453}" type="presParOf" srcId="{E9A43354-6107-4B5E-BC2B-49C147C62709}" destId="{BF7DE41A-42E0-4D15-9FBC-EA422E5FC685}" srcOrd="1" destOrd="0" presId="urn:microsoft.com/office/officeart/2005/8/layout/hierarchy3"/>
    <dgm:cxn modelId="{86425318-1EF5-40BA-A18A-B44BEDC5871D}" type="presParOf" srcId="{81B5DEFA-78BD-4DC8-B02C-B2097D28463D}" destId="{57E47418-33E7-4714-A49C-428D67A1F53A}" srcOrd="1" destOrd="0" presId="urn:microsoft.com/office/officeart/2005/8/layout/hierarchy3"/>
    <dgm:cxn modelId="{14F0ACDB-05D7-47A7-8ADB-51AC5A43143E}" type="presParOf" srcId="{57E47418-33E7-4714-A49C-428D67A1F53A}" destId="{C0C32AFC-A8D3-45C2-95A3-03EB90CFB9A1}" srcOrd="0" destOrd="0" presId="urn:microsoft.com/office/officeart/2005/8/layout/hierarchy3"/>
    <dgm:cxn modelId="{1477F3B2-66E9-4666-B854-B1314BCA27B7}" type="presParOf" srcId="{C0C32AFC-A8D3-45C2-95A3-03EB90CFB9A1}" destId="{77974E80-5C4E-4EF7-ACB5-FF69E5D4C8FD}" srcOrd="0" destOrd="0" presId="urn:microsoft.com/office/officeart/2005/8/layout/hierarchy3"/>
    <dgm:cxn modelId="{B5E40318-76E3-4ED0-A1DA-B2A52EAEA1D7}" type="presParOf" srcId="{C0C32AFC-A8D3-45C2-95A3-03EB90CFB9A1}" destId="{40F2615B-D428-445B-A51C-FA21DAFF4C88}" srcOrd="1" destOrd="0" presId="urn:microsoft.com/office/officeart/2005/8/layout/hierarchy3"/>
    <dgm:cxn modelId="{CE0E7A11-3020-4D88-B2E5-F2E6383E4E0F}" type="presParOf" srcId="{57E47418-33E7-4714-A49C-428D67A1F53A}" destId="{4B4B727A-205E-4C97-B644-0DCEEE0693C3}" srcOrd="1" destOrd="0" presId="urn:microsoft.com/office/officeart/2005/8/layout/hierarchy3"/>
    <dgm:cxn modelId="{F57B3213-5A0D-43BD-9DD4-8808B304B964}" type="presParOf" srcId="{4B4B727A-205E-4C97-B644-0DCEEE0693C3}" destId="{6592B12A-F150-420A-A9CF-786884722008}" srcOrd="0" destOrd="0" presId="urn:microsoft.com/office/officeart/2005/8/layout/hierarchy3"/>
    <dgm:cxn modelId="{A129F563-D954-4045-9F76-CB4C320BD20D}" type="presParOf" srcId="{4B4B727A-205E-4C97-B644-0DCEEE0693C3}" destId="{07EEE05D-5FF4-4A32-8C02-B04206E0C9B5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101957-8EBB-41EC-9ACE-BBEA0DFB6439}">
      <dsp:nvSpPr>
        <dsp:cNvPr id="0" name=""/>
        <dsp:cNvSpPr/>
      </dsp:nvSpPr>
      <dsp:spPr>
        <a:xfrm>
          <a:off x="136289" y="1469"/>
          <a:ext cx="2317253" cy="11586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Риск I: трудности с поиском разработчиков мобильных приложений в четырех выбранных творческих секторах</a:t>
          </a:r>
        </a:p>
      </dsp:txBody>
      <dsp:txXfrm>
        <a:off x="170224" y="35404"/>
        <a:ext cx="2249383" cy="1090756"/>
      </dsp:txXfrm>
    </dsp:sp>
    <dsp:sp modelId="{D4106BE4-FCDA-4DE9-A670-9FA262F0AE55}">
      <dsp:nvSpPr>
        <dsp:cNvPr id="0" name=""/>
        <dsp:cNvSpPr/>
      </dsp:nvSpPr>
      <dsp:spPr>
        <a:xfrm>
          <a:off x="368014" y="1160096"/>
          <a:ext cx="231725" cy="868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970"/>
              </a:lnTo>
              <a:lnTo>
                <a:pt x="231725" y="868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7DE41A-42E0-4D15-9FBC-EA422E5FC685}">
      <dsp:nvSpPr>
        <dsp:cNvPr id="0" name=""/>
        <dsp:cNvSpPr/>
      </dsp:nvSpPr>
      <dsp:spPr>
        <a:xfrm>
          <a:off x="599740" y="1449753"/>
          <a:ext cx="1853803" cy="11586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Меры по снижению риска I: разработка четкой и целенаправленной коммуникационной или информационной стратегии в тесном сотрудничестве с местными партнерами в каждой из стран-бенефициаров.</a:t>
          </a:r>
        </a:p>
      </dsp:txBody>
      <dsp:txXfrm>
        <a:off x="633675" y="1483688"/>
        <a:ext cx="1785933" cy="1090756"/>
      </dsp:txXfrm>
    </dsp:sp>
    <dsp:sp modelId="{77974E80-5C4E-4EF7-ACB5-FF69E5D4C8FD}">
      <dsp:nvSpPr>
        <dsp:cNvPr id="0" name=""/>
        <dsp:cNvSpPr/>
      </dsp:nvSpPr>
      <dsp:spPr>
        <a:xfrm>
          <a:off x="3032856" y="1469"/>
          <a:ext cx="2317253" cy="11586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Риск II: продолжающие действовать различные ограничения, связанные с COVID-19, в каждой из стран-бенефициаров, которые могут воспрепятствовать необходимому уровню взаимодействия, налаживанию контактов и запланированным мероприятиям в очном формате.</a:t>
          </a:r>
        </a:p>
      </dsp:txBody>
      <dsp:txXfrm>
        <a:off x="3066791" y="35404"/>
        <a:ext cx="2249383" cy="1090756"/>
      </dsp:txXfrm>
    </dsp:sp>
    <dsp:sp modelId="{6592B12A-F150-420A-A9CF-786884722008}">
      <dsp:nvSpPr>
        <dsp:cNvPr id="0" name=""/>
        <dsp:cNvSpPr/>
      </dsp:nvSpPr>
      <dsp:spPr>
        <a:xfrm>
          <a:off x="3264582" y="1160096"/>
          <a:ext cx="231725" cy="868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970"/>
              </a:lnTo>
              <a:lnTo>
                <a:pt x="231725" y="868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EEE05D-5FF4-4A32-8C02-B04206E0C9B5}">
      <dsp:nvSpPr>
        <dsp:cNvPr id="0" name=""/>
        <dsp:cNvSpPr/>
      </dsp:nvSpPr>
      <dsp:spPr>
        <a:xfrm>
          <a:off x="3496307" y="1449753"/>
          <a:ext cx="1853803" cy="11586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Меры по снижению риска II: обеспечение согласованной реализации проекта во всех трех странах-бенефициарах путем проведения мероприятий в виртуальном формате или в Женеве.</a:t>
          </a:r>
        </a:p>
      </dsp:txBody>
      <dsp:txXfrm>
        <a:off x="3530242" y="1483688"/>
        <a:ext cx="1785933" cy="1090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4E85-8554-4E27-B418-89EEFABC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Austin</dc:creator>
  <cp:keywords/>
  <dc:description/>
  <cp:lastModifiedBy>PANAKAL Joseph Lazar</cp:lastModifiedBy>
  <cp:revision>2</cp:revision>
  <cp:lastPrinted>2024-10-11T12:43:00Z</cp:lastPrinted>
  <dcterms:created xsi:type="dcterms:W3CDTF">2024-10-11T12:44:00Z</dcterms:created>
  <dcterms:modified xsi:type="dcterms:W3CDTF">2024-10-11T12:44:00Z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2024-09-20T12:23:37Z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cba9fa76-0c5f-439a-9f18-052b345324c3</vt:lpwstr>
  </property>
  <property fmtid="{D5CDD505-2E9C-101B-9397-08002B2CF9AE}" pid="8" name="MSIP_Label_20773ee6-353b-4fb9-a59d-0b94c8c67bea_ContentBits">
    <vt:lpwstr>0</vt:lpwstr>
  </property>
</Properties>
</file>