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A22EEE" w:rsidRPr="00A22EEE" w:rsidTr="00EB2C29">
        <w:trPr>
          <w:trHeight w:val="1977"/>
        </w:trPr>
        <w:tc>
          <w:tcPr>
            <w:tcW w:w="4594" w:type="dxa"/>
            <w:tcBorders>
              <w:bottom w:val="single" w:sz="4" w:space="0" w:color="auto"/>
            </w:tcBorders>
            <w:tcMar>
              <w:bottom w:w="170" w:type="dxa"/>
            </w:tcMar>
          </w:tcPr>
          <w:p w:rsidR="00A22EEE" w:rsidRPr="00A22EEE" w:rsidRDefault="00A22EEE" w:rsidP="00A22EEE">
            <w:pPr>
              <w:jc w:val="both"/>
              <w:rPr>
                <w:rFonts w:ascii="Arial" w:eastAsia="SimSun" w:hAnsi="Arial" w:cs="Arial"/>
                <w:sz w:val="22"/>
                <w:szCs w:val="20"/>
                <w:lang w:eastAsia="zh-CN"/>
              </w:rPr>
            </w:pPr>
            <w:bookmarkStart w:id="0" w:name="_GoBack"/>
            <w:bookmarkEnd w:id="0"/>
            <w:r w:rsidRPr="00A22EEE">
              <w:rPr>
                <w:rFonts w:ascii="Arial" w:eastAsia="SimSun" w:hAnsi="Arial" w:cs="Arial"/>
                <w:noProof/>
                <w:sz w:val="22"/>
                <w:szCs w:val="20"/>
              </w:rPr>
              <w:drawing>
                <wp:anchor distT="0" distB="0" distL="114300" distR="114300" simplePos="0" relativeHeight="251659264" behindDoc="1" locked="0" layoutInCell="0" allowOverlap="1" wp14:anchorId="586BB7A2" wp14:editId="377093F9">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2EEE" w:rsidRPr="00A22EEE" w:rsidRDefault="00A22EEE" w:rsidP="00A22EEE">
            <w:pPr>
              <w:rPr>
                <w:rFonts w:ascii="Arial" w:eastAsia="SimSun" w:hAnsi="Arial" w:cs="Arial"/>
                <w:sz w:val="22"/>
                <w:szCs w:val="20"/>
                <w:lang w:eastAsia="zh-CN"/>
              </w:rPr>
            </w:pPr>
          </w:p>
        </w:tc>
        <w:tc>
          <w:tcPr>
            <w:tcW w:w="425" w:type="dxa"/>
            <w:tcBorders>
              <w:bottom w:val="single" w:sz="4" w:space="0" w:color="auto"/>
            </w:tcBorders>
            <w:tcMar>
              <w:left w:w="0" w:type="dxa"/>
              <w:right w:w="0" w:type="dxa"/>
            </w:tcMar>
          </w:tcPr>
          <w:p w:rsidR="00A22EEE" w:rsidRPr="00A22EEE" w:rsidRDefault="00A22EEE" w:rsidP="00A22EEE">
            <w:pPr>
              <w:jc w:val="right"/>
              <w:rPr>
                <w:rFonts w:ascii="Arial" w:eastAsia="SimSun" w:hAnsi="Arial" w:cs="Arial"/>
                <w:sz w:val="22"/>
                <w:szCs w:val="20"/>
                <w:lang w:eastAsia="zh-CN"/>
              </w:rPr>
            </w:pPr>
            <w:r w:rsidRPr="00A22EEE">
              <w:rPr>
                <w:rFonts w:ascii="Arial" w:eastAsia="SimSun" w:hAnsi="Arial" w:cs="Arial"/>
                <w:b/>
                <w:sz w:val="40"/>
                <w:szCs w:val="40"/>
                <w:lang w:eastAsia="zh-CN"/>
              </w:rPr>
              <w:t>C</w:t>
            </w:r>
          </w:p>
        </w:tc>
      </w:tr>
      <w:tr w:rsidR="00A22EEE" w:rsidRPr="00A22EEE" w:rsidTr="00EB2C29">
        <w:trPr>
          <w:trHeight w:hRule="exact" w:val="340"/>
        </w:trPr>
        <w:tc>
          <w:tcPr>
            <w:tcW w:w="9356" w:type="dxa"/>
            <w:gridSpan w:val="3"/>
            <w:tcBorders>
              <w:top w:val="single" w:sz="4" w:space="0" w:color="auto"/>
            </w:tcBorders>
            <w:tcMar>
              <w:top w:w="170" w:type="dxa"/>
              <w:left w:w="0" w:type="dxa"/>
              <w:right w:w="0" w:type="dxa"/>
            </w:tcMar>
            <w:vAlign w:val="bottom"/>
          </w:tcPr>
          <w:p w:rsidR="00A22EEE" w:rsidRPr="00A22EEE" w:rsidRDefault="00A22EEE" w:rsidP="00A22EEE">
            <w:pPr>
              <w:jc w:val="right"/>
              <w:rPr>
                <w:rFonts w:ascii="Arial Black" w:eastAsia="SimSun" w:hAnsi="Arial Black" w:cs="Arial"/>
                <w:caps/>
                <w:sz w:val="15"/>
                <w:szCs w:val="20"/>
                <w:lang w:eastAsia="zh-CN"/>
              </w:rPr>
            </w:pPr>
            <w:r w:rsidRPr="00A22EEE">
              <w:rPr>
                <w:rFonts w:ascii="Arial Black" w:eastAsia="SimSun" w:hAnsi="Arial Black" w:cs="Arial"/>
                <w:caps/>
                <w:sz w:val="15"/>
                <w:szCs w:val="20"/>
                <w:lang w:eastAsia="zh-CN"/>
              </w:rPr>
              <w:t>CDIP/24/</w:t>
            </w:r>
            <w:bookmarkStart w:id="1" w:name="Code"/>
            <w:bookmarkEnd w:id="1"/>
            <w:r>
              <w:rPr>
                <w:rFonts w:ascii="Arial Black" w:eastAsia="SimSun" w:hAnsi="Arial Black" w:cs="Arial"/>
                <w:caps/>
                <w:sz w:val="15"/>
                <w:szCs w:val="20"/>
                <w:lang w:eastAsia="zh-CN"/>
              </w:rPr>
              <w:t>inf/</w:t>
            </w:r>
            <w:r w:rsidRPr="00A22EEE">
              <w:rPr>
                <w:rFonts w:ascii="Arial Black" w:eastAsia="SimSun" w:hAnsi="Arial Black" w:cs="Arial" w:hint="eastAsia"/>
                <w:caps/>
                <w:sz w:val="15"/>
                <w:szCs w:val="20"/>
                <w:lang w:eastAsia="zh-CN"/>
              </w:rPr>
              <w:t>5</w:t>
            </w:r>
          </w:p>
        </w:tc>
      </w:tr>
      <w:tr w:rsidR="00A22EEE" w:rsidRPr="00A22EEE" w:rsidTr="00EB2C29">
        <w:trPr>
          <w:trHeight w:hRule="exact" w:val="170"/>
        </w:trPr>
        <w:tc>
          <w:tcPr>
            <w:tcW w:w="9356" w:type="dxa"/>
            <w:gridSpan w:val="3"/>
            <w:noWrap/>
            <w:tcMar>
              <w:left w:w="0" w:type="dxa"/>
              <w:right w:w="0" w:type="dxa"/>
            </w:tcMar>
            <w:vAlign w:val="bottom"/>
          </w:tcPr>
          <w:p w:rsidR="00A22EEE" w:rsidRPr="00A22EEE" w:rsidRDefault="00A22EEE" w:rsidP="00A22EEE">
            <w:pPr>
              <w:jc w:val="right"/>
              <w:rPr>
                <w:rFonts w:ascii="Arial Black" w:eastAsia="SimSun" w:hAnsi="Arial Black" w:cs="Arial"/>
                <w:b/>
                <w:caps/>
                <w:sz w:val="15"/>
                <w:szCs w:val="15"/>
                <w:lang w:eastAsia="zh-CN"/>
              </w:rPr>
            </w:pPr>
            <w:r w:rsidRPr="00A22EEE">
              <w:rPr>
                <w:rFonts w:ascii="Arial" w:eastAsia="SimHei" w:hAnsi="Arial" w:cs="Arial" w:hint="eastAsia"/>
                <w:b/>
                <w:sz w:val="15"/>
                <w:szCs w:val="15"/>
                <w:lang w:eastAsia="zh-CN"/>
              </w:rPr>
              <w:t>原</w:t>
            </w:r>
            <w:r w:rsidRPr="00A22EEE">
              <w:rPr>
                <w:rFonts w:ascii="Arial" w:eastAsia="SimHei" w:hAnsi="Arial" w:cs="Arial"/>
                <w:b/>
                <w:sz w:val="15"/>
                <w:szCs w:val="15"/>
                <w:lang w:val="pt-BR" w:eastAsia="zh-CN"/>
              </w:rPr>
              <w:t xml:space="preserve"> </w:t>
            </w:r>
            <w:r w:rsidRPr="00A22EEE">
              <w:rPr>
                <w:rFonts w:ascii="Arial" w:eastAsia="SimHei" w:hAnsi="Arial" w:cs="Arial" w:hint="eastAsia"/>
                <w:b/>
                <w:sz w:val="15"/>
                <w:szCs w:val="15"/>
                <w:lang w:eastAsia="zh-CN"/>
              </w:rPr>
              <w:t>文</w:t>
            </w:r>
            <w:r w:rsidRPr="00A22EEE">
              <w:rPr>
                <w:rFonts w:ascii="Arial" w:eastAsia="SimHei" w:hAnsi="Arial" w:cs="Arial" w:hint="eastAsia"/>
                <w:b/>
                <w:sz w:val="15"/>
                <w:szCs w:val="15"/>
                <w:lang w:val="pt-BR" w:eastAsia="zh-CN"/>
              </w:rPr>
              <w:t>：</w:t>
            </w:r>
            <w:bookmarkStart w:id="2" w:name="Original"/>
            <w:bookmarkEnd w:id="2"/>
            <w:r w:rsidRPr="00A22EEE">
              <w:rPr>
                <w:rFonts w:ascii="Arial" w:eastAsia="SimHei" w:hAnsi="Arial" w:cs="Arial" w:hint="eastAsia"/>
                <w:b/>
                <w:sz w:val="15"/>
                <w:szCs w:val="15"/>
                <w:lang w:val="pt-BR" w:eastAsia="zh-CN"/>
              </w:rPr>
              <w:t>英</w:t>
            </w:r>
            <w:r w:rsidRPr="00A22EEE">
              <w:rPr>
                <w:rFonts w:ascii="Arial" w:eastAsia="SimHei" w:hAnsi="Arial" w:cs="Arial" w:hint="eastAsia"/>
                <w:b/>
                <w:sz w:val="15"/>
                <w:szCs w:val="15"/>
                <w:lang w:eastAsia="zh-CN"/>
              </w:rPr>
              <w:t>文</w:t>
            </w:r>
          </w:p>
        </w:tc>
      </w:tr>
      <w:tr w:rsidR="00A22EEE" w:rsidRPr="00A22EEE" w:rsidTr="00EB2C29">
        <w:trPr>
          <w:trHeight w:hRule="exact" w:val="198"/>
        </w:trPr>
        <w:tc>
          <w:tcPr>
            <w:tcW w:w="9356" w:type="dxa"/>
            <w:gridSpan w:val="3"/>
            <w:tcMar>
              <w:left w:w="0" w:type="dxa"/>
              <w:right w:w="0" w:type="dxa"/>
            </w:tcMar>
            <w:vAlign w:val="bottom"/>
          </w:tcPr>
          <w:p w:rsidR="00A22EEE" w:rsidRPr="00A22EEE" w:rsidRDefault="00A22EEE" w:rsidP="00A22EEE">
            <w:pPr>
              <w:jc w:val="right"/>
              <w:rPr>
                <w:rFonts w:ascii="STXihei" w:eastAsia="SimHei" w:hAnsi="Arial Black" w:cs="Arial"/>
                <w:b/>
                <w:caps/>
                <w:sz w:val="15"/>
                <w:szCs w:val="15"/>
                <w:lang w:eastAsia="zh-CN"/>
              </w:rPr>
            </w:pPr>
            <w:r w:rsidRPr="00A22EEE">
              <w:rPr>
                <w:rFonts w:ascii="STXihei" w:eastAsia="SimHei" w:hAnsi="Arial" w:cs="Arial" w:hint="eastAsia"/>
                <w:b/>
                <w:sz w:val="15"/>
                <w:szCs w:val="15"/>
                <w:lang w:eastAsia="zh-CN"/>
              </w:rPr>
              <w:t>日</w:t>
            </w:r>
            <w:r w:rsidRPr="00A22EEE">
              <w:rPr>
                <w:rFonts w:ascii="STXihei" w:eastAsia="SimHei" w:hAnsi="Arial" w:cs="Arial" w:hint="eastAsia"/>
                <w:b/>
                <w:sz w:val="15"/>
                <w:szCs w:val="15"/>
                <w:lang w:val="pt-BR" w:eastAsia="zh-CN"/>
              </w:rPr>
              <w:t xml:space="preserve"> </w:t>
            </w:r>
            <w:r w:rsidRPr="00A22EEE">
              <w:rPr>
                <w:rFonts w:ascii="STXihei" w:eastAsia="SimHei" w:hAnsi="Arial" w:cs="Arial" w:hint="eastAsia"/>
                <w:b/>
                <w:sz w:val="15"/>
                <w:szCs w:val="15"/>
                <w:lang w:eastAsia="zh-CN"/>
              </w:rPr>
              <w:t>期</w:t>
            </w:r>
            <w:r w:rsidRPr="00A22EEE">
              <w:rPr>
                <w:rFonts w:ascii="STXihei" w:eastAsia="SimHei" w:hAnsi="SimSun" w:cs="Arial" w:hint="eastAsia"/>
                <w:b/>
                <w:sz w:val="15"/>
                <w:szCs w:val="15"/>
                <w:lang w:val="pt-BR" w:eastAsia="zh-CN"/>
              </w:rPr>
              <w:t>：</w:t>
            </w:r>
            <w:bookmarkStart w:id="3" w:name="Date"/>
            <w:bookmarkEnd w:id="3"/>
            <w:r w:rsidRPr="00A22EEE">
              <w:rPr>
                <w:rFonts w:ascii="Arial Black" w:eastAsia="SimHei" w:hAnsi="Arial Black" w:cs="Arial"/>
                <w:b/>
                <w:sz w:val="15"/>
                <w:szCs w:val="15"/>
                <w:lang w:val="pt-BR" w:eastAsia="zh-CN"/>
              </w:rPr>
              <w:t>201</w:t>
            </w:r>
            <w:r w:rsidRPr="00A22EEE">
              <w:rPr>
                <w:rFonts w:ascii="Arial Black" w:eastAsia="SimHei" w:hAnsi="Arial Black" w:cs="Arial" w:hint="eastAsia"/>
                <w:b/>
                <w:sz w:val="15"/>
                <w:szCs w:val="15"/>
                <w:lang w:val="pt-BR" w:eastAsia="zh-CN"/>
              </w:rPr>
              <w:t>9</w:t>
            </w:r>
            <w:r w:rsidRPr="00A22EEE">
              <w:rPr>
                <w:rFonts w:ascii="STXihei" w:eastAsia="SimHei" w:hAnsi="Times New Roman" w:cs="Arial" w:hint="eastAsia"/>
                <w:b/>
                <w:sz w:val="15"/>
                <w:szCs w:val="15"/>
                <w:lang w:eastAsia="zh-CN"/>
              </w:rPr>
              <w:t>年</w:t>
            </w:r>
            <w:r w:rsidRPr="00A22EEE">
              <w:rPr>
                <w:rFonts w:ascii="Arial Black" w:eastAsia="SimHei" w:hAnsi="Arial Black" w:cs="Arial" w:hint="eastAsia"/>
                <w:b/>
                <w:sz w:val="15"/>
                <w:szCs w:val="15"/>
                <w:lang w:val="pt-BR" w:eastAsia="zh-CN"/>
              </w:rPr>
              <w:t>10</w:t>
            </w:r>
            <w:r w:rsidRPr="00A22EEE">
              <w:rPr>
                <w:rFonts w:ascii="STXihei" w:eastAsia="SimHei" w:hAnsi="Times New Roman" w:cs="Arial" w:hint="eastAsia"/>
                <w:b/>
                <w:sz w:val="15"/>
                <w:szCs w:val="15"/>
                <w:lang w:eastAsia="zh-CN"/>
              </w:rPr>
              <w:t>月</w:t>
            </w:r>
            <w:r>
              <w:rPr>
                <w:rFonts w:ascii="Arial Black" w:eastAsia="SimHei" w:hAnsi="Arial Black" w:cs="Arial"/>
                <w:b/>
                <w:sz w:val="15"/>
                <w:szCs w:val="15"/>
                <w:lang w:eastAsia="zh-CN"/>
              </w:rPr>
              <w:t>21</w:t>
            </w:r>
            <w:r w:rsidRPr="00A22EEE">
              <w:rPr>
                <w:rFonts w:ascii="STXihei" w:eastAsia="SimHei" w:hAnsi="Times New Roman" w:cs="Arial" w:hint="eastAsia"/>
                <w:b/>
                <w:sz w:val="15"/>
                <w:szCs w:val="15"/>
                <w:lang w:eastAsia="zh-CN"/>
              </w:rPr>
              <w:t>日</w:t>
            </w:r>
            <w:r w:rsidRPr="00A22EEE">
              <w:rPr>
                <w:rFonts w:ascii="STXihei" w:eastAsia="SimHei" w:hAnsi="Arial Black" w:cs="Arial" w:hint="eastAsia"/>
                <w:b/>
                <w:caps/>
                <w:sz w:val="15"/>
                <w:szCs w:val="15"/>
                <w:lang w:eastAsia="zh-CN"/>
              </w:rPr>
              <w:t xml:space="preserve">  </w:t>
            </w:r>
          </w:p>
        </w:tc>
      </w:tr>
    </w:tbl>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SimHei" w:eastAsia="SimHei" w:hAnsi="SimHei" w:cs="Arial"/>
          <w:sz w:val="28"/>
          <w:szCs w:val="28"/>
          <w:lang w:eastAsia="zh-CN"/>
        </w:rPr>
      </w:pPr>
      <w:r w:rsidRPr="00A22EEE">
        <w:rPr>
          <w:rFonts w:ascii="SimHei" w:eastAsia="SimHei" w:hAnsi="SimHei" w:cs="Arial" w:hint="eastAsia"/>
          <w:sz w:val="28"/>
          <w:szCs w:val="28"/>
          <w:lang w:eastAsia="zh-CN"/>
        </w:rPr>
        <w:t>发展与知识产权委员会（CDIP）</w:t>
      </w: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A22EEE" w:rsidRPr="00A22EEE" w:rsidRDefault="00A22EEE" w:rsidP="00A22EEE">
      <w:pPr>
        <w:textAlignment w:val="bottom"/>
        <w:rPr>
          <w:rFonts w:ascii="KaiTi" w:eastAsia="KaiTi" w:hAnsi="KaiTi" w:cs="Arial"/>
          <w:b/>
          <w:lang w:eastAsia="zh-CN"/>
        </w:rPr>
      </w:pPr>
      <w:r w:rsidRPr="00A22EEE">
        <w:rPr>
          <w:rFonts w:ascii="KaiTi" w:eastAsia="KaiTi" w:hAnsi="KaiTi" w:cs="Arial" w:hint="eastAsia"/>
          <w:b/>
          <w:lang w:eastAsia="zh-CN"/>
        </w:rPr>
        <w:t>第二十四届会议</w:t>
      </w:r>
    </w:p>
    <w:p w:rsidR="00A22EEE" w:rsidRPr="00A22EEE" w:rsidRDefault="00A22EEE" w:rsidP="00A22EEE">
      <w:pPr>
        <w:textAlignment w:val="bottom"/>
        <w:rPr>
          <w:rFonts w:ascii="KaiTi" w:eastAsia="KaiTi" w:hAnsi="KaiTi" w:cs="Arial"/>
          <w:b/>
          <w:lang w:eastAsia="zh-CN"/>
        </w:rPr>
      </w:pPr>
      <w:r w:rsidRPr="00A22EEE">
        <w:rPr>
          <w:rFonts w:ascii="KaiTi" w:eastAsia="KaiTi" w:hAnsi="KaiTi" w:cs="Arial" w:hint="eastAsia"/>
          <w:lang w:eastAsia="zh-CN"/>
        </w:rPr>
        <w:t>2019</w:t>
      </w:r>
      <w:r w:rsidRPr="00A22EEE">
        <w:rPr>
          <w:rFonts w:ascii="KaiTi" w:eastAsia="KaiTi" w:hAnsi="KaiTi" w:cs="Arial" w:hint="eastAsia"/>
          <w:b/>
          <w:lang w:eastAsia="zh-CN"/>
        </w:rPr>
        <w:t>年</w:t>
      </w:r>
      <w:r w:rsidRPr="00A22EEE">
        <w:rPr>
          <w:rFonts w:ascii="KaiTi" w:eastAsia="KaiTi" w:hAnsi="KaiTi" w:cs="Arial" w:hint="eastAsia"/>
          <w:lang w:eastAsia="zh-CN"/>
        </w:rPr>
        <w:t>11</w:t>
      </w:r>
      <w:r w:rsidRPr="00A22EEE">
        <w:rPr>
          <w:rFonts w:ascii="KaiTi" w:eastAsia="KaiTi" w:hAnsi="KaiTi" w:cs="Arial" w:hint="eastAsia"/>
          <w:b/>
          <w:lang w:eastAsia="zh-CN"/>
        </w:rPr>
        <w:t>月</w:t>
      </w:r>
      <w:r w:rsidRPr="00A22EEE">
        <w:rPr>
          <w:rFonts w:ascii="KaiTi" w:eastAsia="KaiTi" w:hAnsi="KaiTi" w:cs="Arial" w:hint="eastAsia"/>
          <w:lang w:eastAsia="zh-CN"/>
        </w:rPr>
        <w:t>18</w:t>
      </w:r>
      <w:r w:rsidRPr="00A22EEE">
        <w:rPr>
          <w:rFonts w:ascii="KaiTi" w:eastAsia="KaiTi" w:hAnsi="KaiTi" w:cs="Arial" w:hint="eastAsia"/>
          <w:b/>
          <w:lang w:eastAsia="zh-CN"/>
        </w:rPr>
        <w:t>日至</w:t>
      </w:r>
      <w:r w:rsidRPr="00A22EEE">
        <w:rPr>
          <w:rFonts w:ascii="KaiTi" w:eastAsia="KaiTi" w:hAnsi="KaiTi" w:cs="Arial" w:hint="eastAsia"/>
          <w:lang w:eastAsia="zh-CN"/>
        </w:rPr>
        <w:t>22</w:t>
      </w:r>
      <w:r w:rsidRPr="00A22EEE">
        <w:rPr>
          <w:rFonts w:ascii="KaiTi" w:eastAsia="KaiTi" w:hAnsi="KaiTi" w:cs="Arial" w:hint="eastAsia"/>
          <w:b/>
          <w:lang w:eastAsia="zh-CN"/>
        </w:rPr>
        <w:t>日，日内瓦</w:t>
      </w: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KaiTi" w:eastAsia="KaiTi" w:hAnsi="KaiTi" w:cs="Times New Roman"/>
          <w:kern w:val="2"/>
          <w:szCs w:val="32"/>
          <w:lang w:eastAsia="zh-CN"/>
        </w:rPr>
      </w:pPr>
      <w:bookmarkStart w:id="4" w:name="TitleOfDoc"/>
      <w:bookmarkEnd w:id="4"/>
      <w:r w:rsidRPr="00A22EEE">
        <w:rPr>
          <w:rFonts w:ascii="KaiTi" w:eastAsia="KaiTi" w:hAnsi="KaiTi" w:cs="Times New Roman" w:hint="eastAsia"/>
          <w:kern w:val="2"/>
          <w:szCs w:val="32"/>
          <w:lang w:eastAsia="zh-CN"/>
        </w:rPr>
        <w:t>关于在肯尼亚、特立尼达和多巴哥以及菲律宾等三个受益国</w:t>
      </w:r>
      <w:r>
        <w:rPr>
          <w:rFonts w:ascii="KaiTi" w:eastAsia="KaiTi" w:hAnsi="KaiTi" w:cs="Times New Roman"/>
          <w:kern w:val="2"/>
          <w:szCs w:val="32"/>
          <w:lang w:eastAsia="zh-CN"/>
        </w:rPr>
        <w:br/>
      </w:r>
      <w:r w:rsidRPr="00A22EEE">
        <w:rPr>
          <w:rFonts w:ascii="KaiTi" w:eastAsia="KaiTi" w:hAnsi="KaiTi" w:cs="Times New Roman" w:hint="eastAsia"/>
          <w:kern w:val="2"/>
          <w:szCs w:val="32"/>
          <w:lang w:eastAsia="zh-CN"/>
        </w:rPr>
        <w:t>提供和运用知识产权工具保护移动应用的范围界定研究摘要</w:t>
      </w: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KaiTi" w:eastAsia="KaiTi" w:hAnsi="KaiTi" w:cs="Times New Roman"/>
          <w:kern w:val="2"/>
          <w:sz w:val="21"/>
          <w:lang w:eastAsia="zh-CN"/>
        </w:rPr>
      </w:pPr>
      <w:bookmarkStart w:id="5" w:name="Prepared"/>
      <w:bookmarkEnd w:id="5"/>
      <w:r w:rsidRPr="00A22EEE">
        <w:rPr>
          <w:rFonts w:ascii="KaiTi" w:eastAsia="KaiTi" w:hAnsi="KaiTi" w:cs="Times New Roman" w:hint="eastAsia"/>
          <w:kern w:val="2"/>
          <w:sz w:val="21"/>
          <w:lang w:eastAsia="zh-CN"/>
        </w:rPr>
        <w:t>秘书处编拟</w:t>
      </w: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A22EEE" w:rsidRPr="00A22EEE" w:rsidRDefault="00A22EEE" w:rsidP="00A22EEE">
      <w:pPr>
        <w:rPr>
          <w:rFonts w:ascii="Arial" w:eastAsia="SimSun" w:hAnsi="Arial" w:cs="Arial"/>
          <w:sz w:val="22"/>
          <w:szCs w:val="20"/>
          <w:lang w:eastAsia="zh-CN"/>
        </w:rPr>
      </w:pPr>
    </w:p>
    <w:p w:rsidR="00981DD8" w:rsidRPr="00A33D3A" w:rsidRDefault="00981DD8" w:rsidP="00A22EEE">
      <w:pPr>
        <w:pStyle w:val="ListParagraph"/>
        <w:numPr>
          <w:ilvl w:val="0"/>
          <w:numId w:val="10"/>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A52E31">
        <w:rPr>
          <w:rFonts w:ascii="SimSun" w:eastAsia="SimSun" w:hAnsi="SimSun" w:cs="Arial" w:hint="eastAsia"/>
          <w:sz w:val="21"/>
          <w:szCs w:val="22"/>
          <w:lang w:eastAsia="zh-CN"/>
        </w:rPr>
        <w:t>本文件附件中载有一份</w:t>
      </w:r>
      <w:r w:rsidR="00F1549A" w:rsidRPr="00A52E31">
        <w:rPr>
          <w:rFonts w:ascii="SimSun" w:eastAsia="SimSun" w:hAnsi="SimSun" w:cs="Arial" w:hint="eastAsia"/>
          <w:sz w:val="21"/>
          <w:szCs w:val="22"/>
          <w:lang w:eastAsia="zh-CN"/>
        </w:rPr>
        <w:t>关于</w:t>
      </w:r>
      <w:r w:rsidRPr="00A52E31">
        <w:rPr>
          <w:rFonts w:ascii="SimSun" w:eastAsia="SimSun" w:hAnsi="SimSun" w:cs="Arial" w:hint="eastAsia"/>
          <w:sz w:val="21"/>
          <w:szCs w:val="22"/>
          <w:lang w:eastAsia="zh-CN"/>
        </w:rPr>
        <w:t>在肯尼亚、特立尼达和多巴哥以及菲律宾等三个受益国</w:t>
      </w:r>
      <w:r w:rsidR="00F1549A" w:rsidRPr="00A52E31">
        <w:rPr>
          <w:rFonts w:ascii="SimSun" w:eastAsia="SimSun" w:hAnsi="SimSun" w:cs="Arial" w:hint="eastAsia"/>
          <w:sz w:val="21"/>
          <w:szCs w:val="22"/>
          <w:lang w:eastAsia="zh-CN"/>
        </w:rPr>
        <w:t>提供和运用知识产权工具</w:t>
      </w:r>
      <w:r w:rsidRPr="00A52E31">
        <w:rPr>
          <w:rFonts w:ascii="SimSun" w:eastAsia="SimSun" w:hAnsi="SimSun" w:cs="Arial" w:hint="eastAsia"/>
          <w:sz w:val="21"/>
          <w:szCs w:val="22"/>
          <w:lang w:eastAsia="zh-CN"/>
        </w:rPr>
        <w:t>保护移动应用</w:t>
      </w:r>
      <w:r w:rsidR="006B4AD1" w:rsidRPr="00A52E31">
        <w:rPr>
          <w:rFonts w:ascii="SimSun" w:eastAsia="SimSun" w:hAnsi="SimSun" w:cs="Arial" w:hint="eastAsia"/>
          <w:sz w:val="21"/>
          <w:szCs w:val="22"/>
          <w:lang w:eastAsia="zh-CN"/>
        </w:rPr>
        <w:t>的</w:t>
      </w:r>
      <w:r w:rsidRPr="00A52E31">
        <w:rPr>
          <w:rFonts w:ascii="SimSun" w:eastAsia="SimSun" w:hAnsi="SimSun" w:cs="Arial" w:hint="eastAsia"/>
          <w:sz w:val="21"/>
          <w:szCs w:val="22"/>
          <w:lang w:eastAsia="zh-CN"/>
        </w:rPr>
        <w:t>范围界定研究摘要，</w:t>
      </w:r>
      <w:r w:rsidR="006B0800" w:rsidRPr="00A52E31">
        <w:rPr>
          <w:rFonts w:ascii="SimSun" w:eastAsia="SimSun" w:hAnsi="SimSun" w:cs="Arial" w:hint="eastAsia"/>
          <w:sz w:val="21"/>
          <w:szCs w:val="22"/>
          <w:lang w:eastAsia="zh-CN"/>
        </w:rPr>
        <w:t>该研究</w:t>
      </w:r>
      <w:r w:rsidR="006B4AD1" w:rsidRPr="00A52E31">
        <w:rPr>
          <w:rFonts w:ascii="SimSun" w:eastAsia="SimSun" w:hAnsi="SimSun" w:cs="Arial" w:hint="eastAsia"/>
          <w:sz w:val="21"/>
          <w:szCs w:val="22"/>
          <w:lang w:eastAsia="zh-CN"/>
        </w:rPr>
        <w:t>系</w:t>
      </w:r>
      <w:r w:rsidRPr="00A52E31">
        <w:rPr>
          <w:rFonts w:ascii="SimSun" w:eastAsia="SimSun" w:hAnsi="SimSun" w:cs="Arial" w:hint="eastAsia"/>
          <w:sz w:val="21"/>
          <w:szCs w:val="22"/>
          <w:lang w:eastAsia="zh-CN"/>
        </w:rPr>
        <w:t>在</w:t>
      </w:r>
      <w:r w:rsidR="00010A7C">
        <w:rPr>
          <w:rFonts w:ascii="SimSun" w:eastAsia="SimSun" w:hAnsi="SimSun" w:cs="Arial" w:hint="eastAsia"/>
          <w:sz w:val="21"/>
          <w:szCs w:val="22"/>
          <w:lang w:eastAsia="zh-CN"/>
        </w:rPr>
        <w:t>“</w:t>
      </w:r>
      <w:r w:rsidRPr="00A52E31">
        <w:rPr>
          <w:rFonts w:ascii="SimSun" w:eastAsia="SimSun" w:hAnsi="SimSun" w:cs="Arial" w:hint="eastAsia"/>
          <w:sz w:val="21"/>
          <w:szCs w:val="22"/>
          <w:lang w:eastAsia="zh-CN"/>
        </w:rPr>
        <w:t>加强软件部门运用知识产权</w:t>
      </w:r>
      <w:r w:rsidR="00A33D3A" w:rsidRPr="00A52E31">
        <w:rPr>
          <w:rFonts w:ascii="SimSun" w:eastAsia="SimSun" w:hAnsi="SimSun" w:cs="Arial" w:hint="eastAsia"/>
          <w:sz w:val="21"/>
          <w:szCs w:val="22"/>
          <w:lang w:eastAsia="zh-CN"/>
        </w:rPr>
        <w:t>项目</w:t>
      </w:r>
      <w:r w:rsidR="00010A7C">
        <w:rPr>
          <w:rFonts w:ascii="SimSun" w:eastAsia="SimSun" w:hAnsi="SimSun" w:cs="Arial" w:hint="eastAsia"/>
          <w:sz w:val="21"/>
          <w:szCs w:val="22"/>
          <w:lang w:eastAsia="zh-CN"/>
        </w:rPr>
        <w:t>”</w:t>
      </w:r>
      <w:r w:rsidRPr="00A52E31">
        <w:rPr>
          <w:rFonts w:ascii="SimSun" w:eastAsia="SimSun" w:hAnsi="SimSun" w:cs="Arial" w:hint="eastAsia"/>
          <w:sz w:val="21"/>
          <w:szCs w:val="22"/>
          <w:lang w:eastAsia="zh-CN"/>
        </w:rPr>
        <w:t>（</w:t>
      </w:r>
      <w:r w:rsidRPr="00A52E31">
        <w:rPr>
          <w:rFonts w:ascii="SimSun" w:eastAsia="SimSun" w:hAnsi="SimSun" w:cs="Arial"/>
          <w:sz w:val="21"/>
          <w:szCs w:val="22"/>
          <w:lang w:eastAsia="zh-CN"/>
        </w:rPr>
        <w:t>CDIP/22/8</w:t>
      </w:r>
      <w:r w:rsidRPr="00A52E31">
        <w:rPr>
          <w:rFonts w:ascii="SimSun" w:eastAsia="SimSun" w:hAnsi="SimSun" w:cs="Arial" w:hint="eastAsia"/>
          <w:sz w:val="21"/>
          <w:szCs w:val="22"/>
          <w:lang w:eastAsia="zh-CN"/>
        </w:rPr>
        <w:t>）</w:t>
      </w:r>
      <w:r w:rsidR="006B0800" w:rsidRPr="00A52E31">
        <w:rPr>
          <w:rFonts w:ascii="SimSun" w:eastAsia="SimSun" w:hAnsi="SimSun" w:cs="Arial" w:hint="eastAsia"/>
          <w:sz w:val="21"/>
          <w:szCs w:val="22"/>
          <w:lang w:eastAsia="zh-CN"/>
        </w:rPr>
        <w:t>的背景下</w:t>
      </w:r>
      <w:r w:rsidR="00A52E31">
        <w:rPr>
          <w:rFonts w:ascii="SimSun" w:eastAsia="SimSun" w:hAnsi="SimSun" w:cs="Arial" w:hint="eastAsia"/>
          <w:sz w:val="21"/>
          <w:szCs w:val="22"/>
          <w:lang w:eastAsia="zh-CN"/>
        </w:rPr>
        <w:t>开展</w:t>
      </w:r>
      <w:r w:rsidRPr="00A52E31">
        <w:rPr>
          <w:rFonts w:ascii="SimSun" w:eastAsia="SimSun" w:hAnsi="SimSun" w:cs="Arial" w:hint="eastAsia"/>
          <w:sz w:val="21"/>
          <w:szCs w:val="22"/>
          <w:lang w:eastAsia="zh-CN"/>
        </w:rPr>
        <w:t>。</w:t>
      </w:r>
      <w:r w:rsidRPr="00A33D3A">
        <w:rPr>
          <w:rFonts w:ascii="SimSun" w:eastAsia="SimSun" w:hAnsi="SimSun" w:cs="Arial" w:hint="eastAsia"/>
          <w:sz w:val="21"/>
          <w:szCs w:val="22"/>
          <w:lang w:eastAsia="zh-CN"/>
        </w:rPr>
        <w:t>本研究报告由伦敦大学玛丽女王学院商法研究中心副主任</w:t>
      </w:r>
      <w:r w:rsidR="00010A7C" w:rsidRPr="00A33D3A">
        <w:rPr>
          <w:rFonts w:ascii="SimSun" w:eastAsia="SimSun" w:hAnsi="SimSun" w:cs="Arial"/>
          <w:sz w:val="21"/>
          <w:szCs w:val="22"/>
          <w:lang w:eastAsia="zh-CN"/>
        </w:rPr>
        <w:t>Noam Shemtov</w:t>
      </w:r>
      <w:r w:rsidR="006B0800" w:rsidRPr="00A33D3A">
        <w:rPr>
          <w:rFonts w:ascii="SimSun" w:eastAsia="SimSun" w:hAnsi="SimSun" w:cs="Arial" w:hint="eastAsia"/>
          <w:sz w:val="21"/>
          <w:szCs w:val="22"/>
          <w:lang w:eastAsia="zh-CN"/>
        </w:rPr>
        <w:t>先生编制</w:t>
      </w:r>
      <w:r w:rsidRPr="00A33D3A">
        <w:rPr>
          <w:rFonts w:ascii="SimSun" w:eastAsia="SimSun" w:hAnsi="SimSun" w:cs="Arial" w:hint="eastAsia"/>
          <w:sz w:val="21"/>
          <w:szCs w:val="22"/>
          <w:lang w:eastAsia="zh-CN"/>
        </w:rPr>
        <w:t>。范围界定研究报告</w:t>
      </w:r>
      <w:r w:rsidR="006B0800" w:rsidRPr="00A33D3A">
        <w:rPr>
          <w:rFonts w:ascii="SimSun" w:eastAsia="SimSun" w:hAnsi="SimSun" w:cs="Arial" w:hint="eastAsia"/>
          <w:sz w:val="21"/>
          <w:szCs w:val="22"/>
          <w:lang w:eastAsia="zh-CN"/>
        </w:rPr>
        <w:t>全文</w:t>
      </w:r>
      <w:r w:rsidRPr="00A33D3A">
        <w:rPr>
          <w:rFonts w:ascii="SimSun" w:eastAsia="SimSun" w:hAnsi="SimSun" w:cs="Arial" w:hint="eastAsia"/>
          <w:sz w:val="21"/>
          <w:szCs w:val="22"/>
          <w:lang w:eastAsia="zh-CN"/>
        </w:rPr>
        <w:t>和同行审评可见：</w:t>
      </w:r>
      <w:hyperlink r:id="rId9" w:history="1">
        <w:r w:rsidR="00A33D3A" w:rsidRPr="009E03B4">
          <w:rPr>
            <w:rStyle w:val="Hyperlink"/>
            <w:rFonts w:ascii="SimSun" w:eastAsia="SimSun" w:hAnsi="SimSun"/>
            <w:sz w:val="21"/>
            <w:lang w:eastAsia="zh-CN"/>
          </w:rPr>
          <w:t>https://www.wipo.int/ip-development/zh/</w:t>
        </w:r>
        <w:r w:rsidR="00A22EEE" w:rsidRPr="00A22EEE">
          <w:rPr>
            <w:rStyle w:val="Hyperlink"/>
            <w:rFonts w:ascii="MS Mincho" w:eastAsia="MS Mincho" w:hAnsi="MS Mincho" w:cs="MS Mincho" w:hint="eastAsia"/>
            <w:sz w:val="21"/>
            <w:lang w:eastAsia="zh-CN"/>
          </w:rPr>
          <w:t>‌</w:t>
        </w:r>
        <w:r w:rsidR="00A33D3A" w:rsidRPr="009E03B4">
          <w:rPr>
            <w:rStyle w:val="Hyperlink"/>
            <w:rFonts w:ascii="SimSun" w:eastAsia="SimSun" w:hAnsi="SimSun"/>
            <w:sz w:val="21"/>
            <w:lang w:eastAsia="zh-CN"/>
          </w:rPr>
          <w:t>agenda/work_undertaken.html</w:t>
        </w:r>
      </w:hyperlink>
      <w:r w:rsidR="006B0800" w:rsidRPr="00A33D3A">
        <w:rPr>
          <w:rFonts w:ascii="SimSun" w:eastAsia="SimSun" w:hAnsi="SimSun" w:cs="Arial" w:hint="eastAsia"/>
          <w:sz w:val="21"/>
          <w:szCs w:val="22"/>
          <w:lang w:eastAsia="zh-CN"/>
        </w:rPr>
        <w:t>。</w:t>
      </w:r>
    </w:p>
    <w:p w:rsidR="00981DD8" w:rsidRPr="002E2855" w:rsidRDefault="008C3E9C" w:rsidP="002E2855">
      <w:pPr>
        <w:overflowPunct w:val="0"/>
        <w:spacing w:afterLines="50" w:after="120" w:line="340" w:lineRule="atLeast"/>
        <w:ind w:left="5534"/>
        <w:jc w:val="both"/>
        <w:rPr>
          <w:rFonts w:ascii="KaiTi" w:eastAsia="KaiTi" w:hAnsi="KaiTi" w:cs="Arial"/>
          <w:sz w:val="21"/>
          <w:szCs w:val="20"/>
          <w:lang w:eastAsia="zh-CN"/>
        </w:rPr>
      </w:pPr>
      <w:r w:rsidRPr="002E2855">
        <w:rPr>
          <w:rFonts w:ascii="KaiTi" w:eastAsia="KaiTi" w:hAnsi="KaiTi" w:cs="Arial"/>
          <w:sz w:val="21"/>
          <w:szCs w:val="20"/>
          <w:lang w:eastAsia="zh-CN"/>
        </w:rPr>
        <w:t>2.</w:t>
      </w:r>
      <w:r w:rsidRPr="002E2855">
        <w:rPr>
          <w:rFonts w:ascii="KaiTi" w:eastAsia="KaiTi" w:hAnsi="KaiTi" w:cs="Arial"/>
          <w:sz w:val="21"/>
          <w:szCs w:val="20"/>
          <w:lang w:eastAsia="zh-CN"/>
        </w:rPr>
        <w:tab/>
      </w:r>
      <w:r w:rsidR="006B0800" w:rsidRPr="002E2855">
        <w:rPr>
          <w:rFonts w:ascii="KaiTi" w:eastAsia="KaiTi" w:hAnsi="KaiTi" w:cs="Arial" w:hint="eastAsia"/>
          <w:sz w:val="21"/>
          <w:szCs w:val="20"/>
          <w:lang w:eastAsia="zh-CN"/>
        </w:rPr>
        <w:t>请C</w:t>
      </w:r>
      <w:r w:rsidR="006B0800" w:rsidRPr="002E2855">
        <w:rPr>
          <w:rFonts w:ascii="KaiTi" w:eastAsia="KaiTi" w:hAnsi="KaiTi" w:cs="Arial"/>
          <w:sz w:val="21"/>
          <w:szCs w:val="20"/>
          <w:lang w:eastAsia="zh-CN"/>
        </w:rPr>
        <w:t>DIP</w:t>
      </w:r>
      <w:r w:rsidR="006B0800" w:rsidRPr="002E2855">
        <w:rPr>
          <w:rFonts w:ascii="KaiTi" w:eastAsia="KaiTi" w:hAnsi="KaiTi" w:cs="Arial" w:hint="eastAsia"/>
          <w:sz w:val="21"/>
          <w:szCs w:val="20"/>
          <w:lang w:eastAsia="zh-CN"/>
        </w:rPr>
        <w:t>注意本文件附件中所载的信息。</w:t>
      </w:r>
    </w:p>
    <w:p w:rsidR="00981DD8" w:rsidRPr="002E2855" w:rsidRDefault="00981DD8" w:rsidP="002E2855">
      <w:pPr>
        <w:overflowPunct w:val="0"/>
        <w:spacing w:afterLines="50" w:after="120" w:line="340" w:lineRule="atLeast"/>
        <w:ind w:left="5534"/>
        <w:jc w:val="both"/>
        <w:rPr>
          <w:rFonts w:ascii="KaiTi" w:eastAsia="KaiTi" w:hAnsi="KaiTi" w:cs="Arial"/>
          <w:sz w:val="21"/>
          <w:szCs w:val="22"/>
          <w:lang w:eastAsia="zh-CN"/>
        </w:rPr>
      </w:pPr>
    </w:p>
    <w:p w:rsidR="008C3E9C" w:rsidRPr="002E2855" w:rsidRDefault="008C3E9C" w:rsidP="002E2855">
      <w:pPr>
        <w:overflowPunct w:val="0"/>
        <w:spacing w:afterLines="50" w:after="120" w:line="340" w:lineRule="atLeast"/>
        <w:ind w:left="5534"/>
        <w:jc w:val="both"/>
        <w:rPr>
          <w:rFonts w:ascii="KaiTi" w:eastAsia="KaiTi" w:hAnsi="KaiTi" w:cs="Arial"/>
          <w:sz w:val="21"/>
          <w:szCs w:val="22"/>
          <w:lang w:eastAsia="zh-CN"/>
        </w:rPr>
        <w:sectPr w:rsidR="008C3E9C" w:rsidRPr="002E2855" w:rsidSect="003C710A">
          <w:headerReference w:type="even" r:id="rId10"/>
          <w:headerReference w:type="default" r:id="rId11"/>
          <w:footerReference w:type="even" r:id="rId12"/>
          <w:footerReference w:type="default" r:id="rId13"/>
          <w:endnotePr>
            <w:numFmt w:val="decimal"/>
          </w:endnotePr>
          <w:pgSz w:w="11907" w:h="16840" w:code="9"/>
          <w:pgMar w:top="567" w:right="1134" w:bottom="1418" w:left="1418" w:header="510" w:footer="1021" w:gutter="0"/>
          <w:cols w:space="720"/>
          <w:titlePg/>
          <w:docGrid w:linePitch="326"/>
        </w:sectPr>
      </w:pPr>
      <w:r w:rsidRPr="002E2855">
        <w:rPr>
          <w:rFonts w:ascii="KaiTi" w:eastAsia="KaiTi" w:hAnsi="KaiTi" w:cs="Arial"/>
          <w:sz w:val="21"/>
          <w:szCs w:val="22"/>
          <w:lang w:eastAsia="zh-CN"/>
        </w:rPr>
        <w:t>[</w:t>
      </w:r>
      <w:r w:rsidR="006B0800" w:rsidRPr="002E2855">
        <w:rPr>
          <w:rFonts w:ascii="KaiTi" w:eastAsia="KaiTi" w:hAnsi="KaiTi" w:cs="Arial" w:hint="eastAsia"/>
          <w:sz w:val="21"/>
          <w:szCs w:val="22"/>
          <w:lang w:eastAsia="zh-CN"/>
        </w:rPr>
        <w:t>后接附件</w:t>
      </w:r>
      <w:r w:rsidRPr="002E2855">
        <w:rPr>
          <w:rFonts w:ascii="KaiTi" w:eastAsia="KaiTi" w:hAnsi="KaiTi" w:cs="Arial"/>
          <w:sz w:val="21"/>
          <w:szCs w:val="22"/>
          <w:lang w:eastAsia="zh-CN"/>
        </w:rPr>
        <w:t>]</w:t>
      </w:r>
    </w:p>
    <w:p w:rsidR="00981DD8" w:rsidRPr="007312D5" w:rsidRDefault="00981DD8" w:rsidP="00A22EEE">
      <w:pPr>
        <w:spacing w:beforeLines="100" w:before="240" w:afterLines="100" w:after="240" w:line="340" w:lineRule="exact"/>
        <w:rPr>
          <w:rFonts w:ascii="SimSun" w:eastAsia="SimSun" w:hAnsi="SimSun" w:cs="Arial"/>
          <w:b/>
          <w:sz w:val="21"/>
          <w:szCs w:val="21"/>
          <w:u w:val="single"/>
          <w:lang w:eastAsia="zh-CN"/>
        </w:rPr>
      </w:pPr>
      <w:r w:rsidRPr="007312D5">
        <w:rPr>
          <w:rFonts w:ascii="SimSun" w:eastAsia="SimSun" w:hAnsi="SimSun" w:cs="Microsoft YaHei" w:hint="eastAsia"/>
          <w:b/>
          <w:sz w:val="21"/>
          <w:szCs w:val="21"/>
          <w:u w:val="single"/>
          <w:lang w:eastAsia="zh-CN"/>
        </w:rPr>
        <w:lastRenderedPageBreak/>
        <w:t>内容提要：关于在</w:t>
      </w:r>
      <w:r w:rsidR="00F1549A" w:rsidRPr="007312D5">
        <w:rPr>
          <w:rFonts w:ascii="SimSun" w:eastAsia="SimSun" w:hAnsi="SimSun" w:cs="Microsoft YaHei" w:hint="eastAsia"/>
          <w:b/>
          <w:sz w:val="21"/>
          <w:szCs w:val="21"/>
          <w:u w:val="single"/>
          <w:lang w:eastAsia="zh-CN"/>
        </w:rPr>
        <w:t>肯尼亚、特立尼达和多巴哥以及菲律宾等</w:t>
      </w:r>
      <w:r w:rsidRPr="007312D5">
        <w:rPr>
          <w:rFonts w:ascii="SimSun" w:eastAsia="SimSun" w:hAnsi="SimSun" w:cs="Microsoft YaHei" w:hint="eastAsia"/>
          <w:b/>
          <w:sz w:val="21"/>
          <w:szCs w:val="21"/>
          <w:u w:val="single"/>
          <w:lang w:eastAsia="zh-CN"/>
        </w:rPr>
        <w:t>三个受益国</w:t>
      </w:r>
      <w:r w:rsidR="00A22EEE">
        <w:rPr>
          <w:rFonts w:ascii="SimSun" w:eastAsia="SimSun" w:hAnsi="SimSun" w:cs="Microsoft YaHei"/>
          <w:b/>
          <w:sz w:val="21"/>
          <w:szCs w:val="21"/>
          <w:u w:val="single"/>
          <w:lang w:eastAsia="zh-CN"/>
        </w:rPr>
        <w:br/>
      </w:r>
      <w:r w:rsidRPr="007312D5">
        <w:rPr>
          <w:rFonts w:ascii="SimSun" w:eastAsia="SimSun" w:hAnsi="SimSun" w:cs="Microsoft YaHei" w:hint="eastAsia"/>
          <w:b/>
          <w:sz w:val="21"/>
          <w:szCs w:val="21"/>
          <w:u w:val="single"/>
          <w:lang w:eastAsia="zh-CN"/>
        </w:rPr>
        <w:t>提供和</w:t>
      </w:r>
      <w:r w:rsidR="00F1549A" w:rsidRPr="007312D5">
        <w:rPr>
          <w:rFonts w:ascii="SimSun" w:eastAsia="SimSun" w:hAnsi="SimSun" w:cs="Microsoft YaHei" w:hint="eastAsia"/>
          <w:b/>
          <w:sz w:val="21"/>
          <w:szCs w:val="21"/>
          <w:u w:val="single"/>
          <w:lang w:eastAsia="zh-CN"/>
        </w:rPr>
        <w:t>运用</w:t>
      </w:r>
      <w:r w:rsidRPr="007312D5">
        <w:rPr>
          <w:rFonts w:ascii="SimSun" w:eastAsia="SimSun" w:hAnsi="SimSun" w:cs="Microsoft YaHei" w:hint="eastAsia"/>
          <w:b/>
          <w:sz w:val="21"/>
          <w:szCs w:val="21"/>
          <w:u w:val="single"/>
          <w:lang w:eastAsia="zh-CN"/>
        </w:rPr>
        <w:t>知识产权工具保护移动应用的范围界定研究</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sz w:val="21"/>
          <w:szCs w:val="21"/>
          <w:lang w:val="en-GB" w:eastAsia="zh-CN"/>
        </w:rPr>
      </w:pPr>
      <w:r w:rsidRPr="007312D5">
        <w:rPr>
          <w:rFonts w:ascii="SimSun" w:eastAsia="SimSun" w:hAnsi="SimSun" w:cs="Microsoft YaHei" w:hint="eastAsia"/>
          <w:sz w:val="21"/>
          <w:szCs w:val="21"/>
          <w:lang w:val="en-GB" w:eastAsia="zh-CN"/>
        </w:rPr>
        <w:t>本研究主要</w:t>
      </w:r>
      <w:r w:rsidR="007312D5" w:rsidRPr="007312D5">
        <w:rPr>
          <w:rFonts w:ascii="SimSun" w:eastAsia="SimSun" w:hAnsi="SimSun" w:cs="Microsoft YaHei" w:hint="eastAsia"/>
          <w:sz w:val="21"/>
          <w:szCs w:val="21"/>
          <w:lang w:val="en-GB" w:eastAsia="zh-CN"/>
        </w:rPr>
        <w:t>探讨创意产业过去十多年间迅猛增长的一个行业领域：移动应用。</w:t>
      </w:r>
      <w:r w:rsidR="00354C78">
        <w:rPr>
          <w:rFonts w:ascii="SimSun" w:eastAsia="SimSun" w:hAnsi="SimSun" w:cs="Microsoft YaHei" w:hint="eastAsia"/>
          <w:sz w:val="21"/>
          <w:szCs w:val="21"/>
          <w:lang w:val="en-GB" w:eastAsia="zh-CN"/>
        </w:rPr>
        <w:t>研究</w:t>
      </w:r>
      <w:r w:rsidRPr="007312D5">
        <w:rPr>
          <w:rFonts w:ascii="SimSun" w:eastAsia="SimSun" w:hAnsi="SimSun" w:cs="Microsoft YaHei" w:hint="eastAsia"/>
          <w:sz w:val="21"/>
          <w:szCs w:val="21"/>
          <w:lang w:val="en-GB" w:eastAsia="zh-CN"/>
        </w:rPr>
        <w:t>尤其针对项目的三个参与国：肯尼亚</w:t>
      </w:r>
      <w:r w:rsidR="007312D5">
        <w:rPr>
          <w:rFonts w:ascii="SimSun" w:eastAsia="SimSun" w:hAnsi="SimSun" w:cs="Microsoft YaHei" w:hint="eastAsia"/>
          <w:sz w:val="21"/>
          <w:szCs w:val="21"/>
          <w:lang w:val="en-GB" w:eastAsia="zh-CN"/>
        </w:rPr>
        <w:t>、</w:t>
      </w:r>
      <w:r w:rsidRPr="007312D5">
        <w:rPr>
          <w:rFonts w:ascii="SimSun" w:eastAsia="SimSun" w:hAnsi="SimSun" w:cs="Microsoft YaHei" w:hint="eastAsia"/>
          <w:sz w:val="21"/>
          <w:szCs w:val="21"/>
          <w:lang w:val="en-GB" w:eastAsia="zh-CN"/>
        </w:rPr>
        <w:t>特立尼达和多巴哥以及菲律宾（下称</w:t>
      </w:r>
      <w:r w:rsidR="00812430">
        <w:rPr>
          <w:rFonts w:ascii="SimSun" w:eastAsia="SimSun" w:hAnsi="SimSun" w:cs="Arial" w:hint="eastAsia"/>
          <w:sz w:val="21"/>
          <w:szCs w:val="21"/>
          <w:lang w:val="en-GB" w:eastAsia="zh-CN"/>
        </w:rPr>
        <w:t>“</w:t>
      </w:r>
      <w:r w:rsidRPr="007312D5">
        <w:rPr>
          <w:rFonts w:ascii="SimSun" w:eastAsia="SimSun" w:hAnsi="SimSun" w:cs="Microsoft YaHei" w:hint="eastAsia"/>
          <w:sz w:val="21"/>
          <w:szCs w:val="21"/>
          <w:lang w:val="en-GB" w:eastAsia="zh-CN"/>
        </w:rPr>
        <w:t>受益国</w:t>
      </w:r>
      <w:r w:rsidR="00812430">
        <w:rPr>
          <w:rFonts w:ascii="SimSun" w:eastAsia="SimSun" w:hAnsi="SimSun" w:cs="Arial" w:hint="eastAsia"/>
          <w:sz w:val="21"/>
          <w:szCs w:val="21"/>
          <w:lang w:val="en-GB" w:eastAsia="zh-CN"/>
        </w:rPr>
        <w:t>”</w:t>
      </w:r>
      <w:r w:rsidRPr="007312D5">
        <w:rPr>
          <w:rFonts w:ascii="SimSun" w:eastAsia="SimSun" w:hAnsi="SimSun" w:cs="Microsoft YaHei" w:hint="eastAsia"/>
          <w:sz w:val="21"/>
          <w:szCs w:val="21"/>
          <w:lang w:val="en-GB" w:eastAsia="zh-CN"/>
        </w:rPr>
        <w:t>）</w:t>
      </w:r>
      <w:r w:rsidR="00812430">
        <w:rPr>
          <w:rFonts w:ascii="SimSun" w:eastAsia="SimSun" w:hAnsi="SimSun" w:cs="Microsoft YaHei" w:hint="eastAsia"/>
          <w:sz w:val="21"/>
          <w:szCs w:val="21"/>
          <w:lang w:val="en-GB" w:eastAsia="zh-CN"/>
        </w:rPr>
        <w:t>。</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sz w:val="21"/>
          <w:szCs w:val="21"/>
          <w:lang w:val="en-GB" w:eastAsia="zh-CN"/>
        </w:rPr>
      </w:pPr>
      <w:r w:rsidRPr="007312D5">
        <w:rPr>
          <w:rFonts w:ascii="SimSun" w:eastAsia="SimSun" w:hAnsi="SimSun" w:cs="Microsoft YaHei" w:hint="eastAsia"/>
          <w:sz w:val="21"/>
          <w:szCs w:val="21"/>
          <w:lang w:val="en-GB" w:eastAsia="zh-CN"/>
        </w:rPr>
        <w:t>本研究调查了三个受益国移动应用部门的规模和特点，以及该部门运作的知识产权生态系统</w:t>
      </w:r>
      <w:r w:rsidR="00354C78">
        <w:rPr>
          <w:rFonts w:ascii="SimSun" w:eastAsia="SimSun" w:hAnsi="SimSun" w:cs="Microsoft YaHei" w:hint="eastAsia"/>
          <w:sz w:val="21"/>
          <w:szCs w:val="21"/>
          <w:lang w:val="en-GB" w:eastAsia="zh-CN"/>
        </w:rPr>
        <w:t>和</w:t>
      </w:r>
      <w:r w:rsidRPr="007312D5">
        <w:rPr>
          <w:rFonts w:ascii="SimSun" w:eastAsia="SimSun" w:hAnsi="SimSun" w:cs="Microsoft YaHei" w:hint="eastAsia"/>
          <w:sz w:val="21"/>
          <w:szCs w:val="21"/>
          <w:lang w:val="en-GB" w:eastAsia="zh-CN"/>
        </w:rPr>
        <w:t>与知识产权相关的法律和监管环境；</w:t>
      </w:r>
      <w:r w:rsidR="00812430">
        <w:rPr>
          <w:rFonts w:ascii="SimSun" w:eastAsia="SimSun" w:hAnsi="SimSun" w:cs="Microsoft YaHei" w:hint="eastAsia"/>
          <w:sz w:val="21"/>
          <w:szCs w:val="21"/>
          <w:lang w:val="en-GB" w:eastAsia="zh-CN"/>
        </w:rPr>
        <w:t>研究还</w:t>
      </w:r>
      <w:r w:rsidRPr="007312D5">
        <w:rPr>
          <w:rFonts w:ascii="SimSun" w:eastAsia="SimSun" w:hAnsi="SimSun" w:cs="Microsoft YaHei" w:hint="eastAsia"/>
          <w:sz w:val="21"/>
          <w:szCs w:val="21"/>
          <w:lang w:val="en-GB" w:eastAsia="zh-CN"/>
        </w:rPr>
        <w:t>审查了一些相关的非知识产权法律</w:t>
      </w:r>
      <w:r w:rsidR="00812430" w:rsidRPr="007312D5">
        <w:rPr>
          <w:rFonts w:ascii="SimSun" w:eastAsia="SimSun" w:hAnsi="SimSun" w:cs="Microsoft YaHei" w:hint="eastAsia"/>
          <w:sz w:val="21"/>
          <w:szCs w:val="21"/>
          <w:lang w:val="en-GB" w:eastAsia="zh-CN"/>
        </w:rPr>
        <w:t>关键</w:t>
      </w:r>
      <w:r w:rsidRPr="007312D5">
        <w:rPr>
          <w:rFonts w:ascii="SimSun" w:eastAsia="SimSun" w:hAnsi="SimSun" w:cs="Microsoft YaHei" w:hint="eastAsia"/>
          <w:sz w:val="21"/>
          <w:szCs w:val="21"/>
          <w:lang w:val="en-GB" w:eastAsia="zh-CN"/>
        </w:rPr>
        <w:t>问题。本项研究旨在帮助</w:t>
      </w:r>
      <w:r w:rsidR="00354C78">
        <w:rPr>
          <w:rFonts w:ascii="SimSun" w:eastAsia="SimSun" w:hAnsi="SimSun" w:cs="Microsoft YaHei" w:hint="eastAsia"/>
          <w:sz w:val="21"/>
          <w:szCs w:val="21"/>
          <w:lang w:val="en-GB" w:eastAsia="zh-CN"/>
        </w:rPr>
        <w:t>量身定制</w:t>
      </w:r>
      <w:r w:rsidRPr="007312D5">
        <w:rPr>
          <w:rFonts w:ascii="SimSun" w:eastAsia="SimSun" w:hAnsi="SimSun" w:cs="Microsoft YaHei" w:hint="eastAsia"/>
          <w:sz w:val="21"/>
          <w:szCs w:val="21"/>
          <w:lang w:val="en-GB" w:eastAsia="zh-CN"/>
        </w:rPr>
        <w:t>和微调部分项目的可交付成果，以适应每个受益国的具体情况。</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sz w:val="21"/>
          <w:szCs w:val="21"/>
          <w:lang w:val="en-GB" w:eastAsia="zh-CN"/>
        </w:rPr>
      </w:pPr>
      <w:r w:rsidRPr="007312D5">
        <w:rPr>
          <w:rFonts w:ascii="SimSun" w:eastAsia="SimSun" w:hAnsi="SimSun" w:cs="Microsoft YaHei" w:hint="eastAsia"/>
          <w:sz w:val="21"/>
          <w:szCs w:val="21"/>
          <w:lang w:val="en-GB" w:eastAsia="zh-CN"/>
        </w:rPr>
        <w:t>本研究报告</w:t>
      </w:r>
      <w:r w:rsidR="00812430">
        <w:rPr>
          <w:rFonts w:ascii="SimSun" w:eastAsia="SimSun" w:hAnsi="SimSun" w:cs="Microsoft YaHei" w:hint="eastAsia"/>
          <w:sz w:val="21"/>
          <w:szCs w:val="21"/>
          <w:lang w:val="en-GB" w:eastAsia="zh-CN"/>
        </w:rPr>
        <w:t>阐述了</w:t>
      </w:r>
      <w:r w:rsidRPr="007312D5">
        <w:rPr>
          <w:rFonts w:ascii="SimSun" w:eastAsia="SimSun" w:hAnsi="SimSun" w:cs="Microsoft YaHei" w:hint="eastAsia"/>
          <w:sz w:val="21"/>
          <w:szCs w:val="21"/>
          <w:lang w:val="en-GB" w:eastAsia="zh-CN"/>
        </w:rPr>
        <w:t>以下问题，</w:t>
      </w:r>
      <w:r w:rsidR="00812430" w:rsidRPr="007312D5">
        <w:rPr>
          <w:rFonts w:ascii="SimSun" w:eastAsia="SimSun" w:hAnsi="SimSun" w:cs="Microsoft YaHei" w:hint="eastAsia"/>
          <w:sz w:val="21"/>
          <w:szCs w:val="21"/>
          <w:lang w:val="en-GB" w:eastAsia="zh-CN"/>
        </w:rPr>
        <w:t>并</w:t>
      </w:r>
      <w:r w:rsidR="00812430">
        <w:rPr>
          <w:rFonts w:ascii="SimSun" w:eastAsia="SimSun" w:hAnsi="SimSun" w:cs="Microsoft YaHei" w:hint="eastAsia"/>
          <w:sz w:val="21"/>
          <w:szCs w:val="21"/>
          <w:lang w:val="en-GB" w:eastAsia="zh-CN"/>
        </w:rPr>
        <w:t>主要</w:t>
      </w:r>
      <w:r w:rsidR="00812430" w:rsidRPr="007312D5">
        <w:rPr>
          <w:rFonts w:ascii="SimSun" w:eastAsia="SimSun" w:hAnsi="SimSun" w:cs="Microsoft YaHei" w:hint="eastAsia"/>
          <w:sz w:val="21"/>
          <w:szCs w:val="21"/>
          <w:lang w:val="en-GB" w:eastAsia="zh-CN"/>
        </w:rPr>
        <w:t>以受益国提供的信息为依据</w:t>
      </w:r>
      <w:r w:rsidR="00812430">
        <w:rPr>
          <w:rFonts w:ascii="SimSun" w:eastAsia="SimSun" w:hAnsi="SimSun" w:cs="Microsoft YaHei" w:hint="eastAsia"/>
          <w:sz w:val="21"/>
          <w:szCs w:val="21"/>
          <w:lang w:val="en-GB" w:eastAsia="zh-CN"/>
        </w:rPr>
        <w:t>，提供了</w:t>
      </w:r>
      <w:r w:rsidRPr="007312D5">
        <w:rPr>
          <w:rFonts w:ascii="SimSun" w:eastAsia="SimSun" w:hAnsi="SimSun" w:cs="Microsoft YaHei" w:hint="eastAsia"/>
          <w:sz w:val="21"/>
          <w:szCs w:val="21"/>
          <w:lang w:val="en-GB" w:eastAsia="zh-CN"/>
        </w:rPr>
        <w:t>尽可能准确</w:t>
      </w:r>
      <w:r w:rsidR="00812430">
        <w:rPr>
          <w:rFonts w:ascii="SimSun" w:eastAsia="SimSun" w:hAnsi="SimSun" w:cs="Microsoft YaHei" w:hint="eastAsia"/>
          <w:sz w:val="21"/>
          <w:szCs w:val="21"/>
          <w:lang w:val="en-GB" w:eastAsia="zh-CN"/>
        </w:rPr>
        <w:t>的情况</w:t>
      </w:r>
      <w:r w:rsidRPr="007312D5">
        <w:rPr>
          <w:rFonts w:ascii="SimSun" w:eastAsia="SimSun" w:hAnsi="SimSun" w:cs="Microsoft YaHei" w:hint="eastAsia"/>
          <w:sz w:val="21"/>
          <w:szCs w:val="21"/>
          <w:lang w:val="en-GB" w:eastAsia="zh-CN"/>
        </w:rPr>
        <w:t>。如果无法充分获得此类信息，</w:t>
      </w:r>
      <w:r w:rsidR="003A0EAA">
        <w:rPr>
          <w:rFonts w:ascii="SimSun" w:eastAsia="SimSun" w:hAnsi="SimSun" w:cs="Microsoft YaHei" w:hint="eastAsia"/>
          <w:sz w:val="21"/>
          <w:szCs w:val="21"/>
          <w:lang w:val="en-GB" w:eastAsia="zh-CN"/>
        </w:rPr>
        <w:t>则研究报告</w:t>
      </w:r>
      <w:r w:rsidR="008D13D2">
        <w:rPr>
          <w:rFonts w:ascii="SimSun" w:eastAsia="SimSun" w:hAnsi="SimSun" w:cs="Microsoft YaHei" w:hint="eastAsia"/>
          <w:sz w:val="21"/>
          <w:szCs w:val="21"/>
          <w:lang w:val="en-GB" w:eastAsia="zh-CN"/>
        </w:rPr>
        <w:t>会</w:t>
      </w:r>
      <w:r w:rsidR="003A0EAA">
        <w:rPr>
          <w:rFonts w:ascii="SimSun" w:eastAsia="SimSun" w:hAnsi="SimSun" w:cs="Microsoft YaHei" w:hint="eastAsia"/>
          <w:sz w:val="21"/>
          <w:szCs w:val="21"/>
          <w:lang w:val="en-GB" w:eastAsia="zh-CN"/>
        </w:rPr>
        <w:t>说明情况确实</w:t>
      </w:r>
      <w:r w:rsidRPr="007312D5">
        <w:rPr>
          <w:rFonts w:ascii="SimSun" w:eastAsia="SimSun" w:hAnsi="SimSun" w:cs="Microsoft YaHei" w:hint="eastAsia"/>
          <w:sz w:val="21"/>
          <w:szCs w:val="21"/>
          <w:lang w:val="en-GB" w:eastAsia="zh-CN"/>
        </w:rPr>
        <w:t>如此。</w:t>
      </w:r>
      <w:r w:rsidR="003A0EAA">
        <w:rPr>
          <w:rFonts w:ascii="SimSun" w:eastAsia="SimSun" w:hAnsi="SimSun" w:cs="Microsoft YaHei" w:hint="eastAsia"/>
          <w:sz w:val="21"/>
          <w:szCs w:val="21"/>
          <w:lang w:val="en-GB" w:eastAsia="zh-CN"/>
        </w:rPr>
        <w:t>我们认为，有时缺乏</w:t>
      </w:r>
      <w:r w:rsidRPr="007312D5">
        <w:rPr>
          <w:rFonts w:ascii="SimSun" w:eastAsia="SimSun" w:hAnsi="SimSun" w:cs="Microsoft YaHei" w:hint="eastAsia"/>
          <w:sz w:val="21"/>
          <w:szCs w:val="21"/>
          <w:lang w:val="en-GB" w:eastAsia="zh-CN"/>
        </w:rPr>
        <w:t>可用和可获</w:t>
      </w:r>
      <w:r w:rsidR="00354C78">
        <w:rPr>
          <w:rFonts w:ascii="SimSun" w:eastAsia="SimSun" w:hAnsi="SimSun" w:cs="Microsoft YaHei" w:hint="eastAsia"/>
          <w:sz w:val="21"/>
          <w:szCs w:val="21"/>
          <w:lang w:val="en-GB" w:eastAsia="zh-CN"/>
        </w:rPr>
        <w:t>得</w:t>
      </w:r>
      <w:r w:rsidR="008D13D2">
        <w:rPr>
          <w:rFonts w:ascii="SimSun" w:eastAsia="SimSun" w:hAnsi="SimSun" w:cs="Microsoft YaHei" w:hint="eastAsia"/>
          <w:sz w:val="21"/>
          <w:szCs w:val="21"/>
          <w:lang w:val="en-GB" w:eastAsia="zh-CN"/>
        </w:rPr>
        <w:t>的信息可能是相关受益国</w:t>
      </w:r>
      <w:r w:rsidR="003A0EAA">
        <w:rPr>
          <w:rFonts w:ascii="SimSun" w:eastAsia="SimSun" w:hAnsi="SimSun" w:cs="Microsoft YaHei" w:hint="eastAsia"/>
          <w:sz w:val="21"/>
          <w:szCs w:val="21"/>
          <w:lang w:val="en-GB" w:eastAsia="zh-CN"/>
        </w:rPr>
        <w:t>要</w:t>
      </w:r>
      <w:r w:rsidRPr="007312D5">
        <w:rPr>
          <w:rFonts w:ascii="SimSun" w:eastAsia="SimSun" w:hAnsi="SimSun" w:cs="Microsoft YaHei" w:hint="eastAsia"/>
          <w:sz w:val="21"/>
          <w:szCs w:val="21"/>
          <w:lang w:val="en-GB" w:eastAsia="zh-CN"/>
        </w:rPr>
        <w:t>寻求解决的一个问题。</w:t>
      </w:r>
    </w:p>
    <w:p w:rsidR="00981DD8" w:rsidRPr="007312D5" w:rsidRDefault="00D52C4E" w:rsidP="00A22EEE">
      <w:pPr>
        <w:overflowPunct w:val="0"/>
        <w:spacing w:afterLines="50" w:after="120" w:line="340" w:lineRule="exact"/>
        <w:ind w:firstLineChars="200" w:firstLine="420"/>
        <w:jc w:val="both"/>
        <w:rPr>
          <w:rFonts w:ascii="SimSun" w:eastAsia="SimSun" w:hAnsi="SimSun" w:cs="Arial"/>
          <w:sz w:val="21"/>
          <w:szCs w:val="21"/>
          <w:lang w:val="en-GB" w:eastAsia="zh-CN"/>
        </w:rPr>
      </w:pPr>
      <w:r>
        <w:rPr>
          <w:rFonts w:ascii="SimSun" w:eastAsia="SimSun" w:hAnsi="SimSun" w:cs="Microsoft YaHei" w:hint="eastAsia"/>
          <w:sz w:val="21"/>
          <w:szCs w:val="21"/>
          <w:lang w:val="en-GB" w:eastAsia="zh-CN"/>
        </w:rPr>
        <w:t>第一部分对三个受益国</w:t>
      </w:r>
      <w:r w:rsidR="00981DD8" w:rsidRPr="007312D5">
        <w:rPr>
          <w:rFonts w:ascii="SimSun" w:eastAsia="SimSun" w:hAnsi="SimSun" w:cs="Microsoft YaHei" w:hint="eastAsia"/>
          <w:sz w:val="21"/>
          <w:szCs w:val="21"/>
          <w:lang w:val="en-GB" w:eastAsia="zh-CN"/>
        </w:rPr>
        <w:t>移动应用部门的规模和特点进行了评估，除其他外，参考了该部门的市场规模和数量</w:t>
      </w:r>
      <w:r w:rsidR="003A0EAA">
        <w:rPr>
          <w:rFonts w:ascii="SimSun" w:eastAsia="SimSun" w:hAnsi="SimSun" w:cs="Microsoft YaHei" w:hint="eastAsia"/>
          <w:sz w:val="21"/>
          <w:szCs w:val="21"/>
          <w:lang w:val="en-GB" w:eastAsia="zh-CN"/>
        </w:rPr>
        <w:t>，</w:t>
      </w:r>
      <w:r w:rsidR="00981DD8" w:rsidRPr="007312D5">
        <w:rPr>
          <w:rFonts w:ascii="SimSun" w:eastAsia="SimSun" w:hAnsi="SimSun" w:cs="Microsoft YaHei" w:hint="eastAsia"/>
          <w:sz w:val="21"/>
          <w:szCs w:val="21"/>
          <w:lang w:val="en-GB" w:eastAsia="zh-CN"/>
        </w:rPr>
        <w:t>以及受益国在这一部门的教育机会和研究举措</w:t>
      </w:r>
      <w:r w:rsidR="003A0EAA">
        <w:rPr>
          <w:rFonts w:ascii="SimSun" w:eastAsia="SimSun" w:hAnsi="SimSun" w:cs="Microsoft YaHei" w:hint="eastAsia"/>
          <w:sz w:val="21"/>
          <w:szCs w:val="21"/>
          <w:lang w:val="en-GB" w:eastAsia="zh-CN"/>
        </w:rPr>
        <w:t>。可以</w:t>
      </w:r>
      <w:r w:rsidR="00F97AD1">
        <w:rPr>
          <w:rFonts w:ascii="SimSun" w:eastAsia="SimSun" w:hAnsi="SimSun" w:cs="Microsoft YaHei" w:hint="eastAsia"/>
          <w:sz w:val="21"/>
          <w:szCs w:val="21"/>
          <w:lang w:val="en-GB" w:eastAsia="zh-CN"/>
        </w:rPr>
        <w:t>肯定</w:t>
      </w:r>
      <w:r w:rsidR="00981DD8" w:rsidRPr="007312D5">
        <w:rPr>
          <w:rFonts w:ascii="SimSun" w:eastAsia="SimSun" w:hAnsi="SimSun" w:cs="Microsoft YaHei" w:hint="eastAsia"/>
          <w:sz w:val="21"/>
          <w:szCs w:val="21"/>
          <w:lang w:val="en-GB" w:eastAsia="zh-CN"/>
        </w:rPr>
        <w:t>的是，该部门的</w:t>
      </w:r>
      <w:r w:rsidR="001955DF">
        <w:rPr>
          <w:rFonts w:ascii="SimSun" w:eastAsia="SimSun" w:hAnsi="SimSun" w:cs="Microsoft YaHei" w:hint="eastAsia"/>
          <w:sz w:val="21"/>
          <w:szCs w:val="21"/>
          <w:lang w:val="en-GB" w:eastAsia="zh-CN"/>
        </w:rPr>
        <w:t>总体</w:t>
      </w:r>
      <w:r w:rsidR="003A0EAA">
        <w:rPr>
          <w:rFonts w:ascii="SimSun" w:eastAsia="SimSun" w:hAnsi="SimSun" w:cs="Microsoft YaHei" w:hint="eastAsia"/>
          <w:sz w:val="21"/>
          <w:szCs w:val="21"/>
          <w:lang w:val="en-GB" w:eastAsia="zh-CN"/>
        </w:rPr>
        <w:t>发展</w:t>
      </w:r>
      <w:r w:rsidR="00981DD8" w:rsidRPr="007312D5">
        <w:rPr>
          <w:rFonts w:ascii="SimSun" w:eastAsia="SimSun" w:hAnsi="SimSun" w:cs="Microsoft YaHei" w:hint="eastAsia"/>
          <w:sz w:val="21"/>
          <w:szCs w:val="21"/>
          <w:lang w:val="en-GB" w:eastAsia="zh-CN"/>
        </w:rPr>
        <w:t>方向表明了所有受益国的实际增长和增长潜力。</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sz w:val="21"/>
          <w:szCs w:val="21"/>
          <w:lang w:eastAsia="zh-CN"/>
        </w:rPr>
      </w:pPr>
      <w:r w:rsidRPr="007312D5">
        <w:rPr>
          <w:rFonts w:ascii="SimSun" w:eastAsia="SimSun" w:hAnsi="SimSun" w:cs="Microsoft YaHei" w:hint="eastAsia"/>
          <w:sz w:val="21"/>
          <w:szCs w:val="21"/>
          <w:lang w:eastAsia="zh-CN"/>
        </w:rPr>
        <w:t>第二部分</w:t>
      </w:r>
      <w:r w:rsidR="003A0EAA">
        <w:rPr>
          <w:rFonts w:ascii="SimSun" w:eastAsia="SimSun" w:hAnsi="SimSun" w:cs="Microsoft YaHei" w:hint="eastAsia"/>
          <w:sz w:val="21"/>
          <w:szCs w:val="21"/>
          <w:lang w:eastAsia="zh-CN"/>
        </w:rPr>
        <w:t>比较详细地讨论了提供和运用知识产权工具</w:t>
      </w:r>
      <w:r w:rsidRPr="007312D5">
        <w:rPr>
          <w:rFonts w:ascii="SimSun" w:eastAsia="SimSun" w:hAnsi="SimSun" w:cs="Microsoft YaHei" w:hint="eastAsia"/>
          <w:sz w:val="21"/>
          <w:szCs w:val="21"/>
          <w:lang w:eastAsia="zh-CN"/>
        </w:rPr>
        <w:t>保</w:t>
      </w:r>
      <w:r w:rsidR="003A0EAA">
        <w:rPr>
          <w:rFonts w:ascii="SimSun" w:eastAsia="SimSun" w:hAnsi="SimSun" w:cs="Microsoft YaHei" w:hint="eastAsia"/>
          <w:sz w:val="21"/>
          <w:szCs w:val="21"/>
          <w:lang w:eastAsia="zh-CN"/>
        </w:rPr>
        <w:t>护移动应用的</w:t>
      </w:r>
      <w:r w:rsidR="008A62BF">
        <w:rPr>
          <w:rFonts w:ascii="SimSun" w:eastAsia="SimSun" w:hAnsi="SimSun" w:cs="Microsoft YaHei" w:hint="eastAsia"/>
          <w:sz w:val="21"/>
          <w:szCs w:val="21"/>
          <w:lang w:eastAsia="zh-CN"/>
        </w:rPr>
        <w:t>一般</w:t>
      </w:r>
      <w:r w:rsidR="003A0EAA">
        <w:rPr>
          <w:rFonts w:ascii="SimSun" w:eastAsia="SimSun" w:hAnsi="SimSun" w:cs="Microsoft YaHei" w:hint="eastAsia"/>
          <w:sz w:val="21"/>
          <w:szCs w:val="21"/>
          <w:lang w:eastAsia="zh-CN"/>
        </w:rPr>
        <w:t>情况，特别是在受益国</w:t>
      </w:r>
      <w:r w:rsidRPr="007312D5">
        <w:rPr>
          <w:rFonts w:ascii="SimSun" w:eastAsia="SimSun" w:hAnsi="SimSun" w:cs="Microsoft YaHei" w:hint="eastAsia"/>
          <w:sz w:val="21"/>
          <w:szCs w:val="21"/>
          <w:lang w:eastAsia="zh-CN"/>
        </w:rPr>
        <w:t>。</w:t>
      </w:r>
      <w:r w:rsidR="003A0EAA">
        <w:rPr>
          <w:rFonts w:ascii="SimSun" w:eastAsia="SimSun" w:hAnsi="SimSun" w:cs="Microsoft YaHei" w:hint="eastAsia"/>
          <w:sz w:val="21"/>
          <w:szCs w:val="21"/>
          <w:lang w:eastAsia="zh-CN"/>
        </w:rPr>
        <w:t>研究发现，</w:t>
      </w:r>
      <w:r w:rsidRPr="007312D5">
        <w:rPr>
          <w:rFonts w:ascii="SimSun" w:eastAsia="SimSun" w:hAnsi="SimSun" w:cs="Microsoft YaHei" w:hint="eastAsia"/>
          <w:sz w:val="21"/>
          <w:szCs w:val="21"/>
          <w:lang w:eastAsia="zh-CN"/>
        </w:rPr>
        <w:t>移动应用部门</w:t>
      </w:r>
      <w:r w:rsidR="003A0EAA">
        <w:rPr>
          <w:rFonts w:ascii="SimSun" w:eastAsia="SimSun" w:hAnsi="SimSun" w:cs="Microsoft YaHei" w:hint="eastAsia"/>
          <w:sz w:val="21"/>
          <w:szCs w:val="21"/>
          <w:lang w:eastAsia="zh-CN"/>
        </w:rPr>
        <w:t>中</w:t>
      </w:r>
      <w:r w:rsidRPr="007312D5">
        <w:rPr>
          <w:rFonts w:ascii="SimSun" w:eastAsia="SimSun" w:hAnsi="SimSun" w:cs="Microsoft YaHei" w:hint="eastAsia"/>
          <w:sz w:val="21"/>
          <w:szCs w:val="21"/>
          <w:lang w:eastAsia="zh-CN"/>
        </w:rPr>
        <w:t>最常见的知识产权</w:t>
      </w:r>
      <w:r w:rsidR="003A0EAA">
        <w:rPr>
          <w:rFonts w:ascii="SimSun" w:eastAsia="SimSun" w:hAnsi="SimSun" w:cs="Microsoft YaHei" w:hint="eastAsia"/>
          <w:sz w:val="21"/>
          <w:szCs w:val="21"/>
          <w:lang w:eastAsia="zh-CN"/>
        </w:rPr>
        <w:t>保护工具</w:t>
      </w:r>
      <w:r w:rsidRPr="007312D5">
        <w:rPr>
          <w:rFonts w:ascii="SimSun" w:eastAsia="SimSun" w:hAnsi="SimSun" w:cs="Microsoft YaHei" w:hint="eastAsia"/>
          <w:sz w:val="21"/>
          <w:szCs w:val="21"/>
          <w:lang w:eastAsia="zh-CN"/>
        </w:rPr>
        <w:t>是版权</w:t>
      </w:r>
      <w:r w:rsidR="003A0EAA">
        <w:rPr>
          <w:rFonts w:ascii="SimSun" w:eastAsia="SimSun" w:hAnsi="SimSun" w:cs="Microsoft YaHei" w:hint="eastAsia"/>
          <w:sz w:val="21"/>
          <w:szCs w:val="21"/>
          <w:lang w:eastAsia="zh-CN"/>
        </w:rPr>
        <w:t>，</w:t>
      </w:r>
      <w:r w:rsidRPr="007312D5">
        <w:rPr>
          <w:rFonts w:ascii="SimSun" w:eastAsia="SimSun" w:hAnsi="SimSun" w:cs="Microsoft YaHei" w:hint="eastAsia"/>
          <w:sz w:val="21"/>
          <w:szCs w:val="21"/>
          <w:lang w:eastAsia="zh-CN"/>
        </w:rPr>
        <w:t>商标</w:t>
      </w:r>
      <w:r w:rsidR="003A0EAA">
        <w:rPr>
          <w:rFonts w:ascii="SimSun" w:eastAsia="SimSun" w:hAnsi="SimSun" w:cs="Microsoft YaHei" w:hint="eastAsia"/>
          <w:sz w:val="21"/>
          <w:szCs w:val="21"/>
          <w:lang w:eastAsia="zh-CN"/>
        </w:rPr>
        <w:t>、</w:t>
      </w:r>
      <w:r w:rsidRPr="007312D5">
        <w:rPr>
          <w:rFonts w:ascii="SimSun" w:eastAsia="SimSun" w:hAnsi="SimSun" w:cs="Microsoft YaHei" w:hint="eastAsia"/>
          <w:sz w:val="21"/>
          <w:szCs w:val="21"/>
          <w:lang w:eastAsia="zh-CN"/>
        </w:rPr>
        <w:t>工业品外观设计</w:t>
      </w:r>
      <w:r w:rsidR="003A0EAA">
        <w:rPr>
          <w:rFonts w:ascii="SimSun" w:eastAsia="SimSun" w:hAnsi="SimSun" w:cs="Microsoft YaHei" w:hint="eastAsia"/>
          <w:sz w:val="21"/>
          <w:szCs w:val="21"/>
          <w:lang w:eastAsia="zh-CN"/>
        </w:rPr>
        <w:t>、</w:t>
      </w:r>
      <w:r w:rsidRPr="007312D5">
        <w:rPr>
          <w:rFonts w:ascii="SimSun" w:eastAsia="SimSun" w:hAnsi="SimSun" w:cs="Microsoft YaHei" w:hint="eastAsia"/>
          <w:sz w:val="21"/>
          <w:szCs w:val="21"/>
          <w:lang w:eastAsia="zh-CN"/>
        </w:rPr>
        <w:t>专利</w:t>
      </w:r>
      <w:r w:rsidR="003A0EAA">
        <w:rPr>
          <w:rFonts w:ascii="SimSun" w:eastAsia="SimSun" w:hAnsi="SimSun" w:cs="Microsoft YaHei" w:hint="eastAsia"/>
          <w:sz w:val="21"/>
          <w:szCs w:val="21"/>
          <w:lang w:eastAsia="zh-CN"/>
        </w:rPr>
        <w:t>、</w:t>
      </w:r>
      <w:r w:rsidRPr="007312D5">
        <w:rPr>
          <w:rFonts w:ascii="SimSun" w:eastAsia="SimSun" w:hAnsi="SimSun" w:cs="Microsoft YaHei" w:hint="eastAsia"/>
          <w:sz w:val="21"/>
          <w:szCs w:val="21"/>
          <w:lang w:eastAsia="zh-CN"/>
        </w:rPr>
        <w:t>实用新型和商业秘密也能够在不同情况下</w:t>
      </w:r>
      <w:r w:rsidRPr="00A22EEE">
        <w:rPr>
          <w:rFonts w:ascii="SimSun" w:eastAsia="SimSun" w:hAnsi="SimSun" w:cs="Microsoft YaHei" w:hint="eastAsia"/>
          <w:sz w:val="21"/>
          <w:szCs w:val="21"/>
          <w:lang w:val="en-GB" w:eastAsia="zh-CN"/>
        </w:rPr>
        <w:t>提供</w:t>
      </w:r>
      <w:r w:rsidRPr="007312D5">
        <w:rPr>
          <w:rFonts w:ascii="SimSun" w:eastAsia="SimSun" w:hAnsi="SimSun" w:cs="Microsoft YaHei" w:hint="eastAsia"/>
          <w:sz w:val="21"/>
          <w:szCs w:val="21"/>
          <w:lang w:eastAsia="zh-CN"/>
        </w:rPr>
        <w:t>有价值的保护</w:t>
      </w:r>
      <w:r w:rsidR="003A0EAA">
        <w:rPr>
          <w:rFonts w:ascii="SimSun" w:eastAsia="SimSun" w:hAnsi="SimSun" w:cs="Arial" w:hint="eastAsia"/>
          <w:sz w:val="21"/>
          <w:szCs w:val="21"/>
          <w:lang w:eastAsia="zh-CN"/>
        </w:rPr>
        <w:t>。</w:t>
      </w:r>
    </w:p>
    <w:p w:rsidR="00E303A2" w:rsidRDefault="008A62BF" w:rsidP="00A22EEE">
      <w:pPr>
        <w:overflowPunct w:val="0"/>
        <w:spacing w:afterLines="50" w:after="120" w:line="340" w:lineRule="exact"/>
        <w:ind w:firstLineChars="200" w:firstLine="420"/>
        <w:jc w:val="both"/>
        <w:rPr>
          <w:rFonts w:ascii="SimSun" w:eastAsia="SimSun" w:hAnsi="SimSun" w:cs="Microsoft YaHei"/>
          <w:sz w:val="21"/>
          <w:szCs w:val="21"/>
          <w:lang w:val="en-GB" w:eastAsia="zh-CN"/>
        </w:rPr>
      </w:pPr>
      <w:r>
        <w:rPr>
          <w:rFonts w:ascii="SimSun" w:eastAsia="SimSun" w:hAnsi="SimSun" w:cs="Microsoft YaHei" w:hint="eastAsia"/>
          <w:sz w:val="21"/>
          <w:szCs w:val="21"/>
          <w:lang w:val="en-GB" w:eastAsia="zh-CN"/>
        </w:rPr>
        <w:t>第三部分</w:t>
      </w:r>
      <w:r w:rsidR="00303E97">
        <w:rPr>
          <w:rFonts w:ascii="SimSun" w:eastAsia="SimSun" w:hAnsi="SimSun" w:cs="Microsoft YaHei" w:hint="eastAsia"/>
          <w:sz w:val="21"/>
          <w:szCs w:val="21"/>
          <w:lang w:val="en-GB" w:eastAsia="zh-CN"/>
        </w:rPr>
        <w:t>的</w:t>
      </w:r>
      <w:r>
        <w:rPr>
          <w:rFonts w:ascii="SimSun" w:eastAsia="SimSun" w:hAnsi="SimSun" w:cs="Microsoft YaHei" w:hint="eastAsia"/>
          <w:sz w:val="21"/>
          <w:szCs w:val="21"/>
          <w:lang w:val="en-GB" w:eastAsia="zh-CN"/>
        </w:rPr>
        <w:t>关注点不是</w:t>
      </w:r>
      <w:r w:rsidR="00981DD8" w:rsidRPr="007312D5">
        <w:rPr>
          <w:rFonts w:ascii="SimSun" w:eastAsia="SimSun" w:hAnsi="SimSun" w:cs="Microsoft YaHei" w:hint="eastAsia"/>
          <w:sz w:val="21"/>
          <w:szCs w:val="21"/>
          <w:lang w:val="en-GB" w:eastAsia="zh-CN"/>
        </w:rPr>
        <w:t>移动应用</w:t>
      </w:r>
      <w:r>
        <w:rPr>
          <w:rFonts w:ascii="SimSun" w:eastAsia="SimSun" w:hAnsi="SimSun" w:cs="Microsoft YaHei" w:hint="eastAsia"/>
          <w:sz w:val="21"/>
          <w:szCs w:val="21"/>
          <w:lang w:val="en-GB" w:eastAsia="zh-CN"/>
        </w:rPr>
        <w:t>部门，</w:t>
      </w:r>
      <w:r w:rsidRPr="008A62BF">
        <w:rPr>
          <w:rFonts w:ascii="SimSun" w:eastAsia="SimSun" w:hAnsi="SimSun" w:cs="Microsoft YaHei" w:hint="eastAsia"/>
          <w:sz w:val="21"/>
          <w:szCs w:val="21"/>
          <w:lang w:val="en" w:eastAsia="zh-CN"/>
        </w:rPr>
        <w:t>而是从知识产权支持资金的可</w:t>
      </w:r>
      <w:r>
        <w:rPr>
          <w:rFonts w:ascii="SimSun" w:eastAsia="SimSun" w:hAnsi="SimSun" w:cs="Microsoft YaHei" w:hint="eastAsia"/>
          <w:sz w:val="21"/>
          <w:szCs w:val="21"/>
          <w:lang w:val="en" w:eastAsia="zh-CN"/>
        </w:rPr>
        <w:t>获得</w:t>
      </w:r>
      <w:r w:rsidRPr="008A62BF">
        <w:rPr>
          <w:rFonts w:ascii="SimSun" w:eastAsia="SimSun" w:hAnsi="SimSun" w:cs="Microsoft YaHei" w:hint="eastAsia"/>
          <w:sz w:val="21"/>
          <w:szCs w:val="21"/>
          <w:lang w:val="en" w:eastAsia="zh-CN"/>
        </w:rPr>
        <w:t>性（</w:t>
      </w:r>
      <w:r>
        <w:rPr>
          <w:rFonts w:ascii="SimSun" w:eastAsia="SimSun" w:hAnsi="SimSun" w:cs="Microsoft YaHei" w:hint="eastAsia"/>
          <w:sz w:val="21"/>
          <w:szCs w:val="21"/>
          <w:lang w:val="en" w:eastAsia="zh-CN"/>
        </w:rPr>
        <w:t>特别</w:t>
      </w:r>
      <w:r w:rsidRPr="008A62BF">
        <w:rPr>
          <w:rFonts w:ascii="SimSun" w:eastAsia="SimSun" w:hAnsi="SimSun" w:cs="Microsoft YaHei" w:hint="eastAsia"/>
          <w:sz w:val="21"/>
          <w:szCs w:val="21"/>
          <w:lang w:val="en" w:eastAsia="zh-CN"/>
        </w:rPr>
        <w:t>是</w:t>
      </w:r>
      <w:r>
        <w:rPr>
          <w:rFonts w:ascii="SimSun" w:eastAsia="SimSun" w:hAnsi="SimSun" w:cs="Microsoft YaHei" w:hint="eastAsia"/>
          <w:sz w:val="21"/>
          <w:szCs w:val="21"/>
          <w:lang w:val="en" w:eastAsia="zh-CN"/>
        </w:rPr>
        <w:t>对于中小型企业</w:t>
      </w:r>
      <w:r w:rsidRPr="008A62BF">
        <w:rPr>
          <w:rFonts w:ascii="SimSun" w:eastAsia="SimSun" w:hAnsi="SimSun" w:cs="Microsoft YaHei" w:hint="eastAsia"/>
          <w:sz w:val="21"/>
          <w:szCs w:val="21"/>
          <w:lang w:val="en" w:eastAsia="zh-CN"/>
        </w:rPr>
        <w:t>）</w:t>
      </w:r>
      <w:r>
        <w:rPr>
          <w:rFonts w:ascii="SimSun" w:eastAsia="SimSun" w:hAnsi="SimSun" w:cs="Microsoft YaHei" w:hint="eastAsia"/>
          <w:sz w:val="21"/>
          <w:szCs w:val="21"/>
          <w:lang w:val="en" w:eastAsia="zh-CN"/>
        </w:rPr>
        <w:t>方面对软件行业进行了整体审查</w:t>
      </w:r>
      <w:r>
        <w:rPr>
          <w:rFonts w:ascii="SimSun" w:eastAsia="SimSun" w:hAnsi="SimSun" w:cs="Microsoft YaHei" w:hint="eastAsia"/>
          <w:sz w:val="21"/>
          <w:szCs w:val="21"/>
          <w:lang w:val="en-GB" w:eastAsia="zh-CN"/>
        </w:rPr>
        <w:t>。</w:t>
      </w:r>
      <w:r w:rsidR="00DB7A4B">
        <w:rPr>
          <w:rFonts w:ascii="SimSun" w:eastAsia="SimSun" w:hAnsi="SimSun" w:cs="Microsoft YaHei" w:hint="eastAsia"/>
          <w:sz w:val="21"/>
          <w:szCs w:val="21"/>
          <w:lang w:val="en-GB" w:eastAsia="zh-CN"/>
        </w:rPr>
        <w:t>此项</w:t>
      </w:r>
      <w:r>
        <w:rPr>
          <w:rFonts w:ascii="SimSun" w:eastAsia="SimSun" w:hAnsi="SimSun" w:cs="Microsoft YaHei" w:hint="eastAsia"/>
          <w:sz w:val="21"/>
          <w:szCs w:val="21"/>
          <w:lang w:val="en-GB" w:eastAsia="zh-CN"/>
        </w:rPr>
        <w:t>审查不限于受益国的</w:t>
      </w:r>
      <w:r w:rsidR="00E303A2">
        <w:rPr>
          <w:rFonts w:ascii="SimSun" w:eastAsia="SimSun" w:hAnsi="SimSun" w:cs="Microsoft YaHei" w:hint="eastAsia"/>
          <w:sz w:val="21"/>
          <w:szCs w:val="21"/>
          <w:lang w:val="en-GB" w:eastAsia="zh-CN"/>
        </w:rPr>
        <w:t>情况</w:t>
      </w:r>
      <w:r>
        <w:rPr>
          <w:rFonts w:ascii="SimSun" w:eastAsia="SimSun" w:hAnsi="SimSun" w:cs="Microsoft YaHei" w:hint="eastAsia"/>
          <w:sz w:val="21"/>
          <w:szCs w:val="21"/>
          <w:lang w:val="en-GB" w:eastAsia="zh-CN"/>
        </w:rPr>
        <w:t>，而是针对</w:t>
      </w:r>
      <w:r w:rsidR="00981DD8" w:rsidRPr="007312D5">
        <w:rPr>
          <w:rFonts w:ascii="SimSun" w:eastAsia="SimSun" w:hAnsi="SimSun" w:cs="Microsoft YaHei" w:hint="eastAsia"/>
          <w:sz w:val="21"/>
          <w:szCs w:val="21"/>
          <w:lang w:val="en-GB" w:eastAsia="zh-CN"/>
        </w:rPr>
        <w:t>全球范围</w:t>
      </w:r>
      <w:r>
        <w:rPr>
          <w:rFonts w:ascii="SimSun" w:eastAsia="SimSun" w:hAnsi="SimSun" w:cs="Microsoft YaHei" w:hint="eastAsia"/>
          <w:sz w:val="21"/>
          <w:szCs w:val="21"/>
          <w:lang w:val="en-GB" w:eastAsia="zh-CN"/>
        </w:rPr>
        <w:t>进行的</w:t>
      </w:r>
      <w:r w:rsidR="00981DD8" w:rsidRPr="007312D5">
        <w:rPr>
          <w:rFonts w:ascii="SimSun" w:eastAsia="SimSun" w:hAnsi="SimSun" w:cs="Microsoft YaHei" w:hint="eastAsia"/>
          <w:sz w:val="21"/>
          <w:szCs w:val="21"/>
          <w:lang w:val="en-GB" w:eastAsia="zh-CN"/>
        </w:rPr>
        <w:t>。本部分</w:t>
      </w:r>
      <w:r w:rsidR="00E303A2">
        <w:rPr>
          <w:rFonts w:ascii="SimSun" w:eastAsia="SimSun" w:hAnsi="SimSun" w:cs="Microsoft YaHei" w:hint="eastAsia"/>
          <w:sz w:val="21"/>
          <w:szCs w:val="21"/>
          <w:lang w:val="en-GB" w:eastAsia="zh-CN"/>
        </w:rPr>
        <w:t>最后</w:t>
      </w:r>
      <w:r w:rsidR="00981DD8" w:rsidRPr="007312D5">
        <w:rPr>
          <w:rFonts w:ascii="SimSun" w:eastAsia="SimSun" w:hAnsi="SimSun" w:cs="Microsoft YaHei" w:hint="eastAsia"/>
          <w:sz w:val="21"/>
          <w:szCs w:val="21"/>
          <w:lang w:val="en-GB" w:eastAsia="zh-CN"/>
        </w:rPr>
        <w:t>确定</w:t>
      </w:r>
      <w:r w:rsidR="00E303A2">
        <w:rPr>
          <w:rFonts w:ascii="SimSun" w:eastAsia="SimSun" w:hAnsi="SimSun" w:cs="Microsoft YaHei" w:hint="eastAsia"/>
          <w:sz w:val="21"/>
          <w:szCs w:val="21"/>
          <w:lang w:val="en-GB" w:eastAsia="zh-CN"/>
        </w:rPr>
        <w:t>了哪些因素</w:t>
      </w:r>
      <w:r w:rsidR="00981DD8" w:rsidRPr="007312D5">
        <w:rPr>
          <w:rFonts w:ascii="SimSun" w:eastAsia="SimSun" w:hAnsi="SimSun" w:cs="Microsoft YaHei" w:hint="eastAsia"/>
          <w:sz w:val="21"/>
          <w:szCs w:val="21"/>
          <w:lang w:val="en-GB" w:eastAsia="zh-CN"/>
        </w:rPr>
        <w:t>可被视为</w:t>
      </w:r>
      <w:r w:rsidR="00E303A2">
        <w:rPr>
          <w:rFonts w:ascii="SimSun" w:eastAsia="SimSun" w:hAnsi="SimSun" w:cs="Microsoft YaHei" w:hint="eastAsia"/>
          <w:sz w:val="21"/>
          <w:szCs w:val="21"/>
          <w:lang w:val="en-GB" w:eastAsia="zh-CN"/>
        </w:rPr>
        <w:t>是</w:t>
      </w:r>
      <w:r w:rsidR="00303E97">
        <w:rPr>
          <w:rFonts w:ascii="SimSun" w:eastAsia="SimSun" w:hAnsi="SimSun" w:cs="Microsoft YaHei" w:hint="eastAsia"/>
          <w:sz w:val="21"/>
          <w:szCs w:val="21"/>
          <w:lang w:val="en-GB" w:eastAsia="zh-CN"/>
        </w:rPr>
        <w:t>造成</w:t>
      </w:r>
      <w:r w:rsidR="00981DD8" w:rsidRPr="007312D5">
        <w:rPr>
          <w:rFonts w:ascii="SimSun" w:eastAsia="SimSun" w:hAnsi="SimSun" w:cs="Microsoft YaHei" w:hint="eastAsia"/>
          <w:sz w:val="21"/>
          <w:szCs w:val="21"/>
          <w:lang w:val="en-GB" w:eastAsia="zh-CN"/>
        </w:rPr>
        <w:t>广泛认为</w:t>
      </w:r>
      <w:r w:rsidR="00E303A2">
        <w:rPr>
          <w:rFonts w:ascii="SimSun" w:eastAsia="SimSun" w:hAnsi="SimSun" w:cs="Microsoft YaHei" w:hint="eastAsia"/>
          <w:sz w:val="21"/>
          <w:szCs w:val="21"/>
          <w:lang w:val="en-GB" w:eastAsia="zh-CN"/>
        </w:rPr>
        <w:t>的</w:t>
      </w:r>
      <w:r w:rsidR="00981DD8" w:rsidRPr="007312D5">
        <w:rPr>
          <w:rFonts w:ascii="SimSun" w:eastAsia="SimSun" w:hAnsi="SimSun" w:cs="Microsoft YaHei" w:hint="eastAsia"/>
          <w:sz w:val="21"/>
          <w:szCs w:val="21"/>
          <w:lang w:val="en-GB" w:eastAsia="zh-CN"/>
        </w:rPr>
        <w:t>知识产权资产开发不充分的</w:t>
      </w:r>
      <w:r w:rsidR="00E303A2">
        <w:rPr>
          <w:rFonts w:ascii="SimSun" w:eastAsia="SimSun" w:hAnsi="SimSun" w:cs="Microsoft YaHei" w:hint="eastAsia"/>
          <w:sz w:val="21"/>
          <w:szCs w:val="21"/>
          <w:lang w:val="en-GB" w:eastAsia="zh-CN"/>
        </w:rPr>
        <w:t>目前</w:t>
      </w:r>
      <w:r w:rsidR="00981DD8" w:rsidRPr="007312D5">
        <w:rPr>
          <w:rFonts w:ascii="SimSun" w:eastAsia="SimSun" w:hAnsi="SimSun" w:cs="Microsoft YaHei" w:hint="eastAsia"/>
          <w:sz w:val="21"/>
          <w:szCs w:val="21"/>
          <w:lang w:val="en-GB" w:eastAsia="zh-CN"/>
        </w:rPr>
        <w:t>主要障碍，以此作为筹集资金的依据。</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sz w:val="21"/>
          <w:szCs w:val="21"/>
          <w:lang w:val="en-GB" w:eastAsia="zh-CN"/>
        </w:rPr>
      </w:pPr>
      <w:bookmarkStart w:id="7" w:name="_Toc429958285"/>
      <w:r w:rsidRPr="007312D5">
        <w:rPr>
          <w:rFonts w:ascii="SimSun" w:eastAsia="SimSun" w:hAnsi="SimSun" w:cs="Microsoft YaHei" w:hint="eastAsia"/>
          <w:sz w:val="21"/>
          <w:szCs w:val="21"/>
          <w:lang w:eastAsia="zh-CN"/>
        </w:rPr>
        <w:t>第四部分调查了软件产业与受益国的研究机构和信通技术中心的合作，以及知识产权法在这方面</w:t>
      </w:r>
      <w:r w:rsidR="00E303A2">
        <w:rPr>
          <w:rFonts w:ascii="SimSun" w:eastAsia="SimSun" w:hAnsi="SimSun" w:cs="Microsoft YaHei" w:hint="eastAsia"/>
          <w:sz w:val="21"/>
          <w:szCs w:val="21"/>
          <w:lang w:eastAsia="zh-CN"/>
        </w:rPr>
        <w:t>发挥</w:t>
      </w:r>
      <w:r w:rsidRPr="007312D5">
        <w:rPr>
          <w:rFonts w:ascii="SimSun" w:eastAsia="SimSun" w:hAnsi="SimSun" w:cs="Microsoft YaHei" w:hint="eastAsia"/>
          <w:sz w:val="21"/>
          <w:szCs w:val="21"/>
          <w:lang w:eastAsia="zh-CN"/>
        </w:rPr>
        <w:t>的作用。</w:t>
      </w:r>
      <w:bookmarkEnd w:id="7"/>
      <w:r w:rsidRPr="007312D5">
        <w:rPr>
          <w:rFonts w:ascii="SimSun" w:eastAsia="SimSun" w:hAnsi="SimSun" w:cs="Microsoft YaHei" w:hint="eastAsia"/>
          <w:sz w:val="21"/>
          <w:szCs w:val="21"/>
          <w:lang w:eastAsia="zh-CN"/>
        </w:rPr>
        <w:t>报告讨论了所有受益国</w:t>
      </w:r>
      <w:r w:rsidR="00196E45">
        <w:rPr>
          <w:rFonts w:ascii="SimSun" w:eastAsia="SimSun" w:hAnsi="SimSun" w:cs="Microsoft YaHei" w:hint="eastAsia"/>
          <w:sz w:val="21"/>
          <w:szCs w:val="21"/>
          <w:lang w:eastAsia="zh-CN"/>
        </w:rPr>
        <w:t>在这</w:t>
      </w:r>
      <w:r w:rsidRPr="007312D5">
        <w:rPr>
          <w:rFonts w:ascii="SimSun" w:eastAsia="SimSun" w:hAnsi="SimSun" w:cs="Microsoft YaHei" w:hint="eastAsia"/>
          <w:sz w:val="21"/>
          <w:szCs w:val="21"/>
          <w:lang w:eastAsia="zh-CN"/>
        </w:rPr>
        <w:t>方面的一些关键举措，其中一些</w:t>
      </w:r>
      <w:r w:rsidR="00196E45">
        <w:rPr>
          <w:rFonts w:ascii="SimSun" w:eastAsia="SimSun" w:hAnsi="SimSun" w:cs="Microsoft YaHei" w:hint="eastAsia"/>
          <w:sz w:val="21"/>
          <w:szCs w:val="21"/>
          <w:lang w:eastAsia="zh-CN"/>
        </w:rPr>
        <w:t>举措</w:t>
      </w:r>
      <w:r w:rsidRPr="007312D5">
        <w:rPr>
          <w:rFonts w:ascii="SimSun" w:eastAsia="SimSun" w:hAnsi="SimSun" w:cs="Microsoft YaHei" w:hint="eastAsia"/>
          <w:sz w:val="21"/>
          <w:szCs w:val="21"/>
          <w:lang w:eastAsia="zh-CN"/>
        </w:rPr>
        <w:t>可作为在移动应用产业部门开展更多后续合作的榜样</w:t>
      </w:r>
      <w:r w:rsidR="00196E45">
        <w:rPr>
          <w:rFonts w:ascii="SimSun" w:eastAsia="SimSun" w:hAnsi="SimSun" w:cs="Arial" w:hint="eastAsia"/>
          <w:sz w:val="21"/>
          <w:szCs w:val="21"/>
          <w:lang w:eastAsia="zh-CN"/>
        </w:rPr>
        <w:t>。</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sz w:val="21"/>
          <w:szCs w:val="21"/>
          <w:lang w:eastAsia="zh-CN"/>
        </w:rPr>
      </w:pPr>
      <w:r w:rsidRPr="007312D5">
        <w:rPr>
          <w:rFonts w:ascii="SimSun" w:eastAsia="SimSun" w:hAnsi="SimSun" w:cs="Microsoft YaHei" w:hint="eastAsia"/>
          <w:sz w:val="21"/>
          <w:szCs w:val="21"/>
          <w:lang w:val="en-GB" w:eastAsia="zh-CN"/>
        </w:rPr>
        <w:t>第五部分力图</w:t>
      </w:r>
      <w:r w:rsidR="00196E45" w:rsidRPr="007312D5">
        <w:rPr>
          <w:rFonts w:ascii="SimSun" w:eastAsia="SimSun" w:hAnsi="SimSun" w:cs="Microsoft YaHei" w:hint="eastAsia"/>
          <w:sz w:val="21"/>
          <w:szCs w:val="21"/>
          <w:lang w:val="en-GB" w:eastAsia="zh-CN"/>
        </w:rPr>
        <w:t>审查在此背景下为受益国的软件部门提供当地和国外知识产权融资和合作机制的情况</w:t>
      </w:r>
      <w:r w:rsidR="00196E45">
        <w:rPr>
          <w:rFonts w:ascii="SimSun" w:eastAsia="SimSun" w:hAnsi="SimSun" w:cs="Microsoft YaHei" w:hint="eastAsia"/>
          <w:sz w:val="21"/>
          <w:szCs w:val="21"/>
          <w:lang w:val="en-GB" w:eastAsia="zh-CN"/>
        </w:rPr>
        <w:t>，藉此</w:t>
      </w:r>
      <w:r w:rsidRPr="007312D5">
        <w:rPr>
          <w:rFonts w:ascii="SimSun" w:eastAsia="SimSun" w:hAnsi="SimSun" w:cs="Microsoft YaHei" w:hint="eastAsia"/>
          <w:sz w:val="21"/>
          <w:szCs w:val="21"/>
          <w:lang w:val="en-GB" w:eastAsia="zh-CN"/>
        </w:rPr>
        <w:t>扩大第三部分所讨论的领域</w:t>
      </w:r>
      <w:r w:rsidR="00196E45">
        <w:rPr>
          <w:rFonts w:ascii="SimSun" w:eastAsia="SimSun" w:hAnsi="SimSun" w:cs="Microsoft YaHei" w:hint="eastAsia"/>
          <w:sz w:val="21"/>
          <w:szCs w:val="21"/>
          <w:lang w:val="en-GB" w:eastAsia="zh-CN"/>
        </w:rPr>
        <w:t>。</w:t>
      </w:r>
      <w:r w:rsidR="008D725A">
        <w:rPr>
          <w:rFonts w:ascii="SimSun" w:eastAsia="SimSun" w:hAnsi="SimSun" w:cs="Microsoft YaHei" w:hint="eastAsia"/>
          <w:sz w:val="21"/>
          <w:szCs w:val="21"/>
          <w:lang w:val="en-GB" w:eastAsia="zh-CN"/>
        </w:rPr>
        <w:t>有些出乎意料的是</w:t>
      </w:r>
      <w:r w:rsidRPr="007312D5">
        <w:rPr>
          <w:rFonts w:ascii="SimSun" w:eastAsia="SimSun" w:hAnsi="SimSun" w:cs="Microsoft YaHei" w:hint="eastAsia"/>
          <w:sz w:val="21"/>
          <w:szCs w:val="21"/>
          <w:lang w:val="en-GB" w:eastAsia="zh-CN"/>
        </w:rPr>
        <w:t>，根据</w:t>
      </w:r>
      <w:r w:rsidR="00196E45" w:rsidRPr="007312D5">
        <w:rPr>
          <w:rFonts w:ascii="SimSun" w:eastAsia="SimSun" w:hAnsi="SimSun" w:cs="Microsoft YaHei" w:hint="eastAsia"/>
          <w:sz w:val="21"/>
          <w:szCs w:val="21"/>
          <w:lang w:val="en-GB" w:eastAsia="zh-CN"/>
        </w:rPr>
        <w:t>全球</w:t>
      </w:r>
      <w:r w:rsidR="00D52C4E">
        <w:rPr>
          <w:rFonts w:ascii="SimSun" w:eastAsia="SimSun" w:hAnsi="SimSun" w:cs="Microsoft YaHei" w:hint="eastAsia"/>
          <w:sz w:val="21"/>
          <w:szCs w:val="21"/>
          <w:lang w:val="en-GB" w:eastAsia="zh-CN"/>
        </w:rPr>
        <w:t>在</w:t>
      </w:r>
      <w:r w:rsidRPr="007312D5">
        <w:rPr>
          <w:rFonts w:ascii="SimSun" w:eastAsia="SimSun" w:hAnsi="SimSun" w:cs="Microsoft YaHei" w:hint="eastAsia"/>
          <w:sz w:val="21"/>
          <w:szCs w:val="21"/>
          <w:lang w:val="en-GB" w:eastAsia="zh-CN"/>
        </w:rPr>
        <w:t>这方面的情况，</w:t>
      </w:r>
      <w:r w:rsidR="00196E45">
        <w:rPr>
          <w:rFonts w:ascii="SimSun" w:eastAsia="SimSun" w:hAnsi="SimSun" w:cs="Microsoft YaHei" w:hint="eastAsia"/>
          <w:sz w:val="21"/>
          <w:szCs w:val="21"/>
          <w:lang w:val="en-GB" w:eastAsia="zh-CN"/>
        </w:rPr>
        <w:t>可以确定</w:t>
      </w:r>
      <w:r w:rsidRPr="007312D5">
        <w:rPr>
          <w:rFonts w:ascii="SimSun" w:eastAsia="SimSun" w:hAnsi="SimSun" w:cs="Microsoft YaHei" w:hint="eastAsia"/>
          <w:sz w:val="21"/>
          <w:szCs w:val="21"/>
          <w:lang w:val="en-GB" w:eastAsia="zh-CN"/>
        </w:rPr>
        <w:t>支持知识产权融资的机制</w:t>
      </w:r>
      <w:r w:rsidR="00AF0459">
        <w:rPr>
          <w:rFonts w:ascii="SimSun" w:eastAsia="SimSun" w:hAnsi="SimSun" w:cs="Microsoft YaHei" w:hint="eastAsia"/>
          <w:sz w:val="21"/>
          <w:szCs w:val="21"/>
          <w:lang w:val="en-GB" w:eastAsia="zh-CN"/>
        </w:rPr>
        <w:t>能够从</w:t>
      </w:r>
      <w:r w:rsidR="00196E45">
        <w:rPr>
          <w:rFonts w:ascii="SimSun" w:eastAsia="SimSun" w:hAnsi="SimSun" w:cs="Microsoft YaHei" w:hint="eastAsia"/>
          <w:sz w:val="21"/>
          <w:szCs w:val="21"/>
          <w:lang w:val="en-GB" w:eastAsia="zh-CN"/>
        </w:rPr>
        <w:t>所有受益国的进一步发展</w:t>
      </w:r>
      <w:r w:rsidR="00AF0459">
        <w:rPr>
          <w:rFonts w:ascii="SimSun" w:eastAsia="SimSun" w:hAnsi="SimSun" w:cs="Microsoft YaHei" w:hint="eastAsia"/>
          <w:sz w:val="21"/>
          <w:szCs w:val="21"/>
          <w:lang w:val="en-GB" w:eastAsia="zh-CN"/>
        </w:rPr>
        <w:t>中受益</w:t>
      </w:r>
      <w:r w:rsidRPr="007312D5">
        <w:rPr>
          <w:rFonts w:ascii="SimSun" w:eastAsia="SimSun" w:hAnsi="SimSun" w:cs="Microsoft YaHei" w:hint="eastAsia"/>
          <w:sz w:val="21"/>
          <w:szCs w:val="21"/>
          <w:lang w:val="en-GB" w:eastAsia="zh-CN"/>
        </w:rPr>
        <w:t>。</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sz w:val="21"/>
          <w:szCs w:val="21"/>
          <w:lang w:eastAsia="zh-CN"/>
        </w:rPr>
      </w:pPr>
      <w:r w:rsidRPr="007312D5">
        <w:rPr>
          <w:rFonts w:ascii="SimSun" w:eastAsia="SimSun" w:hAnsi="SimSun" w:cs="Microsoft YaHei" w:hint="eastAsia"/>
          <w:sz w:val="21"/>
          <w:szCs w:val="21"/>
          <w:lang w:eastAsia="zh-CN"/>
        </w:rPr>
        <w:t>第六部分对近期和正在进行的与移动应用经济相关的研究和</w:t>
      </w:r>
      <w:r w:rsidRPr="007312D5">
        <w:rPr>
          <w:rFonts w:ascii="SimSun" w:eastAsia="SimSun" w:hAnsi="SimSun" w:cs="Arial"/>
          <w:sz w:val="21"/>
          <w:szCs w:val="21"/>
          <w:lang w:eastAsia="zh-CN"/>
        </w:rPr>
        <w:t>/</w:t>
      </w:r>
      <w:r w:rsidRPr="007312D5">
        <w:rPr>
          <w:rFonts w:ascii="SimSun" w:eastAsia="SimSun" w:hAnsi="SimSun" w:cs="Microsoft YaHei" w:hint="eastAsia"/>
          <w:sz w:val="21"/>
          <w:szCs w:val="21"/>
          <w:lang w:eastAsia="zh-CN"/>
        </w:rPr>
        <w:t>或举措进行跟踪，以确定是否可以与该项目形成协同效应。</w:t>
      </w:r>
      <w:r w:rsidR="00F12894">
        <w:rPr>
          <w:rFonts w:ascii="SimSun" w:eastAsia="SimSun" w:hAnsi="SimSun" w:cs="Microsoft YaHei" w:hint="eastAsia"/>
          <w:sz w:val="21"/>
          <w:szCs w:val="21"/>
          <w:lang w:eastAsia="zh-CN"/>
        </w:rPr>
        <w:t>因</w:t>
      </w:r>
      <w:r w:rsidR="009B1063">
        <w:rPr>
          <w:rFonts w:ascii="SimSun" w:eastAsia="SimSun" w:hAnsi="SimSun" w:cs="Microsoft YaHei" w:hint="eastAsia"/>
          <w:sz w:val="21"/>
          <w:szCs w:val="21"/>
          <w:lang w:eastAsia="zh-CN"/>
        </w:rPr>
        <w:t>而</w:t>
      </w:r>
      <w:r w:rsidRPr="007312D5">
        <w:rPr>
          <w:rFonts w:ascii="SimSun" w:eastAsia="SimSun" w:hAnsi="SimSun" w:cs="Microsoft YaHei" w:hint="eastAsia"/>
          <w:sz w:val="21"/>
          <w:szCs w:val="21"/>
          <w:lang w:eastAsia="zh-CN"/>
        </w:rPr>
        <w:t>找出了</w:t>
      </w:r>
      <w:r w:rsidR="00C07D29">
        <w:rPr>
          <w:rFonts w:ascii="SimSun" w:eastAsia="SimSun" w:hAnsi="SimSun" w:cs="Microsoft YaHei" w:hint="eastAsia"/>
          <w:sz w:val="21"/>
          <w:szCs w:val="21"/>
          <w:lang w:eastAsia="zh-CN"/>
        </w:rPr>
        <w:t>与</w:t>
      </w:r>
      <w:r w:rsidRPr="007312D5">
        <w:rPr>
          <w:rFonts w:ascii="SimSun" w:eastAsia="SimSun" w:hAnsi="SimSun" w:cs="Microsoft YaHei" w:hint="eastAsia"/>
          <w:sz w:val="21"/>
          <w:szCs w:val="21"/>
          <w:lang w:eastAsia="zh-CN"/>
        </w:rPr>
        <w:t>所有三个区域</w:t>
      </w:r>
      <w:r w:rsidR="00C07D29">
        <w:rPr>
          <w:rFonts w:ascii="SimSun" w:eastAsia="SimSun" w:hAnsi="SimSun" w:cs="Microsoft YaHei" w:hint="eastAsia"/>
          <w:sz w:val="21"/>
          <w:szCs w:val="21"/>
          <w:lang w:eastAsia="zh-CN"/>
        </w:rPr>
        <w:t>相关</w:t>
      </w:r>
      <w:r w:rsidRPr="007312D5">
        <w:rPr>
          <w:rFonts w:ascii="SimSun" w:eastAsia="SimSun" w:hAnsi="SimSun" w:cs="Microsoft YaHei" w:hint="eastAsia"/>
          <w:sz w:val="21"/>
          <w:szCs w:val="21"/>
          <w:lang w:eastAsia="zh-CN"/>
        </w:rPr>
        <w:t>的举措，可以</w:t>
      </w:r>
      <w:r w:rsidR="00C07D29">
        <w:rPr>
          <w:rFonts w:ascii="SimSun" w:eastAsia="SimSun" w:hAnsi="SimSun" w:cs="Microsoft YaHei" w:hint="eastAsia"/>
          <w:sz w:val="21"/>
          <w:szCs w:val="21"/>
          <w:lang w:eastAsia="zh-CN"/>
        </w:rPr>
        <w:t>针对这些举措</w:t>
      </w:r>
      <w:r w:rsidRPr="007312D5">
        <w:rPr>
          <w:rFonts w:ascii="SimSun" w:eastAsia="SimSun" w:hAnsi="SimSun" w:cs="Microsoft YaHei" w:hint="eastAsia"/>
          <w:sz w:val="21"/>
          <w:szCs w:val="21"/>
          <w:lang w:eastAsia="zh-CN"/>
        </w:rPr>
        <w:t>寻求并进一步发展与本项目的协同作用。</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sz w:val="21"/>
          <w:szCs w:val="21"/>
          <w:lang w:eastAsia="zh-CN"/>
        </w:rPr>
      </w:pPr>
      <w:r w:rsidRPr="007312D5">
        <w:rPr>
          <w:rFonts w:ascii="SimSun" w:eastAsia="SimSun" w:hAnsi="SimSun" w:cs="Microsoft YaHei" w:hint="eastAsia"/>
          <w:sz w:val="21"/>
          <w:szCs w:val="21"/>
          <w:lang w:eastAsia="zh-CN"/>
        </w:rPr>
        <w:t>第七部分审查了</w:t>
      </w:r>
      <w:r w:rsidR="000D7007">
        <w:rPr>
          <w:rFonts w:ascii="SimSun" w:eastAsia="SimSun" w:hAnsi="SimSun" w:cs="Microsoft YaHei" w:hint="eastAsia"/>
          <w:sz w:val="21"/>
          <w:szCs w:val="21"/>
          <w:lang w:eastAsia="zh-CN"/>
        </w:rPr>
        <w:t>受益</w:t>
      </w:r>
      <w:r w:rsidR="006C1323">
        <w:rPr>
          <w:rFonts w:ascii="SimSun" w:eastAsia="SimSun" w:hAnsi="SimSun" w:cs="Microsoft YaHei" w:hint="eastAsia"/>
          <w:sz w:val="21"/>
          <w:szCs w:val="21"/>
          <w:lang w:eastAsia="zh-CN"/>
        </w:rPr>
        <w:t>国的知识产权执法制度，同时提供了可行的机制，以确保以有效、</w:t>
      </w:r>
      <w:r w:rsidR="006C1323" w:rsidRPr="007312D5">
        <w:rPr>
          <w:rFonts w:ascii="SimSun" w:eastAsia="SimSun" w:hAnsi="SimSun" w:cs="Microsoft YaHei" w:hint="eastAsia"/>
          <w:sz w:val="21"/>
          <w:szCs w:val="21"/>
          <w:lang w:eastAsia="zh-CN"/>
        </w:rPr>
        <w:t>及时和可获</w:t>
      </w:r>
      <w:r w:rsidR="006C1323">
        <w:rPr>
          <w:rFonts w:ascii="SimSun" w:eastAsia="SimSun" w:hAnsi="SimSun" w:cs="Microsoft YaHei" w:hint="eastAsia"/>
          <w:sz w:val="21"/>
          <w:szCs w:val="21"/>
          <w:lang w:eastAsia="zh-CN"/>
        </w:rPr>
        <w:t>得</w:t>
      </w:r>
      <w:r w:rsidR="006C1323" w:rsidRPr="007312D5">
        <w:rPr>
          <w:rFonts w:ascii="SimSun" w:eastAsia="SimSun" w:hAnsi="SimSun" w:cs="Microsoft YaHei" w:hint="eastAsia"/>
          <w:sz w:val="21"/>
          <w:szCs w:val="21"/>
          <w:lang w:eastAsia="zh-CN"/>
        </w:rPr>
        <w:t>的</w:t>
      </w:r>
      <w:r w:rsidR="006C1323">
        <w:rPr>
          <w:rFonts w:ascii="SimSun" w:eastAsia="SimSun" w:hAnsi="SimSun" w:cs="Microsoft YaHei" w:hint="eastAsia"/>
          <w:sz w:val="21"/>
          <w:szCs w:val="21"/>
          <w:lang w:eastAsia="zh-CN"/>
        </w:rPr>
        <w:t>方式</w:t>
      </w:r>
      <w:r w:rsidR="006C1323" w:rsidRPr="007312D5">
        <w:rPr>
          <w:rFonts w:ascii="SimSun" w:eastAsia="SimSun" w:hAnsi="SimSun" w:cs="Microsoft YaHei" w:hint="eastAsia"/>
          <w:sz w:val="21"/>
          <w:szCs w:val="21"/>
          <w:lang w:eastAsia="zh-CN"/>
        </w:rPr>
        <w:t>尊重</w:t>
      </w:r>
      <w:r w:rsidR="006C1323">
        <w:rPr>
          <w:rFonts w:ascii="SimSun" w:eastAsia="SimSun" w:hAnsi="SimSun" w:cs="Microsoft YaHei" w:hint="eastAsia"/>
          <w:sz w:val="21"/>
          <w:szCs w:val="21"/>
          <w:lang w:eastAsia="zh-CN"/>
        </w:rPr>
        <w:t>知识产权被</w:t>
      </w:r>
      <w:r w:rsidRPr="007312D5">
        <w:rPr>
          <w:rFonts w:ascii="SimSun" w:eastAsia="SimSun" w:hAnsi="SimSun" w:cs="Microsoft YaHei" w:hint="eastAsia"/>
          <w:sz w:val="21"/>
          <w:szCs w:val="21"/>
          <w:lang w:eastAsia="zh-CN"/>
        </w:rPr>
        <w:t>视为一国整体知识产权制度取得成功的关键</w:t>
      </w:r>
      <w:r w:rsidR="006C1323">
        <w:rPr>
          <w:rFonts w:ascii="SimSun" w:eastAsia="SimSun" w:hAnsi="SimSun" w:cs="Microsoft YaHei" w:hint="eastAsia"/>
          <w:sz w:val="21"/>
          <w:szCs w:val="21"/>
          <w:lang w:eastAsia="zh-CN"/>
        </w:rPr>
        <w:t>。</w:t>
      </w:r>
      <w:r w:rsidRPr="007312D5">
        <w:rPr>
          <w:rFonts w:ascii="SimSun" w:eastAsia="SimSun" w:hAnsi="SimSun" w:cs="Microsoft YaHei" w:hint="eastAsia"/>
          <w:sz w:val="21"/>
          <w:szCs w:val="21"/>
          <w:lang w:eastAsia="zh-CN"/>
        </w:rPr>
        <w:t>审查</w:t>
      </w:r>
      <w:r w:rsidR="006C1323">
        <w:rPr>
          <w:rFonts w:ascii="SimSun" w:eastAsia="SimSun" w:hAnsi="SimSun" w:cs="Microsoft YaHei" w:hint="eastAsia"/>
          <w:sz w:val="21"/>
          <w:szCs w:val="21"/>
          <w:lang w:eastAsia="zh-CN"/>
        </w:rPr>
        <w:t>旨在</w:t>
      </w:r>
      <w:r w:rsidR="00C07D29">
        <w:rPr>
          <w:rFonts w:ascii="SimSun" w:eastAsia="SimSun" w:hAnsi="SimSun" w:cs="Microsoft YaHei" w:hint="eastAsia"/>
          <w:sz w:val="21"/>
          <w:szCs w:val="21"/>
          <w:lang w:eastAsia="zh-CN"/>
        </w:rPr>
        <w:t>具体化</w:t>
      </w:r>
      <w:r w:rsidRPr="007312D5">
        <w:rPr>
          <w:rFonts w:ascii="SimSun" w:eastAsia="SimSun" w:hAnsi="SimSun" w:cs="Microsoft YaHei" w:hint="eastAsia"/>
          <w:sz w:val="21"/>
          <w:szCs w:val="21"/>
          <w:lang w:eastAsia="zh-CN"/>
        </w:rPr>
        <w:t>本地软件部门在加强</w:t>
      </w:r>
      <w:r w:rsidR="006C1323">
        <w:rPr>
          <w:rFonts w:ascii="SimSun" w:eastAsia="SimSun" w:hAnsi="SimSun" w:cs="Microsoft YaHei" w:hint="eastAsia"/>
          <w:sz w:val="21"/>
          <w:szCs w:val="21"/>
          <w:lang w:eastAsia="zh-CN"/>
        </w:rPr>
        <w:t>运</w:t>
      </w:r>
      <w:r w:rsidRPr="007312D5">
        <w:rPr>
          <w:rFonts w:ascii="SimSun" w:eastAsia="SimSun" w:hAnsi="SimSun" w:cs="Microsoft YaHei" w:hint="eastAsia"/>
          <w:sz w:val="21"/>
          <w:szCs w:val="21"/>
          <w:lang w:eastAsia="zh-CN"/>
        </w:rPr>
        <w:t>用知识产权支持移动应用部门方面的一些挑战和需求。</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sz w:val="21"/>
          <w:szCs w:val="21"/>
          <w:lang w:eastAsia="zh-CN"/>
        </w:rPr>
      </w:pPr>
      <w:r w:rsidRPr="007312D5">
        <w:rPr>
          <w:rFonts w:ascii="SimSun" w:eastAsia="SimSun" w:hAnsi="SimSun" w:cs="Microsoft YaHei" w:hint="eastAsia"/>
          <w:sz w:val="21"/>
          <w:szCs w:val="21"/>
          <w:lang w:eastAsia="zh-CN"/>
        </w:rPr>
        <w:t>最后，第</w:t>
      </w:r>
      <w:r w:rsidR="006C1323">
        <w:rPr>
          <w:rFonts w:ascii="SimSun" w:eastAsia="SimSun" w:hAnsi="SimSun" w:cs="Microsoft YaHei" w:hint="eastAsia"/>
          <w:sz w:val="21"/>
          <w:szCs w:val="21"/>
          <w:lang w:eastAsia="zh-CN"/>
        </w:rPr>
        <w:t>八部分</w:t>
      </w:r>
      <w:r w:rsidR="00A33D3A">
        <w:rPr>
          <w:rFonts w:ascii="SimSun" w:eastAsia="SimSun" w:hAnsi="SimSun" w:cs="Microsoft YaHei" w:hint="eastAsia"/>
          <w:sz w:val="21"/>
          <w:szCs w:val="21"/>
          <w:lang w:eastAsia="zh-CN"/>
        </w:rPr>
        <w:t>提出</w:t>
      </w:r>
      <w:r w:rsidRPr="007312D5">
        <w:rPr>
          <w:rFonts w:ascii="SimSun" w:eastAsia="SimSun" w:hAnsi="SimSun" w:cs="Microsoft YaHei" w:hint="eastAsia"/>
          <w:sz w:val="21"/>
          <w:szCs w:val="21"/>
          <w:lang w:eastAsia="zh-CN"/>
        </w:rPr>
        <w:t>了</w:t>
      </w:r>
      <w:r w:rsidR="006C1323">
        <w:rPr>
          <w:rFonts w:ascii="SimSun" w:eastAsia="SimSun" w:hAnsi="SimSun" w:cs="Microsoft YaHei" w:hint="eastAsia"/>
          <w:sz w:val="21"/>
          <w:szCs w:val="21"/>
          <w:lang w:eastAsia="zh-CN"/>
        </w:rPr>
        <w:t>为</w:t>
      </w:r>
      <w:r w:rsidR="006C1323" w:rsidRPr="007312D5">
        <w:rPr>
          <w:rFonts w:ascii="SimSun" w:eastAsia="SimSun" w:hAnsi="SimSun" w:cs="Microsoft YaHei" w:hint="eastAsia"/>
          <w:sz w:val="21"/>
          <w:szCs w:val="21"/>
          <w:lang w:eastAsia="zh-CN"/>
        </w:rPr>
        <w:t>落实项目并实现预期成果</w:t>
      </w:r>
      <w:r w:rsidR="006C1323">
        <w:rPr>
          <w:rFonts w:ascii="SimSun" w:eastAsia="SimSun" w:hAnsi="SimSun" w:cs="Microsoft YaHei" w:hint="eastAsia"/>
          <w:sz w:val="21"/>
          <w:szCs w:val="21"/>
          <w:lang w:eastAsia="zh-CN"/>
        </w:rPr>
        <w:t>而</w:t>
      </w:r>
      <w:r w:rsidRPr="007312D5">
        <w:rPr>
          <w:rFonts w:ascii="SimSun" w:eastAsia="SimSun" w:hAnsi="SimSun" w:cs="Microsoft YaHei" w:hint="eastAsia"/>
          <w:sz w:val="21"/>
          <w:szCs w:val="21"/>
          <w:lang w:eastAsia="zh-CN"/>
        </w:rPr>
        <w:t>建议开展的活动，</w:t>
      </w:r>
      <w:r w:rsidR="006C1323">
        <w:rPr>
          <w:rFonts w:ascii="SimSun" w:eastAsia="SimSun" w:hAnsi="SimSun" w:cs="Microsoft YaHei" w:hint="eastAsia"/>
          <w:sz w:val="21"/>
          <w:szCs w:val="21"/>
          <w:lang w:eastAsia="zh-CN"/>
        </w:rPr>
        <w:t>列述如下。下文所列各项活动的可行性和实用性</w:t>
      </w:r>
      <w:r w:rsidRPr="007312D5">
        <w:rPr>
          <w:rFonts w:ascii="SimSun" w:eastAsia="SimSun" w:hAnsi="SimSun" w:cs="Microsoft YaHei" w:hint="eastAsia"/>
          <w:sz w:val="21"/>
          <w:szCs w:val="21"/>
          <w:lang w:eastAsia="zh-CN"/>
        </w:rPr>
        <w:t>将在与受益国磋商后予以确认。</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出版并翻译规划的关于知识产权与移动应用的产权组织出版物；</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对各种与保护移动应用相关的知识产权权利进行</w:t>
      </w:r>
      <w:r w:rsidR="00934BF9">
        <w:rPr>
          <w:rFonts w:ascii="SimSun" w:eastAsia="SimSun" w:hAnsi="SimSun" w:cs="Arial" w:hint="eastAsia"/>
          <w:bCs/>
          <w:sz w:val="21"/>
          <w:szCs w:val="21"/>
          <w:lang w:eastAsia="zh-CN"/>
        </w:rPr>
        <w:t>类型学研究</w:t>
      </w:r>
      <w:r w:rsidRPr="007312D5">
        <w:rPr>
          <w:rFonts w:ascii="SimSun" w:eastAsia="SimSun" w:hAnsi="SimSun" w:cs="Arial" w:hint="eastAsia"/>
          <w:bCs/>
          <w:sz w:val="21"/>
          <w:szCs w:val="21"/>
          <w:lang w:eastAsia="zh-CN"/>
        </w:rPr>
        <w:t>，包括可能适用的版权、专利、实用新型、商标、外观和设计和商业秘密；</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就知识产权在开发和商业化移动应用中的作用制作培训模块（包括访问第三方信息和使用受第三方保护的客体，以及利用知识产权作为筹资和确保投资的手段）；</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制作关于移动应用部门重要合同的培训模块，包括终端用户许可和应用程序开发者协议；</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与产权组织仲裁与调解中心合作开发关于软件部门仲裁调解的培训模块（其中一项针对移动应用程序开发者和企业，另外一项更高级的课程针对律师和政府官员）；</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在三个受益国软件部门利益攸关方、金融机构、风险投资人及其他投资方之间开展互动性对话；</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通过视频会议为三个受益国的信通技术中心建立连接，以推动软件部门利益攸关方在利用知识产权方面的知识经验交流，包括与大学及其他研究机构、商业合作伙伴的协作，知识产权成功故事、挑战及解决方案；</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制作针对受益国中学、大学和其他研究机构计算机科学学生的基本知识产权宣传材料；</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开展对接志愿援助受益国软件初创企业的资深商业领导者和专业律师的指导计划；</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制作用于项目受益国并可在其他感兴趣的国家复制的知识产权工具箱，包括借助产权组织学院针对软件部门专业人士的远程学习课程；</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建立在线平台，推动软件部门知识产权知识和良好做法的国际交流；</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在每一个受益国举办两次讲习班（首个讲习班旨在启动与当地利益攸关方的项目；第二个讲习班旨在确认最终可交付成果）；</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sidRPr="007312D5">
        <w:rPr>
          <w:rFonts w:ascii="SimSun" w:eastAsia="SimSun" w:hAnsi="SimSun" w:cs="Arial" w:hint="eastAsia"/>
          <w:bCs/>
          <w:sz w:val="21"/>
          <w:szCs w:val="21"/>
          <w:lang w:eastAsia="zh-CN"/>
        </w:rPr>
        <w:t>在日内瓦产权组织总部与来自三个受益国的国家联络点举行两次协调会（首个会议在范围界定研究完成后举行；第二个会议旨在完成和确认最终可交付成果）；</w:t>
      </w:r>
    </w:p>
    <w:p w:rsidR="00981DD8" w:rsidRPr="007312D5" w:rsidRDefault="00981DD8"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val="en-GB" w:eastAsia="zh-CN"/>
        </w:rPr>
      </w:pPr>
      <w:r w:rsidRPr="007312D5">
        <w:rPr>
          <w:rFonts w:ascii="SimSun" w:eastAsia="SimSun" w:hAnsi="SimSun" w:cs="Arial" w:hint="eastAsia"/>
          <w:bCs/>
          <w:sz w:val="21"/>
          <w:szCs w:val="21"/>
          <w:lang w:eastAsia="zh-CN"/>
        </w:rPr>
        <w:t>在需要促推上述活动和可交付成果时，与项目受益国举行视频会议</w:t>
      </w:r>
      <w:r w:rsidR="00A33D3A">
        <w:rPr>
          <w:rFonts w:ascii="SimSun" w:eastAsia="SimSun" w:hAnsi="SimSun" w:cs="Arial" w:hint="eastAsia"/>
          <w:bCs/>
          <w:sz w:val="21"/>
          <w:szCs w:val="21"/>
          <w:lang w:eastAsia="zh-CN"/>
        </w:rPr>
        <w:t>；</w:t>
      </w:r>
    </w:p>
    <w:p w:rsidR="00981DD8" w:rsidRPr="007312D5" w:rsidRDefault="00010A7C" w:rsidP="00A22EEE">
      <w:pPr>
        <w:pStyle w:val="ListParagraph"/>
        <w:numPr>
          <w:ilvl w:val="0"/>
          <w:numId w:val="7"/>
        </w:numPr>
        <w:overflowPunct w:val="0"/>
        <w:spacing w:afterLines="50" w:after="120" w:line="340" w:lineRule="exact"/>
        <w:ind w:left="714" w:hanging="357"/>
        <w:jc w:val="both"/>
        <w:rPr>
          <w:rFonts w:ascii="SimSun" w:eastAsia="SimSun" w:hAnsi="SimSun" w:cs="Arial"/>
          <w:bCs/>
          <w:sz w:val="21"/>
          <w:szCs w:val="21"/>
          <w:lang w:eastAsia="zh-CN"/>
        </w:rPr>
      </w:pPr>
      <w:r>
        <w:rPr>
          <w:rFonts w:ascii="SimSun" w:eastAsia="SimSun" w:hAnsi="SimSun" w:cs="Arial" w:hint="eastAsia"/>
          <w:bCs/>
          <w:sz w:val="21"/>
          <w:szCs w:val="21"/>
          <w:lang w:eastAsia="zh-CN"/>
        </w:rPr>
        <w:t>举办</w:t>
      </w:r>
      <w:r w:rsidR="00981DD8" w:rsidRPr="007312D5">
        <w:rPr>
          <w:rFonts w:ascii="SimSun" w:eastAsia="SimSun" w:hAnsi="SimSun" w:cs="Arial" w:hint="eastAsia"/>
          <w:bCs/>
          <w:sz w:val="21"/>
          <w:szCs w:val="21"/>
          <w:lang w:eastAsia="zh-CN"/>
        </w:rPr>
        <w:t>知识产权执法讲习班</w:t>
      </w:r>
    </w:p>
    <w:p w:rsidR="00981DD8" w:rsidRPr="007312D5" w:rsidRDefault="00981DD8" w:rsidP="00A22EEE">
      <w:pPr>
        <w:overflowPunct w:val="0"/>
        <w:spacing w:afterLines="50" w:after="120" w:line="340" w:lineRule="exact"/>
        <w:ind w:firstLineChars="200" w:firstLine="420"/>
        <w:jc w:val="both"/>
        <w:rPr>
          <w:rFonts w:ascii="SimSun" w:eastAsia="SimSun" w:hAnsi="SimSun" w:cs="Arial"/>
          <w:bCs/>
          <w:sz w:val="21"/>
          <w:szCs w:val="21"/>
          <w:lang w:eastAsia="zh-CN"/>
        </w:rPr>
      </w:pPr>
      <w:r w:rsidRPr="007312D5">
        <w:rPr>
          <w:rFonts w:ascii="SimSun" w:eastAsia="SimSun" w:hAnsi="SimSun" w:cs="Arial"/>
          <w:bCs/>
          <w:sz w:val="21"/>
          <w:szCs w:val="21"/>
          <w:lang w:eastAsia="zh-CN"/>
        </w:rPr>
        <w:t>[</w:t>
      </w:r>
      <w:r w:rsidRPr="007312D5">
        <w:rPr>
          <w:rFonts w:ascii="SimSun" w:eastAsia="SimSun" w:hAnsi="SimSun" w:cs="Arial" w:hint="eastAsia"/>
          <w:bCs/>
          <w:sz w:val="21"/>
          <w:szCs w:val="21"/>
          <w:lang w:eastAsia="zh-CN"/>
        </w:rPr>
        <w:t>针对开发者、企业家和政府官员等相关方</w:t>
      </w:r>
      <w:r w:rsidRPr="007312D5">
        <w:rPr>
          <w:rFonts w:ascii="SimSun" w:eastAsia="SimSun" w:hAnsi="SimSun" w:cs="Arial"/>
          <w:bCs/>
          <w:sz w:val="21"/>
          <w:szCs w:val="21"/>
          <w:lang w:eastAsia="zh-CN"/>
        </w:rPr>
        <w:t>]</w:t>
      </w:r>
      <w:r w:rsidR="00010A7C">
        <w:rPr>
          <w:rFonts w:ascii="SimSun" w:eastAsia="SimSun" w:hAnsi="SimSun" w:cs="Arial" w:hint="eastAsia"/>
          <w:bCs/>
          <w:sz w:val="21"/>
          <w:szCs w:val="21"/>
          <w:lang w:eastAsia="zh-CN"/>
        </w:rPr>
        <w:t>。</w:t>
      </w:r>
    </w:p>
    <w:p w:rsidR="00981DD8" w:rsidRPr="00010A7C" w:rsidRDefault="00981DD8" w:rsidP="00010A7C">
      <w:pPr>
        <w:overflowPunct w:val="0"/>
        <w:spacing w:afterLines="50" w:after="120" w:line="340" w:lineRule="atLeast"/>
        <w:ind w:left="5534"/>
        <w:jc w:val="both"/>
        <w:rPr>
          <w:rFonts w:ascii="KaiTi" w:eastAsia="KaiTi" w:hAnsi="KaiTi" w:cs="Arial"/>
          <w:sz w:val="21"/>
          <w:szCs w:val="22"/>
          <w:lang w:eastAsia="zh-CN"/>
        </w:rPr>
      </w:pPr>
    </w:p>
    <w:p w:rsidR="000F5E56" w:rsidRPr="007312D5" w:rsidRDefault="004006B6" w:rsidP="00A22EEE">
      <w:pPr>
        <w:overflowPunct w:val="0"/>
        <w:spacing w:afterLines="50" w:after="120" w:line="340" w:lineRule="atLeast"/>
        <w:ind w:left="5534"/>
        <w:jc w:val="both"/>
        <w:rPr>
          <w:rFonts w:ascii="SimSun" w:eastAsia="SimSun" w:hAnsi="SimSun"/>
          <w:sz w:val="21"/>
          <w:szCs w:val="21"/>
          <w:lang w:val="en-GB"/>
        </w:rPr>
      </w:pPr>
      <w:r w:rsidRPr="00010A7C">
        <w:rPr>
          <w:rFonts w:ascii="KaiTi" w:eastAsia="KaiTi" w:hAnsi="KaiTi" w:cs="Arial"/>
          <w:sz w:val="21"/>
          <w:szCs w:val="22"/>
          <w:lang w:eastAsia="zh-CN"/>
        </w:rPr>
        <w:t>[</w:t>
      </w:r>
      <w:r w:rsidR="00981DD8" w:rsidRPr="00010A7C">
        <w:rPr>
          <w:rFonts w:ascii="KaiTi" w:eastAsia="KaiTi" w:hAnsi="KaiTi" w:cs="Arial" w:hint="eastAsia"/>
          <w:sz w:val="21"/>
          <w:szCs w:val="22"/>
          <w:lang w:eastAsia="zh-CN"/>
        </w:rPr>
        <w:t>附件和文件完</w:t>
      </w:r>
      <w:r w:rsidRPr="00010A7C">
        <w:rPr>
          <w:rFonts w:ascii="KaiTi" w:eastAsia="KaiTi" w:hAnsi="KaiTi" w:cs="Arial"/>
          <w:sz w:val="21"/>
          <w:szCs w:val="22"/>
          <w:lang w:eastAsia="zh-CN"/>
        </w:rPr>
        <w:t>]</w:t>
      </w:r>
    </w:p>
    <w:sectPr w:rsidR="000F5E56" w:rsidRPr="007312D5" w:rsidSect="00A22EEE">
      <w:headerReference w:type="even" r:id="rId14"/>
      <w:headerReference w:type="default" r:id="rId15"/>
      <w:footerReference w:type="even" r:id="rId16"/>
      <w:footerReference w:type="default" r:id="rId17"/>
      <w:headerReference w:type="first" r:id="rId18"/>
      <w:footerReference w:type="first" r:id="rId19"/>
      <w:pgSz w:w="11900" w:h="16840"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BC" w:rsidRDefault="00DF39BC" w:rsidP="003C710A">
      <w:r>
        <w:separator/>
      </w:r>
    </w:p>
  </w:endnote>
  <w:endnote w:type="continuationSeparator" w:id="0">
    <w:p w:rsidR="00DF39BC" w:rsidRDefault="00DF39BC" w:rsidP="003C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Default="003C710A"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Default="00B24465">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Default="003C710A" w:rsidP="003C71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Default="00B244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Default="00B24465" w:rsidP="008C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BC" w:rsidRDefault="00DF39BC" w:rsidP="003C710A">
      <w:r>
        <w:separator/>
      </w:r>
    </w:p>
  </w:footnote>
  <w:footnote w:type="continuationSeparator" w:id="0">
    <w:p w:rsidR="00DF39BC" w:rsidRDefault="00DF39BC" w:rsidP="003C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262966" w:rsidRDefault="003C710A" w:rsidP="003C710A">
    <w:pPr>
      <w:tabs>
        <w:tab w:val="center" w:pos="4536"/>
        <w:tab w:val="right" w:pos="9072"/>
      </w:tabs>
      <w:jc w:val="right"/>
    </w:pPr>
    <w:r w:rsidRPr="00262966">
      <w:t>CDIP/20/</w:t>
    </w:r>
    <w:r w:rsidRPr="00262966">
      <w:rPr>
        <w:highlight w:val="yellow"/>
      </w:rPr>
      <w:t>X</w:t>
    </w:r>
  </w:p>
  <w:p w:rsidR="003C710A" w:rsidRDefault="003C710A" w:rsidP="003C710A">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A22EEE">
      <w:rPr>
        <w:noProof/>
      </w:rPr>
      <w:t>2</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Pr="00262966" w:rsidRDefault="00B24465" w:rsidP="008C3E9C">
    <w:pPr>
      <w:tabs>
        <w:tab w:val="center" w:pos="4536"/>
        <w:tab w:val="right" w:pos="9072"/>
      </w:tabs>
      <w:jc w:val="right"/>
    </w:pPr>
    <w:bookmarkStart w:id="6" w:name="Code2"/>
    <w:bookmarkEnd w:id="6"/>
    <w:r w:rsidRPr="00262966">
      <w:t>CDIP/2</w:t>
    </w:r>
    <w:r w:rsidR="00A22EEE">
      <w:t>4</w:t>
    </w:r>
    <w:r w:rsidRPr="00262966">
      <w:t>/</w:t>
    </w:r>
    <w:r w:rsidR="00A22EEE">
      <w:t>INF/5</w:t>
    </w:r>
  </w:p>
  <w:p w:rsidR="00B24465" w:rsidRDefault="00B24465" w:rsidP="008C3E9C">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A22EEE">
      <w:rPr>
        <w:noProof/>
      </w:rPr>
      <w:t>2</w:t>
    </w:r>
    <w:r w:rsidRPr="0026296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3C710A" w:rsidRDefault="003C710A" w:rsidP="003C710A">
    <w:pPr>
      <w:pStyle w:val="Header"/>
      <w:jc w:val="right"/>
      <w:rPr>
        <w:rFonts w:ascii="Arial" w:hAnsi="Arial" w:cs="Arial"/>
      </w:rPr>
    </w:pPr>
    <w:r w:rsidRPr="003C710A">
      <w:rPr>
        <w:rFonts w:ascii="Arial" w:hAnsi="Arial" w:cs="Arial"/>
      </w:rPr>
      <w:t>C</w:t>
    </w:r>
    <w:r w:rsidR="008D11CA">
      <w:rPr>
        <w:rFonts w:ascii="Arial" w:hAnsi="Arial" w:cs="Arial"/>
      </w:rPr>
      <w:t>DIP/24/INF/5</w:t>
    </w:r>
  </w:p>
  <w:p w:rsidR="003C710A" w:rsidRDefault="003F6146" w:rsidP="003C710A">
    <w:pPr>
      <w:pStyle w:val="Header"/>
      <w:jc w:val="right"/>
      <w:rPr>
        <w:rFonts w:ascii="Arial" w:hAnsi="Arial" w:cs="Arial"/>
      </w:rPr>
    </w:pPr>
    <w:r>
      <w:rPr>
        <w:rFonts w:ascii="Arial" w:hAnsi="Arial" w:cs="Arial"/>
      </w:rPr>
      <w:t>Annex, page 3</w:t>
    </w:r>
  </w:p>
  <w:p w:rsidR="003F6146" w:rsidRPr="003C710A" w:rsidRDefault="003F6146" w:rsidP="003C710A">
    <w:pPr>
      <w:pStyle w:val="Header"/>
      <w:jc w:val="right"/>
      <w:rPr>
        <w:rFonts w:ascii="Arial" w:hAnsi="Arial" w:cs="Arial"/>
      </w:rPr>
    </w:pPr>
  </w:p>
  <w:p w:rsidR="003C710A" w:rsidRDefault="003C710A" w:rsidP="003C710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010A7C" w:rsidRDefault="003C710A" w:rsidP="003C710A">
    <w:pPr>
      <w:pStyle w:val="Header"/>
      <w:jc w:val="right"/>
      <w:rPr>
        <w:rFonts w:ascii="SimSun" w:eastAsia="SimSun" w:hAnsi="SimSun" w:cs="Arial"/>
        <w:sz w:val="21"/>
        <w:szCs w:val="21"/>
      </w:rPr>
    </w:pPr>
    <w:r w:rsidRPr="00010A7C">
      <w:rPr>
        <w:rFonts w:ascii="SimSun" w:eastAsia="SimSun" w:hAnsi="SimSun" w:cs="Arial"/>
        <w:sz w:val="21"/>
        <w:szCs w:val="21"/>
      </w:rPr>
      <w:t>C</w:t>
    </w:r>
    <w:r w:rsidR="003B37EB" w:rsidRPr="00010A7C">
      <w:rPr>
        <w:rFonts w:ascii="SimSun" w:eastAsia="SimSun" w:hAnsi="SimSun" w:cs="Arial"/>
        <w:sz w:val="21"/>
        <w:szCs w:val="21"/>
      </w:rPr>
      <w:t>DIP/24/INF/5</w:t>
    </w:r>
  </w:p>
  <w:p w:rsidR="003C710A" w:rsidRPr="00010A7C" w:rsidRDefault="00010A7C" w:rsidP="003C710A">
    <w:pPr>
      <w:pStyle w:val="Header"/>
      <w:jc w:val="right"/>
      <w:rPr>
        <w:rFonts w:ascii="SimSun" w:eastAsia="SimSun" w:hAnsi="SimSun" w:cs="Arial"/>
        <w:sz w:val="21"/>
        <w:szCs w:val="21"/>
      </w:rPr>
    </w:pPr>
    <w:r w:rsidRPr="00010A7C">
      <w:rPr>
        <w:rFonts w:ascii="SimSun" w:eastAsia="SimSun" w:hAnsi="SimSun" w:cs="Arial" w:hint="eastAsia"/>
        <w:sz w:val="21"/>
        <w:szCs w:val="21"/>
        <w:lang w:eastAsia="zh-CN"/>
      </w:rPr>
      <w:t>附件第2页</w:t>
    </w:r>
  </w:p>
  <w:p w:rsidR="00B24465" w:rsidRDefault="00B24465" w:rsidP="003C710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Pr="00010A7C" w:rsidRDefault="003C710A" w:rsidP="003C710A">
    <w:pPr>
      <w:pStyle w:val="Header"/>
      <w:jc w:val="right"/>
      <w:rPr>
        <w:rFonts w:ascii="SimSun" w:eastAsia="SimSun" w:hAnsi="SimSun" w:cs="Arial"/>
        <w:sz w:val="21"/>
        <w:szCs w:val="21"/>
      </w:rPr>
    </w:pPr>
    <w:r w:rsidRPr="00010A7C">
      <w:rPr>
        <w:rFonts w:ascii="SimSun" w:eastAsia="SimSun" w:hAnsi="SimSun" w:cs="Arial"/>
        <w:sz w:val="21"/>
        <w:szCs w:val="21"/>
      </w:rPr>
      <w:t>C</w:t>
    </w:r>
    <w:r w:rsidR="003B37EB" w:rsidRPr="00010A7C">
      <w:rPr>
        <w:rFonts w:ascii="SimSun" w:eastAsia="SimSun" w:hAnsi="SimSun" w:cs="Arial"/>
        <w:sz w:val="21"/>
        <w:szCs w:val="21"/>
      </w:rPr>
      <w:t>DIP/24/INF/5</w:t>
    </w:r>
  </w:p>
  <w:p w:rsidR="003C710A" w:rsidRPr="00010A7C" w:rsidRDefault="00010A7C" w:rsidP="003C710A">
    <w:pPr>
      <w:pStyle w:val="Header"/>
      <w:jc w:val="right"/>
      <w:rPr>
        <w:rFonts w:ascii="SimSun" w:eastAsia="SimSun" w:hAnsi="SimSun" w:cs="Arial"/>
        <w:sz w:val="21"/>
        <w:szCs w:val="21"/>
      </w:rPr>
    </w:pPr>
    <w:r w:rsidRPr="00010A7C">
      <w:rPr>
        <w:rFonts w:ascii="SimSun" w:eastAsia="SimSun" w:hAnsi="SimSun" w:cs="Arial" w:hint="eastAsia"/>
        <w:sz w:val="21"/>
        <w:szCs w:val="21"/>
        <w:lang w:eastAsia="zh-CN"/>
      </w:rPr>
      <w:t>附</w:t>
    </w:r>
    <w:r w:rsidR="00A22EEE">
      <w:rPr>
        <w:rFonts w:ascii="SimSun" w:eastAsia="SimSun" w:hAnsi="SimSun" w:cs="Arial" w:hint="eastAsia"/>
        <w:sz w:val="21"/>
        <w:szCs w:val="21"/>
        <w:lang w:eastAsia="zh-CN"/>
      </w:rPr>
      <w:t xml:space="preserve">　</w:t>
    </w:r>
    <w:r w:rsidRPr="00010A7C">
      <w:rPr>
        <w:rFonts w:ascii="SimSun" w:eastAsia="SimSun" w:hAnsi="SimSun" w:cs="Arial" w:hint="eastAsia"/>
        <w:sz w:val="21"/>
        <w:szCs w:val="21"/>
        <w:lang w:eastAsia="zh-CN"/>
      </w:rPr>
      <w:t>件</w:t>
    </w:r>
  </w:p>
  <w:p w:rsidR="008B203D" w:rsidRPr="003C710A" w:rsidRDefault="008B203D" w:rsidP="003C710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6E0E93"/>
    <w:multiLevelType w:val="hybridMultilevel"/>
    <w:tmpl w:val="9EBE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1310C"/>
    <w:multiLevelType w:val="hybridMultilevel"/>
    <w:tmpl w:val="5F2C9218"/>
    <w:lvl w:ilvl="0" w:tplc="D26AD96A">
      <w:start w:val="2"/>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7A78F0"/>
    <w:multiLevelType w:val="hybridMultilevel"/>
    <w:tmpl w:val="3988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AE4E61"/>
    <w:multiLevelType w:val="hybridMultilevel"/>
    <w:tmpl w:val="47F8755C"/>
    <w:lvl w:ilvl="0" w:tplc="BAC806D4">
      <w:start w:val="1"/>
      <w:numFmt w:val="decimal"/>
      <w:lvlText w:val="%1."/>
      <w:lvlJc w:val="left"/>
      <w:pPr>
        <w:ind w:left="930" w:hanging="57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9"/>
  </w:num>
  <w:num w:numId="5">
    <w:abstractNumId w:val="0"/>
  </w:num>
  <w:num w:numId="6">
    <w:abstractNumId w:val="8"/>
  </w:num>
  <w:num w:numId="7">
    <w:abstractNumId w:val="5"/>
  </w:num>
  <w:num w:numId="8">
    <w:abstractNumId w:val="4"/>
  </w:num>
  <w:num w:numId="9">
    <w:abstractNumId w:val="7"/>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Development\CDIP|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8C3E9C"/>
    <w:rsid w:val="00010A7C"/>
    <w:rsid w:val="000517BA"/>
    <w:rsid w:val="00054C98"/>
    <w:rsid w:val="00067297"/>
    <w:rsid w:val="000726E8"/>
    <w:rsid w:val="00090EA9"/>
    <w:rsid w:val="000B6421"/>
    <w:rsid w:val="000D41E1"/>
    <w:rsid w:val="000D7007"/>
    <w:rsid w:val="000F5E56"/>
    <w:rsid w:val="001249E3"/>
    <w:rsid w:val="00182BDC"/>
    <w:rsid w:val="001955DF"/>
    <w:rsid w:val="00196E45"/>
    <w:rsid w:val="001D0520"/>
    <w:rsid w:val="002846F6"/>
    <w:rsid w:val="00293942"/>
    <w:rsid w:val="002A02D6"/>
    <w:rsid w:val="002B052E"/>
    <w:rsid w:val="002E2855"/>
    <w:rsid w:val="002F5E2F"/>
    <w:rsid w:val="00303E97"/>
    <w:rsid w:val="003216A8"/>
    <w:rsid w:val="003414BA"/>
    <w:rsid w:val="00341626"/>
    <w:rsid w:val="00354C78"/>
    <w:rsid w:val="00356914"/>
    <w:rsid w:val="003A0EAA"/>
    <w:rsid w:val="003B37EB"/>
    <w:rsid w:val="003C710A"/>
    <w:rsid w:val="003E6531"/>
    <w:rsid w:val="003F6146"/>
    <w:rsid w:val="004006B6"/>
    <w:rsid w:val="004270B1"/>
    <w:rsid w:val="00427CF8"/>
    <w:rsid w:val="00431118"/>
    <w:rsid w:val="00431F4D"/>
    <w:rsid w:val="00445085"/>
    <w:rsid w:val="00490560"/>
    <w:rsid w:val="004975C7"/>
    <w:rsid w:val="004B3F6D"/>
    <w:rsid w:val="004C27D6"/>
    <w:rsid w:val="005015DD"/>
    <w:rsid w:val="005061E0"/>
    <w:rsid w:val="005D2ECA"/>
    <w:rsid w:val="00660774"/>
    <w:rsid w:val="006634B6"/>
    <w:rsid w:val="006913B2"/>
    <w:rsid w:val="00696927"/>
    <w:rsid w:val="006B0800"/>
    <w:rsid w:val="006B4AD1"/>
    <w:rsid w:val="006C1323"/>
    <w:rsid w:val="007312D5"/>
    <w:rsid w:val="00751BC3"/>
    <w:rsid w:val="00780FE2"/>
    <w:rsid w:val="007B240C"/>
    <w:rsid w:val="007D53C7"/>
    <w:rsid w:val="007F1540"/>
    <w:rsid w:val="00804DB7"/>
    <w:rsid w:val="00812430"/>
    <w:rsid w:val="008349A5"/>
    <w:rsid w:val="008477E4"/>
    <w:rsid w:val="008A3A97"/>
    <w:rsid w:val="008A62BF"/>
    <w:rsid w:val="008B203D"/>
    <w:rsid w:val="008C3E9C"/>
    <w:rsid w:val="008D11CA"/>
    <w:rsid w:val="008D13D2"/>
    <w:rsid w:val="008D725A"/>
    <w:rsid w:val="009149F1"/>
    <w:rsid w:val="00934BF9"/>
    <w:rsid w:val="0093773E"/>
    <w:rsid w:val="00940663"/>
    <w:rsid w:val="009434F6"/>
    <w:rsid w:val="0095368D"/>
    <w:rsid w:val="00954D8F"/>
    <w:rsid w:val="00981DD8"/>
    <w:rsid w:val="009B1063"/>
    <w:rsid w:val="00A22EEE"/>
    <w:rsid w:val="00A33D3A"/>
    <w:rsid w:val="00A45635"/>
    <w:rsid w:val="00A52E31"/>
    <w:rsid w:val="00A6162C"/>
    <w:rsid w:val="00A73CED"/>
    <w:rsid w:val="00AB3ED8"/>
    <w:rsid w:val="00AE38BE"/>
    <w:rsid w:val="00AF0459"/>
    <w:rsid w:val="00B20ED1"/>
    <w:rsid w:val="00B24465"/>
    <w:rsid w:val="00B359AE"/>
    <w:rsid w:val="00B559FB"/>
    <w:rsid w:val="00BE1804"/>
    <w:rsid w:val="00C07D29"/>
    <w:rsid w:val="00C554EC"/>
    <w:rsid w:val="00C56D95"/>
    <w:rsid w:val="00C80664"/>
    <w:rsid w:val="00C86DDA"/>
    <w:rsid w:val="00CC7015"/>
    <w:rsid w:val="00D52C4E"/>
    <w:rsid w:val="00D761E8"/>
    <w:rsid w:val="00D917F7"/>
    <w:rsid w:val="00DB7A4B"/>
    <w:rsid w:val="00DF39BC"/>
    <w:rsid w:val="00E24DBF"/>
    <w:rsid w:val="00E303A2"/>
    <w:rsid w:val="00E33412"/>
    <w:rsid w:val="00E335AF"/>
    <w:rsid w:val="00E85620"/>
    <w:rsid w:val="00EA091D"/>
    <w:rsid w:val="00F06463"/>
    <w:rsid w:val="00F12894"/>
    <w:rsid w:val="00F1549A"/>
    <w:rsid w:val="00F72DAD"/>
    <w:rsid w:val="00F97AD1"/>
    <w:rsid w:val="00FA169F"/>
    <w:rsid w:val="00FF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608C4431-5130-492E-8E0F-6FFE9AA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E9C"/>
    <w:rPr>
      <w:rFonts w:asciiTheme="minorHAnsi" w:eastAsiaTheme="minorHAnsi" w:hAnsiTheme="minorHAnsi" w:cstheme="minorBidi"/>
      <w:sz w:val="24"/>
      <w:szCs w:val="24"/>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Title">
    <w:name w:val="Title"/>
    <w:basedOn w:val="Normal"/>
    <w:next w:val="Normal"/>
    <w:link w:val="TitleChar"/>
    <w:uiPriority w:val="10"/>
    <w:qFormat/>
    <w:rsid w:val="008C3E9C"/>
    <w:pPr>
      <w:widowControl w:val="0"/>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C3E9C"/>
    <w:rPr>
      <w:rFonts w:asciiTheme="majorHAnsi" w:eastAsiaTheme="majorEastAsia" w:hAnsiTheme="majorHAnsi" w:cstheme="majorBidi"/>
      <w:spacing w:val="-10"/>
      <w:kern w:val="28"/>
      <w:sz w:val="56"/>
      <w:szCs w:val="56"/>
      <w:lang w:val="en-GB"/>
    </w:rPr>
  </w:style>
  <w:style w:type="character" w:customStyle="1" w:styleId="HeaderChar">
    <w:name w:val="Header Char"/>
    <w:basedOn w:val="DefaultParagraphFont"/>
    <w:link w:val="Header"/>
    <w:uiPriority w:val="99"/>
    <w:rsid w:val="008C3E9C"/>
    <w:rPr>
      <w:rFonts w:ascii="Arial" w:hAnsi="Arial" w:cs="Arial"/>
      <w:sz w:val="22"/>
    </w:rPr>
  </w:style>
  <w:style w:type="character" w:customStyle="1" w:styleId="FooterChar">
    <w:name w:val="Footer Char"/>
    <w:basedOn w:val="DefaultParagraphFont"/>
    <w:link w:val="Footer"/>
    <w:uiPriority w:val="99"/>
    <w:rsid w:val="008C3E9C"/>
    <w:rPr>
      <w:rFonts w:ascii="Arial" w:hAnsi="Arial" w:cs="Arial"/>
      <w:sz w:val="22"/>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4006B6"/>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Theme="minorHAnsi" w:hAnsi="Segoe UI" w:cs="Segoe UI"/>
      <w:sz w:val="18"/>
      <w:szCs w:val="18"/>
    </w:rPr>
  </w:style>
  <w:style w:type="character" w:styleId="FollowedHyperlink">
    <w:name w:val="FollowedHyperlink"/>
    <w:basedOn w:val="DefaultParagraphFont"/>
    <w:semiHidden/>
    <w:unhideWhenUsed/>
    <w:rsid w:val="009536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wipo.int/ip-development/zh/agenda/work_undertake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313A0-A3B9-4A3E-A5A9-B6541C98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2244</Words>
  <Characters>2372</Characters>
  <Application>Microsoft Office Word</Application>
  <DocSecurity>0</DocSecurity>
  <Lines>98</Lines>
  <Paragraphs>41</Paragraphs>
  <ScaleCrop>false</ScaleCrop>
  <HeadingPairs>
    <vt:vector size="2" baseType="variant">
      <vt:variant>
        <vt:lpstr>Title</vt:lpstr>
      </vt:variant>
      <vt:variant>
        <vt:i4>1</vt:i4>
      </vt:variant>
    </vt:vector>
  </HeadingPairs>
  <TitlesOfParts>
    <vt:vector size="1" baseType="lpstr">
      <vt:lpstr>CDIP/24/INF/5</vt:lpstr>
    </vt:vector>
  </TitlesOfParts>
  <Company>World Intellectual Property Organization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CDIP/24/INF/5</dc:title>
  <dc:subject>关于在肯尼亚、特立尼达和多巴哥以及菲律宾等三个受益国提供和运用知识产权工具保护移动应用的范围界定研究摘要</dc:subject>
  <dc:creator>HUBBARD HERRAN Walter</dc:creator>
  <cp:keywords>FOR OFFICIAL USE ONLY</cp:keywords>
  <dc:description/>
  <cp:lastModifiedBy>ESTEVES DOS SANTOS Anabela</cp:lastModifiedBy>
  <cp:revision>2</cp:revision>
  <cp:lastPrinted>2019-10-30T14:59:00Z</cp:lastPrinted>
  <dcterms:created xsi:type="dcterms:W3CDTF">2019-10-30T15:44:00Z</dcterms:created>
  <dcterms:modified xsi:type="dcterms:W3CDTF">2019-10-30T15:44:00Z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b484e1db-1e8a-490e-80cc-32fc162d8c6f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