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E902" w14:textId="77777777" w:rsidR="00B01FC1" w:rsidRPr="00E22BD8" w:rsidRDefault="00B01FC1" w:rsidP="00B01FC1">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59970BF8" wp14:editId="12B2FED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73CE30" w14:textId="244F7DC8" w:rsidR="00B01FC1" w:rsidRPr="00E22BD8" w:rsidRDefault="00B01FC1" w:rsidP="00B01FC1">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2</w:t>
      </w:r>
    </w:p>
    <w:bookmarkEnd w:id="1"/>
    <w:p w14:paraId="29B9E6D3" w14:textId="77777777" w:rsidR="00B01FC1" w:rsidRPr="00E22BD8" w:rsidRDefault="00B01FC1" w:rsidP="00B01FC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5BD8E8E5" w14:textId="2121194A" w:rsidR="00B01FC1" w:rsidRPr="00E22BD8" w:rsidRDefault="00B01FC1" w:rsidP="00B01FC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17</w:t>
      </w:r>
      <w:r w:rsidRPr="00E22BD8">
        <w:rPr>
          <w:rFonts w:ascii="SimHei" w:eastAsia="SimHei" w:hAnsi="Times New Roman" w:hint="eastAsia"/>
          <w:b/>
          <w:sz w:val="15"/>
          <w:szCs w:val="15"/>
        </w:rPr>
        <w:t>日</w:t>
      </w:r>
      <w:bookmarkEnd w:id="3"/>
    </w:p>
    <w:p w14:paraId="2B6B7488" w14:textId="77777777" w:rsidR="00B01FC1" w:rsidRPr="00E22BD8" w:rsidRDefault="00B01FC1" w:rsidP="00B01FC1">
      <w:pPr>
        <w:spacing w:after="600"/>
        <w:rPr>
          <w:rFonts w:ascii="SimHei" w:eastAsia="SimHei"/>
          <w:sz w:val="28"/>
          <w:szCs w:val="28"/>
        </w:rPr>
      </w:pPr>
      <w:r w:rsidRPr="00E22BD8">
        <w:rPr>
          <w:rFonts w:ascii="SimHei" w:eastAsia="SimHei" w:hint="eastAsia"/>
          <w:sz w:val="28"/>
          <w:szCs w:val="28"/>
        </w:rPr>
        <w:t>发展与知识产权委员会（CDIP）</w:t>
      </w:r>
    </w:p>
    <w:p w14:paraId="546248FE" w14:textId="77777777" w:rsidR="00B01FC1" w:rsidRPr="0080619C" w:rsidRDefault="00B01FC1" w:rsidP="00B01FC1">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0317157B" w14:textId="77777777" w:rsidR="00E733EF" w:rsidRPr="00B01FC1" w:rsidRDefault="00191652">
      <w:pPr>
        <w:spacing w:after="360"/>
        <w:outlineLvl w:val="1"/>
        <w:rPr>
          <w:rFonts w:ascii="KaiTi" w:eastAsia="KaiTi" w:hAnsi="KaiTi" w:cs="Times New Roman"/>
          <w:sz w:val="24"/>
          <w:szCs w:val="32"/>
        </w:rPr>
      </w:pPr>
      <w:bookmarkStart w:id="4" w:name="TitleOfDoc"/>
      <w:bookmarkEnd w:id="4"/>
      <w:r w:rsidRPr="00B01FC1">
        <w:rPr>
          <w:rFonts w:ascii="KaiTi" w:eastAsia="KaiTi" w:hAnsi="KaiTi" w:cs="Times New Roman" w:hint="eastAsia"/>
          <w:sz w:val="24"/>
          <w:szCs w:val="32"/>
        </w:rPr>
        <w:t>总干事关于发展议程落实情况的报告</w:t>
      </w:r>
    </w:p>
    <w:p w14:paraId="279FC868" w14:textId="77777777" w:rsidR="00E733EF" w:rsidRPr="00191652" w:rsidRDefault="00191652">
      <w:pPr>
        <w:spacing w:after="960"/>
        <w:jc w:val="both"/>
        <w:rPr>
          <w:rFonts w:ascii="KaiTi" w:eastAsia="KaiTi" w:hAnsi="KaiTi"/>
          <w:iCs/>
          <w:sz w:val="21"/>
          <w:szCs w:val="21"/>
        </w:rPr>
      </w:pPr>
      <w:bookmarkStart w:id="5" w:name="Prepared"/>
      <w:bookmarkEnd w:id="5"/>
      <w:r w:rsidRPr="00191652">
        <w:rPr>
          <w:rFonts w:ascii="KaiTi" w:eastAsia="KaiTi" w:hAnsi="KaiTi" w:hint="eastAsia"/>
          <w:iCs/>
          <w:sz w:val="21"/>
          <w:szCs w:val="21"/>
        </w:rPr>
        <w:t>秘书处编拟</w:t>
      </w:r>
    </w:p>
    <w:p w14:paraId="37D80484" w14:textId="1E567A83"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本文件载有总干事关于发展议程2022年度落实情况的报告。这是总干事的第十三份年度报告，旨在概述产权组织在落实发展议程并将其纳入产权组织相关计划的主流方面所开展的活动。</w:t>
      </w:r>
    </w:p>
    <w:p w14:paraId="75321869" w14:textId="3F710EBB"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继发展与知识产权委员会（CDIP）第二十八届会议采用新的报告结构后，报告以产权组织以下各部门的主要工作领域为中心，介绍了发展议程的落实和主流化情况：区域和国家发展部门；专利和技术部门；品牌和外观设计部门；版权和创意产业部门；基础设施和平台部门；全球挑战和伙伴关系部门；知识产权和创新生态系统部门；以及行政、财务和管理部门。报告的每一部分都概括介绍了本部门与知识产权和发展相关的工作、产权组织相关机构的最新工作情况，并且概括介绍了这些工作领域中当前正在实施的和已经被纳入主流的发展议程项目。</w:t>
      </w:r>
    </w:p>
    <w:p w14:paraId="1DDF79E5"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报告也回应了委员会关于将发展议程建议与总干事关于发展议程落实情况的年度报告附件一中所述预期成果关联起来的要求，见第二十二届会议“主席总结”第8.3段。附件二提供了截至2022年的发展议程项目一览表。</w:t>
      </w:r>
    </w:p>
    <w:p w14:paraId="21540283" w14:textId="77777777" w:rsidR="00E733EF" w:rsidRPr="00B01FC1" w:rsidRDefault="00191652" w:rsidP="00B01FC1">
      <w:pPr>
        <w:pStyle w:val="Heading1"/>
        <w:spacing w:beforeLines="100" w:afterLines="100" w:after="240" w:line="340" w:lineRule="atLeast"/>
        <w:ind w:left="357"/>
        <w:jc w:val="both"/>
        <w:rPr>
          <w:rFonts w:ascii="SimHei" w:eastAsia="SimHei" w:hAnsi="SimHei"/>
          <w:b w:val="0"/>
          <w:sz w:val="21"/>
          <w:szCs w:val="21"/>
        </w:rPr>
      </w:pPr>
      <w:r w:rsidRPr="00B01FC1">
        <w:rPr>
          <w:rFonts w:ascii="SimHei" w:eastAsia="SimHei" w:hAnsi="SimHei" w:hint="eastAsia"/>
          <w:b w:val="0"/>
          <w:sz w:val="21"/>
          <w:szCs w:val="21"/>
        </w:rPr>
        <w:lastRenderedPageBreak/>
        <w:t>导　言</w:t>
      </w:r>
    </w:p>
    <w:p w14:paraId="2EF11789"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自通过以来，发展议程一直作为本组织的指南，以确保发展方面的考虑成为产权组织工作的组成部分，从而触发将发展层面纳入本组织计划和活动主流的持续进程。因此，发展已成为产权组织的基石。发展议程基于的概念是，文字和意图需要在成员国的指导下转化为实际行动。产权组织目前的《2022-2026年中期战略计划》</w:t>
      </w:r>
      <w:r w:rsidRPr="00140621">
        <w:rPr>
          <w:rFonts w:asciiTheme="minorEastAsia" w:eastAsiaTheme="minorEastAsia" w:hAnsiTheme="minorEastAsia"/>
          <w:sz w:val="21"/>
          <w:szCs w:val="21"/>
          <w:vertAlign w:val="superscript"/>
        </w:rPr>
        <w:footnoteReference w:id="1"/>
      </w:r>
      <w:r w:rsidRPr="00B01FC1">
        <w:rPr>
          <w:rFonts w:asciiTheme="minorEastAsia" w:eastAsiaTheme="minorEastAsia" w:hAnsiTheme="minorEastAsia" w:hint="eastAsia"/>
          <w:sz w:val="21"/>
          <w:szCs w:val="21"/>
        </w:rPr>
        <w:t>进一步加强了发展议程，通过与成员国密切合作，更加注重发展和产生实际影响。</w:t>
      </w:r>
    </w:p>
    <w:p w14:paraId="405A35FF"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报告所述期间，本组织成功地加强了内部协调，并继续发挥产权组织各部门之间的协同作用。这种做法使本组织能够在其传统优势领域的基础上，更广泛地参与其中，并更加关注中小企业、妇女和青年。本组织继续与主要合作伙伴和利益攸关方合作来应对当前的挑战，包括与成员国密切接触，为其在冠状病毒病（COVID）疫情后的经济复苏工作提供有针对性的定制支持。</w:t>
      </w:r>
    </w:p>
    <w:p w14:paraId="5FD64303" w14:textId="1C8C0755" w:rsidR="00E733EF" w:rsidRPr="00B01FC1"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B01FC1">
        <w:rPr>
          <w:rFonts w:ascii="SimHei" w:eastAsia="SimHei" w:hAnsi="SimHei" w:hint="eastAsia"/>
          <w:b w:val="0"/>
          <w:sz w:val="21"/>
          <w:szCs w:val="21"/>
        </w:rPr>
        <w:t>区域和国家发展部门</w:t>
      </w:r>
    </w:p>
    <w:p w14:paraId="39D5BFF4"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区域和国家发展部门继续作为本组织的门户，帮助成员国努力利用知识产权促进发展。该部门通过各地区司</w:t>
      </w:r>
      <w:r w:rsidRPr="00140621">
        <w:rPr>
          <w:rFonts w:asciiTheme="minorEastAsia" w:eastAsiaTheme="minorEastAsia" w:hAnsiTheme="minorEastAsia"/>
          <w:sz w:val="21"/>
          <w:szCs w:val="21"/>
          <w:vertAlign w:val="superscript"/>
        </w:rPr>
        <w:footnoteReference w:id="2"/>
      </w:r>
      <w:r w:rsidRPr="00B01FC1">
        <w:rPr>
          <w:rFonts w:asciiTheme="minorEastAsia" w:eastAsiaTheme="minorEastAsia" w:hAnsiTheme="minorEastAsia" w:hint="eastAsia"/>
          <w:sz w:val="21"/>
          <w:szCs w:val="21"/>
        </w:rPr>
        <w:t>、驻外办事处</w:t>
      </w:r>
      <w:r w:rsidRPr="00140621">
        <w:rPr>
          <w:rFonts w:asciiTheme="minorEastAsia" w:eastAsiaTheme="minorEastAsia" w:hAnsiTheme="minorEastAsia"/>
          <w:sz w:val="21"/>
          <w:szCs w:val="21"/>
          <w:vertAlign w:val="superscript"/>
        </w:rPr>
        <w:footnoteReference w:id="3"/>
      </w:r>
      <w:r w:rsidRPr="00B01FC1">
        <w:rPr>
          <w:rFonts w:asciiTheme="minorEastAsia" w:eastAsiaTheme="minorEastAsia" w:hAnsiTheme="minorEastAsia" w:hint="eastAsia"/>
          <w:sz w:val="21"/>
          <w:szCs w:val="21"/>
        </w:rPr>
        <w:t>和WIPO学院保持其全球影响力和与成员国的积极接触。此外，在本报告所述期间，已经采取措施，扩大了与该部门开展合作的利益攸关方的范围，并确保产权组织的发展合作符合成员国的具体需求。该部门进行了重组，包括成立了区域和国家发展部门项目组，目的是在产权组织成员国实施与知识产权有关的紧急战略合作倡议。这加强了内部协作，因此，该部门能够及时交付具体成果，并最大限度地发挥其倡议对当地发展的影响。</w:t>
      </w:r>
    </w:p>
    <w:p w14:paraId="76128B15"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技术援助和能力建设</w:t>
      </w:r>
    </w:p>
    <w:p w14:paraId="406E8A0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该部门继续按照各项发展议程建议开展技术援助和能力建设工作。这些举措由需求推动并以发展为导向，包括提供知识产权培训和技能培养、开展宣传活动、促进政策对话、制定国家知识产权战略和提供立法援助，涵盖广泛的知识产权领域。随着2019冠状病毒病（COVID-19）的限制逐渐放宽，活动和项目的实施开始恢复到正常的参与节奏。此外，在COVID时期提供技术援助所带来的挑战、机遇和经验教训，使本组织得以推广其数字解决方案并扩大活动范围。这类活动的例子有：</w:t>
      </w:r>
      <w:r w:rsidRPr="002113D2">
        <w:rPr>
          <w:rFonts w:ascii="KaiTi" w:eastAsia="KaiTi" w:hAnsi="KaiTi" w:hint="eastAsia"/>
          <w:sz w:val="21"/>
          <w:szCs w:val="21"/>
        </w:rPr>
        <w:t>(i)东非共同体青年创业和创新创业地区会议；</w:t>
      </w:r>
      <w:r w:rsidRPr="002113D2">
        <w:rPr>
          <w:rStyle w:val="FootnoteReference"/>
          <w:rFonts w:ascii="KaiTi" w:eastAsia="KaiTi" w:hAnsi="KaiTi"/>
          <w:sz w:val="21"/>
          <w:szCs w:val="21"/>
        </w:rPr>
        <w:footnoteReference w:id="4"/>
      </w:r>
      <w:r w:rsidRPr="002113D2">
        <w:rPr>
          <w:rFonts w:ascii="KaiTi" w:eastAsia="KaiTi" w:hAnsi="KaiTi" w:hint="eastAsia"/>
          <w:sz w:val="21"/>
          <w:szCs w:val="21"/>
        </w:rPr>
        <w:t>(ii)产权组织-阿拉伯国家联盟（阿盟）知识产权、创新孵化器和科技园地区会议；</w:t>
      </w:r>
      <w:r w:rsidRPr="002113D2">
        <w:rPr>
          <w:rStyle w:val="FootnoteReference"/>
          <w:rFonts w:ascii="KaiTi" w:eastAsia="KaiTi" w:hAnsi="KaiTi"/>
          <w:sz w:val="21"/>
          <w:szCs w:val="21"/>
        </w:rPr>
        <w:footnoteReference w:id="5"/>
      </w:r>
      <w:r w:rsidRPr="002113D2">
        <w:rPr>
          <w:rFonts w:ascii="KaiTi" w:eastAsia="KaiTi" w:hAnsi="KaiTi" w:hint="eastAsia"/>
          <w:sz w:val="21"/>
          <w:szCs w:val="21"/>
        </w:rPr>
        <w:t>(iii)亚洲和太平洋地区技术转让办公室和研究机构远程指导计划；</w:t>
      </w:r>
      <w:r w:rsidRPr="002113D2">
        <w:rPr>
          <w:rStyle w:val="FootnoteReference"/>
          <w:rFonts w:ascii="KaiTi" w:eastAsia="KaiTi" w:hAnsi="KaiTi"/>
          <w:sz w:val="21"/>
          <w:szCs w:val="21"/>
        </w:rPr>
        <w:footnoteReference w:id="6"/>
      </w:r>
      <w:r w:rsidRPr="002113D2">
        <w:rPr>
          <w:rFonts w:ascii="KaiTi" w:eastAsia="KaiTi" w:hAnsi="KaiTi" w:hint="eastAsia"/>
          <w:sz w:val="21"/>
          <w:szCs w:val="21"/>
        </w:rPr>
        <w:t>(iv)在智利举行的拉丁美洲国家知识产权、创新和性别平等第四次地区会议和论坛；</w:t>
      </w:r>
      <w:r w:rsidRPr="002113D2">
        <w:rPr>
          <w:rStyle w:val="FootnoteReference"/>
          <w:rFonts w:ascii="KaiTi" w:eastAsia="KaiTi" w:hAnsi="KaiTi"/>
          <w:sz w:val="21"/>
          <w:szCs w:val="21"/>
        </w:rPr>
        <w:footnoteReference w:id="7"/>
      </w:r>
      <w:r w:rsidRPr="002113D2">
        <w:rPr>
          <w:rFonts w:ascii="KaiTi" w:eastAsia="KaiTi" w:hAnsi="KaiTi" w:hint="eastAsia"/>
          <w:sz w:val="21"/>
          <w:szCs w:val="21"/>
        </w:rPr>
        <w:t>以及(v)关于“提升知识产权水平：中欧和波罗的海国家以及地中海国家视频游戏开发商的策略”的地区混合形式讲习班。</w:t>
      </w:r>
      <w:r w:rsidRPr="002113D2">
        <w:rPr>
          <w:rStyle w:val="FootnoteReference"/>
          <w:rFonts w:ascii="KaiTi" w:eastAsia="KaiTi" w:hAnsi="KaiTi"/>
          <w:sz w:val="21"/>
          <w:szCs w:val="21"/>
        </w:rPr>
        <w:footnoteReference w:id="8"/>
      </w:r>
    </w:p>
    <w:p w14:paraId="6498BCBB"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本组织继续提供有针对性的支持措施，协助成员国应对大流行带来的挑战，并支持其复苏工作。为此，本组织专门为2022/23两年期拨款300万瑞郎。根据一揽子应对措施为成员国举行了情况介绍</w:t>
      </w:r>
      <w:r w:rsidRPr="00B01FC1">
        <w:rPr>
          <w:rFonts w:asciiTheme="minorEastAsia" w:eastAsiaTheme="minorEastAsia" w:hAnsiTheme="minorEastAsia" w:hint="eastAsia"/>
          <w:sz w:val="21"/>
          <w:szCs w:val="21"/>
        </w:rPr>
        <w:lastRenderedPageBreak/>
        <w:t>会，介绍了产权组织根据一揽子应对措施计划开展和正在开展的活动，以及如何获得此类支持。</w:t>
      </w:r>
      <w:r w:rsidRPr="00B01FC1">
        <w:rPr>
          <w:rStyle w:val="FootnoteReference"/>
          <w:rFonts w:asciiTheme="minorEastAsia" w:eastAsiaTheme="minorEastAsia" w:hAnsiTheme="minorEastAsia"/>
          <w:sz w:val="21"/>
          <w:szCs w:val="21"/>
        </w:rPr>
        <w:footnoteReference w:id="9"/>
      </w:r>
      <w:r w:rsidRPr="00B01FC1">
        <w:rPr>
          <w:rFonts w:asciiTheme="minorEastAsia" w:eastAsiaTheme="minorEastAsia" w:hAnsiTheme="minorEastAsia" w:hint="eastAsia"/>
          <w:sz w:val="21"/>
          <w:szCs w:val="21"/>
        </w:rPr>
        <w:t>此外，WIPO学院还通过知识产权培训机构网络组织了关于知识产权和公共卫生的培训员培训模块。特别强调要支持私营部门的经济复苏。通过制定有针对性的培训计划和相关资源，帮助各知识产权局为中小企业和企业家提供COVID后经济复苏培训，并与选定的高校合作提供执行计划，重点是为私营部门提供技术转让技能。</w:t>
      </w:r>
    </w:p>
    <w:p w14:paraId="0F2DE193"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color w:val="000000" w:themeColor="text1"/>
          <w:sz w:val="21"/>
          <w:szCs w:val="21"/>
        </w:rPr>
        <w:t>为促进实现《2022-2031十年期支援最不发达国家多哈行动纲领》中确定的相关目标，</w:t>
      </w:r>
      <w:r w:rsidRPr="00B01FC1">
        <w:rPr>
          <w:rStyle w:val="FootnoteReference"/>
          <w:rFonts w:asciiTheme="minorEastAsia" w:eastAsiaTheme="minorEastAsia" w:hAnsiTheme="minorEastAsia"/>
          <w:color w:val="000000" w:themeColor="text1"/>
          <w:sz w:val="21"/>
          <w:szCs w:val="21"/>
          <w:lang w:val="en-GB"/>
        </w:rPr>
        <w:footnoteReference w:id="10"/>
      </w:r>
      <w:r w:rsidRPr="00B01FC1">
        <w:rPr>
          <w:rFonts w:asciiTheme="minorEastAsia" w:eastAsiaTheme="minorEastAsia" w:hAnsiTheme="minorEastAsia" w:hint="eastAsia"/>
          <w:color w:val="000000" w:themeColor="text1"/>
          <w:sz w:val="21"/>
          <w:szCs w:val="21"/>
        </w:rPr>
        <w:t>本组织开始实施</w:t>
      </w:r>
      <w:r w:rsidRPr="002113D2">
        <w:rPr>
          <w:rFonts w:ascii="KaiTi" w:eastAsia="KaiTi" w:hAnsi="KaiTi" w:hint="eastAsia"/>
          <w:color w:val="000000" w:themeColor="text1"/>
          <w:sz w:val="21"/>
          <w:szCs w:val="21"/>
        </w:rPr>
        <w:t>“产权组织2022-2031年向最不发达国家可交付成果”</w:t>
      </w:r>
      <w:r w:rsidRPr="00B01FC1">
        <w:rPr>
          <w:rFonts w:asciiTheme="minorEastAsia" w:eastAsiaTheme="minorEastAsia" w:hAnsiTheme="minorEastAsia" w:hint="eastAsia"/>
          <w:color w:val="000000" w:themeColor="text1"/>
          <w:sz w:val="21"/>
          <w:szCs w:val="21"/>
        </w:rPr>
        <w:t>倡议。</w:t>
      </w:r>
      <w:r w:rsidRPr="00B01FC1">
        <w:rPr>
          <w:rStyle w:val="FootnoteReference"/>
          <w:rFonts w:asciiTheme="minorEastAsia" w:eastAsiaTheme="minorEastAsia" w:hAnsiTheme="minorEastAsia"/>
          <w:color w:val="000000" w:themeColor="text1"/>
          <w:sz w:val="21"/>
          <w:szCs w:val="21"/>
          <w:lang w:val="en-GB"/>
        </w:rPr>
        <w:footnoteReference w:id="11"/>
      </w:r>
      <w:r w:rsidRPr="00B01FC1">
        <w:rPr>
          <w:rFonts w:asciiTheme="minorEastAsia" w:eastAsiaTheme="minorEastAsia" w:hAnsiTheme="minorEastAsia" w:hint="eastAsia"/>
          <w:color w:val="000000" w:themeColor="text1"/>
          <w:sz w:val="21"/>
          <w:szCs w:val="21"/>
        </w:rPr>
        <w:t>该倡议的总体目标是为最不发达国家以知识产权为工具促进增长和发展，提供重点突出、基于需求、影响驱动的援助和支持。</w:t>
      </w:r>
      <w:r w:rsidRPr="00B01FC1">
        <w:rPr>
          <w:rFonts w:asciiTheme="minorEastAsia" w:eastAsiaTheme="minorEastAsia" w:hAnsiTheme="minorEastAsia" w:hint="eastAsia"/>
          <w:sz w:val="21"/>
          <w:szCs w:val="21"/>
        </w:rPr>
        <w:t>2022年还标志着</w:t>
      </w:r>
      <w:r w:rsidRPr="002113D2">
        <w:rPr>
          <w:rFonts w:ascii="KaiTi" w:eastAsia="KaiTi" w:hAnsi="KaiTi" w:hint="eastAsia"/>
          <w:sz w:val="21"/>
          <w:szCs w:val="21"/>
        </w:rPr>
        <w:t>产权组织针对最不发达国家的“一揽子毕业支持方案”</w:t>
      </w:r>
      <w:r w:rsidRPr="00B01FC1">
        <w:rPr>
          <w:rStyle w:val="FootnoteReference"/>
          <w:rFonts w:asciiTheme="minorEastAsia" w:eastAsiaTheme="minorEastAsia" w:hAnsiTheme="minorEastAsia"/>
          <w:color w:val="000000" w:themeColor="text1"/>
          <w:sz w:val="21"/>
          <w:szCs w:val="21"/>
          <w:lang w:val="en-GB"/>
        </w:rPr>
        <w:footnoteReference w:id="12"/>
      </w:r>
      <w:r w:rsidRPr="00B01FC1">
        <w:rPr>
          <w:rFonts w:asciiTheme="minorEastAsia" w:eastAsiaTheme="minorEastAsia" w:hAnsiTheme="minorEastAsia" w:hint="eastAsia"/>
          <w:sz w:val="21"/>
          <w:szCs w:val="21"/>
        </w:rPr>
        <w:t>的启动，以响应最不发达国家成员国的要求以及《多哈行动纲领》中关于加强对即将毕业和已经毕业的最不发达国家的国际支持措施的呼吁。</w:t>
      </w:r>
      <w:r w:rsidRPr="00B01FC1">
        <w:rPr>
          <w:rFonts w:asciiTheme="minorEastAsia" w:eastAsiaTheme="minorEastAsia" w:hAnsiTheme="minorEastAsia" w:hint="eastAsia"/>
          <w:color w:val="000000" w:themeColor="text1"/>
          <w:sz w:val="21"/>
          <w:szCs w:val="21"/>
        </w:rPr>
        <w:t>该倡议的目的是向最不发达国家提供有针对性的知识产权相关技术援助，支持其为毕业做准备。具体而言，该倡议旨在帮助这些国家发展和升级国家知识产权制度，以履行其毕业后的知识产权相关义务，并利用知识产权和创新来实现与结构转型、提高生产能力、经济竞争力和多样化有关的毕业目标。截至2022年底，产权组织收到了安哥拉、老挝人民民主共和国以及圣多美和普林西比的知识产权相关技术援助请求。</w:t>
      </w:r>
    </w:p>
    <w:p w14:paraId="184662A1"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技能和知识建设</w:t>
      </w:r>
    </w:p>
    <w:p w14:paraId="5F4278C1"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WIPO学院继续扩大了其提供和支助的课程的范围、覆盖面和可及性，并考虑到其资源部署的公平地域平衡。具体而言，由368名指导教师以多达16种语言</w:t>
      </w:r>
      <w:r w:rsidRPr="00B01FC1">
        <w:rPr>
          <w:rStyle w:val="FootnoteReference"/>
          <w:rFonts w:asciiTheme="minorEastAsia" w:eastAsiaTheme="minorEastAsia" w:hAnsiTheme="minorEastAsia"/>
          <w:sz w:val="21"/>
          <w:szCs w:val="21"/>
        </w:rPr>
        <w:footnoteReference w:id="13"/>
      </w:r>
      <w:r w:rsidRPr="00B01FC1">
        <w:rPr>
          <w:rFonts w:asciiTheme="minorEastAsia" w:eastAsiaTheme="minorEastAsia" w:hAnsiTheme="minorEastAsia" w:hint="eastAsia"/>
          <w:sz w:val="21"/>
          <w:szCs w:val="21"/>
        </w:rPr>
        <w:t>开设并讲授了共383门课程。通过这些课程，2022年受益于学院远程学习计划的人数达到101,457人，这是连续第三年参加人数超过10万人。远程学习课程的目录得到进一步扩展，引入了更多的专业认证和行政课程，侧重于成员国、私营部门/中小企业的知识产权技能培养，以及产权组织各部门的培训需求。这类课程</w:t>
      </w:r>
      <w:r w:rsidRPr="00B01FC1">
        <w:rPr>
          <w:rFonts w:asciiTheme="minorEastAsia" w:eastAsiaTheme="minorEastAsia" w:hAnsiTheme="minorEastAsia" w:hint="eastAsia"/>
          <w:spacing w:val="-20"/>
          <w:sz w:val="21"/>
          <w:szCs w:val="21"/>
        </w:rPr>
        <w:t>的例子包括：</w:t>
      </w:r>
      <w:r w:rsidRPr="002113D2">
        <w:rPr>
          <w:rFonts w:ascii="KaiTi" w:eastAsia="KaiTi" w:hAnsi="KaiTi" w:hint="eastAsia"/>
          <w:spacing w:val="-20"/>
          <w:sz w:val="21"/>
          <w:szCs w:val="21"/>
        </w:rPr>
        <w:t>(i)专利撰写国际培训计划；</w:t>
      </w:r>
      <w:r w:rsidRPr="002113D2">
        <w:rPr>
          <w:rStyle w:val="FootnoteReference"/>
          <w:rFonts w:ascii="KaiTi" w:eastAsia="KaiTi" w:hAnsi="KaiTi"/>
          <w:spacing w:val="-20"/>
          <w:sz w:val="21"/>
          <w:szCs w:val="21"/>
        </w:rPr>
        <w:footnoteReference w:id="14"/>
      </w:r>
      <w:r w:rsidRPr="002113D2">
        <w:rPr>
          <w:rFonts w:ascii="KaiTi" w:eastAsia="KaiTi" w:hAnsi="KaiTi" w:hint="eastAsia"/>
          <w:spacing w:val="-20"/>
          <w:sz w:val="21"/>
          <w:szCs w:val="21"/>
        </w:rPr>
        <w:t>(ii)关于制定成功的发展议程项目专门课程（DL-620）；</w:t>
      </w:r>
      <w:r w:rsidRPr="002113D2">
        <w:rPr>
          <w:rStyle w:val="FootnoteReference"/>
          <w:rFonts w:ascii="KaiTi" w:eastAsia="KaiTi" w:hAnsi="KaiTi"/>
          <w:sz w:val="21"/>
          <w:szCs w:val="21"/>
        </w:rPr>
        <w:footnoteReference w:id="15"/>
      </w:r>
      <w:r w:rsidRPr="002113D2">
        <w:rPr>
          <w:rFonts w:ascii="KaiTi" w:eastAsia="KaiTi" w:hAnsi="KaiTi" w:hint="eastAsia"/>
          <w:sz w:val="21"/>
          <w:szCs w:val="21"/>
        </w:rPr>
        <w:t>(iii)面向集体管理组织的“WIPO Connect培训”（DL-550）；</w:t>
      </w:r>
      <w:r w:rsidRPr="002113D2">
        <w:rPr>
          <w:rStyle w:val="FootnoteReference"/>
          <w:rFonts w:ascii="KaiTi" w:eastAsia="KaiTi" w:hAnsi="KaiTi"/>
          <w:sz w:val="21"/>
          <w:szCs w:val="21"/>
        </w:rPr>
        <w:footnoteReference w:id="16"/>
      </w:r>
      <w:r w:rsidRPr="002113D2">
        <w:rPr>
          <w:rFonts w:ascii="KaiTi" w:eastAsia="KaiTi" w:hAnsi="KaiTi" w:hint="eastAsia"/>
          <w:sz w:val="21"/>
          <w:szCs w:val="21"/>
        </w:rPr>
        <w:t>以及(iv)改进的“知识产权概论2.0版”</w:t>
      </w:r>
      <w:r w:rsidRPr="00B01FC1">
        <w:rPr>
          <w:rFonts w:asciiTheme="minorEastAsia" w:eastAsiaTheme="minorEastAsia" w:hAnsiTheme="minorEastAsia" w:hint="eastAsia"/>
          <w:sz w:val="21"/>
          <w:szCs w:val="21"/>
        </w:rPr>
        <w:t>，其重点是知识产权商业化和知识产权作为抵押品这两个主题，为中小企业如何将创新和发明推向市场提供实用指导。</w:t>
      </w:r>
      <w:r w:rsidRPr="00B01FC1">
        <w:rPr>
          <w:rStyle w:val="FootnoteReference"/>
          <w:rFonts w:asciiTheme="minorEastAsia" w:eastAsiaTheme="minorEastAsia" w:hAnsiTheme="minorEastAsia"/>
          <w:sz w:val="21"/>
          <w:szCs w:val="21"/>
        </w:rPr>
        <w:footnoteReference w:id="17"/>
      </w:r>
      <w:r w:rsidRPr="00B01FC1">
        <w:rPr>
          <w:rFonts w:asciiTheme="minorEastAsia" w:eastAsiaTheme="minorEastAsia" w:hAnsiTheme="minorEastAsia" w:hint="eastAsia"/>
          <w:sz w:val="21"/>
          <w:szCs w:val="21"/>
        </w:rPr>
        <w:t>根据与14个知识产权局达成的现有和新的定制化协议，学院对面向国家目标受众的入门级和以青年为重点的学习工具的持续改编需求做出了回应。</w:t>
      </w:r>
      <w:r w:rsidRPr="00B01FC1">
        <w:rPr>
          <w:rStyle w:val="FootnoteReference"/>
          <w:rFonts w:asciiTheme="minorEastAsia" w:eastAsiaTheme="minorEastAsia" w:hAnsiTheme="minorEastAsia"/>
          <w:sz w:val="21"/>
          <w:szCs w:val="21"/>
        </w:rPr>
        <w:footnoteReference w:id="18"/>
      </w:r>
      <w:r w:rsidRPr="00B01FC1">
        <w:rPr>
          <w:rFonts w:asciiTheme="minorEastAsia" w:eastAsiaTheme="minorEastAsia" w:hAnsiTheme="minorEastAsia" w:hint="eastAsia"/>
          <w:sz w:val="21"/>
          <w:szCs w:val="21"/>
        </w:rPr>
        <w:t>来自发展中国家、转型国家和最不发达国家的242名政府官员参加了WIPO学院的专业发展计划，学习了学院与其伙伴机构以在线形式或混合形式联合提供的高级课程。</w:t>
      </w:r>
      <w:r w:rsidRPr="00B01FC1">
        <w:rPr>
          <w:rStyle w:val="FootnoteReference"/>
          <w:rFonts w:asciiTheme="minorEastAsia" w:eastAsiaTheme="minorEastAsia" w:hAnsiTheme="minorEastAsia"/>
          <w:iCs/>
          <w:sz w:val="21"/>
          <w:szCs w:val="21"/>
        </w:rPr>
        <w:footnoteReference w:id="19"/>
      </w:r>
      <w:r w:rsidRPr="00B01FC1">
        <w:rPr>
          <w:rFonts w:asciiTheme="minorEastAsia" w:eastAsiaTheme="minorEastAsia" w:hAnsiTheme="minorEastAsia" w:hint="eastAsia"/>
          <w:sz w:val="21"/>
          <w:szCs w:val="21"/>
        </w:rPr>
        <w:t>随着采取基于技能培养的专业发展计划课程这一新形式，</w:t>
      </w:r>
      <w:r w:rsidRPr="00B01FC1">
        <w:rPr>
          <w:rStyle w:val="FootnoteReference"/>
          <w:rFonts w:asciiTheme="minorEastAsia" w:eastAsiaTheme="minorEastAsia" w:hAnsiTheme="minorEastAsia"/>
          <w:sz w:val="21"/>
          <w:szCs w:val="21"/>
        </w:rPr>
        <w:footnoteReference w:id="20"/>
      </w:r>
      <w:r w:rsidRPr="00B01FC1">
        <w:rPr>
          <w:rFonts w:asciiTheme="minorEastAsia" w:eastAsiaTheme="minorEastAsia" w:hAnsiTheme="minorEastAsia" w:hint="eastAsia"/>
          <w:sz w:val="21"/>
          <w:szCs w:val="21"/>
        </w:rPr>
        <w:t>政府官员就其各自国家办事处感兴趣的具体专题进行了为期16周的研究，共提出206个项目，并已付诸实施。</w:t>
      </w:r>
    </w:p>
    <w:p w14:paraId="0058B2D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联合硕士学位项目是学院工作的另一重要部分，尤其是旨在面向发展中国家、最不发达国家和经济转型国家的学员。2022年，学院向251名学员提供了8个联合硕士学位项目，并通过开发课程、提供知识产权参考资料以及为国际讲师提供支持，进一步为大学提供支持。此外，在日内瓦举行的产权组织和世界贸易组织（世贸组织）专题讨论会为知识产权教师和研究人员提供了在线支持。</w:t>
      </w:r>
    </w:p>
    <w:p w14:paraId="65D0CAE6"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知识产权与发展</w:t>
      </w:r>
    </w:p>
    <w:p w14:paraId="1604C4A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w:t>
      </w:r>
      <w:r w:rsidRPr="0043124D">
        <w:rPr>
          <w:rFonts w:ascii="KaiTi" w:eastAsia="KaiTi" w:hAnsi="KaiTi" w:hint="eastAsia"/>
          <w:sz w:val="21"/>
          <w:szCs w:val="21"/>
        </w:rPr>
        <w:t>“知识产权与发展”</w:t>
      </w:r>
      <w:r w:rsidRPr="00B01FC1">
        <w:rPr>
          <w:rFonts w:asciiTheme="minorEastAsia" w:eastAsiaTheme="minorEastAsia" w:hAnsiTheme="minorEastAsia" w:hint="eastAsia"/>
          <w:sz w:val="21"/>
          <w:szCs w:val="21"/>
        </w:rPr>
        <w:t>的议程项目下，根据成员国提出并商定的议题，CDIP继续在每届会议上讨论一个议题。</w:t>
      </w:r>
      <w:r w:rsidRPr="00B01FC1">
        <w:rPr>
          <w:rStyle w:val="FootnoteReference"/>
          <w:rFonts w:asciiTheme="minorEastAsia" w:eastAsiaTheme="minorEastAsia" w:hAnsiTheme="minorEastAsia"/>
          <w:sz w:val="21"/>
          <w:szCs w:val="21"/>
        </w:rPr>
        <w:footnoteReference w:id="21"/>
      </w:r>
      <w:r w:rsidRPr="00B01FC1">
        <w:rPr>
          <w:rFonts w:asciiTheme="minorEastAsia" w:eastAsiaTheme="minorEastAsia" w:hAnsiTheme="minorEastAsia" w:hint="eastAsia"/>
          <w:sz w:val="21"/>
          <w:szCs w:val="21"/>
        </w:rPr>
        <w:t>这一议程项目成为深入讨论所选议题以及产权组织在该领域现有工作和未来方向的平台。其还为成员国提供了一个机会，以分享经验和成员国对本组织在知识产权各领域的工作和技术援助的期望。在2022年5月16日至20日举行的第二十八届会议期间，委员会讨论了议题</w:t>
      </w:r>
      <w:r w:rsidRPr="0043124D">
        <w:rPr>
          <w:rFonts w:ascii="KaiTi" w:eastAsia="KaiTi" w:hAnsi="KaiTi" w:hint="eastAsia"/>
          <w:sz w:val="21"/>
          <w:szCs w:val="21"/>
        </w:rPr>
        <w:t>“知识产权与创新：企业家的商标和外观设计战略”</w:t>
      </w:r>
      <w:r w:rsidRPr="00B01FC1">
        <w:rPr>
          <w:rFonts w:asciiTheme="minorEastAsia" w:eastAsiaTheme="minorEastAsia" w:hAnsiTheme="minorEastAsia" w:hint="eastAsia"/>
          <w:sz w:val="21"/>
          <w:szCs w:val="21"/>
        </w:rPr>
        <w:t>。在秘书处的详细介绍后，</w:t>
      </w:r>
      <w:r w:rsidRPr="00B01FC1">
        <w:rPr>
          <w:rStyle w:val="FootnoteReference"/>
          <w:rFonts w:asciiTheme="minorEastAsia" w:eastAsiaTheme="minorEastAsia" w:hAnsiTheme="minorEastAsia"/>
          <w:sz w:val="21"/>
          <w:szCs w:val="21"/>
        </w:rPr>
        <w:footnoteReference w:id="22"/>
      </w:r>
      <w:r w:rsidRPr="00B01FC1">
        <w:rPr>
          <w:rFonts w:asciiTheme="minorEastAsia" w:eastAsiaTheme="minorEastAsia" w:hAnsiTheme="minorEastAsia" w:hint="eastAsia"/>
          <w:sz w:val="21"/>
          <w:szCs w:val="21"/>
        </w:rPr>
        <w:t>各成员国分享了各自国家在企业家的商标和外观设计战略方面的观点、经验和做法。在2022年10月17日至21日举行的第二十九届会议期间，委员会讨论了议题</w:t>
      </w:r>
      <w:r w:rsidRPr="0043124D">
        <w:rPr>
          <w:rFonts w:ascii="KaiTi" w:eastAsia="KaiTi" w:hAnsi="KaiTi" w:hint="eastAsia"/>
          <w:sz w:val="21"/>
          <w:szCs w:val="21"/>
        </w:rPr>
        <w:t>“知识产权与技术转让”</w:t>
      </w:r>
      <w:r w:rsidRPr="00B01FC1">
        <w:rPr>
          <w:rFonts w:asciiTheme="minorEastAsia" w:eastAsiaTheme="minorEastAsia" w:hAnsiTheme="minorEastAsia" w:hint="eastAsia"/>
          <w:sz w:val="21"/>
          <w:szCs w:val="21"/>
        </w:rPr>
        <w:t>。委员会听取了秘书处关于这一议题的两次介绍</w:t>
      </w:r>
      <w:r w:rsidRPr="00B01FC1">
        <w:rPr>
          <w:rStyle w:val="FootnoteReference"/>
          <w:rFonts w:asciiTheme="minorEastAsia" w:eastAsiaTheme="minorEastAsia" w:hAnsiTheme="minorEastAsia"/>
          <w:sz w:val="21"/>
          <w:szCs w:val="21"/>
        </w:rPr>
        <w:footnoteReference w:id="23"/>
      </w:r>
      <w:r w:rsidRPr="00B01FC1">
        <w:rPr>
          <w:rFonts w:asciiTheme="minorEastAsia" w:eastAsiaTheme="minorEastAsia" w:hAnsiTheme="minorEastAsia" w:hint="eastAsia"/>
          <w:sz w:val="21"/>
          <w:szCs w:val="21"/>
        </w:rPr>
        <w:t>，随后一些代表团介绍了本国的经验。关于这一议题的丰富讨论包括分享各自国家支持和促进知识产权商业化和技术转让的国家政策、做法和现有工具。此外，委员会还商定在CDIP第二十九届会议之后将在该议程项目下讨论的议题，即在第三十届会议上讨论议题</w:t>
      </w:r>
      <w:r w:rsidRPr="00AA1044">
        <w:rPr>
          <w:rFonts w:ascii="KaiTi" w:eastAsia="KaiTi" w:hAnsi="KaiTi" w:hint="eastAsia"/>
          <w:sz w:val="21"/>
          <w:szCs w:val="21"/>
        </w:rPr>
        <w:t>“知识产权与青年：投资于未来”，以及在CDIP第三十一届会议上讨论议题“应对气候变化挑战：知识产权助力实现‘双碳’目标”</w:t>
      </w:r>
      <w:r w:rsidRPr="00B01FC1">
        <w:rPr>
          <w:rFonts w:asciiTheme="minorEastAsia" w:eastAsiaTheme="minorEastAsia" w:hAnsiTheme="minorEastAsia" w:hint="eastAsia"/>
          <w:sz w:val="21"/>
          <w:szCs w:val="21"/>
        </w:rPr>
        <w:t>。</w:t>
      </w:r>
    </w:p>
    <w:p w14:paraId="03360D1C"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在审议关于主题为</w:t>
      </w:r>
      <w:r w:rsidRPr="00AA1044">
        <w:rPr>
          <w:rFonts w:ascii="KaiTi" w:eastAsia="KaiTi" w:hAnsi="KaiTi" w:hint="eastAsia"/>
          <w:sz w:val="21"/>
          <w:szCs w:val="21"/>
        </w:rPr>
        <w:t>“绿色技术创新促进可持续发展”</w:t>
      </w:r>
      <w:r w:rsidRPr="00B01FC1">
        <w:rPr>
          <w:rFonts w:asciiTheme="minorEastAsia" w:eastAsiaTheme="minorEastAsia" w:hAnsiTheme="minorEastAsia" w:hint="eastAsia"/>
          <w:sz w:val="21"/>
          <w:szCs w:val="21"/>
        </w:rPr>
        <w:t>的第二届知识产权与发展国际会议的报告时，</w:t>
      </w:r>
      <w:r w:rsidRPr="00B01FC1">
        <w:rPr>
          <w:rStyle w:val="FootnoteReference"/>
          <w:rFonts w:asciiTheme="minorEastAsia" w:eastAsiaTheme="minorEastAsia" w:hAnsiTheme="minorEastAsia"/>
          <w:sz w:val="21"/>
          <w:szCs w:val="21"/>
        </w:rPr>
        <w:footnoteReference w:id="24"/>
      </w:r>
      <w:r w:rsidRPr="00B01FC1">
        <w:rPr>
          <w:rFonts w:asciiTheme="minorEastAsia" w:eastAsiaTheme="minorEastAsia" w:hAnsiTheme="minorEastAsia" w:hint="eastAsia"/>
          <w:sz w:val="21"/>
          <w:szCs w:val="21"/>
        </w:rPr>
        <w:t>委员会赞扬了秘书处为组织这次会议所做的努力，并对发言者的发言表示赞赏。委员会决定，将在2023年举行的两年一次的知识产权与发展国际会议的分议题是</w:t>
      </w:r>
      <w:r w:rsidRPr="00AA1044">
        <w:rPr>
          <w:rFonts w:ascii="KaiTi" w:eastAsia="KaiTi" w:hAnsi="KaiTi" w:hint="eastAsia"/>
          <w:sz w:val="21"/>
          <w:szCs w:val="21"/>
        </w:rPr>
        <w:t>“知识产权和创新促进可持续农业”</w:t>
      </w:r>
      <w:r w:rsidRPr="00B01FC1">
        <w:rPr>
          <w:rFonts w:asciiTheme="minorEastAsia" w:eastAsiaTheme="minorEastAsia" w:hAnsiTheme="minorEastAsia" w:hint="eastAsia"/>
          <w:sz w:val="21"/>
          <w:szCs w:val="21"/>
        </w:rPr>
        <w:t>。此外，委员会同意</w:t>
      </w:r>
      <w:r w:rsidRPr="00AA1044">
        <w:rPr>
          <w:rFonts w:ascii="KaiTi" w:eastAsia="KaiTi" w:hAnsi="KaiTi" w:hint="eastAsia"/>
          <w:sz w:val="21"/>
          <w:szCs w:val="21"/>
        </w:rPr>
        <w:t>非洲集团的提案</w:t>
      </w:r>
      <w:r w:rsidRPr="00B01FC1">
        <w:rPr>
          <w:rFonts w:asciiTheme="minorEastAsia" w:eastAsiaTheme="minorEastAsia" w:hAnsiTheme="minorEastAsia" w:hint="eastAsia"/>
          <w:sz w:val="21"/>
          <w:szCs w:val="21"/>
        </w:rPr>
        <w:t>，</w:t>
      </w:r>
      <w:r w:rsidRPr="00B01FC1">
        <w:rPr>
          <w:rStyle w:val="FootnoteReference"/>
          <w:rFonts w:asciiTheme="minorEastAsia" w:eastAsiaTheme="minorEastAsia" w:hAnsiTheme="minorEastAsia"/>
          <w:sz w:val="21"/>
          <w:szCs w:val="21"/>
        </w:rPr>
        <w:footnoteReference w:id="25"/>
      </w:r>
      <w:r w:rsidRPr="00B01FC1">
        <w:rPr>
          <w:rFonts w:asciiTheme="minorEastAsia" w:eastAsiaTheme="minorEastAsia" w:hAnsiTheme="minorEastAsia" w:hint="eastAsia"/>
          <w:sz w:val="21"/>
          <w:szCs w:val="21"/>
        </w:rPr>
        <w:t>即从CDIP第三十四届会议开始，两年一次、再召开三次知识产权与发展国际会议，于CDIP周的第一天举行。这些会议的分议题须经成员国同意。</w:t>
      </w:r>
    </w:p>
    <w:p w14:paraId="416D4112"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知识产权制度中的灵活性</w:t>
      </w:r>
    </w:p>
    <w:p w14:paraId="17661CB8"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正如文件CDIP/20/5</w:t>
      </w:r>
      <w:r w:rsidRPr="00B01FC1">
        <w:rPr>
          <w:rStyle w:val="FootnoteReference"/>
          <w:rFonts w:asciiTheme="minorEastAsia" w:eastAsiaTheme="minorEastAsia" w:hAnsiTheme="minorEastAsia"/>
          <w:sz w:val="21"/>
          <w:szCs w:val="21"/>
        </w:rPr>
        <w:footnoteReference w:id="26"/>
      </w:r>
      <w:r w:rsidRPr="00B01FC1">
        <w:rPr>
          <w:rFonts w:asciiTheme="minorEastAsia" w:eastAsiaTheme="minorEastAsia" w:hAnsiTheme="minorEastAsia" w:hint="eastAsia"/>
          <w:sz w:val="21"/>
          <w:szCs w:val="21"/>
        </w:rPr>
        <w:t>所述，灵活性数据库</w:t>
      </w:r>
      <w:r w:rsidRPr="00B01FC1">
        <w:rPr>
          <w:rStyle w:val="FootnoteReference"/>
          <w:rFonts w:asciiTheme="minorEastAsia" w:eastAsiaTheme="minorEastAsia" w:hAnsiTheme="minorEastAsia"/>
          <w:sz w:val="21"/>
          <w:szCs w:val="21"/>
        </w:rPr>
        <w:footnoteReference w:id="27"/>
      </w:r>
      <w:r w:rsidRPr="00B01FC1">
        <w:rPr>
          <w:rFonts w:asciiTheme="minorEastAsia" w:eastAsiaTheme="minorEastAsia" w:hAnsiTheme="minorEastAsia" w:hint="eastAsia"/>
          <w:sz w:val="21"/>
          <w:szCs w:val="21"/>
        </w:rPr>
        <w:t>所载信息得到继续传播，该文件尤其介绍了传播该数据库所载信息的措施。可在该数据库中检索国家知识产权法中的灵活性在选定管辖区域内的实施情况。根据委员会在2016年第十八届会议上达成的一致意见，数据库的输入页面含有关于其更新机制的信息。该机制要求成员国通过正式通函向秘书处提供与数据库中包含的灵活性有关的国家规定的更新。</w:t>
      </w:r>
      <w:r w:rsidRPr="00B01FC1">
        <w:rPr>
          <w:rStyle w:val="FootnoteReference"/>
          <w:rFonts w:asciiTheme="minorEastAsia" w:eastAsiaTheme="minorEastAsia" w:hAnsiTheme="minorEastAsia"/>
          <w:sz w:val="21"/>
          <w:szCs w:val="21"/>
        </w:rPr>
        <w:footnoteReference w:id="28"/>
      </w:r>
      <w:r w:rsidRPr="00B01FC1">
        <w:rPr>
          <w:rFonts w:asciiTheme="minorEastAsia" w:eastAsiaTheme="minorEastAsia" w:hAnsiTheme="minorEastAsia" w:hint="eastAsia"/>
          <w:sz w:val="21"/>
          <w:szCs w:val="21"/>
        </w:rPr>
        <w:t>所通知的更新将立即以名为“成员国更新”的新字段列入数据库。2022年，成员国没有提交任何更新。</w:t>
      </w:r>
    </w:p>
    <w:p w14:paraId="69D3F087"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妇女与知识产权</w:t>
      </w:r>
    </w:p>
    <w:p w14:paraId="02BF549F"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产权组织继续促进性别平衡和增强妇女在知识产权领域的参与能力。根据CDIP做出的一项决定，通过一系列关于</w:t>
      </w:r>
      <w:r w:rsidRPr="00AA1044">
        <w:rPr>
          <w:rFonts w:ascii="KaiTi" w:eastAsia="KaiTi" w:hAnsi="KaiTi" w:hint="eastAsia"/>
          <w:sz w:val="21"/>
          <w:szCs w:val="21"/>
        </w:rPr>
        <w:t>“缩小知识产权性别差距”</w:t>
      </w:r>
      <w:r w:rsidRPr="00F311B1">
        <w:rPr>
          <w:rFonts w:asciiTheme="minorEastAsia" w:eastAsiaTheme="minorEastAsia" w:hAnsiTheme="minorEastAsia" w:hint="eastAsia"/>
          <w:sz w:val="21"/>
          <w:szCs w:val="21"/>
        </w:rPr>
        <w:t>的分享会，产权组织设立了一个论坛，以提高对妇女赋能的重要性和增加妇女在知识产权生态系统中的参与问题的认识。在2022年5月举行的第二十八届会议上，在审议“妇女与知识产权交流会报告”时，</w:t>
      </w:r>
      <w:r w:rsidRPr="00F311B1">
        <w:rPr>
          <w:rStyle w:val="FootnoteReference"/>
          <w:rFonts w:asciiTheme="minorEastAsia" w:eastAsiaTheme="minorEastAsia" w:hAnsiTheme="minorEastAsia"/>
          <w:sz w:val="21"/>
          <w:szCs w:val="21"/>
        </w:rPr>
        <w:footnoteReference w:id="29"/>
      </w:r>
      <w:r w:rsidRPr="00F311B1">
        <w:rPr>
          <w:rFonts w:asciiTheme="minorEastAsia" w:eastAsiaTheme="minorEastAsia" w:hAnsiTheme="minorEastAsia" w:hint="eastAsia"/>
          <w:sz w:val="21"/>
          <w:szCs w:val="21"/>
        </w:rPr>
        <w:t>委员会对三场交流会的成功召开表示赞赏，这三场交流会探讨了妇女在利用知识产权制度方面面临的障碍，并探讨了该领域的良好做法和现有的多利益攸关方倡议。关于</w:t>
      </w:r>
      <w:r w:rsidRPr="00AA1044">
        <w:rPr>
          <w:rFonts w:ascii="KaiTi" w:eastAsia="KaiTi" w:hAnsi="KaiTi" w:hint="eastAsia"/>
          <w:sz w:val="21"/>
          <w:szCs w:val="21"/>
        </w:rPr>
        <w:t>妇女、知识产权和旅游业</w:t>
      </w:r>
      <w:r w:rsidRPr="00F311B1">
        <w:rPr>
          <w:rFonts w:asciiTheme="minorEastAsia" w:eastAsiaTheme="minorEastAsia" w:hAnsiTheme="minorEastAsia" w:hint="eastAsia"/>
          <w:sz w:val="21"/>
          <w:szCs w:val="21"/>
        </w:rPr>
        <w:t>的交流会于2022年11月15日举行。</w:t>
      </w:r>
      <w:r w:rsidRPr="00F311B1">
        <w:rPr>
          <w:rStyle w:val="FootnoteReference"/>
          <w:rFonts w:asciiTheme="minorEastAsia" w:eastAsiaTheme="minorEastAsia" w:hAnsiTheme="minorEastAsia"/>
          <w:sz w:val="21"/>
          <w:szCs w:val="21"/>
        </w:rPr>
        <w:footnoteReference w:id="30"/>
      </w:r>
      <w:r w:rsidRPr="00F311B1">
        <w:rPr>
          <w:rFonts w:asciiTheme="minorEastAsia" w:eastAsiaTheme="minorEastAsia" w:hAnsiTheme="minorEastAsia" w:hint="eastAsia"/>
          <w:sz w:val="21"/>
          <w:szCs w:val="21"/>
        </w:rPr>
        <w:t>通过当地手工艺品生产和葡萄酒旅游以及天文旅游和农业旅游等实际例子，不同地区的妇女专家和企业家强调了如何利用知识产权来支持旅游相关企业的发展，同时鼓励妇女参与该领域并为之作出贡献。来自110多个国家的300多名与会者参加了分享会。这一系列的交流会将继续举办，以讨论可能有助于缩小知识产权性别差距的其他议题。</w:t>
      </w:r>
    </w:p>
    <w:p w14:paraId="649A0597" w14:textId="37DD41E5"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该部门继续在乌干达实施“女企业家知识产权项目”，</w:t>
      </w:r>
      <w:r w:rsidRPr="00F311B1">
        <w:rPr>
          <w:rStyle w:val="FootnoteReference"/>
          <w:rFonts w:asciiTheme="minorEastAsia" w:eastAsiaTheme="minorEastAsia" w:hAnsiTheme="minorEastAsia"/>
          <w:sz w:val="21"/>
          <w:szCs w:val="21"/>
        </w:rPr>
        <w:footnoteReference w:id="31"/>
      </w:r>
      <w:r w:rsidRPr="00F311B1">
        <w:rPr>
          <w:rFonts w:asciiTheme="minorEastAsia" w:eastAsiaTheme="minorEastAsia" w:hAnsiTheme="minorEastAsia" w:hint="eastAsia"/>
          <w:sz w:val="21"/>
          <w:szCs w:val="21"/>
        </w:rPr>
        <w:t>旨在指导女企业家利用知识产权制度建立品牌、开发产品和实现商业化。对70名女企业家的指导帮助她们在乌干达注册服务局为产品注册了70个商标证书，产品范围涵盖时装、化妆品、包装食品、液体洗涤剂、固体肥皂和葡萄酒。项目的成功实施使产权组织得以建立一个可持续的项目模式，从而在苏丹和柬埔寨等其他最不发达国家进行推广。该项目在商业化和创业方面的实际指导阶段侧重于产生切实的影响，即：(i)通过推广女企业家的品牌并将她们与更多的制造商和客户联系起来，帮助扩大女企业家的商业机会；(ii)增加产品的销售；(iii)通过创造当地就业机会为减贫做出贡献；以及(iv)加强70名女企业家之间的商业沟通联络。该试点项目还使受益的女企业家可以分享其经验，并激励其他女企业家利用知识产权的潜力促进企业发展。不丹和坦桑尼亚也表示有兴趣合作开展类似活动。</w:t>
      </w:r>
      <w:r w:rsidRPr="00AA1044">
        <w:rPr>
          <w:rFonts w:ascii="KaiTi" w:eastAsia="KaiTi" w:hAnsi="KaiTi" w:hint="eastAsia"/>
          <w:sz w:val="21"/>
          <w:szCs w:val="21"/>
        </w:rPr>
        <w:t>“亚太地区女性创新者和企业家计划”</w:t>
      </w:r>
      <w:r w:rsidRPr="00F311B1">
        <w:rPr>
          <w:rStyle w:val="FootnoteReference"/>
          <w:rFonts w:asciiTheme="minorEastAsia" w:eastAsiaTheme="minorEastAsia" w:hAnsiTheme="minorEastAsia"/>
          <w:i/>
          <w:sz w:val="21"/>
          <w:szCs w:val="21"/>
        </w:rPr>
        <w:footnoteReference w:id="32"/>
      </w:r>
      <w:r w:rsidRPr="00F311B1">
        <w:rPr>
          <w:rFonts w:asciiTheme="minorEastAsia" w:eastAsiaTheme="minorEastAsia" w:hAnsiTheme="minorEastAsia" w:hint="eastAsia"/>
          <w:sz w:val="21"/>
          <w:szCs w:val="21"/>
        </w:rPr>
        <w:t>也于2022年启动，共12期网络研讨会，每周举行一期，每周有来自斯里兰卡、尼泊尔、越南、印度和中国的50名与会者参加。该计划后来扩大到印度尼西亚，举行了</w:t>
      </w:r>
      <w:r w:rsidRPr="00AA1044">
        <w:rPr>
          <w:rFonts w:ascii="KaiTi" w:eastAsia="KaiTi" w:hAnsi="KaiTi" w:hint="eastAsia"/>
          <w:sz w:val="21"/>
          <w:szCs w:val="21"/>
        </w:rPr>
        <w:t>“与印度尼西亚女性创新者和企业家的知识产权对话”</w:t>
      </w:r>
      <w:r w:rsidRPr="00F311B1">
        <w:rPr>
          <w:rFonts w:asciiTheme="minorEastAsia" w:eastAsiaTheme="minorEastAsia" w:hAnsiTheme="minorEastAsia" w:hint="eastAsia"/>
          <w:sz w:val="21"/>
          <w:szCs w:val="21"/>
        </w:rPr>
        <w:t>启动会，有80名妇女参加。“拉丁美洲知识产权和性别网络”</w:t>
      </w:r>
      <w:r w:rsidRPr="00F311B1">
        <w:rPr>
          <w:rStyle w:val="FootnoteReference"/>
          <w:rFonts w:asciiTheme="minorEastAsia" w:eastAsiaTheme="minorEastAsia" w:hAnsiTheme="minorEastAsia"/>
          <w:sz w:val="21"/>
          <w:szCs w:val="21"/>
        </w:rPr>
        <w:footnoteReference w:id="33"/>
      </w:r>
      <w:r w:rsidRPr="00F311B1">
        <w:rPr>
          <w:rFonts w:asciiTheme="minorEastAsia" w:eastAsiaTheme="minorEastAsia" w:hAnsiTheme="minorEastAsia" w:hint="eastAsia"/>
          <w:sz w:val="21"/>
          <w:szCs w:val="21"/>
        </w:rPr>
        <w:t>是值得一提的又一个倡议。2022年，又有六个知识产权局加入了该网络，</w:t>
      </w:r>
      <w:r w:rsidRPr="00F311B1">
        <w:rPr>
          <w:rStyle w:val="FootnoteReference"/>
          <w:rFonts w:asciiTheme="minorEastAsia" w:eastAsiaTheme="minorEastAsia" w:hAnsiTheme="minorEastAsia"/>
          <w:sz w:val="21"/>
          <w:szCs w:val="21"/>
        </w:rPr>
        <w:footnoteReference w:id="34"/>
      </w:r>
      <w:r w:rsidRPr="00F311B1">
        <w:rPr>
          <w:rFonts w:asciiTheme="minorEastAsia" w:eastAsiaTheme="minorEastAsia" w:hAnsiTheme="minorEastAsia" w:hint="eastAsia"/>
          <w:sz w:val="21"/>
          <w:szCs w:val="21"/>
        </w:rPr>
        <w:t>使其成员总数达到10个知识产权局。产权组织提出该网络的概念方法，包括其结构和职能。产权组织还协助并参加该网络的大会会议，并支持在其技术委员会范围内开展行动，特别是组织一次创新妇女竞赛。此外，本组织还为开发该网络的网页以及纳入葡萄牙文和英文提供了支持。</w:t>
      </w:r>
    </w:p>
    <w:p w14:paraId="4DF7405C"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WIPO学院继续与欧莱雅-教科文组织女性参与科学计划开展合作，为女科学家提供线上和线下混合式知识产权培训机会。已达成一项有关使用韩国信托基金来扩展该计划以举办为期五天的知识产权、科学和创新培训的协议。已编写一本知识产权与科学创新的小册子，作为参加培训项目的女科学家带回家的实用指南。</w:t>
      </w:r>
    </w:p>
    <w:p w14:paraId="216CDD0B"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产权组织机构</w:t>
      </w:r>
    </w:p>
    <w:p w14:paraId="6868BDBE"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 xml:space="preserve">该部门是产权组织发展议程的管理机构。发展议程的跨组织协调使发展议程建议能够在发展与知识产权委员会（CDIP）指导的基础上在整个产权组织得到落实和实现主流化。 </w:t>
      </w:r>
    </w:p>
    <w:p w14:paraId="15441E8F" w14:textId="5F48F73A"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在本报告所述期间，CDIP以混合形式举行了两届会议，一届是在2022年5月16日至20日举行的第二十八届会议，另一届是在2022年10月17日至21日举行的第二十九届会议。成员国继续表现出对CDIP工作的承诺，并表示支持产权组织在落实发展议程建议并将其纳入主流方面取得的进展。CDIP批准了两个新的项目提案，使到2022年底批准的发展议程项目总数增加到48个。CDIP第二十九届会议批准了以下两个项目：</w:t>
      </w:r>
    </w:p>
    <w:p w14:paraId="71550314" w14:textId="77777777" w:rsidR="00E733EF" w:rsidRPr="00F311B1" w:rsidRDefault="00191652" w:rsidP="00F311B1">
      <w:pPr>
        <w:pStyle w:val="ListParagraph"/>
        <w:numPr>
          <w:ilvl w:val="0"/>
          <w:numId w:val="6"/>
        </w:numPr>
        <w:overflowPunct w:val="0"/>
        <w:spacing w:afterLines="50" w:after="120" w:line="340" w:lineRule="atLeast"/>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突尼斯提交的关于</w:t>
      </w:r>
      <w:r w:rsidRPr="00AA1044">
        <w:rPr>
          <w:rFonts w:ascii="KaiTi" w:eastAsia="KaiTi" w:hAnsi="KaiTi" w:hint="eastAsia"/>
          <w:sz w:val="21"/>
          <w:szCs w:val="21"/>
        </w:rPr>
        <w:t>“通过创新和知识产权减少与工作有关的事故和职业病”</w:t>
      </w:r>
      <w:r w:rsidRPr="00F311B1">
        <w:rPr>
          <w:rFonts w:asciiTheme="minorEastAsia" w:eastAsiaTheme="minorEastAsia" w:hAnsiTheme="minorEastAsia" w:hint="eastAsia"/>
          <w:sz w:val="21"/>
          <w:szCs w:val="21"/>
        </w:rPr>
        <w:t>的经修订项目提案。该项目于2023年1月开始实施。其目的是要落实发展议程建议1、10、19、30、31和45。</w:t>
      </w:r>
    </w:p>
    <w:p w14:paraId="6563F9C5" w14:textId="77777777" w:rsidR="00E733EF" w:rsidRPr="00F311B1" w:rsidRDefault="00191652" w:rsidP="00F311B1">
      <w:pPr>
        <w:pStyle w:val="ListParagraph"/>
        <w:numPr>
          <w:ilvl w:val="0"/>
          <w:numId w:val="6"/>
        </w:numPr>
        <w:overflowPunct w:val="0"/>
        <w:spacing w:afterLines="50" w:after="120" w:line="340" w:lineRule="atLeast"/>
        <w:contextualSpacing w:val="0"/>
        <w:jc w:val="both"/>
        <w:rPr>
          <w:rFonts w:asciiTheme="minorEastAsia" w:eastAsiaTheme="minorEastAsia" w:hAnsiTheme="minorEastAsia"/>
          <w:i/>
          <w:sz w:val="21"/>
          <w:szCs w:val="21"/>
        </w:rPr>
      </w:pPr>
      <w:r w:rsidRPr="00F311B1">
        <w:rPr>
          <w:rFonts w:asciiTheme="minorEastAsia" w:eastAsiaTheme="minorEastAsia" w:hAnsiTheme="minorEastAsia" w:hint="eastAsia"/>
          <w:sz w:val="21"/>
          <w:szCs w:val="21"/>
        </w:rPr>
        <w:t>关于</w:t>
      </w:r>
      <w:r w:rsidRPr="00AA1044">
        <w:rPr>
          <w:rFonts w:ascii="KaiTi" w:eastAsia="KaiTi" w:hAnsi="KaiTi" w:hint="eastAsia"/>
          <w:sz w:val="21"/>
          <w:szCs w:val="21"/>
        </w:rPr>
        <w:t>“加强软件部门运用知识产权开发移动应用程序”</w:t>
      </w:r>
      <w:r w:rsidRPr="00F311B1">
        <w:rPr>
          <w:rFonts w:asciiTheme="minorEastAsia" w:eastAsiaTheme="minorEastAsia" w:hAnsiTheme="minorEastAsia" w:hint="eastAsia"/>
          <w:sz w:val="21"/>
          <w:szCs w:val="21"/>
        </w:rPr>
        <w:t>的项目第二阶段提案。该项目于2023年1月开始实施。其目的是要落实发展议程建议4、11、23、24和27。</w:t>
      </w:r>
    </w:p>
    <w:p w14:paraId="4771DCCC" w14:textId="01BE4395"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对已完成的发展议程项目进行独立审评的过程仍是成员国对这些项目的有效性和效率进行评估并为今后的发展议程举措提供指导的一项重要工具。产权组织秘书处继续考虑审评提出的建议，并确保审评人员提出的商定建议得到适当落实。委员会讨论并审议了以下两个发展议程项目的完成和最终独立评估报告：</w:t>
      </w:r>
      <w:r w:rsidRPr="00AA1044">
        <w:rPr>
          <w:rFonts w:ascii="KaiTi" w:eastAsia="KaiTi" w:hAnsi="KaiTi" w:hint="eastAsia"/>
          <w:sz w:val="21"/>
          <w:szCs w:val="21"/>
        </w:rPr>
        <w:t>“加强软件部门运用知识产权开发移动应用程序”</w:t>
      </w:r>
      <w:r w:rsidRPr="00F311B1">
        <w:rPr>
          <w:rFonts w:asciiTheme="minorEastAsia" w:eastAsiaTheme="minorEastAsia" w:hAnsiTheme="minorEastAsia" w:hint="eastAsia"/>
          <w:sz w:val="21"/>
          <w:szCs w:val="21"/>
        </w:rPr>
        <w:t>项目和</w:t>
      </w:r>
      <w:r w:rsidRPr="00AA1044">
        <w:rPr>
          <w:rFonts w:ascii="KaiTi" w:eastAsia="KaiTi" w:hAnsi="KaiTi" w:hint="eastAsia"/>
          <w:sz w:val="21"/>
          <w:szCs w:val="21"/>
        </w:rPr>
        <w:t>“成功的发展议程项目提案用工具”</w:t>
      </w:r>
      <w:r w:rsidRPr="00F311B1">
        <w:rPr>
          <w:rFonts w:asciiTheme="minorEastAsia" w:eastAsiaTheme="minorEastAsia" w:hAnsiTheme="minorEastAsia" w:hint="eastAsia"/>
          <w:sz w:val="21"/>
          <w:szCs w:val="21"/>
        </w:rPr>
        <w:t>项目。2022年有9个发展议程项目持续实施，其实施情况已通过一份</w:t>
      </w:r>
      <w:r w:rsidRPr="00AA1044">
        <w:rPr>
          <w:rFonts w:ascii="KaiTi" w:eastAsia="KaiTi" w:hAnsi="KaiTi" w:hint="eastAsia"/>
          <w:sz w:val="21"/>
          <w:szCs w:val="21"/>
        </w:rPr>
        <w:t>“进展报告”</w:t>
      </w:r>
      <w:r w:rsidRPr="00F311B1">
        <w:rPr>
          <w:rFonts w:asciiTheme="minorEastAsia" w:eastAsiaTheme="minorEastAsia" w:hAnsiTheme="minorEastAsia" w:hint="eastAsia"/>
          <w:sz w:val="21"/>
          <w:szCs w:val="21"/>
        </w:rPr>
        <w:t>提交给委员会。</w:t>
      </w:r>
      <w:r w:rsidRPr="00F311B1">
        <w:rPr>
          <w:rStyle w:val="FootnoteReference"/>
          <w:rFonts w:asciiTheme="minorEastAsia" w:eastAsiaTheme="minorEastAsia" w:hAnsiTheme="minorEastAsia"/>
          <w:sz w:val="21"/>
          <w:szCs w:val="21"/>
        </w:rPr>
        <w:footnoteReference w:id="35"/>
      </w:r>
      <w:r w:rsidRPr="00F311B1">
        <w:rPr>
          <w:rFonts w:asciiTheme="minorEastAsia" w:eastAsiaTheme="minorEastAsia" w:hAnsiTheme="minorEastAsia" w:hint="eastAsia"/>
          <w:sz w:val="21"/>
          <w:szCs w:val="21"/>
        </w:rPr>
        <w:t>委员会对文件中经修订的报告形式表示欢迎，该文件更方便用户了解项目的实施情况。</w:t>
      </w:r>
      <w:r w:rsidRPr="00F311B1">
        <w:rPr>
          <w:rStyle w:val="FootnoteReference"/>
          <w:rFonts w:asciiTheme="minorEastAsia" w:eastAsiaTheme="minorEastAsia" w:hAnsiTheme="minorEastAsia"/>
          <w:sz w:val="21"/>
          <w:szCs w:val="21"/>
        </w:rPr>
        <w:footnoteReference w:id="36"/>
      </w:r>
      <w:r w:rsidRPr="00F311B1">
        <w:rPr>
          <w:rFonts w:asciiTheme="minorEastAsia" w:eastAsiaTheme="minorEastAsia" w:hAnsiTheme="minorEastAsia" w:hint="eastAsia"/>
          <w:sz w:val="21"/>
          <w:szCs w:val="21"/>
        </w:rPr>
        <w:t>此外，CDIP注意到关于</w:t>
      </w:r>
      <w:r w:rsidRPr="00AA1044">
        <w:rPr>
          <w:rFonts w:ascii="KaiTi" w:eastAsia="KaiTi" w:hAnsi="KaiTi" w:hint="eastAsia"/>
          <w:sz w:val="21"/>
          <w:szCs w:val="21"/>
        </w:rPr>
        <w:t>产权组织对落实可持续发展目标及其相关具体目标所作贡献</w:t>
      </w:r>
      <w:r w:rsidRPr="00F311B1">
        <w:rPr>
          <w:rFonts w:asciiTheme="minorEastAsia" w:eastAsiaTheme="minorEastAsia" w:hAnsiTheme="minorEastAsia" w:hint="eastAsia"/>
          <w:sz w:val="21"/>
          <w:szCs w:val="21"/>
        </w:rPr>
        <w:t>的第六次报告以及在发展议程项目框架内取得的一些成果（研究和指南）。</w:t>
      </w:r>
    </w:p>
    <w:p w14:paraId="0C72B86B"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委员会在一些长期存在的问题上也取得了进展。具体而言，落实已通过的独立审查建议的大部分战略，</w:t>
      </w:r>
      <w:r w:rsidRPr="00F311B1">
        <w:rPr>
          <w:rStyle w:val="FootnoteReference"/>
          <w:rFonts w:asciiTheme="minorEastAsia" w:eastAsiaTheme="minorEastAsia" w:hAnsiTheme="minorEastAsia"/>
          <w:sz w:val="21"/>
          <w:szCs w:val="21"/>
        </w:rPr>
        <w:footnoteReference w:id="37"/>
      </w:r>
      <w:r w:rsidRPr="00F311B1">
        <w:rPr>
          <w:rFonts w:asciiTheme="minorEastAsia" w:eastAsiaTheme="minorEastAsia" w:hAnsiTheme="minorEastAsia" w:hint="eastAsia"/>
          <w:sz w:val="21"/>
          <w:szCs w:val="21"/>
        </w:rPr>
        <w:t>以及审查和报告机制都已获得通过，并要求秘书处开始实施。委员会还同意</w:t>
      </w:r>
      <w:r w:rsidRPr="00140621">
        <w:rPr>
          <w:rFonts w:ascii="KaiTi" w:eastAsia="KaiTi" w:hAnsi="KaiTi" w:hint="eastAsia"/>
          <w:sz w:val="21"/>
          <w:szCs w:val="21"/>
        </w:rPr>
        <w:t>“非洲集团关于对产权组织在合作促进发展领域开展的技术援助进行独立外部审查的提案”</w:t>
      </w:r>
      <w:r w:rsidRPr="00F311B1">
        <w:rPr>
          <w:rFonts w:asciiTheme="minorEastAsia" w:eastAsiaTheme="minorEastAsia" w:hAnsiTheme="minorEastAsia" w:hint="eastAsia"/>
          <w:sz w:val="21"/>
          <w:szCs w:val="21"/>
        </w:rPr>
        <w:t>，</w:t>
      </w:r>
      <w:r w:rsidRPr="00F311B1">
        <w:rPr>
          <w:rStyle w:val="FootnoteReference"/>
          <w:rFonts w:asciiTheme="minorEastAsia" w:eastAsiaTheme="minorEastAsia" w:hAnsiTheme="minorEastAsia"/>
          <w:i/>
          <w:sz w:val="21"/>
          <w:szCs w:val="21"/>
        </w:rPr>
        <w:footnoteReference w:id="38"/>
      </w:r>
      <w:r w:rsidRPr="00F311B1">
        <w:rPr>
          <w:rFonts w:asciiTheme="minorEastAsia" w:eastAsiaTheme="minorEastAsia" w:hAnsiTheme="minorEastAsia" w:hint="eastAsia"/>
          <w:sz w:val="21"/>
          <w:szCs w:val="21"/>
        </w:rPr>
        <w:t>并要求秘书处为这种审查制定职权范围草案，供委员会第三十届会议审议。</w:t>
      </w:r>
    </w:p>
    <w:p w14:paraId="38EDA7E8"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已被纳入主流的发展议程项目</w:t>
      </w:r>
    </w:p>
    <w:p w14:paraId="104F30D9" w14:textId="77777777" w:rsidR="00E733EF" w:rsidRPr="008042E7" w:rsidRDefault="00191652" w:rsidP="008042E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以下是在2022年期间开展的与已被纳入主流的发展议程项目相关的主要工作：</w:t>
      </w:r>
    </w:p>
    <w:p w14:paraId="4911A5D6"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建立“初创”国家知识产权学院</w:t>
      </w:r>
      <w:r w:rsidRPr="008042E7">
        <w:rPr>
          <w:rFonts w:asciiTheme="minorEastAsia" w:eastAsiaTheme="minorEastAsia" w:hAnsiTheme="minorEastAsia" w:hint="eastAsia"/>
          <w:sz w:val="21"/>
          <w:szCs w:val="21"/>
        </w:rPr>
        <w:t>，目前称为</w:t>
      </w:r>
      <w:r w:rsidRPr="00140621">
        <w:rPr>
          <w:rFonts w:ascii="KaiTi" w:eastAsia="KaiTi" w:hAnsi="KaiTi" w:hint="eastAsia"/>
          <w:sz w:val="21"/>
          <w:szCs w:val="21"/>
        </w:rPr>
        <w:t>“知识产权培训机构（IPTI）项目”</w:t>
      </w:r>
      <w:r w:rsidRPr="008042E7">
        <w:rPr>
          <w:rFonts w:asciiTheme="minorEastAsia" w:eastAsiaTheme="minorEastAsia" w:hAnsiTheme="minorEastAsia" w:hint="eastAsia"/>
          <w:sz w:val="21"/>
          <w:szCs w:val="21"/>
        </w:rPr>
        <w:t>：WIPO学院继续通过建立自我维持并专注于具体国家目标和优先事项的知识产权培训机构，支持成员国建设本国的知识产权培训能力。2022年，知识产权培训机构报告称组织了1,300多场知识产权培训活动，参与者超过88,800人。这证明这些项目可以实现倍增效应。鉴于知识产权培训机构所取得的势头，项目的范围已经发生变化，以更好地适应各国在培训能力建设方面的实际需要。具体来说，开展了以下活动，分为三个主要支柱：</w:t>
      </w:r>
    </w:p>
    <w:p w14:paraId="4513D4A4" w14:textId="77777777"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首先，该项目支持建立新的知识产权培训机构。到2022年，已在12个成员国建立了14个知识产权培训机构。</w:t>
      </w:r>
      <w:r w:rsidRPr="008042E7">
        <w:rPr>
          <w:rStyle w:val="FootnoteReference"/>
          <w:rFonts w:asciiTheme="minorEastAsia" w:eastAsiaTheme="minorEastAsia" w:hAnsiTheme="minorEastAsia"/>
          <w:sz w:val="21"/>
          <w:szCs w:val="21"/>
        </w:rPr>
        <w:footnoteReference w:id="39"/>
      </w:r>
      <w:r w:rsidRPr="008042E7">
        <w:rPr>
          <w:rFonts w:asciiTheme="minorEastAsia" w:eastAsiaTheme="minorEastAsia" w:hAnsiTheme="minorEastAsia" w:hint="eastAsia"/>
          <w:sz w:val="21"/>
          <w:szCs w:val="21"/>
        </w:rPr>
        <w:t>另有13个项目正在实施，还收到了很多关于提供此类援助的进一步请求。在项目实施方面，在本报告所述期间，对来自20个国家的418多名学员进行了18个培训培训师（ToT）模块的有效培训。此外，培训培训师计划完全采用新的混合学习形式开展，受益于WIPO学院学习管理系统平台上的补充性异步技能活动。</w:t>
      </w:r>
    </w:p>
    <w:p w14:paraId="0F49E675" w14:textId="77777777"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其次，该项目向10个提出请求的知识产权培训机构提供特别合作，以开展共24个项目/活动</w:t>
      </w:r>
      <w:r w:rsidRPr="008042E7">
        <w:rPr>
          <w:rStyle w:val="FootnoteReference"/>
          <w:rFonts w:asciiTheme="minorEastAsia" w:eastAsiaTheme="minorEastAsia" w:hAnsiTheme="minorEastAsia"/>
          <w:sz w:val="21"/>
          <w:szCs w:val="21"/>
        </w:rPr>
        <w:footnoteReference w:id="40"/>
      </w:r>
      <w:r w:rsidRPr="008042E7">
        <w:rPr>
          <w:rFonts w:asciiTheme="minorEastAsia" w:eastAsiaTheme="minorEastAsia" w:hAnsiTheme="minorEastAsia" w:hint="eastAsia"/>
          <w:sz w:val="21"/>
          <w:szCs w:val="21"/>
        </w:rPr>
        <w:t>，这些项目/活动的参与者超过2,100人。这包括关于知识产权作为COVID后经济复苏工具的活动，以及针对国内主要经济部门和妇女的培训。</w:t>
      </w:r>
    </w:p>
    <w:p w14:paraId="19D22A3B" w14:textId="53605CEB"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第三，2022年以英语、西班牙语和阿拉伯语推出了一些加强知识产权培训机构运作的集体资源。</w:t>
      </w:r>
      <w:r w:rsidRPr="008042E7">
        <w:rPr>
          <w:rStyle w:val="FootnoteReference"/>
          <w:rFonts w:asciiTheme="minorEastAsia" w:eastAsiaTheme="minorEastAsia" w:hAnsiTheme="minorEastAsia"/>
          <w:sz w:val="21"/>
          <w:szCs w:val="21"/>
        </w:rPr>
        <w:footnoteReference w:id="41"/>
      </w:r>
      <w:r w:rsidRPr="008042E7">
        <w:rPr>
          <w:rFonts w:asciiTheme="minorEastAsia" w:eastAsiaTheme="minorEastAsia" w:hAnsiTheme="minorEastAsia" w:hint="eastAsia"/>
          <w:sz w:val="21"/>
          <w:szCs w:val="21"/>
        </w:rPr>
        <w:t>还应提及的是，2022年5月23日和24日举办了第一届知识产权培训机构国际会议。来自11个国家的13个知识产权培训机构介绍了他们在国家和地区层面为知识产权和创新生态系统的关键要素提供技能建设计划的成功战略和故事，关键要素包括中小企业、企业家、更广泛的私营部门、妇女和青年。来自120个国家的539名与会者参会，包括教育管理人员、企业家、知识产权和创新管理人员以及政府代表。</w:t>
      </w:r>
      <w:r w:rsidRPr="008042E7">
        <w:rPr>
          <w:rStyle w:val="FootnoteReference"/>
          <w:rFonts w:asciiTheme="minorEastAsia" w:eastAsiaTheme="minorEastAsia" w:hAnsiTheme="minorEastAsia"/>
          <w:sz w:val="21"/>
          <w:szCs w:val="21"/>
        </w:rPr>
        <w:footnoteReference w:id="42"/>
      </w:r>
      <w:r w:rsidRPr="008042E7">
        <w:rPr>
          <w:rFonts w:asciiTheme="minorEastAsia" w:eastAsiaTheme="minorEastAsia" w:hAnsiTheme="minorEastAsia" w:hint="eastAsia"/>
          <w:sz w:val="21"/>
          <w:szCs w:val="21"/>
        </w:rPr>
        <w:t>此外，扩展的功能，包括WIPO学院知识产权培训机构的公共日历，使得知识产权培训机构的活动得以推广并提高其知名度。</w:t>
      </w:r>
    </w:p>
    <w:p w14:paraId="38A5A6C8" w14:textId="1037B0D8"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进行使用特定技术的适当信息方面的能力建设，以应对已查明的发展挑战</w:t>
      </w:r>
      <w:r w:rsidRPr="008042E7">
        <w:rPr>
          <w:rFonts w:asciiTheme="minorEastAsia" w:eastAsiaTheme="minorEastAsia" w:hAnsiTheme="minorEastAsia" w:hint="eastAsia"/>
          <w:sz w:val="21"/>
          <w:szCs w:val="21"/>
        </w:rPr>
        <w:t>：通过促进使用专利文件中的科技信息，项目旨在确定满足最不发达国家具体发展需求的适当技术，并提高国家在这一领域的能力。在这方面，已采取行动，通过探索与相关伙伴机构和利益攸关方建立伙伴关系，来促进运用已确定的适当技术，从而加强这些项目对受益国和社区发展的影响，。莫桑比克、塞内加尔和乌干达的国家项目进入了为已确定的适当技术完成业务计划的重要阶段。</w:t>
      </w:r>
      <w:r w:rsidRPr="008042E7">
        <w:rPr>
          <w:rStyle w:val="FootnoteReference"/>
          <w:rFonts w:asciiTheme="minorEastAsia" w:eastAsiaTheme="minorEastAsia" w:hAnsiTheme="minorEastAsia"/>
          <w:sz w:val="21"/>
          <w:szCs w:val="21"/>
        </w:rPr>
        <w:footnoteReference w:id="43"/>
      </w:r>
      <w:r w:rsidRPr="008042E7">
        <w:rPr>
          <w:rFonts w:asciiTheme="minorEastAsia" w:eastAsiaTheme="minorEastAsia" w:hAnsiTheme="minorEastAsia" w:hint="eastAsia"/>
          <w:sz w:val="21"/>
          <w:szCs w:val="21"/>
        </w:rPr>
        <w:t>目前正在这三个国家筹备国家推广研讨会，</w:t>
      </w:r>
      <w:r w:rsidRPr="008042E7">
        <w:rPr>
          <w:rStyle w:val="FootnoteReference"/>
          <w:rFonts w:asciiTheme="minorEastAsia" w:eastAsiaTheme="minorEastAsia" w:hAnsiTheme="minorEastAsia"/>
          <w:sz w:val="21"/>
          <w:szCs w:val="21"/>
        </w:rPr>
        <w:footnoteReference w:id="44"/>
      </w:r>
      <w:r w:rsidRPr="008042E7">
        <w:rPr>
          <w:rFonts w:asciiTheme="minorEastAsia" w:eastAsiaTheme="minorEastAsia" w:hAnsiTheme="minorEastAsia" w:hint="eastAsia"/>
          <w:sz w:val="21"/>
          <w:szCs w:val="21"/>
        </w:rPr>
        <w:t>向不同的利益攸关方介绍业务计划，并为计划的实施筹集资金、寻求支持和建立伙伴关系。</w:t>
      </w:r>
    </w:p>
    <w:p w14:paraId="28EC2C15"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知识产权技术援助数据库（IP-TAD）</w:t>
      </w:r>
      <w:r w:rsidRPr="008042E7">
        <w:rPr>
          <w:rStyle w:val="FootnoteReference"/>
          <w:rFonts w:asciiTheme="minorEastAsia" w:eastAsiaTheme="minorEastAsia" w:hAnsiTheme="minorEastAsia"/>
          <w:sz w:val="21"/>
          <w:szCs w:val="21"/>
        </w:rPr>
        <w:footnoteReference w:id="45"/>
      </w:r>
      <w:r w:rsidRPr="008042E7">
        <w:rPr>
          <w:rFonts w:asciiTheme="minorEastAsia" w:eastAsiaTheme="minorEastAsia" w:hAnsiTheme="minorEastAsia" w:hint="eastAsia"/>
          <w:sz w:val="21"/>
          <w:szCs w:val="21"/>
        </w:rPr>
        <w:t>继续适应以线上方式和混合形式举办的技术援助活动。数据库提供与产权组织技术援助活动相关的信息，能够从开展发展合作活动的产权组织不同计划和部门获取数据。数据库记录了产权组织在2022年开展的831项技术援助活动，参与者来自发展中国家、最不发达国家和转型国家。</w:t>
      </w:r>
    </w:p>
    <w:p w14:paraId="1EE45C99"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产权组织顾问花名册数据库（IP-ROC）</w:t>
      </w:r>
      <w:r w:rsidRPr="008042E7">
        <w:rPr>
          <w:rFonts w:asciiTheme="minorEastAsia" w:eastAsiaTheme="minorEastAsia" w:hAnsiTheme="minorEastAsia" w:hint="eastAsia"/>
          <w:sz w:val="21"/>
          <w:szCs w:val="21"/>
        </w:rPr>
        <w:t>载有产权组织为开展具体的知识产权技术援助活动而聘用的顾问的信息。</w:t>
      </w:r>
      <w:r w:rsidRPr="008042E7">
        <w:rPr>
          <w:rStyle w:val="FootnoteReference"/>
          <w:rFonts w:asciiTheme="minorEastAsia" w:eastAsiaTheme="minorEastAsia" w:hAnsiTheme="minorEastAsia"/>
          <w:sz w:val="21"/>
          <w:szCs w:val="21"/>
        </w:rPr>
        <w:footnoteReference w:id="46"/>
      </w:r>
      <w:r w:rsidRPr="008042E7">
        <w:rPr>
          <w:rFonts w:asciiTheme="minorEastAsia" w:eastAsiaTheme="minorEastAsia" w:hAnsiTheme="minorEastAsia" w:hint="eastAsia"/>
          <w:sz w:val="21"/>
          <w:szCs w:val="21"/>
        </w:rPr>
        <w:t>顾问可能是多个知识产权领域和使用多种语言的专家。数据库的检索功能能够按专业领域和执行的任务来搜索顾问。尤其是可以通过性别、国籍、语言、姓名、知识产权领域的专业知识、受益国和任职年份等各种标准来搜索顾问。IP-ROC数据库收录了2022年任职的2,208名专家/顾问。</w:t>
      </w:r>
    </w:p>
    <w:p w14:paraId="42F89241"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i/>
          <w:sz w:val="21"/>
          <w:szCs w:val="21"/>
        </w:rPr>
      </w:pPr>
      <w:r w:rsidRPr="00140621">
        <w:rPr>
          <w:rFonts w:ascii="KaiTi" w:eastAsia="KaiTi" w:hAnsi="KaiTi" w:hint="eastAsia"/>
          <w:sz w:val="21"/>
          <w:szCs w:val="21"/>
        </w:rPr>
        <w:t>知识产权发展资源牵线搭桥数据库（IP DMD），即目前的WIPO Match</w:t>
      </w:r>
      <w:r w:rsidRPr="008042E7">
        <w:rPr>
          <w:rFonts w:asciiTheme="minorEastAsia" w:eastAsiaTheme="minorEastAsia" w:hAnsiTheme="minorEastAsia" w:hint="eastAsia"/>
          <w:sz w:val="21"/>
          <w:szCs w:val="21"/>
        </w:rPr>
        <w:t>：在2022年4月举行的第二十八届会议上，应成员国的要求，委员会审议了一份关于</w:t>
      </w:r>
      <w:r w:rsidRPr="00140621">
        <w:rPr>
          <w:rFonts w:ascii="KaiTi" w:eastAsia="KaiTi" w:hAnsi="KaiTi" w:hint="eastAsia"/>
          <w:sz w:val="21"/>
          <w:szCs w:val="21"/>
        </w:rPr>
        <w:t>“未来提升WIPO Match的战略”</w:t>
      </w:r>
      <w:r w:rsidRPr="008042E7">
        <w:rPr>
          <w:rFonts w:asciiTheme="minorEastAsia" w:eastAsiaTheme="minorEastAsia" w:hAnsiTheme="minorEastAsia" w:hint="eastAsia"/>
          <w:sz w:val="21"/>
          <w:szCs w:val="21"/>
        </w:rPr>
        <w:t>的文件。</w:t>
      </w:r>
      <w:r w:rsidRPr="008042E7">
        <w:rPr>
          <w:rStyle w:val="FootnoteReference"/>
          <w:rFonts w:asciiTheme="minorEastAsia" w:eastAsiaTheme="minorEastAsia" w:hAnsiTheme="minorEastAsia"/>
          <w:sz w:val="21"/>
          <w:szCs w:val="21"/>
        </w:rPr>
        <w:footnoteReference w:id="47"/>
      </w:r>
      <w:r w:rsidRPr="008042E7">
        <w:rPr>
          <w:rFonts w:asciiTheme="minorEastAsia" w:eastAsiaTheme="minorEastAsia" w:hAnsiTheme="minorEastAsia" w:hint="eastAsia"/>
          <w:sz w:val="21"/>
          <w:szCs w:val="21"/>
        </w:rPr>
        <w:t>该文件建议对WIPO Match平台进行技术改进、重组和扩展，以提供更多工具、服务和功能，帮助交付更好的成果。除此之外，该战略还建议将WIPO Match平台作为骨干平台，以增加知识产权生态系统中各利益攸关方之间透明的信息交流，鼓励他们相互开展合作，并为南南倡议、南北倡议和三方倡议提供便利。成员国欢迎该战略，并还要求秘书处介绍2021年产权组织内部监督司发布的WIPO Match评价报告。按照委员会的要求，产权组织内部监督司在2022年10月举行的CDIP第二十九届会议上介绍了WIPO Match评价的结果、结论和建议。评价认为，WIPO Match符合产权组织的战略优先事项和发展议程建议9。但是，评价认为，WIPO Match网络平台技术已经过时，不符合现代平台标准。该文件建议对WIPO Match平台进行升级，并加强其治理结构和报告机制。此外，评价还建议应提供资源，支持WIPO Match的有效和高效管理及可持续性。委员会注意到对报告的介绍，并要求秘书处继续定期提供最新情况。因此，为实施提升该平台的计划，已启动了工作。</w:t>
      </w:r>
    </w:p>
    <w:p w14:paraId="514A8C7D"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加强发展中国家和最不发达国家之间知识产权与发展问题南南合作</w:t>
      </w:r>
      <w:r w:rsidRPr="008042E7">
        <w:rPr>
          <w:rFonts w:asciiTheme="minorEastAsia" w:eastAsiaTheme="minorEastAsia" w:hAnsiTheme="minorEastAsia" w:hint="eastAsia"/>
          <w:sz w:val="21"/>
          <w:szCs w:val="21"/>
        </w:rPr>
        <w:t>：发展议程建议和可持续发展目标为产权组织在促进和加强成员国之间的横向合作，以及为改善南南合作和三方合作而加倍努力方面的作用提供了重点。在这一主题事项移交给发展议程协调司之后，产权组织于2022年重振了其在该领域的工作。2022年10月14日举行了关于在产权组织发展议程背景下促进南南合作和三方合作的第一次专家圆桌会议。圆桌会议的目的是为产权组织在这一领域的工作注入新的活力，并确定一些具体行动，以促进南方国家之间更有效的合作。圆桌会议将发展议程项目的受益者和支持者聚集在一起，分享他们的经验和专业知识，以鼓励知识产权领域的南南合作倡议和三方合作倡议，同时推广这些项目的成果。圆桌会议探讨了知识产权南南合作和三方合作作为加强教育的机制、作为当地企业竞争力的驱动力以及作为落实产权组织发展议程的手段的问题。在圆桌会议期间，来自不同国家的14位专家分享了交付面向发展的项目方面的经验，展示了发展中国家和最不发达国家利用知识产权的成功成果，并就南南合作和三方合作机制能够为支持和促进发展合作提供的机会交流了看法。代表成员国和相关政府间组织的60多名与会者参加了此次活动。圆桌会议最后提出了一些具体的行动建议，以鼓励和促进更多的南南合作和三方合作倡议。这些行动将在2023年及以后实施。此外，自2022年11月以来，一个专门介绍产权组织南南合作和三方合作工作的新网页正在筹备之中。</w:t>
      </w:r>
    </w:p>
    <w:p w14:paraId="33FC705A"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“成功的发展议程项目提案用工具”项目</w:t>
      </w:r>
      <w:r w:rsidRPr="008042E7">
        <w:rPr>
          <w:rFonts w:asciiTheme="minorEastAsia" w:eastAsiaTheme="minorEastAsia" w:hAnsiTheme="minorEastAsia" w:hint="eastAsia"/>
          <w:sz w:val="21"/>
          <w:szCs w:val="21"/>
        </w:rPr>
        <w:t>已于2022年完成。该项目的目标是开发和提供能够促进发展议程项目的制定和实施并有助于更好地了解利益攸关方在项目实施及其整个周期内的作用的工具。该项目交付了以下成果：(i)发展议程项目的筹备、实施和评价指南；(ii)关于所有发展议程项目和产出的可搜索在线目录；(iii)关于发展议程项目管理的远程学习课程；以及(iv)一些信息丰富的视频和信息图。</w:t>
      </w:r>
      <w:r w:rsidRPr="008042E7">
        <w:rPr>
          <w:rStyle w:val="FootnoteReference"/>
          <w:rFonts w:asciiTheme="minorEastAsia" w:eastAsiaTheme="minorEastAsia" w:hAnsiTheme="minorEastAsia"/>
          <w:sz w:val="21"/>
          <w:szCs w:val="21"/>
        </w:rPr>
        <w:footnoteReference w:id="48"/>
      </w:r>
      <w:r w:rsidRPr="008042E7">
        <w:rPr>
          <w:rFonts w:asciiTheme="minorEastAsia" w:eastAsiaTheme="minorEastAsia" w:hAnsiTheme="minorEastAsia" w:hint="eastAsia"/>
          <w:sz w:val="21"/>
          <w:szCs w:val="21"/>
        </w:rPr>
        <w:t>此外，在CDIP第二十九届会议期间，委员会审议了项目的完成报告</w:t>
      </w:r>
      <w:r w:rsidRPr="008042E7">
        <w:rPr>
          <w:rStyle w:val="FootnoteReference"/>
          <w:rFonts w:asciiTheme="minorEastAsia" w:eastAsiaTheme="minorEastAsia" w:hAnsiTheme="minorEastAsia"/>
          <w:sz w:val="21"/>
          <w:szCs w:val="21"/>
        </w:rPr>
        <w:footnoteReference w:id="49"/>
      </w:r>
      <w:r w:rsidRPr="008042E7">
        <w:rPr>
          <w:rFonts w:asciiTheme="minorEastAsia" w:eastAsiaTheme="minorEastAsia" w:hAnsiTheme="minorEastAsia" w:hint="eastAsia"/>
          <w:sz w:val="21"/>
          <w:szCs w:val="21"/>
        </w:rPr>
        <w:t>和评价报告</w:t>
      </w:r>
      <w:r w:rsidRPr="008042E7">
        <w:rPr>
          <w:rStyle w:val="FootnoteReference"/>
          <w:rFonts w:asciiTheme="minorEastAsia" w:eastAsiaTheme="minorEastAsia" w:hAnsiTheme="minorEastAsia"/>
          <w:sz w:val="21"/>
          <w:szCs w:val="21"/>
        </w:rPr>
        <w:footnoteReference w:id="50"/>
      </w:r>
      <w:r w:rsidRPr="008042E7">
        <w:rPr>
          <w:rFonts w:asciiTheme="minorEastAsia" w:eastAsiaTheme="minorEastAsia" w:hAnsiTheme="minorEastAsia" w:hint="eastAsia"/>
          <w:sz w:val="21"/>
          <w:szCs w:val="21"/>
        </w:rPr>
        <w:t>，并决定将这些产出纳入产权组织常规工作的主流，不断更新这些产出，向成员国和其他相关利益攸关方提供关于项目开发和实施的定制培训，以及在2024年对项目的成功进行一次小规模审查。</w:t>
      </w:r>
    </w:p>
    <w:p w14:paraId="1B764B65"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面向发展中国家和最不发达国家企业发展的知识产权与产品品牌建设</w:t>
      </w:r>
      <w:r w:rsidRPr="00140621">
        <w:rPr>
          <w:rFonts w:asciiTheme="minorEastAsia" w:eastAsiaTheme="minorEastAsia" w:hAnsiTheme="minorEastAsia" w:hint="eastAsia"/>
          <w:sz w:val="21"/>
          <w:szCs w:val="21"/>
        </w:rPr>
        <w:t>：</w:t>
      </w:r>
      <w:r w:rsidRPr="008042E7">
        <w:rPr>
          <w:rFonts w:asciiTheme="minorEastAsia" w:eastAsiaTheme="minorEastAsia" w:hAnsiTheme="minorEastAsia" w:hint="eastAsia"/>
          <w:sz w:val="21"/>
          <w:szCs w:val="21"/>
        </w:rPr>
        <w:t>本项目的成果在</w:t>
      </w:r>
      <w:r w:rsidRPr="00140621">
        <w:rPr>
          <w:rFonts w:ascii="KaiTi" w:eastAsia="KaiTi" w:hAnsi="KaiTi" w:hint="eastAsia"/>
          <w:sz w:val="21"/>
          <w:szCs w:val="21"/>
        </w:rPr>
        <w:t>“通过品牌和外观设计加强企业竞争力的有利创新环境”</w:t>
      </w:r>
      <w:r w:rsidRPr="008042E7">
        <w:rPr>
          <w:rFonts w:asciiTheme="minorEastAsia" w:eastAsiaTheme="minorEastAsia" w:hAnsiTheme="minorEastAsia" w:hint="eastAsia"/>
          <w:sz w:val="21"/>
          <w:szCs w:val="21"/>
        </w:rPr>
        <w:t>项目的构思、设计和实施中证明是有效的。五个国家</w:t>
      </w:r>
      <w:r w:rsidRPr="008042E7">
        <w:rPr>
          <w:rStyle w:val="FootnoteReference"/>
          <w:rFonts w:asciiTheme="minorEastAsia" w:eastAsiaTheme="minorEastAsia" w:hAnsiTheme="minorEastAsia"/>
          <w:sz w:val="21"/>
          <w:szCs w:val="21"/>
        </w:rPr>
        <w:footnoteReference w:id="51"/>
      </w:r>
      <w:r w:rsidRPr="008042E7">
        <w:rPr>
          <w:rFonts w:asciiTheme="minorEastAsia" w:eastAsiaTheme="minorEastAsia" w:hAnsiTheme="minorEastAsia" w:hint="eastAsia"/>
          <w:sz w:val="21"/>
          <w:szCs w:val="21"/>
        </w:rPr>
        <w:t>建立了“品牌局”形式的体制结构，以促进中小企业和社区企业的品牌发展工作。为了向正在努力从大流行的影响中恢复过来的商界提供更广泛的服务，这些品牌局将转型为“商业支持单位”。2022年11月28日至12月2日，在呵叻府和曼谷举办了</w:t>
      </w:r>
      <w:r w:rsidRPr="00140621">
        <w:rPr>
          <w:rFonts w:ascii="KaiTi" w:eastAsia="KaiTi" w:hAnsi="KaiTi" w:hint="eastAsia"/>
          <w:sz w:val="21"/>
          <w:szCs w:val="21"/>
        </w:rPr>
        <w:t>“关于以基于项目的方法加强选定的亚太国家的品牌、外观设计和地理标志的区域论坛”</w:t>
      </w:r>
      <w:r w:rsidRPr="008042E7">
        <w:rPr>
          <w:rFonts w:asciiTheme="minorEastAsia" w:eastAsiaTheme="minorEastAsia" w:hAnsiTheme="minorEastAsia" w:hint="eastAsia"/>
          <w:sz w:val="21"/>
          <w:szCs w:val="21"/>
        </w:rPr>
        <w:t>，标志着转型的开始。</w:t>
      </w:r>
      <w:r w:rsidRPr="008042E7">
        <w:rPr>
          <w:rStyle w:val="FootnoteReference"/>
          <w:rFonts w:asciiTheme="minorEastAsia" w:eastAsiaTheme="minorEastAsia" w:hAnsiTheme="minorEastAsia"/>
          <w:sz w:val="21"/>
          <w:szCs w:val="21"/>
        </w:rPr>
        <w:footnoteReference w:id="52"/>
      </w:r>
      <w:r w:rsidRPr="008042E7">
        <w:rPr>
          <w:rFonts w:asciiTheme="minorEastAsia" w:eastAsiaTheme="minorEastAsia" w:hAnsiTheme="minorEastAsia" w:hint="eastAsia"/>
          <w:sz w:val="21"/>
          <w:szCs w:val="21"/>
        </w:rPr>
        <w:t>此外，发展议程项目活动还被纳入了该部门的正常工作以及在产品品牌创建和商业发展领域提供技术援助的主流。例如对柬埔寨蒙多基里蜂蜜、纽埃的“海洋对话信贷（OCC）”、老挝人民民主共和国的“一县一品（ODOP）”、孟加拉国的黑虎虾产业和沙特兰吉地毯产业、</w:t>
      </w:r>
      <w:r w:rsidRPr="008042E7">
        <w:rPr>
          <w:rStyle w:val="ui-provider"/>
          <w:rFonts w:asciiTheme="minorEastAsia" w:eastAsiaTheme="minorEastAsia" w:hAnsiTheme="minorEastAsia" w:hint="eastAsia"/>
          <w:sz w:val="21"/>
          <w:szCs w:val="21"/>
        </w:rPr>
        <w:t>伊朗伊斯兰共和国的藏红花和开心果产业的品牌援助项目，</w:t>
      </w:r>
      <w:r w:rsidRPr="008042E7">
        <w:rPr>
          <w:rFonts w:asciiTheme="minorEastAsia" w:eastAsiaTheme="minorEastAsia" w:hAnsiTheme="minorEastAsia" w:hint="eastAsia"/>
          <w:sz w:val="21"/>
          <w:szCs w:val="21"/>
        </w:rPr>
        <w:t>以及对不丹水产业的培训和指导计划。</w:t>
      </w:r>
    </w:p>
    <w:p w14:paraId="667CF3F2" w14:textId="5B0F08C9" w:rsidR="00E733EF" w:rsidRPr="00140621"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40621">
        <w:rPr>
          <w:rFonts w:ascii="SimHei" w:eastAsia="SimHei" w:hAnsi="SimHei" w:hint="eastAsia"/>
          <w:b w:val="0"/>
          <w:sz w:val="21"/>
          <w:szCs w:val="21"/>
        </w:rPr>
        <w:t>专利和技术部门</w:t>
      </w:r>
    </w:p>
    <w:p w14:paraId="62A77B14"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sz w:val="21"/>
          <w:szCs w:val="21"/>
        </w:rPr>
      </w:pPr>
      <w:r w:rsidRPr="00140621">
        <w:rPr>
          <w:rFonts w:hint="eastAsia"/>
          <w:sz w:val="21"/>
          <w:szCs w:val="21"/>
        </w:rPr>
        <w:t>专利和技术部门继续支持成员国制定自己的立法框架，以保护其境内有价值的创新资产。该部门领导了由成员国推动的规范制定进程，为开展对话和协作活动创造了有利的环境。在本报告所述期间，该部门通过培训和能力建设活动扩大了其在最不发达国家、发展中国家和转型国家的外联范围。此外，该部门还协调本组织的工作，在产权组织新建立的知识产权与性别计划下，为支持妇女参与创新和知识产权制定产权组织的战略方向。</w:t>
      </w:r>
    </w:p>
    <w:p w14:paraId="4E29AB3F" w14:textId="006815B4" w:rsidR="00E733EF" w:rsidRPr="00140621" w:rsidRDefault="00191652" w:rsidP="00140621">
      <w:pPr>
        <w:pStyle w:val="Heading2"/>
        <w:spacing w:beforeLines="100" w:afterLines="100" w:after="240" w:line="340" w:lineRule="atLeast"/>
        <w:jc w:val="both"/>
        <w:rPr>
          <w:b/>
          <w:bCs w:val="0"/>
          <w:sz w:val="21"/>
          <w:szCs w:val="21"/>
        </w:rPr>
      </w:pPr>
      <w:r w:rsidRPr="00140621">
        <w:rPr>
          <w:rFonts w:hint="eastAsia"/>
          <w:b/>
          <w:bCs w:val="0"/>
          <w:sz w:val="21"/>
          <w:szCs w:val="21"/>
        </w:rPr>
        <w:t>专利和技术法以及专利合作条约</w:t>
      </w:r>
    </w:p>
    <w:p w14:paraId="2F9B68D4"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pacing w:val="-20"/>
          <w:sz w:val="21"/>
          <w:szCs w:val="21"/>
        </w:rPr>
        <w:t>在专利、实用新型、商业秘密和布图设计领域，该部门向21个发展中国家和最不发达国家</w:t>
      </w:r>
      <w:r w:rsidRPr="00140621">
        <w:rPr>
          <w:rStyle w:val="FootnoteReference"/>
          <w:rFonts w:asciiTheme="minorEastAsia" w:eastAsiaTheme="minorEastAsia" w:hAnsiTheme="minorEastAsia"/>
          <w:sz w:val="21"/>
          <w:szCs w:val="21"/>
        </w:rPr>
        <w:footnoteReference w:id="53"/>
      </w:r>
      <w:r w:rsidRPr="00140621">
        <w:rPr>
          <w:rFonts w:asciiTheme="minorEastAsia" w:eastAsiaTheme="minorEastAsia" w:hAnsiTheme="minorEastAsia" w:hint="eastAsia"/>
          <w:sz w:val="21"/>
          <w:szCs w:val="21"/>
        </w:rPr>
        <w:t>提供了立法和政策咨询，同时考虑到它们的优先事项和特殊需求、知识产权制度固有的平衡权利和义务以及受益国的不同发展水平。这种援助有助于进一步促进落实发展议程建议13、14和17。</w:t>
      </w:r>
    </w:p>
    <w:p w14:paraId="4C61EB39"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作为通过《专利合作条约》（PCT）为发明提供国际保护的全球服务的提供者，该部门为通过产权组织免费的PATENTSCOPE数据库向国际社会传播与创新有关的技术信息提供支持。</w:t>
      </w:r>
      <w:r w:rsidRPr="00140621">
        <w:rPr>
          <w:rStyle w:val="FootnoteReference"/>
          <w:rFonts w:asciiTheme="minorEastAsia" w:eastAsiaTheme="minorEastAsia" w:hAnsiTheme="minorEastAsia"/>
          <w:sz w:val="21"/>
          <w:szCs w:val="21"/>
        </w:rPr>
        <w:footnoteReference w:id="54"/>
      </w:r>
      <w:r w:rsidRPr="00140621">
        <w:rPr>
          <w:rFonts w:asciiTheme="minorEastAsia" w:eastAsiaTheme="minorEastAsia" w:hAnsiTheme="minorEastAsia" w:hint="eastAsia"/>
          <w:sz w:val="21"/>
          <w:szCs w:val="21"/>
        </w:rPr>
        <w:t>平均每周有5,000多份新的PCT申请（包含发明的公开）被纳入PATENSCOPE。</w:t>
      </w:r>
      <w:r w:rsidRPr="00140621">
        <w:rPr>
          <w:rStyle w:val="FootnoteReference"/>
          <w:rFonts w:asciiTheme="minorEastAsia" w:eastAsiaTheme="minorEastAsia" w:hAnsiTheme="minorEastAsia"/>
          <w:sz w:val="21"/>
          <w:szCs w:val="21"/>
        </w:rPr>
        <w:footnoteReference w:id="55"/>
      </w:r>
      <w:r w:rsidRPr="00140621">
        <w:rPr>
          <w:rFonts w:asciiTheme="minorEastAsia" w:eastAsiaTheme="minorEastAsia" w:hAnsiTheme="minorEastAsia" w:hint="eastAsia"/>
          <w:sz w:val="21"/>
          <w:szCs w:val="21"/>
        </w:rPr>
        <w:t>为了促进对数据库的访问和使用，举办了13次与PATENTSCOPE有关的网络研讨会，有4,000多名与会者参加。</w:t>
      </w:r>
    </w:p>
    <w:p w14:paraId="31C8B537"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该部门继续实施用户外联计划和提供支持，并开展培训和能力建设活动，同时考虑到受益成员国的需求和情况。为了解决快速援助需求增加和旅行限制的问题，对大多数活动的培训内容和互动技巧进行了重新设计，并转向以在线方式提供。这一转变继续揭示了一些发展中国家和最不发达国家在信息技术设备方面缺乏技术渠道和合适的基础设施，甚至在某种程度上，经济转型期国家也是如此。这一转变要求学习使用信息技术工具，并根据新的虚拟通信环境调整技术培训内容，这意味着要调整工作人员以及专家和受益者的技能。经与特定成员国协调，该部门为发展中国家、最不发达国家和经济转型国家组织、协调和/或在这些国家参与了80项与《专利合作条约》有关的活动，如网络研讨会和电子讲习班。大多数活动线上举行，来自约95个国家的6,200多名与会者参加了这些活动，包括知识产权局工作人员、该体系的潜在用户和其他利益攸关</w:t>
      </w:r>
      <w:r w:rsidRPr="00140621">
        <w:rPr>
          <w:rFonts w:asciiTheme="minorEastAsia" w:eastAsiaTheme="minorEastAsia" w:hAnsiTheme="minorEastAsia" w:hint="eastAsia"/>
          <w:spacing w:val="-80"/>
          <w:sz w:val="21"/>
          <w:szCs w:val="21"/>
        </w:rPr>
        <w:t>方。</w:t>
      </w:r>
      <w:r w:rsidRPr="00140621">
        <w:rPr>
          <w:rStyle w:val="FootnoteReference"/>
          <w:rFonts w:asciiTheme="minorEastAsia" w:eastAsiaTheme="minorEastAsia" w:hAnsiTheme="minorEastAsia"/>
          <w:sz w:val="21"/>
          <w:szCs w:val="21"/>
        </w:rPr>
        <w:footnoteReference w:id="56"/>
      </w:r>
      <w:r w:rsidRPr="00140621">
        <w:rPr>
          <w:rFonts w:asciiTheme="minorEastAsia" w:eastAsiaTheme="minorEastAsia" w:hAnsiTheme="minorEastAsia" w:hint="eastAsia"/>
          <w:sz w:val="21"/>
          <w:szCs w:val="21"/>
        </w:rPr>
        <w:t>此外，来自发展中国家的自然人和来自最不发达国家的所有申请人提出的国际申请继续获得国际申请费和某些其他费用90%的优惠。</w:t>
      </w:r>
    </w:p>
    <w:p w14:paraId="6034FBF4"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知识产权与性别</w:t>
      </w:r>
    </w:p>
    <w:p w14:paraId="6BB2AFCE" w14:textId="5AB0349B"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2022年，该部门领导本组织努力为产权组织新建立的知识产权与性别计划制定第一个产权组织知识产权与性别行动计划（IPGAP）。IPGAP是产权组织对实现妇女和女童经济平等和赋能的总体和全球努力作出的贡献。IPGAP的实施工作于2022年下半年开始。该计划旨在与产权组织的《2022-2026年中期战略计划》时间表相吻合，从该计划中产生并补充其工作支柱。IPGAP的愿景是，世界各地妇女的创新和创造都能得到知识产权支持，造福于所有人。具体而言，IPGAP的举措包括：(i)政府支持将性别观点纳入知识产权立法、政策、计划和项目；(ii)研究确定知识产权性别差距的范围和性质以及缩小差距的方法；(iii)在知识产权环境中开展以性别为导向的试点项目，有效训练和提高妇女和支持妇女的机构的知识产权技能。</w:t>
      </w:r>
    </w:p>
    <w:p w14:paraId="410F6ED1"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产权组织机构</w:t>
      </w:r>
    </w:p>
    <w:p w14:paraId="081B20DF"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该部门继续支持包括专利法常设委员会（SCP）和专利合作条约工作组（PCT工作组）在内的众多产权组织机构开展工作。</w:t>
      </w:r>
    </w:p>
    <w:p w14:paraId="13C8AF6E" w14:textId="334FAC55"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SCP于2022年9月26日至30日以混合形式举行了其第三十四届会议。根据发展议程建议，SCP的活动继续由成员国推动并具有包容性，支持营造有利于成员国之间进行接触和开展对话的环境，并考虑到它们的不同发展水平。除其他外，成员国继续讨论了以下问题：(i)专利权的例外与限制；(ii)专利质量，包括异议制度；(iii)专利与卫生；(iv)专利顾问与其客户之间通信的保密性；和(v)技术转让。特别是，成员国分享了有关专利权用尽、使用人工智能和由人工智能创造的发明的可专利性、快速专利审查机制、可公开访问的药品和疫苗专利状况信息数据库、客户与其专利顾问之间通信保密的跨境方面的信息，以及专利制度在促进创新、技术转让和工业发展方面的贡献。</w:t>
      </w:r>
      <w:r w:rsidRPr="00D77568">
        <w:rPr>
          <w:rStyle w:val="FootnoteReference"/>
          <w:rFonts w:asciiTheme="minorEastAsia" w:eastAsiaTheme="minorEastAsia" w:hAnsiTheme="minorEastAsia"/>
          <w:sz w:val="21"/>
          <w:szCs w:val="21"/>
        </w:rPr>
        <w:footnoteReference w:id="57"/>
      </w:r>
    </w:p>
    <w:p w14:paraId="0E0E4200"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专利合作条约工作组于2022年10月3日至7日以混合形式举行了其第十五届会议。工作组审议了国际局就已对发展中国家使用PCT体系产生直接影响的技术援助和能力建设活动以及在产权组织其他机构（特别是CDIP、产权组织标准委员会和产权组织大会）监督下开展的与PCT有关的技术援助活动编写的一份报告。</w:t>
      </w:r>
      <w:r w:rsidRPr="00D77568">
        <w:rPr>
          <w:rStyle w:val="FootnoteReference"/>
          <w:rFonts w:asciiTheme="minorEastAsia" w:eastAsiaTheme="minorEastAsia" w:hAnsiTheme="minorEastAsia"/>
          <w:sz w:val="21"/>
          <w:szCs w:val="21"/>
        </w:rPr>
        <w:footnoteReference w:id="58"/>
      </w:r>
      <w:r w:rsidRPr="00D77568">
        <w:rPr>
          <w:rFonts w:asciiTheme="minorEastAsia" w:eastAsiaTheme="minorEastAsia" w:hAnsiTheme="minorEastAsia" w:hint="eastAsia"/>
          <w:sz w:val="21"/>
          <w:szCs w:val="21"/>
        </w:rPr>
        <w:t>工作组注意到国际局对已在2022年5月16日至20日举行的CDIP第二十八届会议上进行的</w:t>
      </w:r>
      <w:r w:rsidRPr="00D77568">
        <w:rPr>
          <w:rFonts w:ascii="KaiTi" w:eastAsia="KaiTi" w:hAnsi="KaiTi" w:hint="eastAsia"/>
          <w:sz w:val="21"/>
          <w:szCs w:val="21"/>
        </w:rPr>
        <w:t>“产权组织在合作促发展领域的技术援助”</w:t>
      </w:r>
      <w:r w:rsidRPr="00D77568">
        <w:rPr>
          <w:rFonts w:asciiTheme="minorEastAsia" w:eastAsiaTheme="minorEastAsia" w:hAnsiTheme="minorEastAsia" w:hint="eastAsia"/>
          <w:sz w:val="21"/>
          <w:szCs w:val="21"/>
        </w:rPr>
        <w:t>分议程项目下的讨论进行的更新。</w:t>
      </w:r>
      <w:r w:rsidRPr="00D77568">
        <w:rPr>
          <w:rStyle w:val="FootnoteReference"/>
          <w:rFonts w:asciiTheme="minorEastAsia" w:eastAsiaTheme="minorEastAsia" w:hAnsiTheme="minorEastAsia"/>
          <w:sz w:val="21"/>
          <w:szCs w:val="21"/>
        </w:rPr>
        <w:footnoteReference w:id="59"/>
      </w:r>
      <w:r w:rsidRPr="00D77568">
        <w:rPr>
          <w:rFonts w:asciiTheme="minorEastAsia" w:eastAsiaTheme="minorEastAsia" w:hAnsiTheme="minorEastAsia" w:hint="eastAsia"/>
          <w:sz w:val="21"/>
          <w:szCs w:val="21"/>
        </w:rPr>
        <w:t>此外，工作组继续就制定专利实质审查员技术能力框架和用于管理专利审查员培训的学习管理系统问题展开讨论。</w:t>
      </w:r>
      <w:r w:rsidRPr="00D77568">
        <w:rPr>
          <w:rStyle w:val="FootnoteReference"/>
          <w:rFonts w:asciiTheme="minorEastAsia" w:eastAsiaTheme="minorEastAsia" w:hAnsiTheme="minorEastAsia"/>
          <w:sz w:val="21"/>
          <w:szCs w:val="21"/>
        </w:rPr>
        <w:footnoteReference w:id="60"/>
      </w:r>
      <w:r w:rsidRPr="00D77568">
        <w:rPr>
          <w:rFonts w:asciiTheme="minorEastAsia" w:eastAsiaTheme="minorEastAsia" w:hAnsiTheme="minorEastAsia" w:hint="eastAsia"/>
          <w:sz w:val="21"/>
          <w:szCs w:val="21"/>
        </w:rPr>
        <w:t>工作组重申，同意国际局在中小型办事处开展范围更广的调查，以确定其当前的培训政策、方法和基础设施，评估其在制定此类政策、方法和开发基础设施方面的技术援助需求，并征求其对组织技术援助和提供培训的意见，以便及时、高效地开展培训。最后，工作组评估了国际局定期更新的适合专利实质审查员的电子学习资源汇编。</w:t>
      </w:r>
      <w:r w:rsidRPr="00D77568">
        <w:rPr>
          <w:rStyle w:val="FootnoteReference"/>
          <w:rFonts w:asciiTheme="minorEastAsia" w:eastAsiaTheme="minorEastAsia" w:hAnsiTheme="minorEastAsia"/>
          <w:sz w:val="21"/>
          <w:szCs w:val="21"/>
        </w:rPr>
        <w:footnoteReference w:id="61"/>
      </w:r>
      <w:r w:rsidRPr="00D77568">
        <w:rPr>
          <w:rFonts w:asciiTheme="minorEastAsia" w:eastAsiaTheme="minorEastAsia" w:hAnsiTheme="minorEastAsia" w:hint="eastAsia"/>
          <w:sz w:val="21"/>
          <w:szCs w:val="21"/>
        </w:rPr>
        <w:t>在这方面，工作组请国际局为创建独立电子学习资源库进一步编写提案。</w:t>
      </w:r>
      <w:r w:rsidRPr="00D77568">
        <w:rPr>
          <w:rStyle w:val="FootnoteReference"/>
          <w:rFonts w:asciiTheme="minorEastAsia" w:eastAsiaTheme="minorEastAsia" w:hAnsiTheme="minorEastAsia"/>
          <w:sz w:val="21"/>
          <w:szCs w:val="21"/>
        </w:rPr>
        <w:footnoteReference w:id="62"/>
      </w:r>
      <w:r w:rsidRPr="00D77568">
        <w:rPr>
          <w:rFonts w:asciiTheme="minorEastAsia" w:eastAsiaTheme="minorEastAsia" w:hAnsiTheme="minorEastAsia" w:hint="eastAsia"/>
          <w:sz w:val="21"/>
          <w:szCs w:val="21"/>
        </w:rPr>
        <w:t>此类资源库将改善资源的获取，促进使用电子学习来培训专利审查员，从而在试点学习管理系统提供的选项基础上，为发展中国家和最不发达国家的能力建设作出贡献。</w:t>
      </w:r>
    </w:p>
    <w:p w14:paraId="7B889BAC" w14:textId="77777777" w:rsidR="00E733EF" w:rsidRPr="00D77568"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D77568">
        <w:rPr>
          <w:rFonts w:ascii="SimHei" w:eastAsia="SimHei" w:hAnsi="SimHei" w:hint="eastAsia"/>
          <w:b w:val="0"/>
          <w:sz w:val="21"/>
          <w:szCs w:val="21"/>
        </w:rPr>
        <w:t>品牌和外观设计部门</w:t>
      </w:r>
    </w:p>
    <w:p w14:paraId="42C90427"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品牌和外观设计部门继续支持成员国发展其商标、工业品外观设计和地理标志领域的立法和体制框架。在2022年期间，该部门针对成员国的社会经济目标，提供由成员国推动的立法和政策咨询，从而支持成员国对品牌和外观设计的实际应用。此外，该部门还采取措施，扩大了针对最不发达国家、发展中国家和转型国家的培训和能力建设活动的覆盖范围。</w:t>
      </w:r>
    </w:p>
    <w:p w14:paraId="34B130F3"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技术援助和能力建设</w:t>
      </w:r>
    </w:p>
    <w:p w14:paraId="0CAF9985" w14:textId="77777777" w:rsidR="00E733EF" w:rsidRPr="00D77568" w:rsidRDefault="00191652" w:rsidP="00C14C3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该部门的技术援助和能力建设工作继续以发展议程建议为指引。具体而言，2022年，该部门回应了7个国家的13项立法咨询请求，</w:t>
      </w:r>
      <w:r w:rsidRPr="00D77568">
        <w:rPr>
          <w:rStyle w:val="FootnoteReference"/>
          <w:rFonts w:asciiTheme="minorEastAsia" w:eastAsiaTheme="minorEastAsia" w:hAnsiTheme="minorEastAsia"/>
          <w:sz w:val="21"/>
          <w:szCs w:val="21"/>
        </w:rPr>
        <w:footnoteReference w:id="63"/>
      </w:r>
      <w:r w:rsidRPr="00D77568">
        <w:rPr>
          <w:rFonts w:asciiTheme="minorEastAsia" w:eastAsiaTheme="minorEastAsia" w:hAnsiTheme="minorEastAsia" w:hint="eastAsia"/>
          <w:sz w:val="21"/>
          <w:szCs w:val="21"/>
        </w:rPr>
        <w:t>其中5项涉及商标，3项涉及工业品外观设计，2项涉及地理标志，3项涉及知识产权战略。同时，该部门通过能力建设和宣传活动进一步扩大了其</w:t>
      </w:r>
      <w:r w:rsidRPr="00D77568">
        <w:rPr>
          <w:rFonts w:asciiTheme="minorEastAsia" w:eastAsiaTheme="minorEastAsia" w:hAnsiTheme="minorEastAsia" w:hint="eastAsia"/>
          <w:spacing w:val="-20"/>
          <w:sz w:val="21"/>
          <w:szCs w:val="21"/>
        </w:rPr>
        <w:t>外联活动的覆盖范围，其中12项活动涉及工业品外观设计，19项涉及商标，5项涉及地理标志。</w:t>
      </w:r>
      <w:r w:rsidRPr="00D77568">
        <w:rPr>
          <w:rStyle w:val="FootnoteReference"/>
          <w:rFonts w:asciiTheme="minorEastAsia" w:eastAsiaTheme="minorEastAsia" w:hAnsiTheme="minorEastAsia"/>
          <w:sz w:val="21"/>
          <w:szCs w:val="21"/>
        </w:rPr>
        <w:footnoteReference w:id="64"/>
      </w:r>
      <w:r w:rsidRPr="00D77568">
        <w:rPr>
          <w:rFonts w:asciiTheme="minorEastAsia" w:eastAsiaTheme="minorEastAsia" w:hAnsiTheme="minorEastAsia" w:hint="eastAsia"/>
          <w:sz w:val="21"/>
          <w:szCs w:val="21"/>
        </w:rPr>
        <w:t>特别值得注意的是，两个新的商标手册项目</w:t>
      </w:r>
      <w:r w:rsidRPr="00D77568">
        <w:rPr>
          <w:rStyle w:val="FootnoteReference"/>
          <w:rFonts w:asciiTheme="minorEastAsia" w:eastAsiaTheme="minorEastAsia" w:hAnsiTheme="minorEastAsia"/>
          <w:sz w:val="21"/>
          <w:szCs w:val="21"/>
        </w:rPr>
        <w:footnoteReference w:id="65"/>
      </w:r>
      <w:r w:rsidRPr="00D77568">
        <w:rPr>
          <w:rFonts w:asciiTheme="minorEastAsia" w:eastAsiaTheme="minorEastAsia" w:hAnsiTheme="minorEastAsia" w:hint="eastAsia"/>
          <w:sz w:val="21"/>
          <w:szCs w:val="21"/>
        </w:rPr>
        <w:t>的第一阶段已经成功完成，具体为：(i)为巴林王国工商部外贸和知识产权局制定</w:t>
      </w:r>
      <w:r w:rsidRPr="00C14C39">
        <w:rPr>
          <w:rFonts w:ascii="KaiTi" w:eastAsia="KaiTi" w:hAnsi="KaiTi" w:hint="eastAsia"/>
          <w:sz w:val="21"/>
          <w:szCs w:val="21"/>
        </w:rPr>
        <w:t>《商标申请审查指南》</w:t>
      </w:r>
      <w:r w:rsidRPr="00D77568">
        <w:rPr>
          <w:rFonts w:asciiTheme="minorEastAsia" w:eastAsiaTheme="minorEastAsia" w:hAnsiTheme="minorEastAsia" w:hint="eastAsia"/>
          <w:sz w:val="21"/>
          <w:szCs w:val="21"/>
        </w:rPr>
        <w:t>；以及(ii)审查和更新</w:t>
      </w:r>
      <w:r w:rsidRPr="00C14C39">
        <w:rPr>
          <w:rFonts w:ascii="KaiTi" w:eastAsia="KaiTi" w:hAnsi="KaiTi" w:hint="eastAsia"/>
          <w:sz w:val="21"/>
          <w:szCs w:val="21"/>
        </w:rPr>
        <w:t>《安第斯共同体商标手册》</w:t>
      </w:r>
      <w:r w:rsidRPr="00D77568">
        <w:rPr>
          <w:rFonts w:asciiTheme="minorEastAsia" w:eastAsiaTheme="minorEastAsia" w:hAnsiTheme="minorEastAsia" w:hint="eastAsia"/>
          <w:sz w:val="21"/>
          <w:szCs w:val="21"/>
        </w:rPr>
        <w:t>。这些项目受到了受益国的欢迎，因为商标局在进行人员和基础设施改革时需要确保审查专业知识的传承。还应提及的是，</w:t>
      </w:r>
      <w:r w:rsidRPr="00C14C39">
        <w:rPr>
          <w:rFonts w:ascii="KaiTi" w:eastAsia="KaiTi" w:hAnsi="KaiTi" w:hint="eastAsia"/>
          <w:sz w:val="21"/>
          <w:szCs w:val="21"/>
        </w:rPr>
        <w:t>“西非国家经济共同体-产权组织外观设计试点项目”</w:t>
      </w:r>
      <w:r w:rsidRPr="00D77568">
        <w:rPr>
          <w:rFonts w:asciiTheme="minorEastAsia" w:eastAsiaTheme="minorEastAsia" w:hAnsiTheme="minorEastAsia" w:hint="eastAsia"/>
          <w:sz w:val="21"/>
          <w:szCs w:val="21"/>
        </w:rPr>
        <w:t>于2022年初启动，其主要目的是提高西非企业对工业品外观设计在产品商业化中的价值和作用的认识。从试点国家科特迪瓦和加纳开始，在阿比让和阿克拉的经济中心举行的圆桌会议主要由中小微企业参加。该试点项目的核心内容是创建一个移动应用程序（这在产权组织和所有项目合作伙伴中尚属首次），设想将其作为信息共享的主要工具，包括讲述西非地区的工业品外观设计故事。</w:t>
      </w:r>
      <w:r w:rsidRPr="00D77568">
        <w:rPr>
          <w:rStyle w:val="FootnoteReference"/>
          <w:rFonts w:asciiTheme="minorEastAsia" w:eastAsiaTheme="minorEastAsia" w:hAnsiTheme="minorEastAsia"/>
          <w:sz w:val="21"/>
          <w:szCs w:val="21"/>
        </w:rPr>
        <w:footnoteReference w:id="66"/>
      </w:r>
      <w:r w:rsidRPr="00D77568">
        <w:rPr>
          <w:rFonts w:asciiTheme="minorEastAsia" w:eastAsiaTheme="minorEastAsia" w:hAnsiTheme="minorEastAsia" w:hint="eastAsia"/>
          <w:sz w:val="21"/>
          <w:szCs w:val="21"/>
        </w:rPr>
        <w:t>该部门在报告所述期间参与的另一个项目旨在协助东南亚国家联盟（东盟）各国协调和进一步简化其国家外观设计注册制度，以提高该地区的竞争力。</w:t>
      </w:r>
      <w:r w:rsidRPr="00D77568">
        <w:rPr>
          <w:rStyle w:val="FootnoteReference"/>
          <w:rFonts w:asciiTheme="minorEastAsia" w:eastAsiaTheme="minorEastAsia" w:hAnsiTheme="minorEastAsia"/>
          <w:sz w:val="21"/>
          <w:szCs w:val="21"/>
        </w:rPr>
        <w:footnoteReference w:id="67"/>
      </w:r>
    </w:p>
    <w:p w14:paraId="79238857"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该部门继续与当地社区密切合作，对柬埔寨的“Kampot海盐”生产者、塞内加尔的“Madd de Casamance”生产者、</w:t>
      </w:r>
      <w:r w:rsidRPr="00D77568">
        <w:rPr>
          <w:rStyle w:val="FootnoteReference"/>
          <w:rFonts w:asciiTheme="minorEastAsia" w:eastAsiaTheme="minorEastAsia" w:hAnsiTheme="minorEastAsia"/>
          <w:sz w:val="21"/>
          <w:szCs w:val="21"/>
        </w:rPr>
        <w:footnoteReference w:id="68"/>
      </w:r>
      <w:r w:rsidRPr="00D77568">
        <w:rPr>
          <w:rFonts w:asciiTheme="minorEastAsia" w:eastAsiaTheme="minorEastAsia" w:hAnsiTheme="minorEastAsia" w:hint="eastAsia"/>
          <w:sz w:val="21"/>
          <w:szCs w:val="21"/>
        </w:rPr>
        <w:t>多哥的“Riz de Kovié”生产者和墨西哥的“Seda de Cajonos”生产者等地理标志进行开发、保护和商业化利用。</w:t>
      </w:r>
      <w:r w:rsidRPr="00D77568">
        <w:rPr>
          <w:rStyle w:val="FootnoteReference"/>
          <w:rFonts w:asciiTheme="minorEastAsia" w:eastAsiaTheme="minorEastAsia" w:hAnsiTheme="minorEastAsia"/>
          <w:sz w:val="21"/>
          <w:szCs w:val="21"/>
        </w:rPr>
        <w:footnoteReference w:id="69"/>
      </w:r>
      <w:r w:rsidRPr="00D77568">
        <w:rPr>
          <w:rFonts w:asciiTheme="minorEastAsia" w:eastAsiaTheme="minorEastAsia" w:hAnsiTheme="minorEastAsia" w:hint="eastAsia"/>
          <w:sz w:val="21"/>
          <w:szCs w:val="21"/>
        </w:rPr>
        <w:t>此外，根据《补充〈商标法新加坡条约〉（下称《新加坡条约》）的决议》，产权组织继续为实施《新加坡条约》提供额外和充分</w:t>
      </w:r>
      <w:r w:rsidRPr="00D77568">
        <w:rPr>
          <w:rFonts w:asciiTheme="minorEastAsia" w:eastAsiaTheme="minorEastAsia" w:hAnsiTheme="minorEastAsia" w:hint="eastAsia"/>
          <w:spacing w:val="-20"/>
          <w:sz w:val="21"/>
          <w:szCs w:val="21"/>
        </w:rPr>
        <w:t>的技术援助。2022年，产权组织为两个成员国在法律和法规中实施《新加坡条约》提供了支持。</w:t>
      </w:r>
      <w:r w:rsidRPr="00D77568">
        <w:rPr>
          <w:rStyle w:val="FootnoteReference"/>
          <w:rFonts w:asciiTheme="minorEastAsia" w:eastAsiaTheme="minorEastAsia" w:hAnsiTheme="minorEastAsia"/>
          <w:sz w:val="21"/>
          <w:szCs w:val="21"/>
        </w:rPr>
        <w:footnoteReference w:id="70"/>
      </w:r>
      <w:r w:rsidRPr="00D77568">
        <w:rPr>
          <w:rFonts w:asciiTheme="minorEastAsia" w:eastAsiaTheme="minorEastAsia" w:hAnsiTheme="minorEastAsia" w:hint="eastAsia"/>
          <w:sz w:val="21"/>
          <w:szCs w:val="21"/>
        </w:rPr>
        <w:t>另外，还开展了四项能力建设和宣传活动。</w:t>
      </w:r>
      <w:r w:rsidRPr="00D77568">
        <w:rPr>
          <w:rStyle w:val="FootnoteReference"/>
          <w:rFonts w:asciiTheme="minorEastAsia" w:eastAsiaTheme="minorEastAsia" w:hAnsiTheme="minorEastAsia"/>
          <w:sz w:val="21"/>
          <w:szCs w:val="21"/>
        </w:rPr>
        <w:footnoteReference w:id="71"/>
      </w:r>
    </w:p>
    <w:p w14:paraId="192B7281"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产权组织机构</w:t>
      </w:r>
    </w:p>
    <w:p w14:paraId="32D48E97"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该部门继续支持商标、工业品外观设计和地理标志法律常设委员会（SCT）的工作。SCT第四十五和四十六届会议分别于3月28日至30日和11月21日至23日举行。SCT在工业品外观设计、保护国名防止作为商标注册和使用以及地理标志方面的工作继续按照发展议程建议15进行。</w:t>
      </w:r>
    </w:p>
    <w:p w14:paraId="1F6EF486"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产权组织大会第五十五届会议（第30次特别会议）讨论了召开一次通过外观设计法条约外交会议的可能性问题。</w:t>
      </w:r>
      <w:r w:rsidRPr="004C19C1">
        <w:rPr>
          <w:rStyle w:val="FootnoteReference"/>
          <w:rFonts w:asciiTheme="minorEastAsia" w:eastAsiaTheme="minorEastAsia" w:hAnsiTheme="minorEastAsia"/>
          <w:sz w:val="21"/>
          <w:szCs w:val="21"/>
        </w:rPr>
        <w:footnoteReference w:id="72"/>
      </w:r>
      <w:r w:rsidRPr="004C19C1">
        <w:rPr>
          <w:rFonts w:asciiTheme="minorEastAsia" w:eastAsiaTheme="minorEastAsia" w:hAnsiTheme="minorEastAsia" w:hint="eastAsia"/>
          <w:sz w:val="21"/>
          <w:szCs w:val="21"/>
        </w:rPr>
        <w:t>会议以包容和由成员驱动的方式进行了审议，最后产权组织大会决定最迟于2024年召开一次外交会议，以缔结和通过一部外观设计法条约。</w:t>
      </w:r>
      <w:r w:rsidRPr="004C19C1">
        <w:rPr>
          <w:rStyle w:val="FootnoteReference"/>
          <w:rFonts w:asciiTheme="minorEastAsia" w:eastAsiaTheme="minorEastAsia" w:hAnsiTheme="minorEastAsia"/>
          <w:sz w:val="21"/>
          <w:szCs w:val="21"/>
        </w:rPr>
        <w:footnoteReference w:id="73"/>
      </w:r>
    </w:p>
    <w:p w14:paraId="7B03D2E8"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已被纳入主流的发展议程项目</w:t>
      </w:r>
    </w:p>
    <w:p w14:paraId="5CBF1B38"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关于</w:t>
      </w:r>
      <w:r w:rsidRPr="004C19C1">
        <w:rPr>
          <w:rFonts w:ascii="KaiTi" w:eastAsia="KaiTi" w:hAnsi="KaiTi" w:hint="eastAsia"/>
          <w:sz w:val="21"/>
          <w:szCs w:val="21"/>
        </w:rPr>
        <w:t>“知识产权和外观设计管理促进发展中国家和最不发达国家企业发展”</w:t>
      </w:r>
      <w:r w:rsidRPr="004C19C1">
        <w:rPr>
          <w:rFonts w:asciiTheme="minorEastAsia" w:eastAsiaTheme="minorEastAsia" w:hAnsiTheme="minorEastAsia" w:hint="eastAsia"/>
          <w:sz w:val="21"/>
          <w:szCs w:val="21"/>
        </w:rPr>
        <w:t>的项目已于2016年4月完成，并于2017年3月进行了审评。在2017年12月举行的第二十届会议上，CDIP对项目审评进行了审查，然后批准了该项目的后续实施。因此，在本报告所述期间，项目活动继续被纳入产权组织宣传和能力建设经常性工作的主流。</w:t>
      </w:r>
    </w:p>
    <w:p w14:paraId="2A8426CF"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正在实施的发展议程项目</w:t>
      </w:r>
    </w:p>
    <w:p w14:paraId="2AD1A985"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该部门负责落实以下正在实施的发展议程项目：</w:t>
      </w:r>
    </w:p>
    <w:p w14:paraId="48611062"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D612CE">
        <w:rPr>
          <w:rFonts w:ascii="KaiTi" w:eastAsia="KaiTi" w:hAnsi="KaiTi" w:hint="eastAsia"/>
          <w:iCs/>
          <w:sz w:val="21"/>
          <w:szCs w:val="21"/>
        </w:rPr>
        <w:t>“通过知识产权增强小企业能力：制定在注册后阶段为地理标志或集体商标提供支持的战略”</w:t>
      </w:r>
      <w:r w:rsidRPr="004C19C1">
        <w:rPr>
          <w:rFonts w:asciiTheme="minorEastAsia" w:eastAsiaTheme="minorEastAsia" w:hAnsiTheme="minorEastAsia" w:hint="eastAsia"/>
          <w:iCs/>
          <w:sz w:val="21"/>
          <w:szCs w:val="21"/>
        </w:rPr>
        <w:t>：2022年开展了以下筹备和实施前活动：(i)选择受益国；</w:t>
      </w:r>
      <w:r w:rsidRPr="004C19C1">
        <w:rPr>
          <w:rStyle w:val="FootnoteReference"/>
          <w:rFonts w:asciiTheme="minorEastAsia" w:eastAsiaTheme="minorEastAsia" w:hAnsiTheme="minorEastAsia"/>
          <w:iCs/>
          <w:sz w:val="21"/>
          <w:szCs w:val="21"/>
        </w:rPr>
        <w:footnoteReference w:id="74"/>
      </w:r>
      <w:r w:rsidRPr="004C19C1">
        <w:rPr>
          <w:rFonts w:asciiTheme="minorEastAsia" w:eastAsiaTheme="minorEastAsia" w:hAnsiTheme="minorEastAsia" w:hint="eastAsia"/>
          <w:iCs/>
          <w:sz w:val="21"/>
          <w:szCs w:val="21"/>
        </w:rPr>
        <w:t>(ii)</w:t>
      </w:r>
      <w:r w:rsidRPr="004C19C1">
        <w:rPr>
          <w:rFonts w:asciiTheme="minorEastAsia" w:eastAsiaTheme="minorEastAsia" w:hAnsiTheme="minorEastAsia" w:hint="eastAsia"/>
          <w:sz w:val="21"/>
          <w:szCs w:val="21"/>
        </w:rPr>
        <w:t>在每个受益国选择一名国家协调员；(iii)启动与受益国的讨论，为项目选择一个地理标志或集体/证明商标；</w:t>
      </w:r>
      <w:r w:rsidRPr="004C19C1">
        <w:rPr>
          <w:rStyle w:val="FootnoteReference"/>
          <w:rFonts w:asciiTheme="minorEastAsia" w:eastAsiaTheme="minorEastAsia" w:hAnsiTheme="minorEastAsia"/>
          <w:sz w:val="21"/>
          <w:szCs w:val="21"/>
        </w:rPr>
        <w:footnoteReference w:id="75"/>
      </w:r>
      <w:r w:rsidRPr="004C19C1">
        <w:rPr>
          <w:rFonts w:asciiTheme="minorEastAsia" w:eastAsiaTheme="minorEastAsia" w:hAnsiTheme="minorEastAsia" w:hint="eastAsia"/>
          <w:sz w:val="21"/>
          <w:szCs w:val="21"/>
        </w:rPr>
        <w:t>以及(iv)招募一名研究员，从2023年1月开始支持项目的实施。</w:t>
      </w:r>
    </w:p>
    <w:p w14:paraId="50DA0F85"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i/>
          <w:sz w:val="21"/>
          <w:szCs w:val="21"/>
        </w:rPr>
      </w:pPr>
      <w:r w:rsidRPr="00D612CE">
        <w:rPr>
          <w:rStyle w:val="ONUMFSChar"/>
          <w:rFonts w:ascii="KaiTi" w:eastAsia="KaiTi" w:hAnsi="KaiTi" w:hint="eastAsia"/>
          <w:iCs/>
          <w:sz w:val="21"/>
          <w:szCs w:val="21"/>
        </w:rPr>
        <w:t>“秘鲁及其他发展中国家的知识产权与美食旅游业：通过知识产权促进美食旅游业发展”</w:t>
      </w:r>
      <w:r w:rsidRPr="004C19C1">
        <w:rPr>
          <w:rStyle w:val="ONUMFSChar"/>
          <w:rFonts w:asciiTheme="minorEastAsia" w:eastAsiaTheme="minorEastAsia" w:hAnsiTheme="minorEastAsia" w:hint="eastAsia"/>
          <w:sz w:val="21"/>
          <w:szCs w:val="21"/>
        </w:rPr>
        <w:t>项目于2022年10月成功结束。在本报告所述期间，</w:t>
      </w:r>
      <w:r w:rsidRPr="004C19C1">
        <w:rPr>
          <w:rFonts w:asciiTheme="minorEastAsia" w:eastAsiaTheme="minorEastAsia" w:hAnsiTheme="minorEastAsia" w:hint="eastAsia"/>
          <w:sz w:val="21"/>
          <w:szCs w:val="21"/>
        </w:rPr>
        <w:t>在摩洛哥、马来西亚和喀麦隆完成了对选定烹饪传统价值链中知识产权相关领域的分析。同时，还组织了国家研讨会，在每个受益国介绍知识产权分析的建议和结果。具体而言，(i)在秘鲁，产权组织和国家竞争和知识产权保护局（INDECOPI）于2022年6月举办了一次国家研讨会；(ii)在摩洛哥，产权组织和摩洛哥工商产权局（OMPIC）于2022年9月举办了一次国家研讨会； (iii)在马来西亚，产权组织和马来西亚知识产权公司（MyIPO）于2022年6月举办了一次国家研讨会；以及(iv)在喀麦隆，产权组织和休闲旅游部（MINTOUL）于2022年6月举办了一次国家研讨会。作为项目结项活动的一部分，2022年10月18日在位于日内瓦的产权组织总部举行了一次国际讲习班，四个参与国和专家们汇聚一堂，分享了项目部署的经验，并讨论了各自得出的结论和未来行动的想法。世界旅游组织（世旅组织）也参加了此次讲习班，与各国一起探讨如何传播和推进项目的旅游业部分。还应提及的是，在CDIP第二十九届会议期间举行了一次会外活动，参与国在会上向成员国介绍了项目成果。</w:t>
      </w:r>
    </w:p>
    <w:p w14:paraId="589236A9"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i/>
          <w:sz w:val="21"/>
          <w:szCs w:val="21"/>
        </w:rPr>
      </w:pPr>
      <w:r w:rsidRPr="004C19C1">
        <w:rPr>
          <w:rFonts w:asciiTheme="minorEastAsia" w:eastAsiaTheme="minorEastAsia" w:hAnsiTheme="minorEastAsia" w:hint="eastAsia"/>
          <w:sz w:val="21"/>
          <w:szCs w:val="21"/>
        </w:rPr>
        <w:t>由发展议程协调司管理的</w:t>
      </w:r>
      <w:r w:rsidRPr="00D612CE">
        <w:rPr>
          <w:rFonts w:ascii="KaiTi" w:eastAsia="KaiTi" w:hAnsi="KaiTi" w:hint="eastAsia"/>
          <w:sz w:val="21"/>
          <w:szCs w:val="21"/>
        </w:rPr>
        <w:t>“将当地企业集体商标注册作为跨领域经济发展问题”</w:t>
      </w:r>
      <w:r w:rsidRPr="004C19C1">
        <w:rPr>
          <w:rFonts w:asciiTheme="minorEastAsia" w:eastAsiaTheme="minorEastAsia" w:hAnsiTheme="minorEastAsia" w:hint="eastAsia"/>
          <w:sz w:val="21"/>
          <w:szCs w:val="21"/>
        </w:rPr>
        <w:t>项目在2022年继续取得进展。其目标是支持四个受益国的当地企业使用集体商标。</w:t>
      </w:r>
      <w:r w:rsidRPr="004C19C1">
        <w:rPr>
          <w:rStyle w:val="FootnoteReference"/>
          <w:rFonts w:asciiTheme="minorEastAsia" w:eastAsiaTheme="minorEastAsia" w:hAnsiTheme="minorEastAsia"/>
          <w:sz w:val="21"/>
          <w:szCs w:val="21"/>
        </w:rPr>
        <w:footnoteReference w:id="76"/>
      </w:r>
      <w:r w:rsidRPr="004C19C1">
        <w:rPr>
          <w:rFonts w:asciiTheme="minorEastAsia" w:eastAsiaTheme="minorEastAsia" w:hAnsiTheme="minorEastAsia" w:hint="eastAsia"/>
          <w:sz w:val="21"/>
          <w:szCs w:val="21"/>
        </w:rPr>
        <w:t>实施战略的重点是为每个受益国的一个当地生产者群体开发和注册试点集体商标提供便利，以及开展能力建设活动和制作宣传材料。截至2022年底，菲律宾已经开发并注册了集体商标；突尼斯和巴西的两个集体商标已经完全开发并正在相关知识产权局注册；玻利维亚正在最后确定使用和徽标条例。在制作实用指南、传单和视频等宣传材料方面也取得了进展，并发布了一个专门用以支持该项目的网页。</w:t>
      </w:r>
      <w:r w:rsidRPr="004C19C1">
        <w:rPr>
          <w:rStyle w:val="FootnoteReference"/>
          <w:rFonts w:asciiTheme="minorEastAsia" w:eastAsiaTheme="minorEastAsia" w:hAnsiTheme="minorEastAsia"/>
          <w:sz w:val="21"/>
          <w:szCs w:val="21"/>
        </w:rPr>
        <w:footnoteReference w:id="77"/>
      </w:r>
    </w:p>
    <w:p w14:paraId="2B54D74B" w14:textId="77777777" w:rsidR="00E733EF" w:rsidRPr="00D612CE" w:rsidRDefault="00191652" w:rsidP="00D612CE">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D612CE">
        <w:rPr>
          <w:rFonts w:ascii="SimHei" w:eastAsia="SimHei" w:hAnsi="SimHei" w:hint="eastAsia"/>
          <w:b w:val="0"/>
          <w:sz w:val="21"/>
          <w:szCs w:val="21"/>
        </w:rPr>
        <w:t>版权和创意产业部门</w:t>
      </w:r>
    </w:p>
    <w:p w14:paraId="13ACD48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sz w:val="21"/>
          <w:szCs w:val="21"/>
        </w:rPr>
      </w:pPr>
      <w:r w:rsidRPr="00D612CE">
        <w:rPr>
          <w:rFonts w:hint="eastAsia"/>
          <w:sz w:val="21"/>
          <w:szCs w:val="21"/>
        </w:rPr>
        <w:t>版权和创意产业部门继续协助成员国加强其机构能力以及更新其利用版权生态系统作为可持续发展工具的知识和实用技能。在本报告所述期间，该部门通过提供由成员国推动的立法、政策、基础设施和管理咨询，支持成员国使用版权及相关权利。该部门还采取措施，扩大了针对最不发达国家、发展中国家和转型国家的培训和能力建设活动的覆盖范围。此外，该部门还通过产权组织网站和产权组织出版物等方式，领导产权组织努力提高全球对知识产权改善各地所有人生活的潜力的认识。这项宣传工作还得到了扩大的产权组织全球奖计划的支持，表彰那些利用知识产权在国内外产生积极影响的杰出企业和个人。</w:t>
      </w:r>
    </w:p>
    <w:p w14:paraId="68629629"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技术援助和能力建设</w:t>
      </w:r>
    </w:p>
    <w:p w14:paraId="29278F8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的技术援助和能力建设工作继续以发展议程建议为指引。具体而言，向20个发展中国家和最不发达国家提供了量身定制的立法咨询。同时，一系列的技术援助和能力建设计划惠及87个发展中国家和最不发达国家以及两个区域性政府间组织的5,920名参与者，包括政策制定者、文化和创意部门的专业人士和管理人员。值得注意的是以下项目/活动：(i)制定支持创意经济的国家知识产权/版权政策和战略；(ii)产权组织-非洲地区知识产权组织次区域会议：塑造非洲版权及相关权格局；(iii)为埃及举办关于版权在创意产业中的作用的网络研讨会；(iv)为各地区举办产权组织“出版商人际圈”倡议下的业绩辅导计划；(v)为亚太国家举办支持音乐和视觉艺术部门创意初创公司的版权制度辅导计划；(vi)为出版业的作者和中小企业举办一系列次区域网络研讨会：为加勒比国家举办的“一本书的旅程”；(vii)为拉丁美洲国家的创作者和中小企业举办的系列指导网络研讨会，该研讨会特别关注青年和妇女；以及(viii)美国版权局-产权组织2022年国际版权研究所。</w:t>
      </w:r>
    </w:p>
    <w:p w14:paraId="6DBA8981"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在本报告所述期间，根据发展议程建议4，该部门特别关注中小企业的需求。例如，应尼日利亚版权委员会的要求，与其共同制定了</w:t>
      </w:r>
      <w:r w:rsidRPr="00D612CE">
        <w:rPr>
          <w:rFonts w:ascii="KaiTi" w:eastAsia="KaiTi" w:hAnsi="KaiTi" w:hint="eastAsia"/>
          <w:sz w:val="21"/>
          <w:szCs w:val="21"/>
        </w:rPr>
        <w:t>《尼日利亚集体管理组织许可和运作手册》</w:t>
      </w:r>
      <w:r w:rsidRPr="00D612CE">
        <w:rPr>
          <w:rFonts w:asciiTheme="minorEastAsia" w:eastAsiaTheme="minorEastAsia" w:hAnsiTheme="minorEastAsia" w:hint="eastAsia"/>
          <w:sz w:val="21"/>
          <w:szCs w:val="21"/>
        </w:rPr>
        <w:t>。此举的目的是通过提供有关集体管理组织运作的实用和最新信息，增强尼日利亚集体管理组织的能力，并在集体管理组织内推广透明文化和良好做法，使其能够设计、实施和调整有效的许可战略。另一个例子是，</w:t>
      </w:r>
      <w:r w:rsidRPr="00D612CE">
        <w:rPr>
          <w:rFonts w:ascii="KaiTi" w:eastAsia="KaiTi" w:hAnsi="KaiTi" w:hint="eastAsia"/>
          <w:sz w:val="21"/>
          <w:szCs w:val="21"/>
        </w:rPr>
        <w:t>《面向高校和公共研究机构的产权组织版权政策模板》</w:t>
      </w:r>
      <w:r w:rsidRPr="00D612CE">
        <w:rPr>
          <w:rFonts w:asciiTheme="minorEastAsia" w:eastAsiaTheme="minorEastAsia" w:hAnsiTheme="minorEastAsia" w:hint="eastAsia"/>
          <w:sz w:val="21"/>
          <w:szCs w:val="21"/>
        </w:rPr>
        <w:t>及其</w:t>
      </w:r>
      <w:r w:rsidRPr="00D612CE">
        <w:rPr>
          <w:rFonts w:ascii="KaiTi" w:eastAsia="KaiTi" w:hAnsi="KaiTi" w:hint="eastAsia"/>
          <w:sz w:val="21"/>
          <w:szCs w:val="21"/>
        </w:rPr>
        <w:t>《定制化指南》</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78"/>
      </w:r>
      <w:r w:rsidRPr="00D612CE">
        <w:rPr>
          <w:rFonts w:asciiTheme="minorEastAsia" w:eastAsiaTheme="minorEastAsia" w:hAnsiTheme="minorEastAsia" w:hint="eastAsia"/>
          <w:sz w:val="21"/>
          <w:szCs w:val="21"/>
        </w:rPr>
        <w:t>其目的是支持高校和研究机构制定机构版权政策，以促进版权资产的适当管理和版权作品的使用。还值得注意的是，组织了19次版权基础设施网络研讨会。</w:t>
      </w:r>
      <w:r w:rsidRPr="00D612CE">
        <w:rPr>
          <w:rStyle w:val="FootnoteReference"/>
          <w:rFonts w:asciiTheme="minorEastAsia" w:eastAsiaTheme="minorEastAsia" w:hAnsiTheme="minorEastAsia"/>
          <w:sz w:val="21"/>
          <w:szCs w:val="21"/>
        </w:rPr>
        <w:footnoteReference w:id="79"/>
      </w:r>
    </w:p>
    <w:p w14:paraId="31F3F1CD"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2022年还启动了产权组织全球奖</w:t>
      </w:r>
      <w:r w:rsidRPr="00D612CE">
        <w:rPr>
          <w:rStyle w:val="FootnoteReference"/>
          <w:rFonts w:asciiTheme="minorEastAsia" w:eastAsiaTheme="minorEastAsia" w:hAnsiTheme="minorEastAsia"/>
          <w:sz w:val="21"/>
          <w:szCs w:val="21"/>
        </w:rPr>
        <w:footnoteReference w:id="80"/>
      </w:r>
      <w:r w:rsidRPr="00D612CE">
        <w:rPr>
          <w:rFonts w:asciiTheme="minorEastAsia" w:eastAsiaTheme="minorEastAsia" w:hAnsiTheme="minorEastAsia" w:hint="eastAsia"/>
          <w:sz w:val="21"/>
          <w:szCs w:val="21"/>
        </w:rPr>
        <w:t>，旨在围绕中小企业、妇女和青年的创新和创造活力，促进知识产权商业化。作为一项年度比赛，该计划旨在展示和奖励对在商品和服务的商业化方面对社会做出积极贡献的知识产权制度的突出使用。在该项比赛的第一年，来自世界各地的261家中小企业申请该奖项。最终，有20家企业入围，并从不同国家选出5名获奖者。获奖者得到了国际推广和有针对性的指导，从而推广其知识产权战略。从试点年获得的经验教训将指导该计划的全球和包容性推广工作。</w:t>
      </w:r>
    </w:p>
    <w:p w14:paraId="110B5D60"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在本报告所述期间，无障碍图书联合会（ABC）继续切实执行《马拉喀什条约》，以造福盲人、视力障碍者或其他印刷品阅读障碍者。ABC的活动主要围绕三项举措展开。</w:t>
      </w:r>
      <w:r w:rsidRPr="00D612CE">
        <w:rPr>
          <w:rStyle w:val="FootnoteReference"/>
          <w:rFonts w:asciiTheme="minorEastAsia" w:eastAsiaTheme="minorEastAsia" w:hAnsiTheme="minorEastAsia"/>
          <w:iCs/>
          <w:sz w:val="21"/>
          <w:szCs w:val="21"/>
        </w:rPr>
        <w:footnoteReference w:id="81"/>
      </w:r>
      <w:r w:rsidRPr="00D612CE">
        <w:rPr>
          <w:rFonts w:asciiTheme="minorEastAsia" w:eastAsiaTheme="minorEastAsia" w:hAnsiTheme="minorEastAsia" w:hint="eastAsia"/>
          <w:sz w:val="21"/>
          <w:szCs w:val="21"/>
        </w:rPr>
        <w:t>首先，ABC在发展中国家和最不发达国家实施新的培训和技术援助项目，项目周期为两年。这些项目的主要目的是向区域组织传授知识，确保它们能够以可持续的方式独立制作无障碍图书。截至2022年底，已有28个国家用本国语言制作了18</w:t>
      </w:r>
      <w:proofErr w:type="gramStart"/>
      <w:r w:rsidRPr="00D612CE">
        <w:rPr>
          <w:rFonts w:asciiTheme="minorEastAsia" w:eastAsiaTheme="minorEastAsia" w:hAnsiTheme="minorEastAsia" w:hint="eastAsia"/>
          <w:sz w:val="21"/>
          <w:szCs w:val="21"/>
        </w:rPr>
        <w:t>,000份无障碍格式的教育图书</w:t>
      </w:r>
      <w:proofErr w:type="gramEnd"/>
      <w:r w:rsidRPr="00D612CE">
        <w:rPr>
          <w:rFonts w:asciiTheme="minorEastAsia" w:eastAsiaTheme="minorEastAsia" w:hAnsiTheme="minorEastAsia" w:hint="eastAsia"/>
          <w:sz w:val="21"/>
          <w:szCs w:val="21"/>
        </w:rPr>
        <w:t>。在2022年，为2022-2023年建立了11个新项目。值得一提的是，有120人报名参加无障碍图书联合会为非政府组织举办的关于如何制作无障碍格式图书的在线培训课程，该课程由专家培训师主持，提供在线互动课程。</w:t>
      </w:r>
      <w:r w:rsidRPr="00D612CE">
        <w:rPr>
          <w:rStyle w:val="FootnoteReference"/>
          <w:rFonts w:asciiTheme="minorEastAsia" w:eastAsiaTheme="minorEastAsia" w:hAnsiTheme="minorEastAsia"/>
          <w:iCs/>
          <w:sz w:val="21"/>
          <w:szCs w:val="21"/>
        </w:rPr>
        <w:footnoteReference w:id="82"/>
      </w:r>
      <w:r w:rsidRPr="00D612CE">
        <w:rPr>
          <w:rFonts w:asciiTheme="minorEastAsia" w:eastAsiaTheme="minorEastAsia" w:hAnsiTheme="minorEastAsia" w:hint="eastAsia"/>
          <w:sz w:val="21"/>
          <w:szCs w:val="21"/>
        </w:rPr>
        <w:t>其次，该联合会继续提供ABC全球图书服务，这是一个无障碍数字格式的在线图书目录，为盲人图书馆（即《马拉喀什条约》中定义的授权实体）提供免费跨境交换无障碍数字图书的能力。通过两种应用程序提供ABC全球图书服务</w:t>
      </w:r>
      <w:proofErr w:type="gramStart"/>
      <w:r w:rsidRPr="00D612CE">
        <w:rPr>
          <w:rFonts w:asciiTheme="minorEastAsia" w:eastAsiaTheme="minorEastAsia" w:hAnsiTheme="minorEastAsia" w:hint="eastAsia"/>
          <w:sz w:val="21"/>
          <w:szCs w:val="21"/>
        </w:rPr>
        <w:t>：(</w:t>
      </w:r>
      <w:proofErr w:type="gramEnd"/>
      <w:r w:rsidRPr="00D612CE">
        <w:rPr>
          <w:rFonts w:asciiTheme="minorEastAsia" w:eastAsiaTheme="minorEastAsia" w:hAnsiTheme="minorEastAsia" w:hint="eastAsia"/>
          <w:sz w:val="21"/>
          <w:szCs w:val="21"/>
        </w:rPr>
        <w:t>i)授权实体应用程序，这是一种图书馆对图书馆服务。截至2022年底，已有113个授权实体与产权组织签署了加入授权实体应用程序的协议，其中57个来自发展中国家和最不发达国家。根据《马拉喀什条约》的规定，有800,000多种图书可供这些授权实体进行交换；(ii)在2021年推出的补充应用程序，该应用程序使授权实体能够为其印刷品阅读障碍客户提供从无障碍图书联合会全球图书服务独立搜索和立即下载图书的能力。截至2022年底，35个授权实体同意向其客户提供该补充应用程序，其中10个来自发展中国家和最不发达国家。最后，ABC继续推广“自始无障碍”的出版原则，确保新出版的书籍能够被所有人完全使用，而不论其能力如何。世界各地的出版商和出版商协会受邀签署《ABC无障碍出版章程》。该章程载有八项与无障碍格式数字出版物相关的高级别志向性原则。截至2022年底，已有130家出版商签署了该章程，其中95家（73%）家来自发展中国家或最不发达国家。此外，在2022年9月，ABC推出了</w:t>
      </w:r>
      <w:r w:rsidRPr="00D612CE">
        <w:rPr>
          <w:rFonts w:ascii="KaiTi" w:eastAsia="KaiTi" w:hAnsi="KaiTi" w:hint="eastAsia"/>
          <w:sz w:val="21"/>
          <w:szCs w:val="21"/>
        </w:rPr>
        <w:t>“ABC出版商无障碍出版概念课程”</w:t>
      </w:r>
      <w:r w:rsidRPr="00D612CE">
        <w:rPr>
          <w:rFonts w:asciiTheme="minorEastAsia" w:eastAsiaTheme="minorEastAsia" w:hAnsiTheme="minorEastAsia" w:hint="eastAsia"/>
          <w:sz w:val="21"/>
          <w:szCs w:val="21"/>
        </w:rPr>
        <w:t>。这个新的在线课程是为出版商设计的，但也针对更广泛的受众，涵盖了出版领域需要考虑的关键无障碍主题。该课程免费向公众开放。</w:t>
      </w:r>
      <w:r w:rsidRPr="00D612CE">
        <w:rPr>
          <w:rStyle w:val="FootnoteReference"/>
          <w:rFonts w:asciiTheme="minorEastAsia" w:eastAsiaTheme="minorEastAsia" w:hAnsiTheme="minorEastAsia"/>
          <w:bCs/>
          <w:sz w:val="21"/>
          <w:szCs w:val="21"/>
        </w:rPr>
        <w:footnoteReference w:id="83"/>
      </w:r>
    </w:p>
    <w:p w14:paraId="1C39EC3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产权组织的COVID-19应对框架内，为博物馆部门构思了一个试点项目。具体而言，该项目旨在实施一项更广泛的战略，包括编制和实施一个安全的法律框架，以支持数字化和在线访问的发展。在这种情况下，准备工作已经开始，根据对某些博物馆如何在大流行期间不仅能够维持其在线教育活动，还能转向为学校学生提供创新的在线教育项目的新方法的分析，制定指导材料。</w:t>
      </w:r>
    </w:p>
    <w:p w14:paraId="75285CEF"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产权组织机构</w:t>
      </w:r>
    </w:p>
    <w:p w14:paraId="2882444C"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继续支持版权及相关权常设委员会（SCCR）的工作，该委员会在2022年举行了一次会议。第四十二届会议于2022年5月9日至13日以混合形式举行。根据委员会第四十一届会议的要求，秘书处在版权及相关权常设委员会会议的第一天组织了一次时长半天的信息会议，主题是COVID-19对文化、创意和教育生态系统的影响，包括对版权、相关权以及限制和例外的影响。在该届会议期间，成员国和观察员有机会提交资料并参与讨论。在版权及相关权常设委员会会议期间，委员会讨论了由主席、副主席和协调人编写的</w:t>
      </w:r>
      <w:r w:rsidRPr="00D612CE">
        <w:rPr>
          <w:rFonts w:ascii="KaiTi" w:eastAsia="KaiTi" w:hAnsi="KaiTi" w:hint="eastAsia"/>
          <w:sz w:val="21"/>
          <w:szCs w:val="21"/>
        </w:rPr>
        <w:t>《产权组织广播组织条约》</w:t>
      </w:r>
      <w:r w:rsidRPr="00D612CE">
        <w:rPr>
          <w:rFonts w:asciiTheme="minorEastAsia" w:eastAsiaTheme="minorEastAsia" w:hAnsiTheme="minorEastAsia" w:hint="eastAsia"/>
          <w:sz w:val="21"/>
          <w:szCs w:val="21"/>
        </w:rPr>
        <w:t>修订案文草案。</w:t>
      </w:r>
      <w:r w:rsidRPr="00D612CE">
        <w:rPr>
          <w:rStyle w:val="FootnoteReference"/>
          <w:rFonts w:asciiTheme="minorEastAsia" w:eastAsiaTheme="minorEastAsia" w:hAnsiTheme="minorEastAsia"/>
          <w:sz w:val="21"/>
          <w:szCs w:val="21"/>
        </w:rPr>
        <w:footnoteReference w:id="84"/>
      </w:r>
      <w:r w:rsidRPr="00D612CE">
        <w:rPr>
          <w:rFonts w:asciiTheme="minorEastAsia" w:eastAsiaTheme="minorEastAsia" w:hAnsiTheme="minorEastAsia" w:hint="eastAsia"/>
          <w:sz w:val="21"/>
          <w:szCs w:val="21"/>
        </w:rPr>
        <w:t>委员会请与会者提出意见，并请起草人为将于2023年举行的下一届版权及相关权常设委员会会议准备进一步的修订。在关于图书馆和档案馆、教育和研究机构以及其他残疾人的限制与例外的议程项目下，非洲集团提出了</w:t>
      </w:r>
      <w:r w:rsidRPr="00D612CE">
        <w:rPr>
          <w:rFonts w:ascii="KaiTi" w:eastAsia="KaiTi" w:hAnsi="KaiTi" w:hint="eastAsia"/>
          <w:sz w:val="21"/>
          <w:szCs w:val="21"/>
        </w:rPr>
        <w:t>关于例外与限制工作计划草案的提案</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85"/>
      </w:r>
      <w:r w:rsidRPr="00D612CE">
        <w:rPr>
          <w:rFonts w:asciiTheme="minorEastAsia" w:eastAsiaTheme="minorEastAsia" w:hAnsiTheme="minorEastAsia" w:hint="eastAsia"/>
          <w:sz w:val="21"/>
          <w:szCs w:val="21"/>
        </w:rPr>
        <w:t>并根据版权及相关权常设委员会会议期间的发言进行了修改。随后，秘书处回顾了根据</w:t>
      </w:r>
      <w:r w:rsidRPr="00D612CE">
        <w:rPr>
          <w:rFonts w:ascii="KaiTi" w:eastAsia="KaiTi" w:hAnsi="KaiTi" w:hint="eastAsia"/>
          <w:sz w:val="21"/>
          <w:szCs w:val="21"/>
        </w:rPr>
        <w:t>《行动计划——图书馆、档案馆和博物馆》</w:t>
      </w:r>
      <w:r w:rsidRPr="00D612CE">
        <w:rPr>
          <w:rFonts w:asciiTheme="minorEastAsia" w:eastAsiaTheme="minorEastAsia" w:hAnsiTheme="minorEastAsia" w:hint="eastAsia"/>
          <w:sz w:val="21"/>
          <w:szCs w:val="21"/>
        </w:rPr>
        <w:t>和</w:t>
      </w:r>
      <w:r w:rsidRPr="00D612CE">
        <w:rPr>
          <w:rFonts w:ascii="KaiTi" w:eastAsia="KaiTi" w:hAnsi="KaiTi" w:hint="eastAsia"/>
          <w:sz w:val="21"/>
          <w:szCs w:val="21"/>
        </w:rPr>
        <w:t>《行动计划——关于教育和研究机构及其他残疾人》</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86"/>
      </w:r>
      <w:r w:rsidRPr="00D612CE">
        <w:rPr>
          <w:rFonts w:asciiTheme="minorEastAsia" w:eastAsiaTheme="minorEastAsia" w:hAnsiTheme="minorEastAsia" w:hint="eastAsia"/>
          <w:sz w:val="21"/>
          <w:szCs w:val="21"/>
        </w:rPr>
        <w:t>以及</w:t>
      </w:r>
      <w:r w:rsidRPr="00D612CE">
        <w:rPr>
          <w:rFonts w:ascii="KaiTi" w:eastAsia="KaiTi" w:hAnsi="KaiTi" w:hint="eastAsia"/>
          <w:sz w:val="21"/>
          <w:szCs w:val="21"/>
        </w:rPr>
        <w:t>《关于区域研讨会和国际会议的报告》</w:t>
      </w:r>
      <w:r w:rsidRPr="00D612CE">
        <w:rPr>
          <w:rFonts w:asciiTheme="minorEastAsia" w:eastAsiaTheme="minorEastAsia" w:hAnsiTheme="minorEastAsia" w:hint="eastAsia"/>
          <w:sz w:val="21"/>
          <w:szCs w:val="21"/>
        </w:rPr>
        <w:t>所开展的工作。</w:t>
      </w:r>
      <w:r w:rsidRPr="00D612CE">
        <w:rPr>
          <w:rStyle w:val="FootnoteReference"/>
          <w:rFonts w:asciiTheme="minorEastAsia" w:eastAsiaTheme="minorEastAsia" w:hAnsiTheme="minorEastAsia"/>
          <w:sz w:val="21"/>
          <w:szCs w:val="21"/>
        </w:rPr>
        <w:footnoteReference w:id="87"/>
      </w:r>
      <w:r w:rsidRPr="00D612CE">
        <w:rPr>
          <w:rFonts w:asciiTheme="minorEastAsia" w:eastAsiaTheme="minorEastAsia" w:hAnsiTheme="minorEastAsia" w:hint="eastAsia"/>
          <w:sz w:val="21"/>
          <w:szCs w:val="21"/>
        </w:rPr>
        <w:t>委员会请秘书处为版权及相关权常设委员会第四十三届会议准备以下材料：(i)关于在线跨界环境中版权作品跨界使用的介绍；(ii)关于研究限制与例外的概略研究；以及(iii)关于保护的工具包。委员会还要求在版权及相关权常设委员会下届会议上组织</w:t>
      </w:r>
      <w:r w:rsidRPr="00D612CE">
        <w:rPr>
          <w:rFonts w:ascii="KaiTi" w:eastAsia="KaiTi" w:hAnsi="KaiTi" w:hint="eastAsia"/>
          <w:sz w:val="21"/>
          <w:szCs w:val="21"/>
        </w:rPr>
        <w:t>“音乐流媒体市场信息会议”</w:t>
      </w:r>
      <w:r w:rsidRPr="00D612CE">
        <w:rPr>
          <w:rFonts w:asciiTheme="minorEastAsia" w:eastAsiaTheme="minorEastAsia" w:hAnsiTheme="minorEastAsia" w:hint="eastAsia"/>
          <w:sz w:val="21"/>
          <w:szCs w:val="21"/>
        </w:rPr>
        <w:t>，这是由拉丁美洲及加勒比国家集团提出的。还应提及的是，委员会有五人发言，以及一个关于“数字环境中的版权”议题的视频发言。</w:t>
      </w:r>
    </w:p>
    <w:p w14:paraId="3340F269"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已被纳入主流的发展议程项目</w:t>
      </w:r>
    </w:p>
    <w:p w14:paraId="5DA07CE9"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以下是在2022年期间开展的与已被纳入主流的发展议程项目相关的主要工作：</w:t>
      </w:r>
    </w:p>
    <w:p w14:paraId="70E4DD85" w14:textId="77777777"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知识产权与公有领域：</w:t>
      </w:r>
      <w:r w:rsidRPr="00746A4F">
        <w:rPr>
          <w:rFonts w:asciiTheme="minorEastAsia" w:eastAsiaTheme="minorEastAsia" w:hAnsiTheme="minorEastAsia" w:hint="eastAsia"/>
          <w:sz w:val="21"/>
          <w:szCs w:val="21"/>
        </w:rPr>
        <w:t>继续强调版权文件系统。具体而言，与产权组织其他相关单位密切协调，就自愿登记制度提供立法建议和开展宣传活动仍是该部门日常工作的一部分。</w:t>
      </w:r>
    </w:p>
    <w:p w14:paraId="17132038" w14:textId="77777777"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“知识产权、信息与通信技术（ICTs）、数字鸿沟和知识获取”</w:t>
      </w:r>
      <w:r w:rsidRPr="00746A4F">
        <w:rPr>
          <w:rFonts w:asciiTheme="minorEastAsia" w:eastAsiaTheme="minorEastAsia" w:hAnsiTheme="minorEastAsia" w:hint="eastAsia"/>
          <w:sz w:val="21"/>
          <w:szCs w:val="21"/>
        </w:rPr>
        <w:t>项目，以及已获批准的</w:t>
      </w:r>
      <w:r w:rsidRPr="00746A4F">
        <w:rPr>
          <w:rFonts w:ascii="KaiTi" w:eastAsia="KaiTi" w:hAnsi="KaiTi" w:hint="eastAsia"/>
          <w:sz w:val="21"/>
          <w:szCs w:val="21"/>
        </w:rPr>
        <w:t>“在利用版权促进对信息和创意内容的获取方面的产权组织新活动”</w:t>
      </w:r>
      <w:r w:rsidRPr="00746A4F">
        <w:rPr>
          <w:rFonts w:asciiTheme="minorEastAsia" w:eastAsiaTheme="minorEastAsia" w:hAnsiTheme="minorEastAsia" w:hint="eastAsia"/>
          <w:sz w:val="21"/>
          <w:szCs w:val="21"/>
        </w:rPr>
        <w:t>：</w:t>
      </w:r>
      <w:r w:rsidRPr="00746A4F">
        <w:rPr>
          <w:rStyle w:val="FootnoteReference"/>
          <w:rFonts w:asciiTheme="minorEastAsia" w:eastAsiaTheme="minorEastAsia" w:hAnsiTheme="minorEastAsia"/>
          <w:sz w:val="21"/>
          <w:szCs w:val="21"/>
        </w:rPr>
        <w:footnoteReference w:id="88"/>
      </w:r>
      <w:r w:rsidRPr="00746A4F">
        <w:rPr>
          <w:rFonts w:asciiTheme="minorEastAsia" w:eastAsiaTheme="minorEastAsia" w:hAnsiTheme="minorEastAsia" w:hint="eastAsia"/>
          <w:sz w:val="21"/>
          <w:szCs w:val="21"/>
        </w:rPr>
        <w:t>继续开展与开放许可和开放源代码有关的技术援助、能力建设和宣传活动。在不同的论坛上进行介绍和发言，包括以开放科学为具体重点。</w:t>
      </w:r>
    </w:p>
    <w:p w14:paraId="3198B14E" w14:textId="77777777" w:rsidR="00E733EF" w:rsidRPr="00746A4F" w:rsidRDefault="00191652" w:rsidP="00746A4F">
      <w:pPr>
        <w:pStyle w:val="Heading2"/>
        <w:spacing w:beforeLines="100" w:afterLines="100" w:after="240" w:line="340" w:lineRule="atLeast"/>
        <w:jc w:val="both"/>
        <w:rPr>
          <w:b/>
          <w:bCs w:val="0"/>
          <w:sz w:val="21"/>
          <w:szCs w:val="21"/>
        </w:rPr>
      </w:pPr>
      <w:r w:rsidRPr="00746A4F">
        <w:rPr>
          <w:rFonts w:hint="eastAsia"/>
          <w:b/>
          <w:bCs w:val="0"/>
          <w:sz w:val="21"/>
          <w:szCs w:val="21"/>
        </w:rPr>
        <w:t>正在实施的发展议程项目</w:t>
      </w:r>
    </w:p>
    <w:p w14:paraId="49D6CA23"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该部门负责落实以下正在实施的发展议程项目：</w:t>
      </w:r>
    </w:p>
    <w:p w14:paraId="50158186"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版权与数字环境中的内容分发：</w:t>
      </w:r>
      <w:r w:rsidRPr="00746A4F">
        <w:rPr>
          <w:rStyle w:val="FootnoteReference"/>
          <w:rFonts w:asciiTheme="minorEastAsia" w:eastAsiaTheme="minorEastAsia" w:hAnsiTheme="minorEastAsia"/>
          <w:sz w:val="21"/>
          <w:szCs w:val="21"/>
        </w:rPr>
        <w:footnoteReference w:id="89"/>
      </w:r>
      <w:r w:rsidRPr="00746A4F">
        <w:rPr>
          <w:rFonts w:asciiTheme="minorEastAsia" w:eastAsiaTheme="minorEastAsia" w:hAnsiTheme="minorEastAsia" w:hint="eastAsia"/>
          <w:spacing w:val="-20"/>
          <w:sz w:val="21"/>
          <w:szCs w:val="21"/>
        </w:rPr>
        <w:t>2022年在秘鲁和阿根廷举行了两次次区域会议。专家和与会者强调了版权及相关权对视听产业的关键作用，并讨论了视听内容的数字传播对</w:t>
      </w:r>
      <w:r w:rsidRPr="00746A4F">
        <w:rPr>
          <w:rFonts w:asciiTheme="minorEastAsia" w:eastAsiaTheme="minorEastAsia" w:hAnsiTheme="minorEastAsia" w:hint="eastAsia"/>
          <w:sz w:val="21"/>
          <w:szCs w:val="21"/>
        </w:rPr>
        <w:t>创作者和权利人的影响。他们还探讨了政府当局在使当地立法适应市场方面可能发挥的作用。 </w:t>
      </w:r>
    </w:p>
    <w:p w14:paraId="57B31432"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发展布基纳法索和西非经济货币联盟（西非经货联）若干国家音乐领域和新音乐经济模式</w:t>
      </w:r>
      <w:r w:rsidRPr="00746A4F">
        <w:rPr>
          <w:rFonts w:asciiTheme="minorEastAsia" w:eastAsiaTheme="minorEastAsia" w:hAnsiTheme="minorEastAsia" w:hint="eastAsia"/>
          <w:sz w:val="21"/>
          <w:szCs w:val="21"/>
        </w:rPr>
        <w:t>：该项目于2022年1月开始实施。应当提及的是，该项目的地理范围已经扩大到包括西非经货联的所有八个国家。在本报告所述期间，制定了一份描述当前音乐商业环境和与该部门相关的监管框架的初步研究报告。八个参与国和西非经货联的第一次协调会议于2022年12月在阿比让举行，除西非经货联外，八个参与国的项目协调人也出席了会议。会议审查了2019年提出的活动，并对其进行了修正，以适应每个国家的当前形势。来自私营部门和音乐部门的代表也参加了会议。</w:t>
      </w:r>
    </w:p>
    <w:p w14:paraId="0C1AB33C"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推动发展中国家的创意产业在数字时代运用知识产权：</w:t>
      </w:r>
      <w:r w:rsidRPr="00746A4F">
        <w:rPr>
          <w:rFonts w:asciiTheme="minorEastAsia" w:eastAsiaTheme="minorEastAsia" w:hAnsiTheme="minorEastAsia" w:hint="eastAsia"/>
          <w:sz w:val="21"/>
          <w:szCs w:val="21"/>
        </w:rPr>
        <w:t>该项目于2022年4月开始实施。智利、印度尼西亚、阿拉伯联合酋长国和乌拉圭被选为项目的受益国。在本报告所述期间，确定了受益国的国家协调人，并建立了协调模式。在项目框架内，完成了对受益国选定创意产业具体状况的概略研究。还编写了一份关于组织宣传活动的指南。此外，2022年10月在智利举办了关于视频游戏行业知识产权管理的讲习班。</w:t>
      </w:r>
    </w:p>
    <w:p w14:paraId="775ABBF1"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iCs/>
          <w:sz w:val="21"/>
          <w:szCs w:val="21"/>
        </w:rPr>
        <w:t>加强软件部门运用知识产权开发移动应用程序：</w:t>
      </w:r>
      <w:r w:rsidRPr="00746A4F">
        <w:rPr>
          <w:rFonts w:asciiTheme="minorEastAsia" w:eastAsiaTheme="minorEastAsia" w:hAnsiTheme="minorEastAsia" w:hint="eastAsia"/>
          <w:sz w:val="21"/>
          <w:szCs w:val="21"/>
        </w:rPr>
        <w:t>该项目第二阶段在CDIP第二十九届会议上获得批准。其目的是通过将项目第一阶段取得的成果纳入综合培训课程材料，确保这些成果的长期可持续性。第二阶段还侧重于加强利用知识产权保护来支持音乐、出版、视频游戏和视听内容的移动应用产业。应当提及的是，该项目第一阶段已于2021年12月顺利完成</w:t>
      </w:r>
      <w:r w:rsidRPr="00746A4F">
        <w:rPr>
          <w:rStyle w:val="FootnoteReference"/>
          <w:rFonts w:asciiTheme="minorEastAsia" w:eastAsiaTheme="minorEastAsia" w:hAnsiTheme="minorEastAsia"/>
          <w:iCs/>
          <w:sz w:val="21"/>
          <w:szCs w:val="21"/>
        </w:rPr>
        <w:footnoteReference w:id="90"/>
      </w:r>
      <w:r w:rsidRPr="00746A4F">
        <w:rPr>
          <w:rFonts w:asciiTheme="minorEastAsia" w:eastAsiaTheme="minorEastAsia" w:hAnsiTheme="minorEastAsia" w:hint="eastAsia"/>
          <w:sz w:val="21"/>
          <w:szCs w:val="21"/>
        </w:rPr>
        <w:t>，并于2022年3月得到了评价</w:t>
      </w:r>
      <w:r w:rsidRPr="00746A4F">
        <w:rPr>
          <w:rStyle w:val="FootnoteReference"/>
          <w:rFonts w:asciiTheme="minorEastAsia" w:eastAsiaTheme="minorEastAsia" w:hAnsiTheme="minorEastAsia"/>
          <w:sz w:val="21"/>
          <w:szCs w:val="21"/>
        </w:rPr>
        <w:footnoteReference w:id="91"/>
      </w:r>
      <w:r w:rsidRPr="00746A4F">
        <w:rPr>
          <w:rFonts w:asciiTheme="minorEastAsia" w:eastAsiaTheme="minorEastAsia" w:hAnsiTheme="minorEastAsia" w:hint="eastAsia"/>
          <w:sz w:val="21"/>
          <w:szCs w:val="21"/>
        </w:rPr>
        <w:t>。该项目增进了人们对移动应用程序在保护知识产权方面的价值的了解，并使利益攸关方能够更好地保护其商业利益。</w:t>
      </w:r>
    </w:p>
    <w:p w14:paraId="5639BED9" w14:textId="77777777" w:rsidR="00E733EF" w:rsidRPr="00746A4F" w:rsidRDefault="00191652" w:rsidP="00746A4F">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746A4F">
        <w:rPr>
          <w:rFonts w:ascii="SimHei" w:eastAsia="SimHei" w:hAnsi="SimHei" w:hint="eastAsia"/>
          <w:b w:val="0"/>
          <w:sz w:val="21"/>
          <w:szCs w:val="21"/>
        </w:rPr>
        <w:t>基础设施和平台部门</w:t>
      </w:r>
    </w:p>
    <w:p w14:paraId="005B6CC4"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基础设施和平台部门的工作继续侧重于向知识产权局、知识产权专业人员、研究人员和知识产权及创新生态系统的其他专业用户提供量身定制的高质量知识产权服务、知识和数据。在本报告所述期间，该部门继续领导产权组织在加强和推广产权组织三个公共全球数据库方面的工作，即PATENTSCOPE、全球品牌数据库和全球外观设计数据库，使它们的覆盖范围在2022年继续扩大。PATENTSCOPE增加了三个、全球品牌数据库增加了两个、全球外观设计数据库增加了三个国家数据库。此外，PATENTSCOPE还整合了新的非专利文献来源，即来自出版商MDPI的开放存取内容。PATENTSCOPE的适应力和响应时间也得到了改善，方法是升级其在产权组织日内瓦办公地点的服务器基础设施，并识别和限制一些拖慢整个系统的罕见用户查询。PATENTSCOPE的功能得到了扩展，以涵盖新的ST-26 XML格式的序列列表的可视化和PCT ST-37授权文件的可用性。同时，全球品牌数据库系统用最新的互联网技术完全重写，并部署在云中，以改进其响应时间和可扩展性。还应提及的是，Pat-INFORMED</w:t>
      </w:r>
      <w:r w:rsidRPr="00746A4F">
        <w:rPr>
          <w:rStyle w:val="FootnoteReference"/>
          <w:rFonts w:asciiTheme="minorEastAsia" w:eastAsiaTheme="minorEastAsia" w:hAnsiTheme="minorEastAsia"/>
          <w:sz w:val="21"/>
          <w:szCs w:val="21"/>
        </w:rPr>
        <w:footnoteReference w:id="92"/>
      </w:r>
      <w:r w:rsidRPr="00746A4F">
        <w:rPr>
          <w:rFonts w:asciiTheme="minorEastAsia" w:eastAsiaTheme="minorEastAsia" w:hAnsiTheme="minorEastAsia" w:hint="eastAsia"/>
          <w:sz w:val="21"/>
          <w:szCs w:val="21"/>
        </w:rPr>
        <w:t>得到了改造，进行了性能改进并提供了新的用户界面，使制药公司提交的专利与PATENTSCOPE更好地匹配。因此，制药公司能获得完整、稳定和易于使用的工具来输入其数据。</w:t>
      </w:r>
    </w:p>
    <w:p w14:paraId="14F2401E"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人工智能研究继续由致力于加强产权组织各种职能和流程的先进技术应用中心（ATAC）推动。人工智能工具已经在四个主要领域得到了发展：翻译、图像搜索、自动分类和语音转文本。在这方面，该部门继续领导并促成各知识产权局之间的合作，特别是在机器学习领域。在本报告所述期间，该部门部署了一个新门户，整合了产权组织会议的网播设施和产权组织六种联合国语文的自动语音转文字记录。这一新工具旨在便于在各种会议讨论期间开展合作，同时提供正在讨论的文件链接以及按议程项目和/或成员国发言进行检索的能力。产权组织的维也纳分类助手也得到了升级，以支持德文和西班牙文，并开发了维也纳分类助手维也纳分类第9版。此外，还开发了一个新的机器翻译质量评估器，以协助PCT英法和中英翻译工作流程。通过使用新的训练数据重新训练WIPO Translate的专利文本模型，翻译质量得到了明显改进。为新的非英语语言对（如中文译韩文）训练了具有突破性的高质量WIPO Translate模型。最后，建立了机器翻译工作流程，将每周公布的所有新的PCT申请的全文翻译成英文。通过这种方式，创造了一种新的PCT电子产品，可供知识产权行业订阅，并可应要求免费提供给向PATENTSCOPE数据库提供资料的产权组织成员国知识产权局。</w:t>
      </w:r>
    </w:p>
    <w:p w14:paraId="2C92773F" w14:textId="77777777" w:rsidR="00E733EF" w:rsidRPr="00175541" w:rsidRDefault="00191652" w:rsidP="00175541">
      <w:pPr>
        <w:pStyle w:val="Heading2"/>
        <w:spacing w:beforeLines="100" w:afterLines="100" w:after="240" w:line="340" w:lineRule="atLeast"/>
        <w:jc w:val="both"/>
        <w:rPr>
          <w:b/>
          <w:bCs w:val="0"/>
          <w:sz w:val="21"/>
          <w:szCs w:val="21"/>
        </w:rPr>
      </w:pPr>
      <w:r w:rsidRPr="00175541">
        <w:rPr>
          <w:rFonts w:hint="eastAsia"/>
          <w:b/>
          <w:bCs w:val="0"/>
          <w:sz w:val="21"/>
          <w:szCs w:val="21"/>
        </w:rPr>
        <w:t>已被纳入主流的发展议程项目</w:t>
      </w:r>
    </w:p>
    <w:p w14:paraId="09F57625"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关于</w:t>
      </w:r>
      <w:r w:rsidRPr="00175541">
        <w:rPr>
          <w:rFonts w:ascii="KaiTi" w:eastAsia="KaiTi" w:hAnsi="KaiTi" w:hint="eastAsia"/>
          <w:sz w:val="21"/>
          <w:szCs w:val="21"/>
        </w:rPr>
        <w:t>“创建智能知识产权机构”</w:t>
      </w:r>
      <w:r w:rsidRPr="00175541">
        <w:rPr>
          <w:rFonts w:asciiTheme="minorEastAsia" w:eastAsiaTheme="minorEastAsia" w:hAnsiTheme="minorEastAsia" w:hint="eastAsia"/>
          <w:sz w:val="21"/>
          <w:szCs w:val="21"/>
        </w:rPr>
        <w:t>的发展议程项目：实现国家和区域知识产权机构的知识产权基础设施现代化部署必要的组件和业务解决方案旨在通过进一步发展基础设施和其他设施，协助成员国发展和提高国家知识产权机构能力。根据发展议程建议10，该项目在2022年继续通过产权组织的知识产权办公室业务解决方案计划被纳入主流。该项目旨在加强国家和地区知识产权局业务系统和技术基础设施，以帮助它们向利益攸关方提供更具成本效益和质量更高的服务。在这方面，继续提供以下服务：(i)技术咨询；(ii)业务需求评估；(iii)项目范围确定和规划；(iv)业务程序分析；(v)持续开发和部署定制业务系统解决方案，以用于知识产权管理、优先权文件交换和审查结果搜索；(vi)建立知识产权数据库；(vii)为知识产权记录数字化和编制用于在线出版和电子数据交换的数据提供援助；(viii)为知识产权机构工作人员提供培训和知识转让，为产权组织提供的系统提供支持。这种援助酌情考虑了产权组织关于知识产权数据和信息的标准。现场或虚拟培训、辅导和地区培训讲习班占到活动的很大比重，对于实现预期成果至关重要。截至2022年底，来自所有地区的87个发展中国家（包括20个最不发达国家）知识产权局积极使用产权组织业务解决方案对其知识产权权利进行了管理。58个知识产权局参加了由产权组织提供的一个在线交流平台，即检索和审查结果集中查询及数字查询服务。一个重点是，通过协助各局转向在线申请服务和知识产权信息传播服务，提升各知识产权局的服务水平。</w:t>
      </w:r>
      <w:r w:rsidRPr="00175541">
        <w:rPr>
          <w:rStyle w:val="FootnoteReference"/>
          <w:rFonts w:asciiTheme="minorEastAsia" w:eastAsiaTheme="minorEastAsia" w:hAnsiTheme="minorEastAsia"/>
          <w:sz w:val="21"/>
          <w:szCs w:val="21"/>
          <w:lang w:val="en" w:eastAsia="ja-JP"/>
        </w:rPr>
        <w:footnoteReference w:id="93"/>
      </w:r>
    </w:p>
    <w:p w14:paraId="39E4D4A8" w14:textId="77777777" w:rsidR="00E733EF" w:rsidRPr="00175541" w:rsidRDefault="00191652" w:rsidP="00175541">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75541">
        <w:rPr>
          <w:rFonts w:ascii="SimHei" w:eastAsia="SimHei" w:hAnsi="SimHei" w:hint="eastAsia"/>
          <w:b w:val="0"/>
          <w:sz w:val="21"/>
          <w:szCs w:val="21"/>
        </w:rPr>
        <w:t>全球挑战和伙伴关系部门</w:t>
      </w:r>
    </w:p>
    <w:p w14:paraId="1ABEFE0F"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全球挑战和伙伴关系部门继续领导产权组织努力团结国际社会，共同应对在知识产权、创新和创意领域新出现的全球问题和政策挑战。在本报告所述期间，该部门发展和扩大了与利益攸关方的伙伴关系，包括来自国际、商业和民间社会部门的利益攸关方。此外，还采取了一些措施来提高青年对知识产权潜力和重要性的认识。这一外联活动还得到了2022年世界知识产权日庆祝活动的支持，该庆祝活动重点关注正在为更美好的未来进行创新的年轻变革者。</w:t>
      </w:r>
    </w:p>
    <w:p w14:paraId="2C2554CD" w14:textId="4FC93094" w:rsidR="00E733EF" w:rsidRPr="00175541" w:rsidRDefault="00191652" w:rsidP="00175541">
      <w:pPr>
        <w:pStyle w:val="Heading2"/>
        <w:spacing w:beforeLines="100" w:afterLines="100" w:after="240" w:line="340" w:lineRule="atLeast"/>
        <w:jc w:val="both"/>
        <w:rPr>
          <w:b/>
          <w:bCs w:val="0"/>
          <w:sz w:val="21"/>
          <w:szCs w:val="21"/>
        </w:rPr>
      </w:pPr>
      <w:r w:rsidRPr="00175541">
        <w:rPr>
          <w:rFonts w:hint="eastAsia"/>
          <w:b/>
          <w:bCs w:val="0"/>
          <w:sz w:val="21"/>
          <w:szCs w:val="21"/>
        </w:rPr>
        <w:t>与联合国、其他政府间组织和非政府利益攸关方的接触</w:t>
      </w:r>
    </w:p>
    <w:p w14:paraId="2F32FDA9" w14:textId="7974FA50"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为了支持成员国开展COVID-19危机后的复苏工作，该部门领导产权组织参与了联合国系统和相关政府间组织的工作。特别值得注意的是与世界卫生组织（世卫组织）和世界贸易组织（世贸组织）在公共卫生、知识产权和贸易方面的三方合作。在2021年6月和2022年2月的会议上，</w:t>
      </w:r>
      <w:r w:rsidRPr="00175541">
        <w:rPr>
          <w:rStyle w:val="FootnoteReference"/>
          <w:rFonts w:asciiTheme="minorEastAsia" w:eastAsiaTheme="minorEastAsia" w:hAnsiTheme="minorEastAsia"/>
          <w:sz w:val="21"/>
          <w:szCs w:val="21"/>
        </w:rPr>
        <w:footnoteReference w:id="94"/>
      </w:r>
      <w:r w:rsidRPr="00175541">
        <w:rPr>
          <w:rFonts w:asciiTheme="minorEastAsia" w:eastAsiaTheme="minorEastAsia" w:hAnsiTheme="minorEastAsia" w:hint="eastAsia"/>
          <w:sz w:val="21"/>
          <w:szCs w:val="21"/>
        </w:rPr>
        <w:t>世卫组织、产权组织和世贸组织的总干事同意在COVID-19大流行背景下，在现有的三边合作框架内，加强的支持。特别是，他们同意组织一系列的能力建设讲习班，并建立一个三方技术援助联合平台。在这方面，举办了以下三场讲习班：(i)2022年9月27日关于</w:t>
      </w:r>
      <w:r w:rsidRPr="00175541">
        <w:rPr>
          <w:rFonts w:ascii="KaiTi" w:eastAsia="KaiTi" w:hAnsi="KaiTi" w:hint="eastAsia"/>
          <w:sz w:val="21"/>
          <w:szCs w:val="21"/>
        </w:rPr>
        <w:t>“知识产权许可、技术转让以及技术诀窍和临床试验信息的共享”</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5"/>
      </w:r>
      <w:r w:rsidRPr="00175541">
        <w:rPr>
          <w:rFonts w:asciiTheme="minorEastAsia" w:eastAsiaTheme="minorEastAsia" w:hAnsiTheme="minorEastAsia" w:hint="eastAsia"/>
          <w:sz w:val="21"/>
          <w:szCs w:val="21"/>
        </w:rPr>
        <w:t>(ii)2022年2月28日关于</w:t>
      </w:r>
      <w:r w:rsidRPr="00175541">
        <w:rPr>
          <w:rFonts w:ascii="KaiTi" w:eastAsia="KaiTi" w:hAnsi="KaiTi" w:hint="eastAsia"/>
          <w:sz w:val="21"/>
          <w:szCs w:val="21"/>
        </w:rPr>
        <w:t>“获取和使用信息资源应对大流行疫情”</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6"/>
      </w:r>
      <w:r w:rsidRPr="00175541">
        <w:rPr>
          <w:rFonts w:asciiTheme="minorEastAsia" w:eastAsiaTheme="minorEastAsia" w:hAnsiTheme="minorEastAsia" w:hint="eastAsia"/>
          <w:sz w:val="21"/>
          <w:szCs w:val="21"/>
        </w:rPr>
        <w:t>以及(i</w:t>
      </w:r>
      <w:r w:rsidR="00175541">
        <w:rPr>
          <w:rFonts w:asciiTheme="minorEastAsia" w:eastAsiaTheme="minorEastAsia" w:hAnsiTheme="minorEastAsia" w:hint="eastAsia"/>
          <w:sz w:val="21"/>
          <w:szCs w:val="21"/>
        </w:rPr>
        <w:t>ii)</w:t>
      </w:r>
      <w:r w:rsidRPr="00175541">
        <w:rPr>
          <w:rFonts w:asciiTheme="minorEastAsia" w:eastAsiaTheme="minorEastAsia" w:hAnsiTheme="minorEastAsia" w:hint="eastAsia"/>
          <w:sz w:val="21"/>
          <w:szCs w:val="21"/>
        </w:rPr>
        <w:t>2022年10月28日关于</w:t>
      </w:r>
      <w:r w:rsidRPr="00175541">
        <w:rPr>
          <w:rFonts w:ascii="KaiTi" w:eastAsia="KaiTi" w:hAnsi="KaiTi" w:hint="eastAsia"/>
          <w:sz w:val="21"/>
          <w:szCs w:val="21"/>
        </w:rPr>
        <w:t>“创新和COVID-19诊断方法的获取及展望”</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7"/>
      </w:r>
      <w:r w:rsidRPr="00175541">
        <w:rPr>
          <w:rFonts w:asciiTheme="minorEastAsia" w:eastAsiaTheme="minorEastAsia" w:hAnsiTheme="minorEastAsia" w:hint="eastAsia"/>
          <w:sz w:val="21"/>
          <w:szCs w:val="21"/>
        </w:rPr>
        <w:t>此外，世卫组织、产权组织和世贸组织于2022年4月推出了新的</w:t>
      </w:r>
      <w:r w:rsidRPr="00175541">
        <w:rPr>
          <w:rFonts w:ascii="KaiTi" w:eastAsia="KaiTi" w:hAnsi="KaiTi" w:hint="eastAsia"/>
          <w:sz w:val="21"/>
          <w:szCs w:val="21"/>
        </w:rPr>
        <w:t>三边COVID-19技术援助平台</w:t>
      </w:r>
      <w:r w:rsidRPr="00175541">
        <w:rPr>
          <w:rFonts w:asciiTheme="minorEastAsia" w:eastAsiaTheme="minorEastAsia" w:hAnsiTheme="minorEastAsia" w:hint="eastAsia"/>
          <w:sz w:val="21"/>
          <w:szCs w:val="21"/>
        </w:rPr>
        <w:t>。</w:t>
      </w:r>
      <w:r w:rsidRPr="00175541">
        <w:rPr>
          <w:rStyle w:val="FootnoteReference"/>
          <w:rFonts w:asciiTheme="minorEastAsia" w:eastAsiaTheme="minorEastAsia" w:hAnsiTheme="minorEastAsia"/>
          <w:sz w:val="21"/>
          <w:szCs w:val="21"/>
        </w:rPr>
        <w:footnoteReference w:id="98"/>
      </w:r>
      <w:r w:rsidRPr="00175541">
        <w:rPr>
          <w:rFonts w:asciiTheme="minorEastAsia" w:eastAsiaTheme="minorEastAsia" w:hAnsiTheme="minorEastAsia" w:hint="eastAsia"/>
          <w:sz w:val="21"/>
          <w:szCs w:val="21"/>
        </w:rPr>
        <w:t>该平台概述了三方技术援助活动，并为此类活动的请求提供便利，以充分利用所有可用方案。在这方面，还值得注意的是，产权组织继续监测并应要求为世贸组织和世卫组织的贸易与卫生进程做出贡献，包括与贸易有关的知识产权（TRIPS）理事会和世卫组织政府间谈判机构，以起草和谈判一项关于大流行防备和应对的世卫组织公约、协定或其他文书。产权组织对这一进程的参与支持了对以知识产权为工具来实现创新和获取创新成果的整体理解。</w:t>
      </w:r>
    </w:p>
    <w:p w14:paraId="73D6433D" w14:textId="42E7DF8D"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2022年，本组织深化了与联合国贸易和发展会议（贸发会议）的合作，通过赋能妇女利用知识产权工具保护其品牌，为妇女领导的数字企业提供支持。作为贸发会议领导的</w:t>
      </w:r>
      <w:r w:rsidRPr="00175541">
        <w:rPr>
          <w:rFonts w:ascii="KaiTi" w:eastAsia="KaiTi" w:hAnsi="KaiTi" w:hint="eastAsia"/>
          <w:sz w:val="21"/>
          <w:szCs w:val="21"/>
        </w:rPr>
        <w:t>“普惠电子贸易”</w:t>
      </w:r>
      <w:r w:rsidRPr="00175541">
        <w:rPr>
          <w:rFonts w:asciiTheme="minorEastAsia" w:eastAsiaTheme="minorEastAsia" w:hAnsiTheme="minorEastAsia" w:hint="eastAsia"/>
          <w:sz w:val="21"/>
          <w:szCs w:val="21"/>
        </w:rPr>
        <w:t>倡议的成员，产权组织在2022年10月5日至7日举办的</w:t>
      </w:r>
      <w:r w:rsidRPr="00175541">
        <w:rPr>
          <w:rFonts w:ascii="KaiTi" w:eastAsia="KaiTi" w:hAnsi="KaiTi" w:hint="eastAsia"/>
          <w:sz w:val="21"/>
          <w:szCs w:val="21"/>
        </w:rPr>
        <w:t>“妇女电子贸易”</w:t>
      </w:r>
      <w:r w:rsidRPr="00175541">
        <w:rPr>
          <w:rFonts w:asciiTheme="minorEastAsia" w:eastAsiaTheme="minorEastAsia" w:hAnsiTheme="minorEastAsia" w:hint="eastAsia"/>
          <w:sz w:val="21"/>
          <w:szCs w:val="21"/>
        </w:rPr>
        <w:t>大师班期间成功试办了一期知识产权培训课程。来自六个非洲法语国家的22名女性数字企业家参加了这次大师班。</w:t>
      </w:r>
      <w:r w:rsidRPr="00175541">
        <w:rPr>
          <w:rStyle w:val="FootnoteReference"/>
          <w:rFonts w:asciiTheme="minorEastAsia" w:eastAsiaTheme="minorEastAsia" w:hAnsiTheme="minorEastAsia"/>
          <w:sz w:val="21"/>
          <w:szCs w:val="21"/>
        </w:rPr>
        <w:footnoteReference w:id="99"/>
      </w:r>
      <w:r w:rsidRPr="00175541">
        <w:rPr>
          <w:rFonts w:asciiTheme="minorEastAsia" w:eastAsiaTheme="minorEastAsia" w:hAnsiTheme="minorEastAsia" w:hint="eastAsia"/>
          <w:sz w:val="21"/>
          <w:szCs w:val="21"/>
        </w:rPr>
        <w:t>还应指出的是，举办了关于</w:t>
      </w:r>
      <w:r w:rsidRPr="00175541">
        <w:rPr>
          <w:rFonts w:ascii="KaiTi" w:eastAsia="KaiTi" w:hAnsi="KaiTi" w:hint="eastAsia"/>
          <w:sz w:val="21"/>
          <w:szCs w:val="21"/>
        </w:rPr>
        <w:t>“非同质化代币和元宇宙时代的视频游戏部门”</w:t>
      </w:r>
      <w:r w:rsidRPr="00175541">
        <w:rPr>
          <w:rFonts w:asciiTheme="minorEastAsia" w:eastAsiaTheme="minorEastAsia" w:hAnsiTheme="minorEastAsia" w:hint="eastAsia"/>
          <w:sz w:val="21"/>
          <w:szCs w:val="21"/>
        </w:rPr>
        <w:t>的活动。它是在2022年互联网治理论坛（IGF）期间举办的。该活动讨论了视频游戏部门如何应对和塑造元宇宙和非同质化代币市场所带来的新局面。通过汇集不同地区的实例，活动还展示了创作者、初创企业和中小企业如何通过知识产权工具保护其创造和创新。</w:t>
      </w:r>
    </w:p>
    <w:p w14:paraId="5A6C1041"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在整个2022年期间，与非政府组织的接触对产权组织仍然很重要。此类接触的例子包括与国际商会合作，在2022年7月举行的产权组织第六十三届成员国大会上组织了一次题为</w:t>
      </w:r>
      <w:r w:rsidRPr="00175541">
        <w:rPr>
          <w:rFonts w:ascii="KaiTi" w:eastAsia="KaiTi" w:hAnsi="KaiTi" w:hint="eastAsia"/>
          <w:sz w:val="21"/>
          <w:szCs w:val="21"/>
        </w:rPr>
        <w:t>“加强知识产权生态系统促进可持续增长和发展”</w:t>
      </w:r>
      <w:r w:rsidRPr="00175541">
        <w:rPr>
          <w:rFonts w:asciiTheme="minorEastAsia" w:eastAsiaTheme="minorEastAsia" w:hAnsiTheme="minorEastAsia" w:hint="eastAsia"/>
          <w:sz w:val="21"/>
          <w:szCs w:val="21"/>
        </w:rPr>
        <w:t>的会外活动。这次活动吸引了来自81个国家的与会者。讨论小组成员来自全球巨头，包括微软、雀巢和英特尔，以及世界各地的中小企业。讨论小组成员还有来自专门从事知识产权估值和知识产权及竞争法经济评估的公司。三场圆桌会议的在线与会者人数在120至140人之间。另一个例子是，2022年10月与大学技术经理人协会一起举办了产权组织-大学技术经理人协会国际知识和技术转让领袖峰会。讨论的议题包括整个创新系统的多样性和包容性、学术界知识产权商业化进程中的性别包容，以及支持青年成为未来的创造者和创新者。</w:t>
      </w:r>
    </w:p>
    <w:p w14:paraId="7EB869B2" w14:textId="22232A92"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产权组织在实现可持续发展目标方面对成员国的援助继续以发展议程为指引。本组织的工作重点是推动创新、创造和有效利用知识产权制度，促进成员国经济、技术、社会和文化发展。所实施的广泛项目和活动力求改善各地所有人的生活。虽然产权组织的工作主要与可持续发展目标9有关，但鉴于创新和创造对实现许多其他目标和具体目标的重要性，本组织也为它们做出了贡献。</w:t>
      </w:r>
    </w:p>
    <w:p w14:paraId="03BBDAF0" w14:textId="77777777" w:rsidR="00E733EF" w:rsidRPr="00F165A7" w:rsidRDefault="00191652" w:rsidP="00F165A7">
      <w:pPr>
        <w:pStyle w:val="Heading2"/>
        <w:spacing w:beforeLines="100" w:afterLines="100" w:after="240" w:line="340" w:lineRule="atLeast"/>
        <w:jc w:val="both"/>
        <w:rPr>
          <w:b/>
          <w:bCs w:val="0"/>
          <w:sz w:val="21"/>
          <w:szCs w:val="21"/>
        </w:rPr>
      </w:pPr>
      <w:r w:rsidRPr="00F165A7">
        <w:rPr>
          <w:rFonts w:hint="eastAsia"/>
          <w:b/>
          <w:bCs w:val="0"/>
          <w:sz w:val="21"/>
          <w:szCs w:val="21"/>
        </w:rPr>
        <w:t>知识产权与青年</w:t>
      </w:r>
    </w:p>
    <w:p w14:paraId="58CAD3AC" w14:textId="25C44713" w:rsidR="00E733EF" w:rsidRPr="00F165A7" w:rsidRDefault="00191652" w:rsidP="00F165A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165A7">
        <w:rPr>
          <w:rStyle w:val="normaltextrun"/>
          <w:rFonts w:asciiTheme="minorEastAsia" w:eastAsiaTheme="minorEastAsia" w:hAnsiTheme="minorEastAsia" w:hint="eastAsia"/>
          <w:sz w:val="21"/>
          <w:szCs w:val="21"/>
        </w:rPr>
        <w:t>本组织在围绕知识产权与青年互动的努力方面取得了进展。2022年初任命的青年参与协调人提供了一个结构，通过这个结构可以将青年纳入知识产权和创新生态系统中。2022年</w:t>
      </w:r>
      <w:r w:rsidRPr="00F165A7">
        <w:rPr>
          <w:rFonts w:asciiTheme="minorEastAsia" w:eastAsiaTheme="minorEastAsia" w:hAnsiTheme="minorEastAsia" w:hint="eastAsia"/>
          <w:sz w:val="21"/>
          <w:szCs w:val="21"/>
        </w:rPr>
        <w:t>世界知识产权日</w:t>
      </w:r>
      <w:r w:rsidRPr="00F165A7">
        <w:rPr>
          <w:rStyle w:val="FootnoteReference"/>
          <w:rFonts w:asciiTheme="minorEastAsia" w:eastAsiaTheme="minorEastAsia" w:hAnsiTheme="minorEastAsia"/>
          <w:sz w:val="21"/>
          <w:szCs w:val="21"/>
        </w:rPr>
        <w:footnoteReference w:id="100"/>
      </w:r>
      <w:r w:rsidRPr="00F165A7">
        <w:rPr>
          <w:rStyle w:val="normaltextrun"/>
          <w:rFonts w:asciiTheme="minorEastAsia" w:eastAsiaTheme="minorEastAsia" w:hAnsiTheme="minorEastAsia" w:hint="eastAsia"/>
          <w:sz w:val="21"/>
          <w:szCs w:val="21"/>
        </w:rPr>
        <w:t>是产权组织青年参与工作的第一个重要时刻，为后续活动奠定了基础，全年累计有30,000多名青年参与。具体而言，产权组织与国际贸易中心（国贸中心）密切合作，组织了一系列活动，包括：(i)强调代际团结及其对充分利用各代人的潜力实现可持续发展目标的重要性的网络研讨会</w:t>
      </w:r>
      <w:r w:rsidRPr="00F165A7">
        <w:rPr>
          <w:rStyle w:val="FootnoteReference"/>
          <w:rFonts w:asciiTheme="minorEastAsia" w:eastAsiaTheme="minorEastAsia" w:hAnsiTheme="minorEastAsia"/>
          <w:sz w:val="21"/>
          <w:szCs w:val="21"/>
        </w:rPr>
        <w:footnoteReference w:id="101"/>
      </w:r>
      <w:r w:rsidRPr="00F165A7">
        <w:rPr>
          <w:rStyle w:val="normaltextrun"/>
          <w:rFonts w:asciiTheme="minorEastAsia" w:eastAsiaTheme="minorEastAsia" w:hAnsiTheme="minorEastAsia" w:hint="eastAsia"/>
          <w:sz w:val="21"/>
          <w:szCs w:val="21"/>
        </w:rPr>
        <w:t>；(ii)国贸中心-产权组织</w:t>
      </w:r>
      <w:r w:rsidRPr="00F165A7">
        <w:rPr>
          <w:rFonts w:asciiTheme="minorEastAsia" w:eastAsiaTheme="minorEastAsia" w:hAnsiTheme="minorEastAsia" w:hint="eastAsia"/>
          <w:sz w:val="21"/>
          <w:szCs w:val="21"/>
        </w:rPr>
        <w:t>青年电影之夜</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2"/>
      </w:r>
      <w:r w:rsidRPr="00F165A7">
        <w:rPr>
          <w:rStyle w:val="normaltextrun"/>
          <w:rFonts w:asciiTheme="minorEastAsia" w:eastAsiaTheme="minorEastAsia" w:hAnsiTheme="minorEastAsia" w:hint="eastAsia"/>
          <w:sz w:val="21"/>
          <w:szCs w:val="21"/>
        </w:rPr>
        <w:t>以及</w:t>
      </w:r>
      <w:r w:rsidR="00376CDE">
        <w:rPr>
          <w:rStyle w:val="normaltextrun"/>
          <w:rFonts w:asciiTheme="minorEastAsia" w:eastAsiaTheme="minorEastAsia" w:hAnsiTheme="minorEastAsia" w:hint="eastAsia"/>
          <w:sz w:val="21"/>
          <w:szCs w:val="21"/>
        </w:rPr>
        <w:t>(iii)</w:t>
      </w:r>
      <w:r w:rsidRPr="00F165A7">
        <w:rPr>
          <w:rFonts w:asciiTheme="minorEastAsia" w:eastAsiaTheme="minorEastAsia" w:hAnsiTheme="minorEastAsia" w:hint="eastAsia"/>
          <w:sz w:val="21"/>
          <w:szCs w:val="21"/>
        </w:rPr>
        <w:t>青年艺术和创新博览会</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3"/>
      </w:r>
      <w:r w:rsidRPr="00F165A7">
        <w:rPr>
          <w:rStyle w:val="normaltextrun"/>
          <w:rFonts w:asciiTheme="minorEastAsia" w:eastAsiaTheme="minorEastAsia" w:hAnsiTheme="minorEastAsia" w:hint="eastAsia"/>
          <w:sz w:val="21"/>
          <w:szCs w:val="21"/>
        </w:rPr>
        <w:t>这些活动以亲切、对青年友好的方式激发了青年的好奇心，并提高了他们对知识产权益处的认识。由于这些活动是由不同背景的青年设计和实施的，因此确实是为青年服务、由青年推动。此外，</w:t>
      </w:r>
      <w:r w:rsidRPr="00F165A7">
        <w:rPr>
          <w:rFonts w:asciiTheme="minorEastAsia" w:eastAsiaTheme="minorEastAsia" w:hAnsiTheme="minorEastAsia" w:hint="eastAsia"/>
          <w:sz w:val="21"/>
          <w:szCs w:val="21"/>
        </w:rPr>
        <w:t>与国际药品制造商和协会联合会（IFPMA）合作举办了一场</w:t>
      </w:r>
      <w:r w:rsidRPr="00F165A7">
        <w:rPr>
          <w:rStyle w:val="normaltextrun"/>
          <w:rFonts w:asciiTheme="minorEastAsia" w:eastAsiaTheme="minorEastAsia" w:hAnsiTheme="minorEastAsia" w:hint="eastAsia"/>
          <w:sz w:val="21"/>
          <w:szCs w:val="21"/>
        </w:rPr>
        <w:t>主题为</w:t>
      </w:r>
      <w:r w:rsidRPr="007B5559">
        <w:rPr>
          <w:rStyle w:val="normaltextrun"/>
          <w:rFonts w:ascii="KaiTi" w:eastAsia="KaiTi" w:hAnsi="KaiTi" w:hint="eastAsia"/>
          <w:sz w:val="21"/>
          <w:szCs w:val="21"/>
        </w:rPr>
        <w:t>“知识产权与青年：</w:t>
      </w:r>
      <w:r w:rsidRPr="007B5559">
        <w:rPr>
          <w:rStyle w:val="normaltextrun"/>
          <w:rFonts w:ascii="KaiTi" w:eastAsia="KaiTi" w:hAnsi="KaiTi" w:hint="eastAsia"/>
          <w:iCs/>
          <w:sz w:val="21"/>
          <w:szCs w:val="21"/>
        </w:rPr>
        <w:t>创新促进健康</w:t>
      </w:r>
      <w:r w:rsidRPr="007B5559">
        <w:rPr>
          <w:rStyle w:val="normaltextrun"/>
          <w:rFonts w:ascii="KaiTi" w:eastAsia="KaiTi" w:hAnsi="KaiTi" w:hint="eastAsia"/>
          <w:sz w:val="21"/>
          <w:szCs w:val="21"/>
        </w:rPr>
        <w:t>：通过知识产权支持青年创新者”</w:t>
      </w:r>
      <w:r w:rsidRPr="00F165A7">
        <w:rPr>
          <w:rStyle w:val="normaltextrun"/>
          <w:rFonts w:asciiTheme="minorEastAsia" w:eastAsiaTheme="minorEastAsia" w:hAnsiTheme="minorEastAsia" w:hint="eastAsia"/>
          <w:sz w:val="21"/>
          <w:szCs w:val="21"/>
        </w:rPr>
        <w:t>的世界知识产权日活动。</w:t>
      </w:r>
      <w:r w:rsidRPr="00F165A7">
        <w:rPr>
          <w:rStyle w:val="FootnoteReference"/>
          <w:rFonts w:asciiTheme="minorEastAsia" w:eastAsiaTheme="minorEastAsia" w:hAnsiTheme="minorEastAsia"/>
          <w:sz w:val="21"/>
          <w:szCs w:val="21"/>
        </w:rPr>
        <w:footnoteReference w:id="104"/>
      </w:r>
      <w:r w:rsidRPr="00F165A7">
        <w:rPr>
          <w:rStyle w:val="normaltextrun"/>
          <w:rFonts w:asciiTheme="minorEastAsia" w:eastAsiaTheme="minorEastAsia" w:hAnsiTheme="minorEastAsia" w:hint="eastAsia"/>
          <w:sz w:val="21"/>
          <w:szCs w:val="21"/>
        </w:rPr>
        <w:t>该活动强调了世界各地青年创新者的成就，以及知识产权在使他们的想法进入市场方面发挥的积极作用，特别关注女性青年创新者。有近500人在现场或以虚拟方式参加活动。产权组织还积极推动围绕将青年系统地纳入多边体系的国际讨论。这是本组织为确保青年在知识产权与气候变化、全球卫生、和平和可持续发展等相关政策问题的互动方面发声所做努力的一部分。最值得一提的是国际电信联盟（国际电联）</w:t>
      </w:r>
      <w:r w:rsidRPr="00F165A7">
        <w:rPr>
          <w:rFonts w:asciiTheme="minorEastAsia" w:eastAsiaTheme="minorEastAsia" w:hAnsiTheme="minorEastAsia" w:hint="eastAsia"/>
          <w:sz w:val="21"/>
          <w:szCs w:val="21"/>
        </w:rPr>
        <w:t>的信息社会世界峰会论坛</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5"/>
      </w:r>
      <w:r w:rsidRPr="00F165A7">
        <w:rPr>
          <w:rStyle w:val="normaltextrun"/>
          <w:rFonts w:asciiTheme="minorEastAsia" w:eastAsiaTheme="minorEastAsia" w:hAnsiTheme="minorEastAsia" w:hint="eastAsia"/>
          <w:sz w:val="21"/>
          <w:szCs w:val="21"/>
        </w:rPr>
        <w:t>工业产权葡语国家会议、世贸组织</w:t>
      </w:r>
      <w:r w:rsidRPr="00F165A7">
        <w:rPr>
          <w:rFonts w:asciiTheme="minorEastAsia" w:eastAsiaTheme="minorEastAsia" w:hAnsiTheme="minorEastAsia" w:hint="eastAsia"/>
          <w:sz w:val="21"/>
          <w:szCs w:val="21"/>
        </w:rPr>
        <w:t>公共论坛</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6"/>
      </w:r>
      <w:r w:rsidRPr="00F165A7">
        <w:rPr>
          <w:rFonts w:asciiTheme="minorEastAsia" w:eastAsiaTheme="minorEastAsia" w:hAnsiTheme="minorEastAsia" w:hint="eastAsia"/>
          <w:sz w:val="21"/>
          <w:szCs w:val="21"/>
        </w:rPr>
        <w:t>日内瓦和平平台主办的日内瓦和平周</w:t>
      </w:r>
      <w:r w:rsidRPr="00F165A7">
        <w:rPr>
          <w:rStyle w:val="normaltextrun"/>
          <w:rFonts w:asciiTheme="minorEastAsia" w:eastAsiaTheme="minorEastAsia" w:hAnsiTheme="minorEastAsia" w:hint="eastAsia"/>
          <w:sz w:val="21"/>
          <w:szCs w:val="21"/>
        </w:rPr>
        <w:t xml:space="preserve">，以及联合国欧洲经济委员会（欧洲经委会） </w:t>
      </w:r>
      <w:r w:rsidRPr="00F165A7">
        <w:rPr>
          <w:rFonts w:asciiTheme="minorEastAsia" w:eastAsiaTheme="minorEastAsia" w:hAnsiTheme="minorEastAsia" w:hint="eastAsia"/>
          <w:sz w:val="21"/>
          <w:szCs w:val="21"/>
        </w:rPr>
        <w:t>的青年对话</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7"/>
      </w:r>
      <w:r w:rsidRPr="00F165A7">
        <w:rPr>
          <w:rStyle w:val="normaltextrun"/>
          <w:rFonts w:asciiTheme="minorEastAsia" w:eastAsiaTheme="minorEastAsia" w:hAnsiTheme="minorEastAsia" w:hint="eastAsia"/>
          <w:sz w:val="21"/>
          <w:szCs w:val="21"/>
        </w:rPr>
        <w:t>通过这些互动，产权组织提供了必要的思想领导，以创造最有利的政策和物质环境，帮助世界各地青年受益于其创造、发明和创业工作。总体而言，2022年的青年参与活动使产权组织成为在工作中积极优先考虑青年的国际社会的一部分。许多青年了解了产权组织在知识产权制度中对青年包容和赋能的规范性愿景，并积聚了足够的势头，以便在未来几年内推出实用的、影响驱动的倡议。</w:t>
      </w:r>
    </w:p>
    <w:p w14:paraId="00583AFF" w14:textId="77777777" w:rsidR="00E733EF" w:rsidRPr="003008E4" w:rsidRDefault="00191652" w:rsidP="003008E4">
      <w:pPr>
        <w:pStyle w:val="Heading2"/>
        <w:spacing w:beforeLines="100" w:afterLines="100" w:after="240" w:line="340" w:lineRule="atLeast"/>
        <w:jc w:val="both"/>
        <w:rPr>
          <w:b/>
          <w:bCs w:val="0"/>
          <w:sz w:val="21"/>
          <w:szCs w:val="21"/>
        </w:rPr>
      </w:pPr>
      <w:r w:rsidRPr="003008E4">
        <w:rPr>
          <w:rFonts w:hint="eastAsia"/>
          <w:b/>
          <w:bCs w:val="0"/>
          <w:sz w:val="21"/>
          <w:szCs w:val="21"/>
        </w:rPr>
        <w:t>WIPO GREEN</w:t>
      </w:r>
      <w:r w:rsidRPr="003008E4">
        <w:rPr>
          <w:rFonts w:hint="eastAsia"/>
          <w:b/>
          <w:bCs w:val="0"/>
          <w:sz w:val="21"/>
          <w:szCs w:val="21"/>
        </w:rPr>
        <w:t>和</w:t>
      </w:r>
      <w:r w:rsidRPr="003008E4">
        <w:rPr>
          <w:rFonts w:hint="eastAsia"/>
          <w:b/>
          <w:bCs w:val="0"/>
          <w:sz w:val="21"/>
          <w:szCs w:val="21"/>
        </w:rPr>
        <w:t>WIPO Re</w:t>
      </w:r>
      <w:proofErr w:type="gramStart"/>
      <w:r w:rsidRPr="003008E4">
        <w:rPr>
          <w:rFonts w:hint="eastAsia"/>
          <w:b/>
          <w:bCs w:val="0"/>
          <w:sz w:val="21"/>
          <w:szCs w:val="21"/>
        </w:rPr>
        <w:t>:Search</w:t>
      </w:r>
      <w:proofErr w:type="gramEnd"/>
    </w:p>
    <w:p w14:paraId="53DBF61E" w14:textId="77777777" w:rsidR="00E733EF" w:rsidRPr="003008E4"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WIPO GREEN和WIPO Re</w:t>
      </w:r>
      <w:proofErr w:type="gramStart"/>
      <w:r w:rsidRPr="003008E4">
        <w:rPr>
          <w:rFonts w:asciiTheme="minorEastAsia" w:eastAsiaTheme="minorEastAsia" w:hAnsiTheme="minorEastAsia" w:hint="eastAsia"/>
          <w:sz w:val="21"/>
          <w:szCs w:val="21"/>
        </w:rPr>
        <w:t>:Search平台继续促进成员国的知识转让和技术调适</w:t>
      </w:r>
      <w:proofErr w:type="gramEnd"/>
      <w:r w:rsidRPr="003008E4">
        <w:rPr>
          <w:rFonts w:asciiTheme="minorEastAsia" w:eastAsiaTheme="minorEastAsia" w:hAnsiTheme="minorEastAsia" w:hint="eastAsia"/>
          <w:sz w:val="21"/>
          <w:szCs w:val="21"/>
        </w:rPr>
        <w:t>。具体而言，2022年有15家私营和公共机构加入了WIPO GREEN，使合作伙伴总数达到</w:t>
      </w:r>
      <w:r w:rsidRPr="003008E4">
        <w:rPr>
          <w:rStyle w:val="FootnoteReference"/>
          <w:rFonts w:asciiTheme="minorEastAsia" w:eastAsiaTheme="minorEastAsia" w:hAnsiTheme="minorEastAsia"/>
          <w:sz w:val="21"/>
          <w:szCs w:val="21"/>
        </w:rPr>
        <w:footnoteReference w:id="108"/>
      </w:r>
      <w:r w:rsidRPr="003008E4">
        <w:rPr>
          <w:rFonts w:asciiTheme="minorEastAsia" w:eastAsiaTheme="minorEastAsia" w:hAnsiTheme="minorEastAsia" w:hint="eastAsia"/>
          <w:sz w:val="21"/>
          <w:szCs w:val="21"/>
        </w:rPr>
        <w:t>150家。数据库的注册用户数量增加到2,000多个。</w:t>
      </w:r>
      <w:r w:rsidRPr="003008E4">
        <w:rPr>
          <w:rStyle w:val="FootnoteReference"/>
          <w:rFonts w:asciiTheme="minorEastAsia" w:eastAsiaTheme="minorEastAsia" w:hAnsiTheme="minorEastAsia"/>
          <w:sz w:val="21"/>
          <w:szCs w:val="21"/>
        </w:rPr>
        <w:footnoteReference w:id="109"/>
      </w:r>
      <w:r w:rsidRPr="003008E4">
        <w:rPr>
          <w:rFonts w:asciiTheme="minorEastAsia" w:eastAsiaTheme="minorEastAsia" w:hAnsiTheme="minorEastAsia" w:hint="eastAsia"/>
          <w:sz w:val="21"/>
          <w:szCs w:val="21"/>
        </w:rPr>
        <w:t>加速项目</w:t>
      </w:r>
      <w:r w:rsidRPr="003008E4">
        <w:rPr>
          <w:rStyle w:val="FootnoteReference"/>
          <w:rFonts w:asciiTheme="minorEastAsia" w:eastAsiaTheme="minorEastAsia" w:hAnsiTheme="minorEastAsia"/>
          <w:sz w:val="21"/>
          <w:szCs w:val="21"/>
        </w:rPr>
        <w:footnoteReference w:id="110"/>
      </w:r>
      <w:r w:rsidRPr="003008E4">
        <w:rPr>
          <w:rFonts w:asciiTheme="minorEastAsia" w:eastAsiaTheme="minorEastAsia" w:hAnsiTheme="minorEastAsia" w:hint="eastAsia"/>
          <w:sz w:val="21"/>
          <w:szCs w:val="21"/>
        </w:rPr>
        <w:t>成为该平台参与的核心手段。在拉丁美洲，一个关于气候智能农业的加速项目</w:t>
      </w:r>
      <w:r w:rsidRPr="003008E4">
        <w:rPr>
          <w:rStyle w:val="FootnoteReference"/>
          <w:rFonts w:asciiTheme="minorEastAsia" w:eastAsiaTheme="minorEastAsia" w:hAnsiTheme="minorEastAsia"/>
          <w:sz w:val="21"/>
          <w:szCs w:val="21"/>
        </w:rPr>
        <w:footnoteReference w:id="111"/>
      </w:r>
      <w:r w:rsidRPr="003008E4">
        <w:rPr>
          <w:rFonts w:asciiTheme="minorEastAsia" w:eastAsiaTheme="minorEastAsia" w:hAnsiTheme="minorEastAsia" w:hint="eastAsia"/>
          <w:sz w:val="21"/>
          <w:szCs w:val="21"/>
        </w:rPr>
        <w:t>继续推出可持续技术解决方案，并探寻将技术寻求者和提供者进一步联系起来。该项目的第二阶段于2022年结束，随后启动了第三阶段，更加注重牵线搭桥。另一个在中国启动的项目是要寻求能够满足城市环境需求的解决方案。</w:t>
      </w:r>
      <w:r w:rsidRPr="003008E4">
        <w:rPr>
          <w:rStyle w:val="FootnoteReference"/>
          <w:rFonts w:asciiTheme="minorEastAsia" w:eastAsiaTheme="minorEastAsia" w:hAnsiTheme="minorEastAsia"/>
          <w:sz w:val="21"/>
          <w:szCs w:val="21"/>
        </w:rPr>
        <w:footnoteReference w:id="112"/>
      </w:r>
      <w:r w:rsidRPr="003008E4">
        <w:rPr>
          <w:rFonts w:asciiTheme="minorEastAsia" w:eastAsiaTheme="minorEastAsia" w:hAnsiTheme="minorEastAsia" w:hint="eastAsia"/>
          <w:sz w:val="21"/>
          <w:szCs w:val="21"/>
        </w:rPr>
        <w:t>该项目的目标是支持中国实现其到2030年减少碳排放和到2060年实现碳中和的承诺。该项目最初以北京为重点，预计将扩展到其他大城市。该项目产生了两项协议：(i)一项处理酒店综合体中厨房垃圾的堆肥技术；以及(ii)一个电动汽车充电站。还应提及的是，与WIPO GREEN合作伙伴创蓝清洁空气产业联盟合作出版的</w:t>
      </w:r>
      <w:r w:rsidRPr="003008E4">
        <w:rPr>
          <w:rFonts w:ascii="KaiTi" w:eastAsia="KaiTi" w:hAnsi="KaiTi" w:hint="eastAsia"/>
          <w:sz w:val="21"/>
          <w:szCs w:val="21"/>
        </w:rPr>
        <w:t>《全球挑战聚焦：氢燃料电池技术在中国的开发和应用进展报告》</w:t>
      </w:r>
      <w:r w:rsidRPr="003008E4">
        <w:rPr>
          <w:rFonts w:asciiTheme="minorEastAsia" w:eastAsiaTheme="minorEastAsia" w:hAnsiTheme="minorEastAsia" w:hint="eastAsia"/>
          <w:sz w:val="21"/>
          <w:szCs w:val="21"/>
        </w:rPr>
        <w:t>。</w:t>
      </w:r>
      <w:r w:rsidRPr="003008E4">
        <w:rPr>
          <w:rStyle w:val="FootnoteReference"/>
          <w:rFonts w:asciiTheme="minorEastAsia" w:eastAsiaTheme="minorEastAsia" w:hAnsiTheme="minorEastAsia"/>
          <w:i/>
          <w:sz w:val="21"/>
          <w:szCs w:val="21"/>
        </w:rPr>
        <w:footnoteReference w:id="113"/>
      </w:r>
      <w:r w:rsidRPr="003008E4">
        <w:rPr>
          <w:rFonts w:asciiTheme="minorEastAsia" w:eastAsiaTheme="minorEastAsia" w:hAnsiTheme="minorEastAsia" w:hint="eastAsia"/>
          <w:sz w:val="21"/>
          <w:szCs w:val="21"/>
        </w:rPr>
        <w:t>该报告概述了当前国际上的氢气和燃料电池技术趋势，并特别关注了中国的发展和实施情况。此外，产权组织与联合国气候变化框架公约（UNFCCC）气候技术中心和网络（CTCN）以及埃及科学研究与技术学院合作，在埃及举行的联合国气候变化框架公约缔约方大会第二十七届会议上推出了第一版</w:t>
      </w:r>
      <w:r w:rsidRPr="003008E4">
        <w:rPr>
          <w:rFonts w:ascii="KaiTi" w:eastAsia="KaiTi" w:hAnsi="KaiTi" w:hint="eastAsia"/>
          <w:sz w:val="21"/>
          <w:szCs w:val="21"/>
        </w:rPr>
        <w:t>《绿色技术手册》</w:t>
      </w:r>
      <w:r w:rsidRPr="003008E4">
        <w:rPr>
          <w:rFonts w:asciiTheme="minorEastAsia" w:eastAsiaTheme="minorEastAsia" w:hAnsiTheme="minorEastAsia" w:hint="eastAsia"/>
          <w:sz w:val="21"/>
          <w:szCs w:val="21"/>
        </w:rPr>
        <w:t>。</w:t>
      </w:r>
      <w:r w:rsidRPr="003008E4">
        <w:rPr>
          <w:rStyle w:val="FootnoteReference"/>
          <w:rFonts w:asciiTheme="minorEastAsia" w:eastAsiaTheme="minorEastAsia" w:hAnsiTheme="minorEastAsia"/>
          <w:sz w:val="21"/>
          <w:szCs w:val="21"/>
        </w:rPr>
        <w:footnoteReference w:id="114"/>
      </w:r>
      <w:r w:rsidRPr="003008E4">
        <w:rPr>
          <w:rFonts w:asciiTheme="minorEastAsia" w:eastAsiaTheme="minorEastAsia" w:hAnsiTheme="minorEastAsia" w:hint="eastAsia"/>
          <w:sz w:val="21"/>
          <w:szCs w:val="21"/>
        </w:rPr>
        <w:t>该出版物涉及旨在减少脆弱性和提高对气候影响的复原力的气候变化适应技术，特别是在受影响最严重的发展中国家。2022年还在日本专利局的资助下启动了IPO GREEN</w:t>
      </w:r>
      <w:r w:rsidRPr="003008E4">
        <w:rPr>
          <w:rStyle w:val="FootnoteReference"/>
          <w:rFonts w:asciiTheme="minorEastAsia" w:eastAsiaTheme="minorEastAsia" w:hAnsiTheme="minorEastAsia"/>
          <w:sz w:val="21"/>
          <w:szCs w:val="21"/>
        </w:rPr>
        <w:footnoteReference w:id="115"/>
      </w:r>
      <w:r w:rsidRPr="003008E4">
        <w:rPr>
          <w:rFonts w:asciiTheme="minorEastAsia" w:eastAsiaTheme="minorEastAsia" w:hAnsiTheme="minorEastAsia" w:hint="eastAsia"/>
          <w:sz w:val="21"/>
          <w:szCs w:val="21"/>
        </w:rPr>
        <w:t>倡议。该倡议将各知识产权局聚集在一起，分享其经验和见解，并提供有关知识产权局活动的研究和分析，帮助刺激新的绿色技术解决方案的开发和部署。此外，WIPO GREEN还主办了一次关于</w:t>
      </w:r>
      <w:r w:rsidRPr="003008E4">
        <w:rPr>
          <w:rFonts w:ascii="KaiTi" w:eastAsia="KaiTi" w:hAnsi="KaiTi" w:hint="eastAsia"/>
          <w:sz w:val="21"/>
          <w:szCs w:val="21"/>
        </w:rPr>
        <w:t>“可持续时装技术”</w:t>
      </w:r>
      <w:r w:rsidRPr="003008E4">
        <w:rPr>
          <w:rFonts w:asciiTheme="minorEastAsia" w:eastAsiaTheme="minorEastAsia" w:hAnsiTheme="minorEastAsia" w:hint="eastAsia"/>
          <w:sz w:val="21"/>
          <w:szCs w:val="21"/>
        </w:rPr>
        <w:t>的知识产权管理诊所，</w:t>
      </w:r>
      <w:r w:rsidRPr="003008E4">
        <w:rPr>
          <w:rStyle w:val="FootnoteReference"/>
          <w:rFonts w:asciiTheme="minorEastAsia" w:eastAsiaTheme="minorEastAsia" w:hAnsiTheme="minorEastAsia"/>
          <w:sz w:val="21"/>
          <w:szCs w:val="21"/>
        </w:rPr>
        <w:footnoteReference w:id="116"/>
      </w:r>
      <w:r w:rsidRPr="003008E4">
        <w:rPr>
          <w:rFonts w:asciiTheme="minorEastAsia" w:eastAsiaTheme="minorEastAsia" w:hAnsiTheme="minorEastAsia" w:hint="eastAsia"/>
          <w:sz w:val="21"/>
          <w:szCs w:val="21"/>
        </w:rPr>
        <w:t>向五家中小企业提供知识产权管理专家建议。</w:t>
      </w:r>
    </w:p>
    <w:p w14:paraId="4C6C0554" w14:textId="77777777" w:rsidR="00E733EF" w:rsidRPr="003008E4"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自2011年以来，WIPO Re:Search——由产权组织和BIO全球卫生事业机构（BVGH）成立的公私联合体——通过共享知识产权资产，包括化合物、技术、实验室能力和专门知识，促进针对被忽视的热带病、结核病和疟疾的研发。WIPO Re:Search为185项研究合作提供了便利，并设立了由澳大利亚政府资助的研发奖学金，为来自中低收入国家的近30名科学家提供支持。在过去十年中，针对被忽视的热带病的研发已明显增加。虽然在被忽视的热带病方面还有很多工作要做，但前景比较光明。尽管WIPO Re</w:t>
      </w:r>
      <w:proofErr w:type="gramStart"/>
      <w:r w:rsidRPr="003008E4">
        <w:rPr>
          <w:rFonts w:asciiTheme="minorEastAsia" w:eastAsiaTheme="minorEastAsia" w:hAnsiTheme="minorEastAsia" w:hint="eastAsia"/>
          <w:sz w:val="21"/>
          <w:szCs w:val="21"/>
        </w:rPr>
        <w:t>:Search已于2022年12月31日终止</w:t>
      </w:r>
      <w:proofErr w:type="gramEnd"/>
      <w:r w:rsidRPr="003008E4">
        <w:rPr>
          <w:rFonts w:asciiTheme="minorEastAsia" w:eastAsiaTheme="minorEastAsia" w:hAnsiTheme="minorEastAsia" w:hint="eastAsia"/>
          <w:sz w:val="21"/>
          <w:szCs w:val="21"/>
        </w:rPr>
        <w:t>，但产权组织将继续在全球卫生领域开展工作，继续将被忽视的热带病作为优先领域。在产权组织《2022-2026年中期战略计划》的指导下，产权组织将确保通过其在全球卫生和知识产权交叉领域的活动，使卫生创新惠及世界各地的所有人。</w:t>
      </w:r>
    </w:p>
    <w:p w14:paraId="67154C98" w14:textId="77777777" w:rsidR="00E733EF" w:rsidRPr="003008E4" w:rsidRDefault="00191652" w:rsidP="003008E4">
      <w:pPr>
        <w:pStyle w:val="Heading2"/>
        <w:spacing w:beforeLines="100" w:afterLines="100" w:after="240" w:line="340" w:lineRule="atLeast"/>
        <w:jc w:val="both"/>
        <w:rPr>
          <w:b/>
          <w:bCs w:val="0"/>
          <w:sz w:val="21"/>
          <w:szCs w:val="21"/>
        </w:rPr>
      </w:pPr>
      <w:r w:rsidRPr="003008E4">
        <w:rPr>
          <w:rFonts w:hint="eastAsia"/>
          <w:b/>
          <w:bCs w:val="0"/>
          <w:sz w:val="21"/>
          <w:szCs w:val="21"/>
        </w:rPr>
        <w:t>树立尊重知识产权的风尚</w:t>
      </w:r>
    </w:p>
    <w:p w14:paraId="37283E55" w14:textId="77777777" w:rsidR="00E733EF" w:rsidRPr="003008E4" w:rsidRDefault="00191652" w:rsidP="003008E4">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全球挑战和伙伴关系部门继续协助成员国树立尊重知识产权的可持续环境。根据发展议程建议45，在整个过程中考虑了更广泛的社会利益和以发展为导向的问题。在这一领域，继续向成员国提供立法</w:t>
      </w:r>
      <w:r w:rsidRPr="003008E4">
        <w:rPr>
          <w:rStyle w:val="FootnoteReference"/>
          <w:rFonts w:asciiTheme="minorEastAsia" w:eastAsiaTheme="minorEastAsia" w:hAnsiTheme="minorEastAsia"/>
          <w:sz w:val="21"/>
          <w:szCs w:val="21"/>
        </w:rPr>
        <w:footnoteReference w:id="117"/>
      </w:r>
      <w:r w:rsidRPr="003008E4">
        <w:rPr>
          <w:rFonts w:asciiTheme="minorEastAsia" w:eastAsiaTheme="minorEastAsia" w:hAnsiTheme="minorEastAsia" w:hint="eastAsia"/>
          <w:sz w:val="21"/>
          <w:szCs w:val="21"/>
        </w:rPr>
        <w:t>和能力建设援助。具体而言，在2022年，向8个成员国</w:t>
      </w:r>
      <w:r w:rsidRPr="003008E4">
        <w:rPr>
          <w:rStyle w:val="FootnoteReference"/>
          <w:rFonts w:asciiTheme="minorEastAsia" w:eastAsiaTheme="minorEastAsia" w:hAnsiTheme="minorEastAsia"/>
          <w:sz w:val="21"/>
          <w:szCs w:val="21"/>
        </w:rPr>
        <w:footnoteReference w:id="118"/>
      </w:r>
      <w:r w:rsidRPr="003008E4">
        <w:rPr>
          <w:rFonts w:asciiTheme="minorEastAsia" w:eastAsiaTheme="minorEastAsia" w:hAnsiTheme="minorEastAsia" w:hint="eastAsia"/>
          <w:sz w:val="21"/>
          <w:szCs w:val="21"/>
        </w:rPr>
        <w:t>提供了立法援助，帮助修订和/或通过相关法律框架，以便根据《TRIPS协定》第三部分实现有效的知识产权执法。</w:t>
      </w:r>
    </w:p>
    <w:p w14:paraId="19187858" w14:textId="77777777" w:rsidR="00E733EF" w:rsidRPr="003008E4" w:rsidRDefault="00191652" w:rsidP="003008E4">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在本报告所述期间，以线上或混合形式组织了八次</w:t>
      </w:r>
      <w:r w:rsidRPr="003008E4">
        <w:rPr>
          <w:rStyle w:val="FootnoteReference"/>
          <w:rFonts w:asciiTheme="minorEastAsia" w:eastAsiaTheme="minorEastAsia" w:hAnsiTheme="minorEastAsia"/>
          <w:sz w:val="21"/>
          <w:szCs w:val="21"/>
        </w:rPr>
        <w:footnoteReference w:id="119"/>
      </w:r>
      <w:r w:rsidRPr="003008E4">
        <w:rPr>
          <w:rFonts w:asciiTheme="minorEastAsia" w:eastAsiaTheme="minorEastAsia" w:hAnsiTheme="minorEastAsia" w:hint="eastAsia"/>
          <w:sz w:val="21"/>
          <w:szCs w:val="21"/>
        </w:rPr>
        <w:t>能力建设和培训活动，以便在国家、次区域或区域层面解决与知识产权执法和树立尊重知识产权的风尚有关的问题。</w:t>
      </w:r>
      <w:r w:rsidRPr="003008E4">
        <w:rPr>
          <w:rStyle w:val="FootnoteReference"/>
          <w:rFonts w:asciiTheme="minorEastAsia" w:eastAsiaTheme="minorEastAsia" w:hAnsiTheme="minorEastAsia"/>
          <w:sz w:val="21"/>
          <w:szCs w:val="21"/>
        </w:rPr>
        <w:footnoteReference w:id="120"/>
      </w:r>
      <w:r w:rsidRPr="003008E4">
        <w:rPr>
          <w:rFonts w:asciiTheme="minorEastAsia" w:eastAsiaTheme="minorEastAsia" w:hAnsiTheme="minorEastAsia" w:hint="eastAsia"/>
          <w:sz w:val="21"/>
          <w:szCs w:val="21"/>
        </w:rPr>
        <w:t>继续强调与政府间组织、非政府组织和成员国的密切合作，以加强国际努力，提高知识产权执法能力和树立尊重知识产权的风尚。在这方面，由产权组织组织的年度</w:t>
      </w:r>
      <w:r w:rsidRPr="003A07B5">
        <w:rPr>
          <w:rFonts w:ascii="KaiTi" w:eastAsia="KaiTi" w:hAnsi="KaiTi" w:hint="eastAsia"/>
          <w:sz w:val="21"/>
          <w:szCs w:val="21"/>
        </w:rPr>
        <w:t>“政府间组织协调会”</w:t>
      </w:r>
      <w:r w:rsidRPr="003008E4">
        <w:rPr>
          <w:rFonts w:asciiTheme="minorEastAsia" w:eastAsiaTheme="minorEastAsia" w:hAnsiTheme="minorEastAsia" w:hint="eastAsia"/>
          <w:sz w:val="21"/>
          <w:szCs w:val="21"/>
        </w:rPr>
        <w:t>于2022年6月21日举行，从事知识产权执法和树立尊重知识产权的风尚领域工作的十个政府间组织参加了会议。</w:t>
      </w:r>
      <w:r w:rsidRPr="003008E4">
        <w:rPr>
          <w:rFonts w:asciiTheme="minorEastAsia" w:eastAsiaTheme="minorEastAsia" w:hAnsiTheme="minorEastAsia" w:hint="eastAsia"/>
          <w:color w:val="000000"/>
          <w:sz w:val="21"/>
          <w:szCs w:val="21"/>
        </w:rPr>
        <w:t>此外，第一次</w:t>
      </w:r>
      <w:r w:rsidRPr="003A07B5">
        <w:rPr>
          <w:rFonts w:ascii="KaiTi" w:eastAsia="KaiTi" w:hAnsi="KaiTi" w:hint="eastAsia"/>
          <w:color w:val="000000"/>
          <w:sz w:val="21"/>
          <w:szCs w:val="21"/>
        </w:rPr>
        <w:t>“私营部门协会会议”</w:t>
      </w:r>
      <w:r w:rsidRPr="003008E4">
        <w:rPr>
          <w:rFonts w:asciiTheme="minorEastAsia" w:eastAsiaTheme="minorEastAsia" w:hAnsiTheme="minorEastAsia" w:hint="eastAsia"/>
          <w:color w:val="000000"/>
          <w:sz w:val="21"/>
          <w:szCs w:val="21"/>
        </w:rPr>
        <w:t>于2022年10月3日举行，18个在知识产权执法和树立尊重知识产权的风尚方面发挥作用的私营部门组织参加了会议，就可能联合开展的活动交换了意见并分享了看法。</w:t>
      </w:r>
      <w:r w:rsidRPr="003008E4">
        <w:rPr>
          <w:rFonts w:asciiTheme="minorEastAsia" w:eastAsiaTheme="minorEastAsia" w:hAnsiTheme="minorEastAsia" w:hint="eastAsia"/>
          <w:sz w:val="21"/>
          <w:szCs w:val="21"/>
        </w:rPr>
        <w:t>为了提高更广泛受众的认识，进一步扩大了外联和宣传活动。这类活动的例子包括：(i)在塞内加尔克尔马萨省的两所学校为青少年学生举办了“公民新闻和知识产权讲习班”；(ii)与非洲地区知识产权组织（ARIPO）合作，启动了一个试点项目，在博茨瓦纳、马拉维和津巴布韦的学校成立了知识产权俱乐部。该项目最终在2022年11月于莫桑比克马普托举行的非洲地区知识产权组织行政理事会会议上举行了地区颁奖仪式，产权组织和非洲地区知识产权组织的总干事出席颁奖仪式</w:t>
      </w:r>
      <w:proofErr w:type="gramStart"/>
      <w:r w:rsidRPr="003008E4">
        <w:rPr>
          <w:rFonts w:asciiTheme="minorEastAsia" w:eastAsiaTheme="minorEastAsia" w:hAnsiTheme="minorEastAsia" w:hint="eastAsia"/>
          <w:sz w:val="21"/>
          <w:szCs w:val="21"/>
        </w:rPr>
        <w:t>；(</w:t>
      </w:r>
      <w:proofErr w:type="gramEnd"/>
      <w:r w:rsidRPr="003008E4">
        <w:rPr>
          <w:rFonts w:asciiTheme="minorEastAsia" w:eastAsiaTheme="minorEastAsia" w:hAnsiTheme="minorEastAsia" w:hint="eastAsia"/>
          <w:sz w:val="21"/>
          <w:szCs w:val="21"/>
        </w:rPr>
        <w:t>iii)在六个</w:t>
      </w:r>
      <w:r w:rsidRPr="003008E4">
        <w:rPr>
          <w:rStyle w:val="FootnoteReference"/>
          <w:rFonts w:asciiTheme="minorEastAsia" w:eastAsiaTheme="minorEastAsia" w:hAnsiTheme="minorEastAsia"/>
          <w:sz w:val="21"/>
          <w:szCs w:val="21"/>
        </w:rPr>
        <w:footnoteReference w:id="121"/>
      </w:r>
      <w:r w:rsidRPr="003008E4">
        <w:rPr>
          <w:rFonts w:asciiTheme="minorEastAsia" w:eastAsiaTheme="minorEastAsia" w:hAnsiTheme="minorEastAsia" w:hint="eastAsia"/>
          <w:sz w:val="21"/>
          <w:szCs w:val="21"/>
        </w:rPr>
        <w:t>东盟国家的消费者中开展了与假冒商品有关的消费者态度和行为在线调查。此外，还采取了措施，提高宣传材料的无障碍性。例如，用泰语为关于工业产权的</w:t>
      </w:r>
      <w:r w:rsidRPr="003A07B5">
        <w:rPr>
          <w:rFonts w:ascii="KaiTi" w:eastAsia="KaiTi" w:hAnsi="KaiTi" w:hint="eastAsia"/>
          <w:sz w:val="21"/>
          <w:szCs w:val="21"/>
        </w:rPr>
        <w:t>“小企鹅波鲁鲁”</w:t>
      </w:r>
      <w:r w:rsidRPr="003008E4">
        <w:rPr>
          <w:rFonts w:asciiTheme="minorEastAsia" w:eastAsiaTheme="minorEastAsia" w:hAnsiTheme="minorEastAsia" w:hint="eastAsia"/>
          <w:sz w:val="21"/>
          <w:szCs w:val="21"/>
        </w:rPr>
        <w:t>动画配音，并在产权组织的YouTube频道上提供。</w:t>
      </w:r>
      <w:r w:rsidRPr="003008E4">
        <w:rPr>
          <w:rFonts w:asciiTheme="minorEastAsia" w:eastAsiaTheme="minorEastAsia" w:hAnsiTheme="minorEastAsia" w:hint="eastAsia"/>
          <w:color w:val="000000" w:themeColor="text1"/>
          <w:sz w:val="21"/>
          <w:szCs w:val="21"/>
        </w:rPr>
        <w:t>与产权组织巴西办事处合作，以葡萄牙语推出了针对儿童的版权和商标认识提高网站。</w:t>
      </w:r>
      <w:r w:rsidRPr="003008E4">
        <w:rPr>
          <w:rStyle w:val="FootnoteReference"/>
          <w:rFonts w:asciiTheme="minorEastAsia" w:eastAsiaTheme="minorEastAsia" w:hAnsiTheme="minorEastAsia"/>
          <w:color w:val="000000" w:themeColor="text1"/>
          <w:sz w:val="21"/>
          <w:szCs w:val="21"/>
        </w:rPr>
        <w:footnoteReference w:id="122"/>
      </w:r>
    </w:p>
    <w:p w14:paraId="3B40156C" w14:textId="20893E61" w:rsidR="00E733EF" w:rsidRPr="003A07B5" w:rsidRDefault="00191652" w:rsidP="003A07B5">
      <w:pPr>
        <w:pStyle w:val="Heading2"/>
        <w:spacing w:beforeLines="100" w:afterLines="100" w:after="240" w:line="340" w:lineRule="atLeast"/>
        <w:jc w:val="both"/>
        <w:rPr>
          <w:b/>
          <w:bCs w:val="0"/>
          <w:sz w:val="21"/>
          <w:szCs w:val="21"/>
        </w:rPr>
      </w:pPr>
      <w:r w:rsidRPr="003A07B5">
        <w:rPr>
          <w:rFonts w:hint="eastAsia"/>
          <w:b/>
          <w:bCs w:val="0"/>
          <w:sz w:val="21"/>
          <w:szCs w:val="21"/>
        </w:rPr>
        <w:t>传统知识</w:t>
      </w:r>
    </w:p>
    <w:p w14:paraId="2482A116" w14:textId="6B4197FB"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A07B5">
        <w:rPr>
          <w:rFonts w:asciiTheme="minorEastAsia" w:eastAsiaTheme="minorEastAsia" w:hAnsiTheme="minorEastAsia" w:hint="eastAsia"/>
          <w:sz w:val="21"/>
          <w:szCs w:val="21"/>
        </w:rPr>
        <w:t>2022年，该部门在遗传资源、传统知识和传统文化表现形式方面的工作主要包括以下方面：(i)根据发展议程建议1、10、11、13和14，提供由需求推动的中立信息，以协助制定和实施国家和地区政策和立法；(ii)作为产权组织应对COVID-19的工作的一部分，根据发展议程建议3和42，支持土著人民、当地社区和主要政府机构的能力建设和宣传活动，并加强国家政策对话和进程；以及(iii)按照发展议程建议3和42的要求，为土著人民和当地社区青年组织产权组织</w:t>
      </w:r>
      <w:r w:rsidRPr="003A07B5">
        <w:rPr>
          <w:rFonts w:ascii="KaiTi" w:eastAsia="KaiTi" w:hAnsi="KaiTi" w:hint="eastAsia"/>
          <w:sz w:val="21"/>
          <w:szCs w:val="21"/>
        </w:rPr>
        <w:t>“气候变化问题摄影大赛”</w:t>
      </w:r>
      <w:r w:rsidR="003A07B5">
        <w:rPr>
          <w:rFonts w:ascii="KaiTi" w:eastAsia="KaiTi" w:hAnsi="KaiTi" w:hint="cs"/>
          <w:sz w:val="21"/>
          <w:szCs w:val="21"/>
        </w:rPr>
        <w:t>‍</w:t>
      </w:r>
      <w:r w:rsidRPr="003A07B5">
        <w:rPr>
          <w:rStyle w:val="FootnoteReference"/>
          <w:rFonts w:asciiTheme="minorEastAsia" w:eastAsiaTheme="minorEastAsia" w:hAnsiTheme="minorEastAsia"/>
          <w:sz w:val="21"/>
          <w:szCs w:val="21"/>
        </w:rPr>
        <w:footnoteReference w:id="123"/>
      </w:r>
      <w:r w:rsidRPr="003A07B5">
        <w:rPr>
          <w:rFonts w:asciiTheme="minorEastAsia" w:eastAsiaTheme="minorEastAsia" w:hAnsiTheme="minorEastAsia" w:hint="eastAsia"/>
          <w:sz w:val="21"/>
          <w:szCs w:val="21"/>
        </w:rPr>
        <w:t>。此外，继续为来自土著人民和当地社区的女企业家提供指导。根据发展议程建议3、40和42，该计划的目标是加强土著人民和当地社区女企业家的能力，以便战略性地有效利用知识产权权利。在这方面，为玻利维亚、哥伦比亚、厄瓜多尔和秘鲁的女企业家组织了一次培训</w:t>
      </w:r>
      <w:r w:rsidRPr="003A07B5">
        <w:rPr>
          <w:rStyle w:val="FootnoteReference"/>
          <w:rFonts w:asciiTheme="minorEastAsia" w:eastAsiaTheme="minorEastAsia" w:hAnsiTheme="minorEastAsia"/>
          <w:sz w:val="21"/>
          <w:szCs w:val="21"/>
        </w:rPr>
        <w:footnoteReference w:id="124"/>
      </w:r>
      <w:r w:rsidR="003A07B5" w:rsidRPr="003A07B5">
        <w:rPr>
          <w:rFonts w:asciiTheme="minorEastAsia" w:eastAsiaTheme="minorEastAsia" w:hAnsiTheme="minorEastAsia" w:hint="eastAsia"/>
          <w:sz w:val="21"/>
          <w:szCs w:val="21"/>
        </w:rPr>
        <w:t>。</w:t>
      </w:r>
    </w:p>
    <w:p w14:paraId="277CCDA4" w14:textId="77777777" w:rsidR="00E733EF" w:rsidRPr="003A07B5" w:rsidRDefault="00191652" w:rsidP="003A07B5">
      <w:pPr>
        <w:pStyle w:val="Heading2"/>
        <w:spacing w:beforeLines="100" w:afterLines="100" w:after="240" w:line="340" w:lineRule="atLeast"/>
        <w:jc w:val="both"/>
        <w:rPr>
          <w:b/>
          <w:bCs w:val="0"/>
          <w:sz w:val="21"/>
          <w:szCs w:val="21"/>
        </w:rPr>
      </w:pPr>
      <w:r w:rsidRPr="003A07B5">
        <w:rPr>
          <w:rFonts w:hint="eastAsia"/>
          <w:b/>
          <w:bCs w:val="0"/>
          <w:sz w:val="21"/>
          <w:szCs w:val="21"/>
        </w:rPr>
        <w:t>产权组织机构</w:t>
      </w:r>
    </w:p>
    <w:p w14:paraId="79E9D8ED" w14:textId="77777777" w:rsidR="00E733EF" w:rsidRPr="003A07B5" w:rsidRDefault="00191652" w:rsidP="003A07B5">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b/>
          <w:sz w:val="21"/>
          <w:szCs w:val="21"/>
        </w:rPr>
      </w:pPr>
      <w:r w:rsidRPr="003A07B5">
        <w:rPr>
          <w:rFonts w:asciiTheme="minorEastAsia" w:eastAsiaTheme="minorEastAsia" w:hAnsiTheme="minorEastAsia" w:hint="eastAsia"/>
          <w:sz w:val="21"/>
          <w:szCs w:val="21"/>
        </w:rPr>
        <w:t>该部门继续支持包括知识产权与遗传资源、传统知识和民间文学艺术政府间委员会（IGC）和执法咨询委员会（ACE）在内的若干些产权组织机构的工作。</w:t>
      </w:r>
    </w:p>
    <w:p w14:paraId="1B33FFD3" w14:textId="75A4016F"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b/>
          <w:sz w:val="21"/>
          <w:szCs w:val="21"/>
        </w:rPr>
      </w:pPr>
      <w:r w:rsidRPr="003A07B5">
        <w:rPr>
          <w:rFonts w:asciiTheme="minorEastAsia" w:eastAsiaTheme="minorEastAsia" w:hAnsiTheme="minorEastAsia" w:hint="eastAsia"/>
          <w:sz w:val="21"/>
          <w:szCs w:val="21"/>
        </w:rPr>
        <w:t>在本报告所述期间，政府间委员会召开了四次会议，即2022年2月28日至3月4日举行的第四十二届会议、2022年5月30日至6月3日举行的第四十三届会议、2022年9月12日至16日举行的第四十四届会议和2022年12月5日至9日举行的第四十五届会议。根据其任务规定，</w:t>
      </w:r>
      <w:r w:rsidRPr="003A07B5">
        <w:rPr>
          <w:rStyle w:val="FootnoteReference"/>
          <w:rFonts w:asciiTheme="minorEastAsia" w:eastAsiaTheme="minorEastAsia" w:hAnsiTheme="minorEastAsia"/>
          <w:sz w:val="21"/>
          <w:szCs w:val="21"/>
        </w:rPr>
        <w:footnoteReference w:id="125"/>
      </w:r>
      <w:r w:rsidRPr="003A07B5">
        <w:rPr>
          <w:rFonts w:asciiTheme="minorEastAsia" w:eastAsiaTheme="minorEastAsia" w:hAnsiTheme="minorEastAsia" w:hint="eastAsia"/>
          <w:sz w:val="21"/>
          <w:szCs w:val="21"/>
        </w:rPr>
        <w:t>组织了一个遗传资源（</w:t>
      </w:r>
      <w:r w:rsidR="003A07B5">
        <w:rPr>
          <w:rFonts w:asciiTheme="minorEastAsia" w:eastAsiaTheme="minorEastAsia" w:hAnsiTheme="minorEastAsia" w:hint="eastAsia"/>
          <w:sz w:val="21"/>
          <w:szCs w:val="21"/>
        </w:rPr>
        <w:t>GR</w:t>
      </w:r>
      <w:r w:rsidRPr="003A07B5">
        <w:rPr>
          <w:rFonts w:asciiTheme="minorEastAsia" w:eastAsiaTheme="minorEastAsia" w:hAnsiTheme="minorEastAsia" w:hint="eastAsia"/>
          <w:sz w:val="21"/>
          <w:szCs w:val="21"/>
        </w:rPr>
        <w:t>）特设专家组和一个传统知识（TK）和传统文化表现形式（</w:t>
      </w:r>
      <w:r w:rsidR="003A07B5">
        <w:rPr>
          <w:rFonts w:asciiTheme="minorEastAsia" w:eastAsiaTheme="minorEastAsia" w:hAnsiTheme="minorEastAsia" w:hint="eastAsia"/>
          <w:sz w:val="21"/>
          <w:szCs w:val="21"/>
        </w:rPr>
        <w:t>TCE</w:t>
      </w:r>
      <w:r w:rsidRPr="003A07B5">
        <w:rPr>
          <w:rFonts w:asciiTheme="minorEastAsia" w:eastAsiaTheme="minorEastAsia" w:hAnsiTheme="minorEastAsia" w:hint="eastAsia"/>
          <w:sz w:val="21"/>
          <w:szCs w:val="21"/>
        </w:rPr>
        <w:t>）特设专家组，以解决具体的法律、政策或技术问题。此外，中国国家知识产权局和产权组织还共同为政府间委员会与会者举办了一次</w:t>
      </w:r>
      <w:r w:rsidRPr="003A07B5">
        <w:rPr>
          <w:rFonts w:ascii="KaiTi" w:eastAsia="KaiTi" w:hAnsi="KaiTi" w:hint="eastAsia"/>
          <w:sz w:val="21"/>
          <w:szCs w:val="21"/>
        </w:rPr>
        <w:t>“关于知识产权、传统知识和遗传资源的国际研讨会”</w:t>
      </w:r>
      <w:r w:rsidRPr="003A07B5">
        <w:rPr>
          <w:rStyle w:val="FootnoteReference"/>
          <w:rFonts w:asciiTheme="minorEastAsia" w:eastAsiaTheme="minorEastAsia" w:hAnsiTheme="minorEastAsia"/>
          <w:iCs/>
          <w:sz w:val="21"/>
          <w:szCs w:val="21"/>
        </w:rPr>
        <w:footnoteReference w:id="126"/>
      </w:r>
      <w:r w:rsidRPr="003A07B5">
        <w:rPr>
          <w:rFonts w:asciiTheme="minorEastAsia" w:eastAsiaTheme="minorEastAsia" w:hAnsiTheme="minorEastAsia" w:hint="eastAsia"/>
          <w:sz w:val="21"/>
          <w:szCs w:val="21"/>
        </w:rPr>
        <w:t>，分享区域、国家和当地在传统知识和遗传资源知识产权保护方面的做法、经验和实质性问题。应当强调的是，2022年7月，产权组织成员国决定最迟在2024年召开一次外交会议，缔结一项</w:t>
      </w:r>
      <w:r w:rsidRPr="003A07B5">
        <w:rPr>
          <w:rFonts w:ascii="KaiTi" w:eastAsia="KaiTi" w:hAnsi="KaiTi" w:hint="eastAsia"/>
          <w:sz w:val="21"/>
          <w:szCs w:val="21"/>
        </w:rPr>
        <w:t>关于知识产权、遗传资源和遗传资源相关传统知识的国际法律文书</w:t>
      </w:r>
      <w:r w:rsidRPr="003A07B5">
        <w:rPr>
          <w:rFonts w:asciiTheme="minorEastAsia" w:eastAsiaTheme="minorEastAsia" w:hAnsiTheme="minorEastAsia" w:hint="eastAsia"/>
          <w:sz w:val="21"/>
          <w:szCs w:val="21"/>
        </w:rPr>
        <w:t>。完成政府间委员会谈判是发展议程建议18的主题。</w:t>
      </w:r>
    </w:p>
    <w:p w14:paraId="0253DE6B" w14:textId="77777777"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A07B5">
        <w:rPr>
          <w:rFonts w:asciiTheme="minorEastAsia" w:eastAsiaTheme="minorEastAsia" w:hAnsiTheme="minorEastAsia" w:hint="eastAsia"/>
          <w:sz w:val="21"/>
          <w:szCs w:val="21"/>
        </w:rPr>
        <w:t>执法咨询委员会第十五届会议于2022年8月31日至9月2日举行。根据发展议程建议45，委员会继续在更广泛的社会利益，特别是发展导向的关切背景下处理执法问题。这反映在执法咨询委员会第十五届会议的工作计划中，具体来说：(i)提高认识，特别是与青年有关的认识；(ii)有关知识产权执法政策和体制的制度性安排；(iii)产权组织的立法援助；以及(iv)产权组织的能力建设活动和对培训活动的支持。本届会议有31位专家发言，并组织了3场有主持人的小组讨论。除此之外，ACE影院还放映了50部政府和私营部门各种活动中的反盗版和反假冒宣传视频。</w:t>
      </w:r>
    </w:p>
    <w:p w14:paraId="66886F4F" w14:textId="77777777" w:rsidR="00E733EF" w:rsidRDefault="00191652">
      <w:pPr>
        <w:pStyle w:val="Heading2"/>
        <w:spacing w:before="0" w:after="240"/>
        <w:jc w:val="both"/>
        <w:rPr>
          <w:b/>
          <w:bCs w:val="0"/>
        </w:rPr>
      </w:pPr>
      <w:r>
        <w:rPr>
          <w:rFonts w:hint="eastAsia"/>
          <w:b/>
          <w:bCs w:val="0"/>
        </w:rPr>
        <w:t>已被纳入主流的发展议程项目</w:t>
      </w:r>
    </w:p>
    <w:p w14:paraId="1B230BA3"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知识产权与竞争政策：</w:t>
      </w:r>
      <w:r w:rsidRPr="00905F05">
        <w:rPr>
          <w:rStyle w:val="FootnoteReference"/>
          <w:rFonts w:asciiTheme="minorEastAsia" w:eastAsiaTheme="minorEastAsia" w:hAnsiTheme="minorEastAsia"/>
          <w:sz w:val="21"/>
          <w:szCs w:val="21"/>
        </w:rPr>
        <w:footnoteReference w:id="127"/>
      </w:r>
      <w:r w:rsidRPr="00905F05">
        <w:rPr>
          <w:rFonts w:asciiTheme="minorEastAsia" w:eastAsiaTheme="minorEastAsia" w:hAnsiTheme="minorEastAsia" w:hint="eastAsia"/>
          <w:sz w:val="21"/>
          <w:szCs w:val="21"/>
        </w:rPr>
        <w:t>根据发展议程建议7、23、32，工作重心仍然是监测发展中国家和新兴经济体的知识产权和竞争判例法。产权组织加强了其在国际竞争网络中的参与，特别是单边行为工作组，促进了与知识产权相关的竞争问题的讨论，并将知识产权利于竞争的观点带入了竞争机构团体。在本报告所述期间，与经济合作与发展组织（经合组织）一起开始筹备工作，以制定关于将竞争法适用于知识产权相关案件的新准则。产权组织还编写了一份关于</w:t>
      </w:r>
      <w:r w:rsidRPr="00905F05">
        <w:rPr>
          <w:rFonts w:ascii="KaiTi" w:eastAsia="KaiTi" w:hAnsi="KaiTi" w:hint="eastAsia"/>
          <w:sz w:val="21"/>
          <w:szCs w:val="21"/>
        </w:rPr>
        <w:t>“知识产权、数字平台和竞争”</w:t>
      </w:r>
      <w:r w:rsidRPr="00905F05">
        <w:rPr>
          <w:rFonts w:asciiTheme="minorEastAsia" w:eastAsiaTheme="minorEastAsia" w:hAnsiTheme="minorEastAsia" w:hint="eastAsia"/>
          <w:sz w:val="21"/>
          <w:szCs w:val="21"/>
        </w:rPr>
        <w:t>的简短报告，并开始就知识产权、竞争和可持续性开展工作。</w:t>
      </w:r>
      <w:r w:rsidRPr="00905F05">
        <w:rPr>
          <w:rStyle w:val="FootnoteReference"/>
          <w:rFonts w:asciiTheme="minorEastAsia" w:eastAsiaTheme="minorEastAsia" w:hAnsiTheme="minorEastAsia"/>
          <w:sz w:val="21"/>
          <w:szCs w:val="21"/>
        </w:rPr>
        <w:footnoteReference w:id="128"/>
      </w:r>
      <w:r w:rsidRPr="00905F05">
        <w:rPr>
          <w:rFonts w:asciiTheme="minorEastAsia" w:eastAsiaTheme="minorEastAsia" w:hAnsiTheme="minorEastAsia" w:hint="eastAsia"/>
          <w:sz w:val="21"/>
          <w:szCs w:val="21"/>
        </w:rPr>
        <w:t>此外，不公平竞争项目的第一阶段已经完成。该项目旨在开发一个可以支持国家机构更好地处理知识产权相关行为的工具包。</w:t>
      </w:r>
      <w:r w:rsidRPr="00905F05">
        <w:rPr>
          <w:rStyle w:val="FootnoteReference"/>
          <w:rFonts w:asciiTheme="minorEastAsia" w:eastAsiaTheme="minorEastAsia" w:hAnsiTheme="minorEastAsia"/>
          <w:sz w:val="21"/>
          <w:szCs w:val="21"/>
        </w:rPr>
        <w:footnoteReference w:id="129"/>
      </w:r>
    </w:p>
    <w:p w14:paraId="44F5C276" w14:textId="77777777" w:rsidR="00E733EF" w:rsidRPr="00905F05" w:rsidRDefault="00191652" w:rsidP="00905F05">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905F05">
        <w:rPr>
          <w:rFonts w:ascii="SimHei" w:eastAsia="SimHei" w:hAnsi="SimHei" w:hint="eastAsia"/>
          <w:b w:val="0"/>
          <w:sz w:val="21"/>
          <w:szCs w:val="21"/>
        </w:rPr>
        <w:t>知识产权和创新生态系统部门</w:t>
      </w:r>
    </w:p>
    <w:p w14:paraId="233213F1"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sz w:val="21"/>
          <w:szCs w:val="21"/>
        </w:rPr>
      </w:pPr>
      <w:r w:rsidRPr="00905F05">
        <w:rPr>
          <w:rFonts w:hint="eastAsia"/>
          <w:sz w:val="21"/>
          <w:szCs w:val="21"/>
        </w:rPr>
        <w:t>知识产权和创新生态系统部门继续向成员国提供支持，建设有利于经济增长的生态系统。该部门采取了一种雄心勃勃的工作方法，除了关注知识产权监管和注册事务之外，还重点关注知识产权管理和商业化问题。这是通过本部门的独特结构实现的，该部门</w:t>
      </w:r>
      <w:r w:rsidRPr="00905F05">
        <w:rPr>
          <w:rFonts w:hint="eastAsia"/>
          <w:color w:val="000000"/>
          <w:sz w:val="21"/>
          <w:szCs w:val="21"/>
          <w:shd w:val="clear" w:color="auto" w:fill="FFFFFF"/>
        </w:rPr>
        <w:t>将经济学和数据分析、知识产权促进企业和创新者发展，以及产权组织司法研究所和产权组织仲裁与调解中心结合在一起。在本报告所述期间，本部门利用产权组织各部门之间的协同作用，与创新生态系统中的主要合作伙伴和中介机构合作，以提供工具、资源和平台，为研究人员、创新者和企业（包括中小企业）提供支持。其他重点领域包括有关知识产权、创新和创造的经济分析和数据，为知识产权纠纷处理提供服务，为知识产权法官提供资源和教育，以及支持成员国制定国家知识产权战略和相关政策。</w:t>
      </w:r>
    </w:p>
    <w:p w14:paraId="5333CDAE"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知识产权促进企业和创新者发展</w:t>
      </w:r>
    </w:p>
    <w:p w14:paraId="056670D8"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根据发展议程建议4，该部门继续关注中小企业的需求。在这方面，产权组织知识产权诊断工具</w:t>
      </w:r>
      <w:r w:rsidRPr="00905F05">
        <w:rPr>
          <w:rStyle w:val="FootnoteReference"/>
          <w:rFonts w:asciiTheme="minorEastAsia" w:eastAsiaTheme="minorEastAsia" w:hAnsiTheme="minorEastAsia"/>
          <w:sz w:val="21"/>
          <w:szCs w:val="21"/>
        </w:rPr>
        <w:footnoteReference w:id="130"/>
      </w:r>
      <w:r w:rsidRPr="00905F05">
        <w:rPr>
          <w:rFonts w:asciiTheme="minorEastAsia" w:eastAsiaTheme="minorEastAsia" w:hAnsiTheme="minorEastAsia" w:hint="eastAsia"/>
          <w:sz w:val="21"/>
          <w:szCs w:val="21"/>
        </w:rPr>
        <w:t>继续支持企业对其知识产权资产进行自我评估。为促进其使用和提高知名度，2022年组织了40多场与知识产权诊断有关的活动，参加者超过1,500人。最终，有8,000多名用户访问了产权组织知识产权诊断的网页，该工具产生了2,000多份报告，有13个国家每年访问超过100次。为了让更广泛的受众可以使用它，产权组织知识产权诊断工具被翻译成了保加利亚语。此外，还根据有关成员国的国家法律、法规和程序情况，改编了五份企业知识产权指南。</w:t>
      </w:r>
      <w:r w:rsidRPr="00905F05">
        <w:rPr>
          <w:rStyle w:val="FootnoteReference"/>
          <w:rFonts w:asciiTheme="minorEastAsia" w:eastAsiaTheme="minorEastAsia" w:hAnsiTheme="minorEastAsia"/>
          <w:sz w:val="21"/>
          <w:szCs w:val="21"/>
        </w:rPr>
        <w:footnoteReference w:id="131"/>
      </w:r>
      <w:r w:rsidRPr="00905F05">
        <w:rPr>
          <w:rFonts w:asciiTheme="minorEastAsia" w:eastAsiaTheme="minorEastAsia" w:hAnsiTheme="minorEastAsia" w:hint="eastAsia"/>
          <w:sz w:val="21"/>
          <w:szCs w:val="21"/>
        </w:rPr>
        <w:t>同样值得注意的是，为从事可持续时装领域工作的中小型企业组织并完成了知识产权管理诊所的年度计划。此外，还采取措施来扩大合作伙伴的范围，以支持中小企业的需求。具体而言，与坦桑尼亚、南非和新加坡的中小企业支助机构签署了谅解备忘录，目的是共同实施关于中小企业知识产权的项目和计划。</w:t>
      </w:r>
    </w:p>
    <w:p w14:paraId="048B7F0E"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根据发展议程建议11，发明人援助计划（IAP）继续对资源不足的发明人和小企业进行赋能，将他们的想法转化为资产。2022年，发明人援助计划在7个成员国</w:t>
      </w:r>
      <w:r w:rsidRPr="00905F05">
        <w:rPr>
          <w:rStyle w:val="FootnoteReference"/>
          <w:rFonts w:asciiTheme="minorEastAsia" w:eastAsiaTheme="minorEastAsia" w:hAnsiTheme="minorEastAsia"/>
          <w:sz w:val="21"/>
          <w:szCs w:val="21"/>
        </w:rPr>
        <w:footnoteReference w:id="132"/>
      </w:r>
      <w:r w:rsidRPr="00905F05">
        <w:rPr>
          <w:rFonts w:asciiTheme="minorEastAsia" w:eastAsiaTheme="minorEastAsia" w:hAnsiTheme="minorEastAsia" w:hint="eastAsia"/>
          <w:sz w:val="21"/>
          <w:szCs w:val="21"/>
        </w:rPr>
        <w:t>开展，又有28名受益人在其本国和选定管辖区域的专利采购程序过程中，免费获得了经验丰富的专利专业人员的支持。自创立以来，发明人援助计划已为167名发明者提供支持，包括41项授权专利。还继续开展了一些有针对性的线上活动，重点关注提高发明人在该计划联络点所确定的领域内的技能，使450多名潜在受益人获得援助。</w:t>
      </w:r>
    </w:p>
    <w:p w14:paraId="73759D91"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在专利援助领域，专利撰写计划继续重点关注培养从业人员的实用专利撰写技能。自2016年以来，已有1</w:t>
      </w:r>
      <w:proofErr w:type="gramStart"/>
      <w:r w:rsidRPr="00905F05">
        <w:rPr>
          <w:rFonts w:asciiTheme="minorEastAsia" w:eastAsiaTheme="minorEastAsia" w:hAnsiTheme="minorEastAsia" w:hint="eastAsia"/>
          <w:sz w:val="21"/>
          <w:szCs w:val="21"/>
        </w:rPr>
        <w:t>,150多名参与者通过该计划接受培训</w:t>
      </w:r>
      <w:proofErr w:type="gramEnd"/>
      <w:r w:rsidRPr="00905F05">
        <w:rPr>
          <w:rFonts w:asciiTheme="minorEastAsia" w:eastAsiaTheme="minorEastAsia" w:hAnsiTheme="minorEastAsia" w:hint="eastAsia"/>
          <w:sz w:val="21"/>
          <w:szCs w:val="21"/>
        </w:rPr>
        <w:t>。此外，与国际知识产权律师联合会（FICPI）合作，于2022年启动了专利撰写国际培训计划的首期课程。该培训计划旨在培养新专利起草人的技能，同时建立一个支持性社区，帮助这些专业人士在八个月内成长。来自26个国家的40名学员参加了首期课程。此外，还在智利举办了一次全国研讨会。2022年还启动了企业家在线网络（EON），</w:t>
      </w:r>
      <w:r w:rsidRPr="00905F05">
        <w:rPr>
          <w:rStyle w:val="FootnoteReference"/>
          <w:rFonts w:asciiTheme="minorEastAsia" w:eastAsiaTheme="minorEastAsia" w:hAnsiTheme="minorEastAsia"/>
          <w:sz w:val="21"/>
          <w:szCs w:val="21"/>
        </w:rPr>
        <w:footnoteReference w:id="133"/>
      </w:r>
      <w:r w:rsidRPr="00905F05">
        <w:rPr>
          <w:rFonts w:asciiTheme="minorEastAsia" w:eastAsiaTheme="minorEastAsia" w:hAnsiTheme="minorEastAsia" w:hint="eastAsia"/>
          <w:sz w:val="21"/>
          <w:szCs w:val="21"/>
        </w:rPr>
        <w:t>其目的是提供针对中小企业的知识产权内容，使企业能够了解知识产权如何帮助他们实现商业目标。为了使影响最大化，企业家在线网络项目面向特定行业和企业集群。2022年在这一倡议下组织的一系列网络研讨会侧重于农业食品部门，有来自75个国家的420多名企业家和中小企业参加。</w:t>
      </w:r>
      <w:r w:rsidRPr="00905F05">
        <w:rPr>
          <w:rStyle w:val="FootnoteReference"/>
          <w:rFonts w:asciiTheme="minorEastAsia" w:eastAsiaTheme="minorEastAsia" w:hAnsiTheme="minorEastAsia"/>
          <w:sz w:val="21"/>
          <w:szCs w:val="21"/>
        </w:rPr>
        <w:footnoteReference w:id="134"/>
      </w:r>
      <w:r w:rsidRPr="00905F05">
        <w:rPr>
          <w:rFonts w:asciiTheme="minorEastAsia" w:eastAsiaTheme="minorEastAsia" w:hAnsiTheme="minorEastAsia" w:hint="eastAsia"/>
          <w:sz w:val="21"/>
          <w:szCs w:val="21"/>
        </w:rPr>
        <w:t>还值得注意的是，在本报告所述期间，产权组织继续与太平洋联盟开展合作，以开发一个关于知识产权基本内容的定制工具包。该工具包将以商业为重点，收集来自太平洋联盟、其成员国和产权组织的最佳材料。为了满足用户的具体需求，将对该工具包进行量身定制，以反映当地法律和确定中小微企业可能获得额外援助的资源。</w:t>
      </w:r>
      <w:r w:rsidRPr="00905F05">
        <w:rPr>
          <w:rStyle w:val="FootnoteReference"/>
          <w:rFonts w:asciiTheme="minorEastAsia" w:eastAsiaTheme="minorEastAsia" w:hAnsiTheme="minorEastAsia"/>
          <w:sz w:val="21"/>
          <w:szCs w:val="21"/>
        </w:rPr>
        <w:footnoteReference w:id="135"/>
      </w:r>
    </w:p>
    <w:p w14:paraId="0F8706C9"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继续建立技术与创新支持中心（TISC），目的是协助成员国发展当地创新支持和技术转让服务。TISC计划为获取专利文件和科技出版物中的技术信息提供支持，并就知识产权管理和商业化问题提供援助和咨询。截至2022年底，已建立了90个TISC国家网络，其中32个在最不发达国家，并有1</w:t>
      </w:r>
      <w:proofErr w:type="gramStart"/>
      <w:r w:rsidRPr="00905F05">
        <w:rPr>
          <w:rFonts w:asciiTheme="minorEastAsia" w:eastAsiaTheme="minorEastAsia" w:hAnsiTheme="minorEastAsia" w:hint="eastAsia"/>
          <w:sz w:val="21"/>
          <w:szCs w:val="21"/>
        </w:rPr>
        <w:t>,416个TISC被列入TISC目录</w:t>
      </w:r>
      <w:proofErr w:type="gramEnd"/>
      <w:r w:rsidRPr="00905F05">
        <w:rPr>
          <w:rFonts w:asciiTheme="minorEastAsia" w:eastAsiaTheme="minorEastAsia" w:hAnsiTheme="minorEastAsia" w:hint="eastAsia"/>
          <w:sz w:val="21"/>
          <w:szCs w:val="21"/>
        </w:rPr>
        <w:t>。</w:t>
      </w:r>
      <w:r w:rsidRPr="00905F05">
        <w:rPr>
          <w:rStyle w:val="FootnoteReference"/>
          <w:rFonts w:asciiTheme="minorEastAsia" w:eastAsiaTheme="minorEastAsia" w:hAnsiTheme="minorEastAsia"/>
          <w:sz w:val="21"/>
          <w:szCs w:val="21"/>
        </w:rPr>
        <w:footnoteReference w:id="136"/>
      </w:r>
      <w:r w:rsidRPr="00905F05">
        <w:rPr>
          <w:rFonts w:asciiTheme="minorEastAsia" w:eastAsiaTheme="minorEastAsia" w:hAnsiTheme="minorEastAsia" w:hint="eastAsia"/>
          <w:sz w:val="21"/>
          <w:szCs w:val="21"/>
        </w:rPr>
        <w:t>此外，还为非洲区域知识产权组织（ARIPO）、东南亚国家联盟（东盟）的成员国以及中美洲各国和多米尼加共和国（CATI-CARD）分别建立了三个TISC网络。在本报告所述期间，继续进行能力建设，通过22个国家TISC讲习班在线培训和3个区域会议加强TISC的影响和可持续性。还组织了关于知识产权管理、知识产权许可、知识产权估值和技术转让的</w:t>
      </w:r>
      <w:r w:rsidRPr="00905F05">
        <w:rPr>
          <w:rFonts w:ascii="KaiTi" w:eastAsia="KaiTi" w:hAnsi="KaiTi" w:hint="eastAsia"/>
          <w:sz w:val="21"/>
          <w:szCs w:val="21"/>
        </w:rPr>
        <w:t>“询问专家”</w:t>
      </w:r>
      <w:r w:rsidRPr="00905F05">
        <w:rPr>
          <w:rFonts w:asciiTheme="minorEastAsia" w:eastAsiaTheme="minorEastAsia" w:hAnsiTheme="minorEastAsia" w:hint="eastAsia"/>
          <w:sz w:val="21"/>
          <w:szCs w:val="21"/>
        </w:rPr>
        <w:t>系列专题课程，以便加大TISC服务在这些工作领域的扩展力度。</w:t>
      </w:r>
    </w:p>
    <w:p w14:paraId="3003D188"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经济学和数据分析</w:t>
      </w:r>
    </w:p>
    <w:p w14:paraId="1D8A2C98" w14:textId="0CEDD9CC"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该部门继续编写了关于知识产权性别差距和创新热点问题的发展相关研究报告，并提供了高质量的知识产权数据，以帮助决策者做出知情决策。在2022年取得的与知识产权性别差距工作相关的具体成就包括：(i)根据《世界性别人名词典2.0》，按照发明人和创作者姓名，开发一个性别归属工具；(ii)出版创新和知识产权数据性别分析的指南；(iii)与“共同发明”组织合作举办了分别侧重于欧洲和亚洲地区的第二和第三期知识产权性别差距问题系列在线研讨会；(iv)创建了关于</w:t>
      </w:r>
      <w:r w:rsidRPr="00905F05">
        <w:rPr>
          <w:rFonts w:ascii="KaiTi" w:eastAsia="KaiTi" w:hAnsi="KaiTi" w:hint="eastAsia"/>
          <w:sz w:val="21"/>
          <w:szCs w:val="21"/>
        </w:rPr>
        <w:t>“创新性别差距”</w:t>
      </w:r>
      <w:r w:rsidRPr="00905F05">
        <w:rPr>
          <w:rFonts w:asciiTheme="minorEastAsia" w:eastAsiaTheme="minorEastAsia" w:hAnsiTheme="minorEastAsia" w:hint="eastAsia"/>
          <w:sz w:val="21"/>
          <w:szCs w:val="21"/>
        </w:rPr>
        <w:t>的网页内容，</w:t>
      </w:r>
      <w:r w:rsidRPr="00905F05">
        <w:rPr>
          <w:rStyle w:val="FootnoteReference"/>
          <w:rFonts w:asciiTheme="minorEastAsia" w:eastAsiaTheme="minorEastAsia" w:hAnsiTheme="minorEastAsia"/>
          <w:sz w:val="21"/>
          <w:szCs w:val="21"/>
        </w:rPr>
        <w:footnoteReference w:id="137"/>
      </w:r>
      <w:r w:rsidRPr="00905F05">
        <w:rPr>
          <w:rFonts w:asciiTheme="minorEastAsia" w:eastAsiaTheme="minorEastAsia" w:hAnsiTheme="minorEastAsia" w:hint="eastAsia"/>
          <w:sz w:val="21"/>
          <w:szCs w:val="21"/>
        </w:rPr>
        <w:t>目的是要宣传在世界各地开展的研究工作；以及(v)招募一名研究员，进一步研究创新和知识产权性别差距问题。同时，出版了关于圣保罗（巴西）、深圳（中国）和新加坡（新加坡）等创新热点地区的三份研究报告。目前正在努力制定研究方法，以促成一系列侧重于发展中国家次国家创新单位（即热点和集群）的研究。此外，还继续提供了与全球创新指数有关的由需求推动和以发展为导向的技术咨询。</w:t>
      </w:r>
    </w:p>
    <w:p w14:paraId="44F9A6FF"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产权组织司法研究所</w:t>
      </w:r>
    </w:p>
    <w:p w14:paraId="38886898"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产权组织司法研究所继续领导产权组织的工作，为发展中国家和最不发达国家的司法机构提供支持，使其在有效裁决知识产权纠纷方面发挥重要作用。为此，以混合形式举办了2022年产权组织知识产权法官论坛</w:t>
      </w:r>
      <w:r w:rsidRPr="00905F05">
        <w:rPr>
          <w:rStyle w:val="FootnoteReference"/>
          <w:rFonts w:asciiTheme="minorEastAsia" w:eastAsiaTheme="minorEastAsia" w:hAnsiTheme="minorEastAsia"/>
          <w:sz w:val="21"/>
          <w:szCs w:val="21"/>
        </w:rPr>
        <w:footnoteReference w:id="138"/>
      </w:r>
      <w:r w:rsidRPr="00905F05">
        <w:rPr>
          <w:rFonts w:asciiTheme="minorEastAsia" w:eastAsiaTheme="minorEastAsia" w:hAnsiTheme="minorEastAsia" w:hint="eastAsia"/>
          <w:sz w:val="21"/>
          <w:szCs w:val="21"/>
        </w:rPr>
        <w:t>，来自99个国家和三个地区法院的381名法官参加了论坛。此外，还组织了两期法官网络研讨会系列，就专利和商业秘密中的人工智能发明权进行了法学交流。值得注意的是，参加论坛和网络研讨会的法官中，有三分之二以上来自发展中国家和最不发达国家。还继续与司法机关和其他有关当局密切合作，根据发展议程建议，为增加法官的知识产权知识和提高相关技能，提供有针对性的能力建设支持。根据收到的请求，产权组织为四个成员国的司法教育计划提供了支持。</w:t>
      </w:r>
      <w:r w:rsidRPr="00905F05">
        <w:rPr>
          <w:rStyle w:val="FootnoteReference"/>
          <w:rFonts w:asciiTheme="minorEastAsia" w:eastAsiaTheme="minorEastAsia" w:hAnsiTheme="minorEastAsia"/>
          <w:sz w:val="21"/>
          <w:szCs w:val="21"/>
        </w:rPr>
        <w:footnoteReference w:id="139"/>
      </w:r>
      <w:r w:rsidRPr="00905F05">
        <w:rPr>
          <w:rFonts w:asciiTheme="minorEastAsia" w:eastAsiaTheme="minorEastAsia" w:hAnsiTheme="minorEastAsia" w:hint="eastAsia"/>
          <w:sz w:val="21"/>
          <w:szCs w:val="21"/>
        </w:rPr>
        <w:t>此外，还在非洲、波罗的海地区、拉丁美洲和葡语国家提供了区域和次区域司法培训。在本报告所述期间，采取了一些措施来</w:t>
      </w:r>
      <w:r w:rsidRPr="00905F05">
        <w:rPr>
          <w:rStyle w:val="null"/>
          <w:rFonts w:asciiTheme="minorEastAsia" w:eastAsiaTheme="minorEastAsia" w:hAnsiTheme="minorEastAsia" w:hint="eastAsia"/>
          <w:sz w:val="21"/>
          <w:szCs w:val="21"/>
        </w:rPr>
        <w:t>加强WIPO Lex。</w:t>
      </w:r>
      <w:r w:rsidRPr="00905F05">
        <w:rPr>
          <w:rStyle w:val="FootnoteReference"/>
          <w:rFonts w:asciiTheme="minorEastAsia" w:eastAsiaTheme="minorEastAsia" w:hAnsiTheme="minorEastAsia"/>
          <w:sz w:val="21"/>
          <w:szCs w:val="21"/>
        </w:rPr>
        <w:footnoteReference w:id="140"/>
      </w:r>
      <w:r w:rsidRPr="00905F05">
        <w:rPr>
          <w:rFonts w:asciiTheme="minorEastAsia" w:eastAsiaTheme="minorEastAsia" w:hAnsiTheme="minorEastAsia" w:hint="eastAsia"/>
          <w:color w:val="212121"/>
          <w:sz w:val="21"/>
          <w:szCs w:val="21"/>
        </w:rPr>
        <w:t>WIPO Lex的法律、条约和判决集继续提供网上最全面、最权威和最可靠的知识产权法律信息来源。2022年，WIPO Lex增加了72个国家的348部新法律。截至2022年底，该数据库包含17,000多部法律，涵盖200个司法管辖区的国家知识产权和知识产权相关立法，以及772部知识产权条约，包括26部产权组织管理的条约。</w:t>
      </w:r>
      <w:r w:rsidRPr="00905F05">
        <w:rPr>
          <w:rFonts w:asciiTheme="minorEastAsia" w:eastAsiaTheme="minorEastAsia" w:hAnsiTheme="minorEastAsia" w:hint="eastAsia"/>
          <w:sz w:val="21"/>
          <w:szCs w:val="21"/>
        </w:rPr>
        <w:t>WIPO Lex</w:t>
      </w:r>
      <w:r w:rsidRPr="00905F05">
        <w:rPr>
          <w:rStyle w:val="null"/>
          <w:rFonts w:asciiTheme="minorEastAsia" w:eastAsiaTheme="minorEastAsia" w:hAnsiTheme="minorEastAsia" w:hint="eastAsia"/>
          <w:sz w:val="21"/>
          <w:szCs w:val="21"/>
        </w:rPr>
        <w:t>判决集扩大到包括另外四个成员国的主要知识产权判决，</w:t>
      </w:r>
      <w:r w:rsidRPr="00905F05">
        <w:rPr>
          <w:rStyle w:val="FootnoteReference"/>
          <w:rFonts w:asciiTheme="minorEastAsia" w:eastAsiaTheme="minorEastAsia" w:hAnsiTheme="minorEastAsia"/>
          <w:sz w:val="21"/>
          <w:szCs w:val="21"/>
        </w:rPr>
        <w:footnoteReference w:id="141"/>
      </w:r>
      <w:r w:rsidRPr="00905F05">
        <w:rPr>
          <w:rStyle w:val="null"/>
          <w:rFonts w:asciiTheme="minorEastAsia" w:eastAsiaTheme="minorEastAsia" w:hAnsiTheme="minorEastAsia" w:hint="eastAsia"/>
          <w:sz w:val="21"/>
          <w:szCs w:val="21"/>
        </w:rPr>
        <w:t>使其覆盖范围增加到28个管辖区域。</w:t>
      </w:r>
    </w:p>
    <w:p w14:paraId="37D92C31" w14:textId="77777777" w:rsidR="00E733EF" w:rsidRPr="007C66F9" w:rsidRDefault="00191652" w:rsidP="007C66F9">
      <w:pPr>
        <w:pStyle w:val="Heading2"/>
        <w:spacing w:beforeLines="100" w:afterLines="100" w:after="240" w:line="340" w:lineRule="atLeast"/>
        <w:jc w:val="both"/>
        <w:rPr>
          <w:b/>
          <w:bCs w:val="0"/>
          <w:sz w:val="21"/>
          <w:szCs w:val="21"/>
        </w:rPr>
      </w:pPr>
      <w:r w:rsidRPr="007C66F9">
        <w:rPr>
          <w:rFonts w:hint="eastAsia"/>
          <w:b/>
          <w:bCs w:val="0"/>
          <w:sz w:val="21"/>
          <w:szCs w:val="21"/>
        </w:rPr>
        <w:t>已被纳入主流的发展议程项目</w:t>
      </w:r>
    </w:p>
    <w:p w14:paraId="218120E7" w14:textId="77777777" w:rsidR="00E733EF" w:rsidRPr="007C66F9" w:rsidRDefault="00191652" w:rsidP="007C66F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C66F9">
        <w:rPr>
          <w:rFonts w:asciiTheme="minorEastAsia" w:eastAsiaTheme="minorEastAsia" w:hAnsiTheme="minorEastAsia" w:hint="eastAsia"/>
          <w:sz w:val="21"/>
          <w:szCs w:val="21"/>
        </w:rPr>
        <w:t>以下是在2022年期间开展的与已被纳入主流的发展议程项目相关的主要工作：</w:t>
      </w:r>
    </w:p>
    <w:p w14:paraId="71D8143C" w14:textId="77777777"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bCs/>
          <w:i/>
          <w:sz w:val="21"/>
          <w:szCs w:val="21"/>
        </w:rPr>
      </w:pPr>
      <w:r w:rsidRPr="00855D5E">
        <w:rPr>
          <w:rFonts w:ascii="KaiTi" w:eastAsia="KaiTi" w:hAnsi="KaiTi" w:hint="eastAsia"/>
          <w:bCs/>
          <w:iCs/>
          <w:sz w:val="21"/>
          <w:szCs w:val="21"/>
        </w:rPr>
        <w:t>专业数据库接入和支持：</w:t>
      </w:r>
      <w:r w:rsidRPr="007C66F9">
        <w:rPr>
          <w:rFonts w:asciiTheme="minorEastAsia" w:eastAsiaTheme="minorEastAsia" w:hAnsiTheme="minorEastAsia" w:hint="eastAsia"/>
          <w:sz w:val="21"/>
          <w:szCs w:val="21"/>
        </w:rPr>
        <w:t>关于知识产权权利、专利信息、专利检索策略和技术以及技术数</w:t>
      </w:r>
      <w:r w:rsidRPr="007C66F9">
        <w:rPr>
          <w:rFonts w:asciiTheme="minorEastAsia" w:eastAsiaTheme="minorEastAsia" w:hAnsiTheme="minorEastAsia" w:hint="eastAsia"/>
          <w:spacing w:val="-20"/>
          <w:sz w:val="21"/>
          <w:szCs w:val="21"/>
        </w:rPr>
        <w:t>据库的培训和宣传活动已被纳入向TIS及其利益攸关方提供的正常活动的主流。通过三次</w:t>
      </w:r>
      <w:r w:rsidRPr="007C66F9">
        <w:rPr>
          <w:rFonts w:asciiTheme="minorEastAsia" w:eastAsiaTheme="minorEastAsia" w:hAnsiTheme="minorEastAsia"/>
          <w:sz w:val="21"/>
          <w:szCs w:val="21"/>
          <w:vertAlign w:val="superscript"/>
        </w:rPr>
        <w:footnoteReference w:id="142"/>
      </w:r>
      <w:r w:rsidRPr="007C66F9">
        <w:rPr>
          <w:rFonts w:asciiTheme="minorEastAsia" w:eastAsiaTheme="minorEastAsia" w:hAnsiTheme="minorEastAsia" w:hint="eastAsia"/>
          <w:sz w:val="21"/>
          <w:szCs w:val="21"/>
        </w:rPr>
        <w:t>地区会议以及eTISC知识共享平台，促进了TISC之间的经验和最佳做法交流，截至2022年底，eTISC知识共享平台的注册成员已近1,000个。此外，WIPO INSPIRE平台</w:t>
      </w:r>
      <w:r w:rsidRPr="007C66F9">
        <w:rPr>
          <w:rStyle w:val="FootnoteReference"/>
          <w:rFonts w:asciiTheme="minorEastAsia" w:eastAsiaTheme="minorEastAsia" w:hAnsiTheme="minorEastAsia"/>
          <w:sz w:val="21"/>
          <w:szCs w:val="21"/>
        </w:rPr>
        <w:footnoteReference w:id="143"/>
      </w:r>
      <w:r w:rsidRPr="007C66F9">
        <w:rPr>
          <w:rFonts w:asciiTheme="minorEastAsia" w:eastAsiaTheme="minorEastAsia" w:hAnsiTheme="minorEastAsia" w:hint="eastAsia"/>
          <w:sz w:val="21"/>
          <w:szCs w:val="21"/>
        </w:rPr>
        <w:t>内的专利数据库报告门户网站</w:t>
      </w:r>
      <w:r w:rsidRPr="007C66F9">
        <w:rPr>
          <w:rStyle w:val="FootnoteReference"/>
          <w:rFonts w:asciiTheme="minorEastAsia" w:eastAsiaTheme="minorEastAsia" w:hAnsiTheme="minorEastAsia"/>
          <w:sz w:val="21"/>
          <w:szCs w:val="21"/>
        </w:rPr>
        <w:footnoteReference w:id="144"/>
      </w:r>
      <w:r w:rsidRPr="007C66F9">
        <w:rPr>
          <w:rFonts w:asciiTheme="minorEastAsia" w:eastAsiaTheme="minorEastAsia" w:hAnsiTheme="minorEastAsia" w:hint="eastAsia"/>
          <w:sz w:val="21"/>
          <w:szCs w:val="21"/>
        </w:rPr>
        <w:t>继续提供关于各种专利数据库的内容和特点的详细报告。截至2022年，该门户网站上的此类报告数量达到41份。这有助于进一步促进落实发展议程建议19、30和31。根据发展议程建议5、8、19、30和31，还采取措施以促进获取与TISC有关的信息。具体而言，截至2022年底，TISC名录包括1,416个TISC提供的联系信息和服务信息。TISC网页</w:t>
      </w:r>
      <w:r w:rsidRPr="007C66F9">
        <w:rPr>
          <w:rStyle w:val="FootnoteReference"/>
          <w:rFonts w:asciiTheme="minorEastAsia" w:eastAsiaTheme="minorEastAsia" w:hAnsiTheme="minorEastAsia"/>
          <w:sz w:val="21"/>
          <w:szCs w:val="21"/>
        </w:rPr>
        <w:footnoteReference w:id="145"/>
      </w:r>
      <w:r w:rsidRPr="007C66F9">
        <w:rPr>
          <w:rFonts w:asciiTheme="minorEastAsia" w:eastAsiaTheme="minorEastAsia" w:hAnsiTheme="minorEastAsia" w:hint="eastAsia"/>
          <w:sz w:val="21"/>
          <w:szCs w:val="21"/>
        </w:rPr>
        <w:t>进一步提供了关于各种资源的信息，以支持知识的增加和技能的培养，而eTISC</w:t>
      </w:r>
      <w:r w:rsidRPr="007C66F9">
        <w:rPr>
          <w:rStyle w:val="FootnoteReference"/>
          <w:rFonts w:asciiTheme="minorEastAsia" w:eastAsiaTheme="minorEastAsia" w:hAnsiTheme="minorEastAsia"/>
          <w:sz w:val="21"/>
          <w:szCs w:val="21"/>
        </w:rPr>
        <w:footnoteReference w:id="146"/>
      </w:r>
      <w:r w:rsidRPr="007C66F9">
        <w:rPr>
          <w:rFonts w:asciiTheme="minorEastAsia" w:eastAsiaTheme="minorEastAsia" w:hAnsiTheme="minorEastAsia" w:hint="eastAsia"/>
          <w:sz w:val="21"/>
          <w:szCs w:val="21"/>
        </w:rPr>
        <w:t>作为一个社会和知识平台，分享TISC工作人员和专家在讨论组或专门议题聊天中的信息。2022年</w:t>
      </w:r>
      <w:r w:rsidRPr="007C66F9">
        <w:rPr>
          <w:rStyle w:val="FootnoteReference"/>
          <w:rFonts w:asciiTheme="minorEastAsia" w:eastAsiaTheme="minorEastAsia" w:hAnsiTheme="minorEastAsia"/>
          <w:sz w:val="21"/>
          <w:szCs w:val="21"/>
        </w:rPr>
        <w:footnoteReference w:id="147"/>
      </w:r>
      <w:r w:rsidRPr="007C66F9">
        <w:rPr>
          <w:rFonts w:asciiTheme="minorEastAsia" w:eastAsiaTheme="minorEastAsia" w:hAnsiTheme="minorEastAsia" w:hint="eastAsia"/>
          <w:sz w:val="21"/>
          <w:szCs w:val="21"/>
        </w:rPr>
        <w:t>开发了一个新的TISC项目和绩效管理（TPPM）平台</w:t>
      </w:r>
      <w:r w:rsidRPr="007C66F9">
        <w:rPr>
          <w:rStyle w:val="FootnoteReference"/>
          <w:rFonts w:asciiTheme="minorEastAsia" w:eastAsiaTheme="minorEastAsia" w:hAnsiTheme="minorEastAsia"/>
          <w:sz w:val="21"/>
          <w:szCs w:val="21"/>
        </w:rPr>
        <w:footnoteReference w:id="148"/>
      </w:r>
      <w:r w:rsidRPr="007C66F9">
        <w:rPr>
          <w:rFonts w:asciiTheme="minorEastAsia" w:eastAsiaTheme="minorEastAsia" w:hAnsiTheme="minorEastAsia" w:hint="eastAsia"/>
          <w:sz w:val="21"/>
          <w:szCs w:val="21"/>
        </w:rPr>
        <w:t>可以监测TISC国家项目绩效报告和数据。此外，产权组织的</w:t>
      </w:r>
      <w:r w:rsidRPr="00855D5E">
        <w:rPr>
          <w:rFonts w:ascii="KaiTi" w:eastAsia="KaiTi" w:hAnsi="KaiTi" w:hint="eastAsia"/>
          <w:sz w:val="21"/>
          <w:szCs w:val="21"/>
        </w:rPr>
        <w:t>“获得研究成果，促进发展创新”（ARDI）</w:t>
      </w:r>
      <w:r w:rsidRPr="007C66F9">
        <w:rPr>
          <w:rFonts w:asciiTheme="minorEastAsia" w:eastAsiaTheme="minorEastAsia" w:hAnsiTheme="minorEastAsia" w:hint="eastAsia"/>
          <w:sz w:val="21"/>
          <w:szCs w:val="21"/>
        </w:rPr>
        <w:t>和</w:t>
      </w:r>
      <w:r w:rsidRPr="00855D5E">
        <w:rPr>
          <w:rFonts w:ascii="KaiTi" w:eastAsia="KaiTi" w:hAnsi="KaiTi" w:hint="eastAsia"/>
          <w:sz w:val="21"/>
          <w:szCs w:val="21"/>
        </w:rPr>
        <w:t>“专业专利信息获取”（ASPI）</w:t>
      </w:r>
      <w:r w:rsidRPr="007C66F9">
        <w:rPr>
          <w:rFonts w:asciiTheme="minorEastAsia" w:eastAsiaTheme="minorEastAsia" w:hAnsiTheme="minorEastAsia" w:hint="eastAsia"/>
          <w:sz w:val="21"/>
          <w:szCs w:val="21"/>
        </w:rPr>
        <w:t>计划继续为落实发展议程建议8做出贡献。ARDI在2022年提供免费或低价使用60,000多个经过同行评议的学术和专业内容，其中包括经过同行评议的期刊、书籍和其他资源。该计划也是Research4Life（R4L）计划的合作伙伴，与世界卫生组织（世卫组织）、粮食及农业组织（粮农组织）、国际劳工组织（劳工组织）和联合国环境规划署（环境署）所管理的各项计划类似，提供各自专业领域的内容。该计划向11,000多个注册机构提供五个相关的联合国机构计划中的198,000多个资源，这些机构可以使用所有R4L计划。ASPI计划提供免费或低成本使用九个领先专利数据库提供者提供的商业专利数据库服务，这些数据库提供者为检索和分析专利文件中包含的技术信息提供了先进而复杂的工具。有69个机构在2022年积极使用了ASPI。</w:t>
      </w:r>
    </w:p>
    <w:p w14:paraId="20C2454B" w14:textId="08694999"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开发专利信息查询工具：</w:t>
      </w:r>
      <w:r w:rsidRPr="007C66F9">
        <w:rPr>
          <w:rFonts w:asciiTheme="minorEastAsia" w:eastAsiaTheme="minorEastAsia" w:hAnsiTheme="minorEastAsia" w:hint="eastAsia"/>
          <w:sz w:val="21"/>
          <w:szCs w:val="21"/>
        </w:rPr>
        <w:t>根据发展议程建议19、30和31，在该项目下启动了关于开展专利分析和撰写专利态势报告的工作。在此背景下，委托编写了15份关于技术的专利态势报告，特别是卫生、气候变化和环境领域技术的专利态势报告。关于COVID-19相关疫苗和治疗方法</w:t>
      </w:r>
      <w:r w:rsidRPr="007C66F9">
        <w:rPr>
          <w:rStyle w:val="FootnoteReference"/>
          <w:rFonts w:asciiTheme="minorEastAsia" w:eastAsiaTheme="minorEastAsia" w:hAnsiTheme="minorEastAsia"/>
          <w:sz w:val="21"/>
          <w:szCs w:val="21"/>
        </w:rPr>
        <w:footnoteReference w:id="149"/>
      </w:r>
      <w:r w:rsidRPr="007C66F9">
        <w:rPr>
          <w:rFonts w:asciiTheme="minorEastAsia" w:eastAsiaTheme="minorEastAsia" w:hAnsiTheme="minorEastAsia" w:hint="eastAsia"/>
          <w:sz w:val="21"/>
          <w:szCs w:val="21"/>
        </w:rPr>
        <w:t>以及运输中的氢燃料电池的专利态势报告于2022年发布。此外，一份汇编列出了其他组织提供的另外265份关于各种技术的专利态势报告。</w:t>
      </w:r>
      <w:r w:rsidRPr="007C66F9">
        <w:rPr>
          <w:rFonts w:asciiTheme="minorEastAsia" w:eastAsiaTheme="minorEastAsia" w:hAnsiTheme="minorEastAsia" w:hint="eastAsia"/>
          <w:sz w:val="21"/>
          <w:szCs w:val="21"/>
          <w:shd w:val="clear" w:color="auto" w:fill="FAFAFA"/>
        </w:rPr>
        <w:t>撰写</w:t>
      </w:r>
      <w:r w:rsidRPr="007C66F9">
        <w:rPr>
          <w:rFonts w:asciiTheme="minorEastAsia" w:eastAsiaTheme="minorEastAsia" w:hAnsiTheme="minorEastAsia" w:hint="eastAsia"/>
          <w:sz w:val="21"/>
          <w:szCs w:val="21"/>
        </w:rPr>
        <w:t>此类报告的方法指南也已在产权组织出版物</w:t>
      </w:r>
      <w:r w:rsidR="00855D5E">
        <w:rPr>
          <w:rFonts w:ascii="KaiTi" w:eastAsia="KaiTi" w:hAnsi="KaiTi" w:hint="eastAsia"/>
          <w:sz w:val="21"/>
          <w:szCs w:val="21"/>
        </w:rPr>
        <w:t>《专利态势报告编写指南》《产权组织专利分析开源工具手册》</w:t>
      </w:r>
      <w:r w:rsidRPr="00855D5E">
        <w:rPr>
          <w:rFonts w:ascii="KaiTi" w:eastAsia="KaiTi" w:hAnsi="KaiTi" w:hint="eastAsia"/>
          <w:sz w:val="21"/>
          <w:szCs w:val="21"/>
        </w:rPr>
        <w:t>《专利分析手册》</w:t>
      </w:r>
      <w:r w:rsidRPr="007C66F9">
        <w:rPr>
          <w:rFonts w:asciiTheme="minorEastAsia" w:eastAsiaTheme="minorEastAsia" w:hAnsiTheme="minorEastAsia" w:hint="eastAsia"/>
          <w:sz w:val="21"/>
          <w:szCs w:val="21"/>
        </w:rPr>
        <w:t>中正式确定，后两者将于2022年更新。在这方面，关于使用专利信息的电子教程已作为WIPO学院远程学习课程（DL-177）提供。</w:t>
      </w:r>
      <w:r w:rsidRPr="007C66F9">
        <w:rPr>
          <w:rStyle w:val="FootnoteReference"/>
          <w:rFonts w:asciiTheme="minorEastAsia" w:eastAsiaTheme="minorEastAsia" w:hAnsiTheme="minorEastAsia"/>
          <w:sz w:val="21"/>
          <w:szCs w:val="21"/>
        </w:rPr>
        <w:footnoteReference w:id="150"/>
      </w:r>
      <w:r w:rsidRPr="007C66F9">
        <w:rPr>
          <w:rFonts w:asciiTheme="minorEastAsia" w:eastAsiaTheme="minorEastAsia" w:hAnsiTheme="minorEastAsia" w:hint="eastAsia"/>
          <w:sz w:val="21"/>
          <w:szCs w:val="21"/>
        </w:rPr>
        <w:t>另外，旨在提供200多</w:t>
      </w:r>
      <w:r w:rsidRPr="007C66F9">
        <w:rPr>
          <w:rFonts w:asciiTheme="minorEastAsia" w:eastAsiaTheme="minorEastAsia" w:hAnsiTheme="minorEastAsia" w:hint="eastAsia"/>
          <w:spacing w:val="-20"/>
          <w:sz w:val="21"/>
          <w:szCs w:val="21"/>
        </w:rPr>
        <w:t>个管辖区域和专利信息库的在线专利注册、公报和法律地位相关信息的专利注册门户网站</w:t>
      </w:r>
      <w:r w:rsidRPr="007C66F9">
        <w:rPr>
          <w:rStyle w:val="FootnoteReference"/>
          <w:rFonts w:asciiTheme="minorEastAsia" w:eastAsiaTheme="minorEastAsia" w:hAnsiTheme="minorEastAsia"/>
          <w:sz w:val="21"/>
          <w:szCs w:val="21"/>
        </w:rPr>
        <w:footnoteReference w:id="151"/>
      </w:r>
      <w:r w:rsidRPr="007C66F9">
        <w:rPr>
          <w:rFonts w:asciiTheme="minorEastAsia" w:eastAsiaTheme="minorEastAsia" w:hAnsiTheme="minorEastAsia" w:hint="eastAsia"/>
          <w:sz w:val="21"/>
          <w:szCs w:val="21"/>
        </w:rPr>
        <w:t>的独立访客数量达到7,242个，其管辖区域内的pdf文档下载量达到约118,000次。</w:t>
      </w:r>
    </w:p>
    <w:p w14:paraId="12946974" w14:textId="77777777"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运用公有领域信息促进经济发展：</w:t>
      </w:r>
      <w:r w:rsidRPr="007C66F9">
        <w:rPr>
          <w:rFonts w:asciiTheme="minorEastAsia" w:eastAsiaTheme="minorEastAsia" w:hAnsiTheme="minorEastAsia" w:hint="eastAsia"/>
          <w:sz w:val="21"/>
          <w:szCs w:val="21"/>
        </w:rPr>
        <w:t>关于识别</w:t>
      </w:r>
      <w:r w:rsidRPr="007C66F9">
        <w:rPr>
          <w:rStyle w:val="FootnoteReference"/>
          <w:rFonts w:asciiTheme="minorEastAsia" w:eastAsiaTheme="minorEastAsia" w:hAnsiTheme="minorEastAsia"/>
          <w:sz w:val="21"/>
          <w:szCs w:val="21"/>
        </w:rPr>
        <w:footnoteReference w:id="152"/>
      </w:r>
      <w:r w:rsidRPr="007C66F9">
        <w:rPr>
          <w:rFonts w:asciiTheme="minorEastAsia" w:eastAsiaTheme="minorEastAsia" w:hAnsiTheme="minorEastAsia" w:hint="eastAsia"/>
          <w:sz w:val="21"/>
          <w:szCs w:val="21"/>
        </w:rPr>
        <w:t>和使用</w:t>
      </w:r>
      <w:r w:rsidRPr="007C66F9">
        <w:rPr>
          <w:rStyle w:val="FootnoteReference"/>
          <w:rFonts w:asciiTheme="minorEastAsia" w:eastAsiaTheme="minorEastAsia" w:hAnsiTheme="minorEastAsia"/>
          <w:sz w:val="21"/>
          <w:szCs w:val="21"/>
        </w:rPr>
        <w:footnoteReference w:id="153"/>
      </w:r>
      <w:r w:rsidRPr="007C66F9">
        <w:rPr>
          <w:rFonts w:asciiTheme="minorEastAsia" w:eastAsiaTheme="minorEastAsia" w:hAnsiTheme="minorEastAsia" w:hint="eastAsia"/>
          <w:sz w:val="21"/>
          <w:szCs w:val="21"/>
        </w:rPr>
        <w:t>公有领域发明的实用指南得到了一个使用公有领域发明的工具包的补充。它们为利用公有领域的发明来开发新产品和新服务提供了一套分析和决策工具。通过补充工具包和关于工具包内的工具的模块化混合电子学习方法进一步完善这些指南，是正在进行的关于</w:t>
      </w:r>
      <w:r w:rsidRPr="00855D5E">
        <w:rPr>
          <w:rFonts w:ascii="KaiTi" w:eastAsia="KaiTi" w:hAnsi="KaiTi" w:hint="eastAsia"/>
          <w:sz w:val="21"/>
          <w:szCs w:val="21"/>
        </w:rPr>
        <w:t>“识别和运用公有领域的发明”</w:t>
      </w:r>
      <w:r w:rsidRPr="007C66F9">
        <w:rPr>
          <w:rFonts w:asciiTheme="minorEastAsia" w:eastAsiaTheme="minorEastAsia" w:hAnsiTheme="minorEastAsia" w:hint="eastAsia"/>
          <w:sz w:val="21"/>
          <w:szCs w:val="21"/>
        </w:rPr>
        <w:t>的发展议程项目的一部分。</w:t>
      </w:r>
    </w:p>
    <w:p w14:paraId="169231F6" w14:textId="7A568FE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知识产权管理与技术转让：</w:t>
      </w:r>
      <w:r w:rsidRPr="00855D5E">
        <w:rPr>
          <w:rFonts w:ascii="KaiTi" w:eastAsia="KaiTi" w:hAnsi="KaiTi" w:hint="eastAsia"/>
          <w:iCs/>
          <w:sz w:val="21"/>
          <w:szCs w:val="21"/>
        </w:rPr>
        <w:t>促进发展中国家、最不发达国家和经济转型国家有效利用知识产权</w:t>
      </w:r>
      <w:r w:rsidRPr="00855D5E">
        <w:rPr>
          <w:rFonts w:ascii="KaiTi" w:eastAsia="KaiTi" w:hAnsi="KaiTi" w:hint="eastAsia"/>
          <w:sz w:val="21"/>
          <w:szCs w:val="21"/>
        </w:rPr>
        <w:t>：</w:t>
      </w:r>
      <w:r w:rsidRPr="007C66F9">
        <w:rPr>
          <w:rFonts w:asciiTheme="minorEastAsia" w:eastAsiaTheme="minorEastAsia" w:hAnsiTheme="minorEastAsia" w:hint="eastAsia"/>
          <w:sz w:val="21"/>
          <w:szCs w:val="21"/>
        </w:rPr>
        <w:t>2022年开发了评估技术转让相关领域培训需求的手册和工具包。</w:t>
      </w:r>
      <w:r w:rsidRPr="007C66F9">
        <w:rPr>
          <w:rStyle w:val="FootnoteReference"/>
          <w:rFonts w:asciiTheme="minorEastAsia" w:eastAsiaTheme="minorEastAsia" w:hAnsiTheme="minorEastAsia"/>
          <w:sz w:val="21"/>
          <w:szCs w:val="21"/>
        </w:rPr>
        <w:footnoteReference w:id="154"/>
      </w:r>
      <w:r w:rsidRPr="007C66F9">
        <w:rPr>
          <w:rFonts w:asciiTheme="minorEastAsia" w:eastAsiaTheme="minorEastAsia" w:hAnsiTheme="minorEastAsia" w:hint="eastAsia"/>
          <w:sz w:val="21"/>
          <w:szCs w:val="21"/>
        </w:rPr>
        <w:t>该手册和工具包有助于绘制创新价值链，包括知识产权的资助者、开发者、管理者和使用者以及TISC等相关支持机构及他们之间的关系，以便确定技能和能力方面的差距，并在国家层面为个人和机构设计有效的培训计划。</w:t>
      </w:r>
    </w:p>
    <w:p w14:paraId="0EF108B8" w14:textId="48F0D740"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z w:val="21"/>
          <w:szCs w:val="21"/>
        </w:rPr>
        <w:t>“知识产权与技术转让：共同挑战——共同解决”：</w:t>
      </w:r>
      <w:r w:rsidRPr="007C66F9">
        <w:rPr>
          <w:rFonts w:asciiTheme="minorEastAsia" w:eastAsiaTheme="minorEastAsia" w:hAnsiTheme="minorEastAsia" w:hint="eastAsia"/>
          <w:sz w:val="21"/>
          <w:szCs w:val="21"/>
        </w:rPr>
        <w:t>该项目的主流化工作包括阿拉伯地区的国家知识产权政策项目</w:t>
      </w:r>
      <w:r w:rsidRPr="007C66F9">
        <w:rPr>
          <w:rStyle w:val="FootnoteReference"/>
          <w:rFonts w:asciiTheme="minorEastAsia" w:eastAsiaTheme="minorEastAsia" w:hAnsiTheme="minorEastAsia"/>
          <w:sz w:val="21"/>
          <w:szCs w:val="21"/>
        </w:rPr>
        <w:footnoteReference w:id="155"/>
      </w:r>
      <w:r w:rsidRPr="007C66F9">
        <w:rPr>
          <w:rFonts w:asciiTheme="minorEastAsia" w:eastAsiaTheme="minorEastAsia" w:hAnsiTheme="minorEastAsia" w:hint="eastAsia"/>
          <w:sz w:val="21"/>
          <w:szCs w:val="21"/>
        </w:rPr>
        <w:t>——使得在埃及和约旦通过了33项机构知识产权政策，以及约旦学术机构的国家机构知识产权政策模型——为落实发展议程建议26做出了贡献。产权组织知识产权政策数据库进一步扩大，新增61项机构知识产权政策。增加了新类型的“附带文件”，如</w:t>
      </w:r>
      <w:r w:rsidRPr="00855D5E">
        <w:rPr>
          <w:rFonts w:ascii="KaiTi" w:eastAsia="KaiTi" w:hAnsi="KaiTi" w:hint="eastAsia"/>
          <w:sz w:val="21"/>
          <w:szCs w:val="21"/>
        </w:rPr>
        <w:t>“利益冲突政策”“咨询政策”“商业化政策”“子公司政策”“软件政策”“版权政策”“版权作品的使用政策”</w:t>
      </w:r>
      <w:r w:rsidRPr="007C66F9">
        <w:rPr>
          <w:rFonts w:asciiTheme="minorEastAsia" w:eastAsiaTheme="minorEastAsia" w:hAnsiTheme="minorEastAsia" w:hint="eastAsia"/>
          <w:sz w:val="21"/>
          <w:szCs w:val="21"/>
        </w:rPr>
        <w:t>。此外，产权组织技术转让网页已被翻译成产权组织所有官方语文。2022年，新网页的访问量也大幅增加。</w:t>
      </w:r>
    </w:p>
    <w:p w14:paraId="1B42A613" w14:textId="7777777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提升国家、次区域和区域知识产权机构和用户的能力：</w:t>
      </w:r>
      <w:r w:rsidRPr="007C66F9">
        <w:rPr>
          <w:rFonts w:asciiTheme="minorEastAsia" w:eastAsiaTheme="minorEastAsia" w:hAnsiTheme="minorEastAsia" w:hint="eastAsia"/>
          <w:sz w:val="21"/>
          <w:szCs w:val="21"/>
        </w:rPr>
        <w:t>产权组织在该项目下创建的制定国家知识产权战略的方法和工具已被产权组织用于向许多发展中国家和转型国家提供援助。2021年，知识产权和创新生态系统部门的任务是，提高产权组织向成员国提供专家咨询和援助的能力，以设计和实施符合其创新、创造和经济发展目标的国家知识产权战略，并支持它们努力改善其知识产权和创新生态系统。2022年，成立了一个小型的国家知识产权战略小组，作为协调中心和专门知识中心，全年与区域和国家发展部门的各地区司以及产权组织其他部门携手合作，就超过25项国家知识产权战略向成员国提供更有力的支持和咨询。在上述发展议程项目下创建的</w:t>
      </w:r>
      <w:r w:rsidRPr="00855D5E">
        <w:rPr>
          <w:rFonts w:ascii="KaiTi" w:eastAsia="KaiTi" w:hAnsi="KaiTi" w:hint="eastAsia"/>
          <w:sz w:val="21"/>
          <w:szCs w:val="21"/>
        </w:rPr>
        <w:t>产权组织国家知识产权战略制定方法</w:t>
      </w:r>
      <w:r w:rsidRPr="007C66F9">
        <w:rPr>
          <w:rStyle w:val="FootnoteReference"/>
          <w:rFonts w:asciiTheme="minorEastAsia" w:eastAsiaTheme="minorEastAsia" w:hAnsiTheme="minorEastAsia"/>
          <w:sz w:val="21"/>
          <w:szCs w:val="21"/>
        </w:rPr>
        <w:footnoteReference w:id="156"/>
      </w:r>
      <w:r w:rsidRPr="007C66F9">
        <w:rPr>
          <w:rFonts w:asciiTheme="minorEastAsia" w:eastAsiaTheme="minorEastAsia" w:hAnsiTheme="minorEastAsia" w:hint="eastAsia"/>
          <w:sz w:val="21"/>
          <w:szCs w:val="21"/>
        </w:rPr>
        <w:t>继续为支持国家知识产权战略制定过程提供一种灵活和易于定制的方法。</w:t>
      </w:r>
    </w:p>
    <w:p w14:paraId="3679953F" w14:textId="7777777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“知识产权与非正规经济”</w:t>
      </w:r>
      <w:r w:rsidRPr="007C66F9">
        <w:rPr>
          <w:rFonts w:asciiTheme="minorEastAsia" w:eastAsiaTheme="minorEastAsia" w:hAnsiTheme="minorEastAsia" w:hint="eastAsia"/>
          <w:sz w:val="21"/>
          <w:szCs w:val="21"/>
        </w:rPr>
        <w:t>项目以及与剑桥大学出版社共同出版的相应的</w:t>
      </w:r>
      <w:r w:rsidRPr="00855D5E">
        <w:rPr>
          <w:rFonts w:ascii="KaiTi" w:eastAsia="KaiTi" w:hAnsi="KaiTi" w:hint="eastAsia"/>
          <w:sz w:val="21"/>
          <w:szCs w:val="21"/>
        </w:rPr>
        <w:t>《发展中国家的非正规经济——隐形的创新引擎？》</w:t>
      </w:r>
      <w:r w:rsidRPr="007C66F9">
        <w:rPr>
          <w:rStyle w:val="FootnoteReference"/>
          <w:rFonts w:asciiTheme="minorEastAsia" w:eastAsiaTheme="minorEastAsia" w:hAnsiTheme="minorEastAsia"/>
          <w:sz w:val="21"/>
          <w:szCs w:val="21"/>
        </w:rPr>
        <w:footnoteReference w:id="157"/>
      </w:r>
      <w:r w:rsidRPr="007C66F9">
        <w:rPr>
          <w:rFonts w:asciiTheme="minorEastAsia" w:eastAsiaTheme="minorEastAsia" w:hAnsiTheme="minorEastAsia" w:hint="eastAsia"/>
          <w:sz w:val="21"/>
          <w:szCs w:val="21"/>
        </w:rPr>
        <w:t>一书继续受到政策制定者和学术界的极大关注。随着发展中经济体的创新政策和衡量方法的改进，非正规经济中的创新议题变得日益重要。该项目在概念化、衡量和政策相关性方面的贡献是独一无二的，并继续在非洲联盟和“非洲科技与创新指标”项目等政策论坛，以及在非洲国家、拉丁美洲国家和亚洲部分国家产生重大影响。国家创新指数开始更好地反映创新的这一方面。该项目的贡献还将出现在2023年出版的</w:t>
      </w:r>
      <w:r w:rsidRPr="00855D5E">
        <w:rPr>
          <w:rFonts w:ascii="KaiTi" w:eastAsia="KaiTi" w:hAnsi="KaiTi" w:hint="eastAsia"/>
          <w:sz w:val="21"/>
          <w:szCs w:val="21"/>
        </w:rPr>
        <w:t>《创新与监管手册》</w:t>
      </w:r>
      <w:r w:rsidRPr="007C66F9">
        <w:rPr>
          <w:rFonts w:asciiTheme="minorEastAsia" w:eastAsiaTheme="minorEastAsia" w:hAnsiTheme="minorEastAsia" w:hint="eastAsia"/>
          <w:sz w:val="21"/>
          <w:szCs w:val="21"/>
        </w:rPr>
        <w:t>中。</w:t>
      </w:r>
    </w:p>
    <w:p w14:paraId="70DA9C99" w14:textId="4EC87302"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pacing w:val="-20"/>
          <w:sz w:val="21"/>
          <w:szCs w:val="21"/>
        </w:rPr>
        <w:t>与发展中国家和最不发达国家司法培训机构在发展与知识产权教育和职业培训方面的合作</w:t>
      </w:r>
      <w:r w:rsidRPr="00855D5E">
        <w:rPr>
          <w:rFonts w:ascii="KaiTi" w:eastAsia="KaiTi" w:hAnsi="KaiTi" w:hint="eastAsia"/>
          <w:iCs/>
          <w:sz w:val="21"/>
          <w:szCs w:val="21"/>
        </w:rPr>
        <w:t>：</w:t>
      </w:r>
      <w:r w:rsidRPr="007C66F9">
        <w:rPr>
          <w:rStyle w:val="FootnoteReference"/>
          <w:rFonts w:asciiTheme="minorEastAsia" w:eastAsiaTheme="minorEastAsia" w:hAnsiTheme="minorEastAsia"/>
          <w:iCs/>
          <w:sz w:val="21"/>
          <w:szCs w:val="21"/>
        </w:rPr>
        <w:footnoteReference w:id="158"/>
      </w:r>
      <w:r w:rsidRPr="007C66F9">
        <w:rPr>
          <w:rFonts w:asciiTheme="minorEastAsia" w:eastAsiaTheme="minorEastAsia" w:hAnsiTheme="minorEastAsia" w:hint="eastAsia"/>
          <w:sz w:val="21"/>
          <w:szCs w:val="21"/>
        </w:rPr>
        <w:t>产权组织司法研究所与WIPO学院和产权组织其他相关工作领域合作，继续发展其服务范围，以支持国家和地区司法机构在确保平衡和有效的知识产权生态系统方面发挥作用，包括在发展中国家和最不发达国家。具体而言，该项目被纳入了由产权组织司法研究所协调的继续司法教育（CJE）计划的主流</w:t>
      </w:r>
      <w:r w:rsidRPr="007C66F9">
        <w:rPr>
          <w:rStyle w:val="FootnoteReference"/>
          <w:rFonts w:asciiTheme="minorEastAsia" w:eastAsiaTheme="minorEastAsia" w:hAnsiTheme="minorEastAsia"/>
          <w:sz w:val="21"/>
          <w:szCs w:val="21"/>
        </w:rPr>
        <w:footnoteReference w:id="159"/>
      </w:r>
      <w:r w:rsidRPr="007C66F9">
        <w:rPr>
          <w:rFonts w:asciiTheme="minorEastAsia" w:eastAsiaTheme="minorEastAsia" w:hAnsiTheme="minorEastAsia" w:hint="eastAsia"/>
          <w:sz w:val="21"/>
          <w:szCs w:val="21"/>
        </w:rPr>
        <w:t>。在为法官开设知识产权一般课程后，2022年有400多名法官参加了该课程。此外，产权组织还与四个成员国</w:t>
      </w:r>
      <w:r w:rsidRPr="007C66F9">
        <w:rPr>
          <w:rStyle w:val="FootnoteReference"/>
          <w:rFonts w:asciiTheme="minorEastAsia" w:eastAsiaTheme="minorEastAsia" w:hAnsiTheme="minorEastAsia"/>
          <w:sz w:val="21"/>
          <w:szCs w:val="21"/>
        </w:rPr>
        <w:footnoteReference w:id="160"/>
      </w:r>
      <w:r w:rsidRPr="007C66F9">
        <w:rPr>
          <w:rFonts w:asciiTheme="minorEastAsia" w:eastAsiaTheme="minorEastAsia" w:hAnsiTheme="minorEastAsia" w:hint="eastAsia"/>
          <w:sz w:val="21"/>
          <w:szCs w:val="21"/>
        </w:rPr>
        <w:t>开展了正式合作，为其司法机构成员提供定制版课</w:t>
      </w:r>
      <w:r w:rsidR="00855D5E">
        <w:rPr>
          <w:rFonts w:asciiTheme="minorEastAsia" w:eastAsiaTheme="minorEastAsia" w:hAnsiTheme="minorEastAsia" w:hint="cs"/>
          <w:sz w:val="21"/>
          <w:szCs w:val="21"/>
        </w:rPr>
        <w:t>‍</w:t>
      </w:r>
      <w:r w:rsidRPr="007C66F9">
        <w:rPr>
          <w:rFonts w:asciiTheme="minorEastAsia" w:eastAsiaTheme="minorEastAsia" w:hAnsiTheme="minorEastAsia" w:hint="eastAsia"/>
          <w:sz w:val="21"/>
          <w:szCs w:val="21"/>
        </w:rPr>
        <w:t>程。</w:t>
      </w:r>
    </w:p>
    <w:p w14:paraId="48CA5D62" w14:textId="77777777" w:rsidR="00E733EF" w:rsidRPr="00855D5E" w:rsidRDefault="00191652" w:rsidP="00855D5E">
      <w:pPr>
        <w:pStyle w:val="Heading2"/>
        <w:spacing w:beforeLines="100" w:afterLines="100" w:after="240" w:line="340" w:lineRule="atLeast"/>
        <w:jc w:val="both"/>
        <w:rPr>
          <w:b/>
          <w:bCs w:val="0"/>
          <w:sz w:val="21"/>
          <w:szCs w:val="21"/>
        </w:rPr>
      </w:pPr>
      <w:r w:rsidRPr="00855D5E">
        <w:rPr>
          <w:rFonts w:hint="eastAsia"/>
          <w:b/>
          <w:bCs w:val="0"/>
          <w:sz w:val="21"/>
          <w:szCs w:val="21"/>
        </w:rPr>
        <w:t>正在实施的发展议程项目</w:t>
      </w:r>
    </w:p>
    <w:p w14:paraId="166D6001" w14:textId="77777777" w:rsidR="00E733EF" w:rsidRPr="00855D5E" w:rsidRDefault="00191652" w:rsidP="00855D5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55D5E">
        <w:rPr>
          <w:rFonts w:asciiTheme="minorEastAsia" w:eastAsiaTheme="minorEastAsia" w:hAnsiTheme="minorEastAsia" w:hint="eastAsia"/>
          <w:sz w:val="21"/>
          <w:szCs w:val="21"/>
        </w:rPr>
        <w:t>该部门负责落实以下正在实施的发展议程项目：</w:t>
      </w:r>
    </w:p>
    <w:p w14:paraId="7D08D350" w14:textId="40A3DDDE"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加大女性在创新创业方面的作用、鼓励发展中国家女性运用知识产权制度：</w:t>
      </w:r>
      <w:r w:rsidRPr="00855D5E">
        <w:rPr>
          <w:rFonts w:asciiTheme="minorEastAsia" w:eastAsiaTheme="minorEastAsia" w:hAnsiTheme="minorEastAsia" w:hint="eastAsia"/>
          <w:sz w:val="21"/>
          <w:szCs w:val="21"/>
        </w:rPr>
        <w:t>在本报告所述期间，项目网站</w:t>
      </w:r>
      <w:r w:rsidRPr="00855D5E">
        <w:rPr>
          <w:rStyle w:val="FootnoteReference"/>
          <w:rFonts w:asciiTheme="minorEastAsia" w:eastAsiaTheme="minorEastAsia" w:hAnsiTheme="minorEastAsia"/>
          <w:sz w:val="21"/>
          <w:szCs w:val="21"/>
        </w:rPr>
        <w:footnoteReference w:id="161"/>
      </w:r>
      <w:r w:rsidRPr="00855D5E">
        <w:rPr>
          <w:rFonts w:asciiTheme="minorEastAsia" w:eastAsiaTheme="minorEastAsia" w:hAnsiTheme="minorEastAsia" w:hint="eastAsia"/>
          <w:sz w:val="21"/>
          <w:szCs w:val="21"/>
        </w:rPr>
        <w:t>上线，旨在展示项目成果。该网站还将介绍一组女性发明家的故事，她们在项目框架内制定的将创新产品推向市场的战略中使用了知识产权制度。</w:t>
      </w:r>
    </w:p>
    <w:p w14:paraId="42CFD4A8" w14:textId="77777777"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系统化统计数据并制定和实施对采用知识产权制度的影响进行评估的方法：</w:t>
      </w:r>
      <w:r w:rsidRPr="00855D5E">
        <w:rPr>
          <w:rFonts w:asciiTheme="minorEastAsia" w:eastAsiaTheme="minorEastAsia" w:hAnsiTheme="minorEastAsia" w:hint="eastAsia"/>
          <w:sz w:val="21"/>
          <w:szCs w:val="21"/>
        </w:rPr>
        <w:t>该项目于2022年1月开始实施。在本报告所述期间开展了以下活动：(i)招聘一名研究员领导项目工作；(ii)联系前两个试点国家，即萨尔瓦多和不丹；以及(iii)评估上述两个试点国家的第一批知识产权数据。</w:t>
      </w:r>
    </w:p>
    <w:p w14:paraId="3A1E197B" w14:textId="77777777"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识别和运用公有领域的发明：</w:t>
      </w:r>
      <w:r w:rsidRPr="00855D5E">
        <w:rPr>
          <w:rFonts w:asciiTheme="minorEastAsia" w:eastAsiaTheme="minorEastAsia" w:hAnsiTheme="minorEastAsia" w:hint="eastAsia"/>
          <w:spacing w:val="-20"/>
          <w:sz w:val="21"/>
          <w:szCs w:val="21"/>
        </w:rPr>
        <w:t>该项目于2022年1月开始实施。该项目包括开发一个由实</w:t>
      </w:r>
      <w:r w:rsidRPr="00855D5E">
        <w:rPr>
          <w:rFonts w:asciiTheme="minorEastAsia" w:eastAsiaTheme="minorEastAsia" w:hAnsiTheme="minorEastAsia" w:hint="eastAsia"/>
          <w:sz w:val="21"/>
          <w:szCs w:val="21"/>
        </w:rPr>
        <w:t>用工具组成的工具包，以支持</w:t>
      </w:r>
      <w:r w:rsidRPr="00182762">
        <w:rPr>
          <w:rFonts w:ascii="KaiTi" w:eastAsia="KaiTi" w:hAnsi="KaiTi" w:hint="eastAsia"/>
          <w:sz w:val="21"/>
          <w:szCs w:val="21"/>
        </w:rPr>
        <w:t>《发现公有领域的发明：发明人和企业家指南》</w:t>
      </w:r>
      <w:r w:rsidRPr="00855D5E">
        <w:rPr>
          <w:rFonts w:asciiTheme="minorEastAsia" w:eastAsiaTheme="minorEastAsia" w:hAnsiTheme="minorEastAsia" w:hint="eastAsia"/>
          <w:sz w:val="21"/>
          <w:szCs w:val="21"/>
        </w:rPr>
        <w:t>和</w:t>
      </w:r>
      <w:r w:rsidRPr="00182762">
        <w:rPr>
          <w:rFonts w:ascii="KaiTi" w:eastAsia="KaiTi" w:hAnsi="KaiTi" w:hint="eastAsia"/>
          <w:sz w:val="21"/>
          <w:szCs w:val="21"/>
        </w:rPr>
        <w:t>《运用公有领域的发明：发明人和企业家指南》</w:t>
      </w:r>
      <w:r w:rsidRPr="00855D5E">
        <w:rPr>
          <w:rFonts w:asciiTheme="minorEastAsia" w:eastAsiaTheme="minorEastAsia" w:hAnsiTheme="minorEastAsia" w:hint="eastAsia"/>
          <w:sz w:val="21"/>
          <w:szCs w:val="21"/>
        </w:rPr>
        <w:t>这两份指南中介绍的概念和程序，这两份指南以前是在已被纳入主流的关于“运用公有领域信息促进经济发展”的发展议程项目中制定的。在本报告所述期间，已经开始准备开发一个关于由上述两份指南所述工具组成的工具包的模块化混合学习虚拟培训方法。此外，还启动了培训包开发工作，其中包括《学习者指南》和模块化学习材料，以支持关于工具包的实际培训。该培训包将包括介绍关键概念和补充工具描述的解释视频，以及在教师指导的课堂或在线研讨会上进行培训模拟的资源/数据集。</w:t>
      </w:r>
    </w:p>
    <w:p w14:paraId="2FC46577" w14:textId="77777777" w:rsidR="00E733EF" w:rsidRPr="00182762" w:rsidRDefault="00191652" w:rsidP="00182762">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82762">
        <w:rPr>
          <w:rFonts w:ascii="SimHei" w:eastAsia="SimHei" w:hAnsi="SimHei" w:hint="eastAsia"/>
          <w:b w:val="0"/>
          <w:sz w:val="21"/>
          <w:szCs w:val="21"/>
        </w:rPr>
        <w:t>行政、财务和管理部门</w:t>
      </w:r>
    </w:p>
    <w:p w14:paraId="1C7561A5" w14:textId="77777777"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Theme="minorEastAsia" w:eastAsiaTheme="minorEastAsia" w:hAnsiTheme="minorEastAsia" w:hint="eastAsia"/>
          <w:sz w:val="21"/>
          <w:szCs w:val="21"/>
        </w:rPr>
        <w:t>行政、财务和管理部门继续为整个产权组织有效落实各项成果提供基础。2022年，作为跨领域主题的发展继续被纳入了产权组织所有战略目标的主流，本组织的工作与联合国可持续发展目标之间有明确的联系。</w:t>
      </w:r>
      <w:r w:rsidRPr="00182762">
        <w:rPr>
          <w:rStyle w:val="FootnoteReference"/>
          <w:rFonts w:asciiTheme="minorEastAsia" w:eastAsiaTheme="minorEastAsia" w:hAnsiTheme="minorEastAsia"/>
          <w:sz w:val="21"/>
          <w:szCs w:val="21"/>
        </w:rPr>
        <w:footnoteReference w:id="162"/>
      </w:r>
      <w:r w:rsidRPr="00182762">
        <w:rPr>
          <w:rFonts w:asciiTheme="minorEastAsia" w:eastAsiaTheme="minorEastAsia" w:hAnsiTheme="minorEastAsia" w:hint="eastAsia"/>
          <w:sz w:val="21"/>
          <w:szCs w:val="21"/>
        </w:rPr>
        <w:t>在这一年里，产权组织继续提供各种技术援助和能力建设活动，开发各种平台、数据库和伙伴关系，以帮助其成员国为利用创新和创造营造一种积极的环境。为了最大限度地切实发挥其活动对发展的影响，产权组织还开始实施影响导向的新举措，更加重视发展和对结果的问责。为此，已在2022/23年工作计划和预算中分配了财政资源。</w:t>
      </w:r>
      <w:r w:rsidRPr="00182762">
        <w:rPr>
          <w:rFonts w:asciiTheme="minorEastAsia" w:eastAsiaTheme="minorEastAsia" w:hAnsiTheme="minorEastAsia"/>
          <w:sz w:val="21"/>
          <w:szCs w:val="21"/>
          <w:vertAlign w:val="superscript"/>
        </w:rPr>
        <w:footnoteReference w:id="163"/>
      </w:r>
      <w:r w:rsidRPr="00182762">
        <w:rPr>
          <w:rFonts w:asciiTheme="minorEastAsia" w:eastAsiaTheme="minorEastAsia" w:hAnsiTheme="minorEastAsia" w:hint="eastAsia"/>
          <w:sz w:val="21"/>
          <w:szCs w:val="21"/>
        </w:rPr>
        <w:t>值得注意的是，本组织开始实施COVID19一揽子应对措施，为2022/23两年期拨款300万瑞郎。请各成员国提出请求，以便在应对COVID-19大流行和更好地建设方面获得有针对性的定制支持。</w:t>
      </w:r>
      <w:r w:rsidRPr="00182762">
        <w:rPr>
          <w:rStyle w:val="FootnoteReference"/>
          <w:rFonts w:asciiTheme="minorEastAsia" w:eastAsiaTheme="minorEastAsia" w:hAnsiTheme="minorEastAsia"/>
          <w:sz w:val="21"/>
          <w:szCs w:val="21"/>
        </w:rPr>
        <w:footnoteReference w:id="164"/>
      </w:r>
    </w:p>
    <w:p w14:paraId="5C40A624" w14:textId="77777777" w:rsidR="00E733EF" w:rsidRPr="00182762" w:rsidRDefault="00191652" w:rsidP="00182762">
      <w:pPr>
        <w:pStyle w:val="Heading2"/>
        <w:spacing w:beforeLines="100" w:afterLines="100" w:after="240" w:line="340" w:lineRule="atLeast"/>
        <w:jc w:val="both"/>
        <w:rPr>
          <w:b/>
          <w:bCs w:val="0"/>
          <w:sz w:val="21"/>
          <w:szCs w:val="21"/>
        </w:rPr>
      </w:pPr>
      <w:r w:rsidRPr="00182762">
        <w:rPr>
          <w:rFonts w:hint="eastAsia"/>
          <w:b/>
          <w:bCs w:val="0"/>
          <w:sz w:val="21"/>
          <w:szCs w:val="21"/>
        </w:rPr>
        <w:t>已被纳入主流的发展议程项目</w:t>
      </w:r>
    </w:p>
    <w:p w14:paraId="37329AB4" w14:textId="5D1D16C9"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加强产权组织注重成果的管理（RBM）框架：</w:t>
      </w:r>
      <w:r w:rsidRPr="00182762">
        <w:rPr>
          <w:rFonts w:asciiTheme="minorEastAsia" w:eastAsiaTheme="minorEastAsia" w:hAnsiTheme="minorEastAsia" w:hint="eastAsia"/>
          <w:sz w:val="21"/>
          <w:szCs w:val="21"/>
        </w:rPr>
        <w:t>该项目引发了一系列关于产权组织在CDIP框架内提供技术援助的讨论。然后，这又导致在委员会第十八届会议上通过了所谓的</w:t>
      </w:r>
      <w:r w:rsidRPr="00182762">
        <w:rPr>
          <w:rFonts w:ascii="KaiTi" w:eastAsia="KaiTi" w:hAnsi="KaiTi" w:hint="eastAsia"/>
          <w:sz w:val="21"/>
          <w:szCs w:val="21"/>
        </w:rPr>
        <w:t>西班牙提案或关于技术援助的六点提案</w:t>
      </w:r>
      <w:r w:rsidRPr="00182762">
        <w:rPr>
          <w:rFonts w:asciiTheme="minorEastAsia" w:eastAsiaTheme="minorEastAsia" w:hAnsiTheme="minorEastAsia" w:hint="eastAsia"/>
          <w:sz w:val="21"/>
          <w:szCs w:val="21"/>
        </w:rPr>
        <w:t>。该提案要求秘书处采取一系列行动，而这些行动的落实情况在提交CDIP第二十四届会议的一份报告中作了详细说明。在那届会议上，委员会决定，今后关于产权组织技术援助的讨论将在分议程项目</w:t>
      </w:r>
      <w:r w:rsidRPr="00182762">
        <w:rPr>
          <w:rFonts w:ascii="KaiTi" w:eastAsia="KaiTi" w:hAnsi="KaiTi" w:hint="eastAsia"/>
          <w:sz w:val="21"/>
          <w:szCs w:val="21"/>
        </w:rPr>
        <w:t>“产权组织合作促进发展领域的技术援助”</w:t>
      </w:r>
      <w:r w:rsidRPr="00182762">
        <w:rPr>
          <w:rFonts w:asciiTheme="minorEastAsia" w:eastAsiaTheme="minorEastAsia" w:hAnsiTheme="minorEastAsia" w:hint="eastAsia"/>
          <w:sz w:val="21"/>
          <w:szCs w:val="21"/>
        </w:rPr>
        <w:t>下继续进行。2022年，委员会在该分议程项目下继续讨论秘书处关于今后技术援助网络研讨会举办方式的提案。</w:t>
      </w:r>
      <w:r w:rsidRPr="00182762">
        <w:rPr>
          <w:rStyle w:val="FootnoteReference"/>
          <w:rFonts w:asciiTheme="minorEastAsia" w:eastAsiaTheme="minorEastAsia" w:hAnsiTheme="minorEastAsia"/>
          <w:sz w:val="21"/>
          <w:szCs w:val="21"/>
        </w:rPr>
        <w:footnoteReference w:id="165"/>
      </w:r>
      <w:r w:rsidRPr="00182762">
        <w:rPr>
          <w:rFonts w:asciiTheme="minorEastAsia" w:eastAsiaTheme="minorEastAsia" w:hAnsiTheme="minorEastAsia" w:hint="eastAsia"/>
          <w:sz w:val="21"/>
          <w:szCs w:val="21"/>
        </w:rPr>
        <w:t>委员会要求秘书处根据成员国的评论意见修订该文件，供CDIP第三十届会议审议。此外，CDIP第二十九届会议审议了</w:t>
      </w:r>
      <w:r w:rsidRPr="00182762">
        <w:rPr>
          <w:rFonts w:ascii="KaiTi" w:eastAsia="KaiTi" w:hAnsi="KaiTi" w:hint="eastAsia"/>
          <w:sz w:val="21"/>
          <w:szCs w:val="21"/>
        </w:rPr>
        <w:t>非洲集团关于对产权组织在合作促进发展领域开展的技术援助进行独立外部审查的提案</w:t>
      </w:r>
      <w:r w:rsidRPr="00182762">
        <w:rPr>
          <w:rFonts w:asciiTheme="minorEastAsia" w:eastAsiaTheme="minorEastAsia" w:hAnsiTheme="minorEastAsia" w:hint="eastAsia"/>
          <w:sz w:val="21"/>
          <w:szCs w:val="21"/>
        </w:rPr>
        <w:t>。</w:t>
      </w:r>
      <w:r w:rsidRPr="00182762">
        <w:rPr>
          <w:rStyle w:val="FootnoteReference"/>
          <w:rFonts w:asciiTheme="minorEastAsia" w:eastAsiaTheme="minorEastAsia" w:hAnsiTheme="minorEastAsia"/>
          <w:sz w:val="21"/>
          <w:szCs w:val="21"/>
        </w:rPr>
        <w:footnoteReference w:id="166"/>
      </w:r>
      <w:r w:rsidRPr="00182762">
        <w:rPr>
          <w:rFonts w:asciiTheme="minorEastAsia" w:eastAsiaTheme="minorEastAsia" w:hAnsiTheme="minorEastAsia" w:hint="eastAsia"/>
          <w:sz w:val="21"/>
          <w:szCs w:val="21"/>
        </w:rPr>
        <w:t>作为这些讨论的一个结果，以及在该提案的基础上，委员会要求秘书处编制职权范围草案，供2023年4月第三十届会议审</w:t>
      </w:r>
      <w:r w:rsidR="00182762">
        <w:rPr>
          <w:rFonts w:asciiTheme="minorEastAsia" w:eastAsiaTheme="minorEastAsia" w:hAnsiTheme="minorEastAsia" w:hint="cs"/>
          <w:sz w:val="21"/>
          <w:szCs w:val="21"/>
        </w:rPr>
        <w:t>‍</w:t>
      </w:r>
      <w:r w:rsidRPr="00182762">
        <w:rPr>
          <w:rFonts w:asciiTheme="minorEastAsia" w:eastAsiaTheme="minorEastAsia" w:hAnsiTheme="minorEastAsia" w:hint="eastAsia"/>
          <w:sz w:val="21"/>
          <w:szCs w:val="21"/>
        </w:rPr>
        <w:t>议。</w:t>
      </w:r>
    </w:p>
    <w:p w14:paraId="70CC397F" w14:textId="77777777" w:rsidR="00E733EF" w:rsidRPr="00182762" w:rsidRDefault="00191652" w:rsidP="00182762">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82762">
        <w:rPr>
          <w:rFonts w:ascii="SimHei" w:eastAsia="SimHei" w:hAnsi="SimHei" w:hint="eastAsia"/>
          <w:b w:val="0"/>
          <w:sz w:val="21"/>
          <w:szCs w:val="21"/>
        </w:rPr>
        <w:t>总干事办公室</w:t>
      </w:r>
    </w:p>
    <w:p w14:paraId="65C6B372" w14:textId="77777777"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sz w:val="21"/>
          <w:szCs w:val="21"/>
        </w:rPr>
      </w:pPr>
      <w:r w:rsidRPr="00182762">
        <w:rPr>
          <w:rFonts w:hint="eastAsia"/>
          <w:sz w:val="21"/>
          <w:szCs w:val="21"/>
        </w:rPr>
        <w:t>总干事办公室继续重点关注为产权组织的工作提供总体战略指导和协调。在此过程中，它采取了一些旨在鼓励建设动态企业文化以使产权组织工作人员能够有效、协作和创新地开展工作的政策。在本报告所述期间，特别强调了与成员国的定期进行有针对性的沟通，以传播信息和收集关于本组织活动的反馈，从而加强透明度。</w:t>
      </w:r>
    </w:p>
    <w:p w14:paraId="12DF156D"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新闻和媒体</w:t>
      </w:r>
    </w:p>
    <w:p w14:paraId="1345B77D"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在整个2022年，为提高对知识产权对促进增长和发展的重要性的认识开展了一系列活动。继续采用一种讲故事的方法来说明知识产权如何促进发展——一种“展示，而非告诉”的交流方法。制作了290多部视频，其中约90部视频展示了发展中国家的创新和创造成功故事。也通过以人为本的方法对社交媒体内容进行了定制，以突出知识产权在支持发展中国家和社区创新方面的重要性。在这一年里，产权组织的社交媒体和全球媒体迅速发展，关注人数将达到40多万，这表明全球对产权组织和利用知识产权促进国家经济增长和文化发展的兴趣日益增加。</w:t>
      </w:r>
    </w:p>
    <w:p w14:paraId="749CF56C" w14:textId="1377032E"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道德和诚信</w:t>
      </w:r>
    </w:p>
    <w:p w14:paraId="44802738" w14:textId="11809A3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产权组织道德操守办公室继续协助总干事开展工作，确保产权组织道德操守战略的设计、制定和实施能够加强产权组织业务中的诚信、遵守道德操守规则和道德行为。为了帮助产权组织人员了解他们的道德操守责任，并提升全组织的道德操守文化，已采取措施增加宣传活动。作为一项重要举措，组织了一次有约750人参加的全体会议，讨论如何支持产权组织工作人员处理与</w:t>
      </w:r>
      <w:r w:rsidRPr="00A91DBD">
        <w:rPr>
          <w:rFonts w:asciiTheme="minorEastAsia" w:eastAsiaTheme="minorEastAsia" w:hAnsiTheme="minorEastAsia" w:hint="eastAsia"/>
          <w:spacing w:val="-20"/>
          <w:sz w:val="21"/>
          <w:szCs w:val="21"/>
        </w:rPr>
        <w:t>道德操守有关的问题。此外，还就各种道德操守问题为小组和团队举办了量身定制的培训课程。</w:t>
      </w:r>
      <w:r w:rsidRPr="00A91DBD">
        <w:rPr>
          <w:rStyle w:val="FootnoteReference"/>
          <w:rFonts w:asciiTheme="minorEastAsia" w:eastAsiaTheme="minorEastAsia" w:hAnsiTheme="minorEastAsia"/>
          <w:sz w:val="21"/>
          <w:szCs w:val="21"/>
        </w:rPr>
        <w:footnoteReference w:id="167"/>
      </w:r>
      <w:r w:rsidRPr="00A91DBD">
        <w:rPr>
          <w:rFonts w:asciiTheme="minorEastAsia" w:eastAsiaTheme="minorEastAsia" w:hAnsiTheme="minorEastAsia" w:hint="eastAsia"/>
          <w:sz w:val="21"/>
          <w:szCs w:val="21"/>
        </w:rPr>
        <w:t>2022年还在产权组织成功推出了新的道德操守和诚信在线课程。该培训是产权组织所有人员的必修课程，也提醒了每位人员，特别是那些领导和指导他人的人员，在创造一个积极的工作环境方面所发挥的关键作用。同时，还继续向工作人员和其他人员提供有关道德操守问题的保密咨询和指导。具体而言，与前几年（2019-2021年）相比，咨询请求的数量增加了300%。咨询请求的数量持续增加，积极反映了教育和外联举措的影响。根据任务授权的规定，该办公室还成功地管理了2022年财务披露和利益申报计划，以协助产权组织查明和处理个人利益冲突，从而为产权组织的最佳利益减少或消除利益冲突。关于政策制定工作，在修订财务披露和防止报复政策方面取得了很大进展。</w:t>
      </w:r>
      <w:r w:rsidRPr="00A91DBD">
        <w:rPr>
          <w:rStyle w:val="FootnoteReference"/>
          <w:rFonts w:asciiTheme="minorEastAsia" w:eastAsiaTheme="minorEastAsia" w:hAnsiTheme="minorEastAsia"/>
          <w:sz w:val="21"/>
          <w:szCs w:val="21"/>
        </w:rPr>
        <w:footnoteReference w:id="168"/>
      </w:r>
      <w:r w:rsidRPr="00A91DBD">
        <w:rPr>
          <w:rFonts w:asciiTheme="minorEastAsia" w:eastAsiaTheme="minorEastAsia" w:hAnsiTheme="minorEastAsia" w:hint="eastAsia"/>
          <w:sz w:val="21"/>
          <w:szCs w:val="21"/>
        </w:rPr>
        <w:t>最后，道德操守办公室继续积极参加多边组织道德操守网络（ENMO）的工作。</w:t>
      </w:r>
      <w:r w:rsidRPr="00A91DBD">
        <w:rPr>
          <w:rStyle w:val="FootnoteReference"/>
          <w:rFonts w:asciiTheme="minorEastAsia" w:eastAsiaTheme="minorEastAsia" w:hAnsiTheme="minorEastAsia"/>
          <w:sz w:val="21"/>
          <w:szCs w:val="21"/>
        </w:rPr>
        <w:footnoteReference w:id="169"/>
      </w:r>
    </w:p>
    <w:p w14:paraId="37316FC0"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内部监督</w:t>
      </w:r>
    </w:p>
    <w:p w14:paraId="7E98E732"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内部监督倡议继续支持本组织通过加强问责制、合规性、资金效益、受托责任、内部控制和组织治理来实现其目标。具体而言，产权组织内部监督司在2022年发布了一份评价报告，其目的之一是评估和衡量产权组织在组织和管理各常设委员会方面的有效性。总体而言，成员国承认，产权组织秘书处成功地开展了支持各常设委员会的后勤和组织活动。报告还强调了产权组织秘书处可以进一步优化的程序、做法和活动，以更好地支持各常设委员会工作的筹备、管理和后续行动。评价提出的其中一项建议是，应进一步明确和协调各常设委员会的作用和程序。此外，应进一步优化产权组织秘书处的协调作用，以便在常设委员会会议之前、期间和之后更好地促进合作和交流。</w:t>
      </w:r>
    </w:p>
    <w:p w14:paraId="4AEA702F"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青年专家计划</w:t>
      </w:r>
    </w:p>
    <w:p w14:paraId="1EDEA134" w14:textId="7EFF35C8"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2022年还启动了产权组织青年专家计划（YEP），</w:t>
      </w:r>
      <w:r w:rsidRPr="00A91DBD">
        <w:rPr>
          <w:rStyle w:val="FootnoteReference"/>
          <w:rFonts w:asciiTheme="minorEastAsia" w:eastAsiaTheme="minorEastAsia" w:hAnsiTheme="minorEastAsia"/>
          <w:sz w:val="21"/>
          <w:szCs w:val="21"/>
        </w:rPr>
        <w:footnoteReference w:id="170"/>
      </w:r>
      <w:r w:rsidRPr="00A91DBD">
        <w:rPr>
          <w:rFonts w:asciiTheme="minorEastAsia" w:eastAsiaTheme="minorEastAsia" w:hAnsiTheme="minorEastAsia" w:hint="eastAsia"/>
          <w:sz w:val="21"/>
          <w:szCs w:val="21"/>
        </w:rPr>
        <w:t>该计划旨在培训下一代全球知识产权领导人，以帮助在全世界建立创新生态系统。该两年期计划由产权组织主办，旨在让具有高度潜力的青年，特别是来自发展中国家和最不发达国家以及转型国家的青年，了解知识产权的技术和政策。该计划还包括为每位青年专家提供结构化的指导计划，以及与产权组织高级领导层定期沟通联络的机会。第一批青年专家于2022年2月加入产权组织，任务期为两年。根据组织需要和优先事项以及候选人的情况和所表达的兴趣向入选的青年专家分配任务。在这一年中，入选的青年专家获得了广泛而又有凝聚力的产权组织工作体验，重点是在产权组织不同部门进行在职学习。产权组织希望青年专家能给产权组织带来新的想法和经验，并希望他们能分享本组织的价值观，对实现本组织的使命——领导制定平衡有效的国际知识产权制度——充满热情和奉献精神。第二批青年专家的申请工作已于2022年9月启动。</w:t>
      </w:r>
      <w:r w:rsidR="00A91DBD">
        <w:rPr>
          <w:rFonts w:asciiTheme="minorEastAsia" w:eastAsiaTheme="minorEastAsia" w:hAnsiTheme="minorEastAsia" w:hint="cs"/>
          <w:sz w:val="21"/>
          <w:szCs w:val="21"/>
        </w:rPr>
        <w:t>‍</w:t>
      </w:r>
      <w:r w:rsidRPr="00A91DBD">
        <w:rPr>
          <w:rStyle w:val="FootnoteReference"/>
          <w:rFonts w:asciiTheme="minorEastAsia" w:eastAsiaTheme="minorEastAsia" w:hAnsiTheme="minorEastAsia"/>
          <w:sz w:val="21"/>
          <w:szCs w:val="21"/>
        </w:rPr>
        <w:footnoteReference w:id="171"/>
      </w:r>
    </w:p>
    <w:p w14:paraId="269E556D" w14:textId="77777777" w:rsidR="00E733EF" w:rsidRPr="00A91DBD" w:rsidRDefault="00191652" w:rsidP="00A91DBD">
      <w:pPr>
        <w:pStyle w:val="Heading1"/>
        <w:overflowPunct w:val="0"/>
        <w:spacing w:beforeLines="100" w:afterLines="100" w:after="240" w:line="340" w:lineRule="atLeast"/>
        <w:jc w:val="both"/>
        <w:rPr>
          <w:rFonts w:ascii="SimHei" w:eastAsia="SimHei" w:hAnsi="SimHei"/>
          <w:b w:val="0"/>
          <w:bCs w:val="0"/>
          <w:sz w:val="21"/>
          <w:szCs w:val="21"/>
        </w:rPr>
      </w:pPr>
      <w:r w:rsidRPr="00A91DBD">
        <w:rPr>
          <w:rFonts w:ascii="SimHei" w:eastAsia="SimHei" w:hAnsi="SimHei" w:hint="eastAsia"/>
          <w:b w:val="0"/>
          <w:bCs w:val="0"/>
          <w:caps w:val="0"/>
          <w:sz w:val="21"/>
          <w:szCs w:val="21"/>
        </w:rPr>
        <w:t>结　论</w:t>
      </w:r>
    </w:p>
    <w:p w14:paraId="23400041"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2022年，本组织在产权组织《2022-2026年中期战略计划》雄心勃勃的战略背景和成员国的指导下，开启了转型之旅。CDIP坚持不懈的精神仍然是本组织为创造更美好的未来而推动创新和创造的努力的重要组成部分。通过将发展议程纳入产权组织各部门的主流，以及通过新的发展议程项目，产权组织在本报告所涉期间成功地应对了成员国当前与发展相关的需求和情况。在这一年里，特别重视扩大与产权组织接触的利益攸关方的范围，并确保采取以影响驱动的方法来促进发展。通过这些活动，本组织在成员国的支持下，努力为建立一个知识产权成为就业、投资和发展的强大催化剂的世界指明道路，支持世界各地的创新者和创造者。</w:t>
      </w:r>
    </w:p>
    <w:p w14:paraId="376ACC6E" w14:textId="77777777" w:rsidR="00E733EF" w:rsidRPr="00A91DBD" w:rsidRDefault="00191652" w:rsidP="00A91DBD">
      <w:pPr>
        <w:tabs>
          <w:tab w:val="right" w:pos="9355"/>
        </w:tabs>
        <w:spacing w:before="720" w:afterLines="50" w:after="120" w:line="340" w:lineRule="exact"/>
        <w:ind w:left="5534"/>
        <w:textAlignment w:val="bottom"/>
        <w:rPr>
          <w:rFonts w:ascii="KaiTi" w:eastAsia="KaiTi" w:hAnsi="KaiTi"/>
          <w:sz w:val="21"/>
        </w:rPr>
      </w:pPr>
      <w:r w:rsidRPr="00A91DBD">
        <w:rPr>
          <w:rFonts w:ascii="KaiTi" w:eastAsia="KaiTi" w:hAnsi="KaiTi" w:hint="eastAsia"/>
          <w:sz w:val="21"/>
        </w:rPr>
        <w:t>[后接附件一]</w:t>
      </w:r>
    </w:p>
    <w:p w14:paraId="173161FE" w14:textId="77777777" w:rsidR="00E733EF" w:rsidRDefault="00191652">
      <w:pPr>
        <w:pStyle w:val="ListParagraph"/>
        <w:spacing w:after="240"/>
        <w:ind w:left="0"/>
        <w:contextualSpacing w:val="0"/>
      </w:pPr>
      <w:r>
        <w:rPr>
          <w:rFonts w:hint="eastAsia"/>
        </w:rPr>
        <w:br w:type="page"/>
      </w:r>
    </w:p>
    <w:p w14:paraId="6D2FCA72" w14:textId="77777777" w:rsidR="00E733EF" w:rsidRDefault="00E733EF">
      <w:pPr>
        <w:pStyle w:val="ListParagraph"/>
        <w:spacing w:after="240"/>
        <w:ind w:left="0"/>
        <w:contextualSpacing w:val="0"/>
        <w:sectPr w:rsidR="00E733E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567" w:right="1134" w:bottom="1418" w:left="1418" w:header="510" w:footer="1021" w:gutter="0"/>
          <w:cols w:space="720"/>
          <w:titlePg/>
          <w:docGrid w:linePitch="299"/>
        </w:sectPr>
      </w:pPr>
    </w:p>
    <w:p w14:paraId="5D7672BF" w14:textId="7DD74773" w:rsidR="00E733EF" w:rsidRPr="00C217BA" w:rsidRDefault="00191652">
      <w:pPr>
        <w:pStyle w:val="Heading1"/>
        <w:jc w:val="center"/>
        <w:rPr>
          <w:rFonts w:ascii="SimHei" w:eastAsia="SimHei" w:hAnsi="SimHei"/>
          <w:b w:val="0"/>
          <w:bCs w:val="0"/>
          <w:sz w:val="21"/>
          <w:szCs w:val="21"/>
        </w:rPr>
      </w:pPr>
      <w:r w:rsidRPr="00C217BA">
        <w:rPr>
          <w:rFonts w:ascii="SimHei" w:eastAsia="SimHei" w:hAnsi="SimHei" w:hint="eastAsia"/>
          <w:b w:val="0"/>
          <w:bCs w:val="0"/>
          <w:sz w:val="21"/>
          <w:szCs w:val="21"/>
        </w:rPr>
        <w:t>45项发展议程建议与产权组织2022/26年预期成果的联系</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4"/>
        <w:gridCol w:w="6534"/>
      </w:tblGrid>
      <w:tr w:rsidR="00E733EF" w:rsidRPr="00C217BA" w14:paraId="7A8F8319" w14:textId="77777777">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1CE2A1"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建议1</w:t>
            </w:r>
            <w:r w:rsidRPr="00EB2221">
              <w:rPr>
                <w:rFonts w:ascii="KaiTi" w:eastAsia="KaiTi" w:hAnsi="KaiTi" w:hint="eastAsia"/>
                <w:b/>
                <w:iCs/>
                <w:sz w:val="21"/>
                <w:szCs w:val="21"/>
                <w:vertAlign w:val="superscript"/>
              </w:rPr>
              <w:t>*</w:t>
            </w:r>
            <w:r w:rsidRPr="00C217BA">
              <w:rPr>
                <w:rFonts w:ascii="KaiTi" w:eastAsia="KaiTi" w:hAnsi="KaiTi"/>
                <w:b/>
                <w:iCs/>
                <w:sz w:val="21"/>
                <w:szCs w:val="21"/>
                <w:vertAlign w:val="superscript"/>
                <w:lang w:eastAsia="en-US"/>
              </w:rPr>
              <w:footnoteReference w:id="172"/>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7784A"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与预期成果的联系</w:t>
            </w:r>
            <w:r w:rsidRPr="00C217BA">
              <w:rPr>
                <w:rFonts w:ascii="KaiTi" w:eastAsia="KaiTi" w:hAnsi="KaiTi"/>
                <w:b/>
                <w:iCs/>
                <w:sz w:val="21"/>
                <w:szCs w:val="21"/>
                <w:vertAlign w:val="superscript"/>
              </w:rPr>
              <w:footnoteReference w:id="173"/>
            </w:r>
          </w:p>
        </w:tc>
      </w:tr>
      <w:tr w:rsidR="00E733EF" w:rsidRPr="00C217BA" w14:paraId="735AAE5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4ABF"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316B1C"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2.1 兼顾各方利益的有效知识产权国际准则制定框架得到发展。</w:t>
            </w:r>
          </w:p>
          <w:p w14:paraId="7787901A"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4F12C98E"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1C1DE73"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4.2 兼顾各方利益的有效知识产权、创新和创造生态系统在成员国得到发展。</w:t>
            </w:r>
          </w:p>
          <w:p w14:paraId="03D6E57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p w14:paraId="22ECD95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4.5 为知识产权局完善知识产权基础设施。</w:t>
            </w:r>
          </w:p>
        </w:tc>
      </w:tr>
      <w:tr w:rsidR="00E733EF" w:rsidRPr="00C217BA" w14:paraId="17C67A6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EB08B"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建议2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27B138"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与预期成果的联系</w:t>
            </w:r>
          </w:p>
        </w:tc>
      </w:tr>
      <w:tr w:rsidR="00E733EF" w:rsidRPr="00C217BA" w14:paraId="040F666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278B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通过捐助国提供资金，增加WIPO提供的援助，在WIPO设立最不发达国家专项信托基金或其他自愿基金，同时继续优先重视通过预算内和预算外资源为在非洲开展活动提供资金，以尤其促进这些国家在法律、商业、文化和经济方面利用知识产权。</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7E18" w14:textId="2B068DE9"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bl>
    <w:p w14:paraId="7785AA12" w14:textId="77777777" w:rsidR="00EB2221" w:rsidRDefault="00EB2221" w:rsidP="00C217BA">
      <w:pPr>
        <w:overflowPunct w:val="0"/>
        <w:spacing w:afterLines="50" w:after="120" w:line="340" w:lineRule="atLeast"/>
        <w:rPr>
          <w:rFonts w:ascii="KaiTi" w:eastAsia="KaiTi" w:hAnsi="KaiTi"/>
          <w:b/>
          <w:iCs/>
          <w:sz w:val="21"/>
          <w:szCs w:val="21"/>
        </w:rPr>
        <w:sectPr w:rsidR="00EB2221" w:rsidSect="00EB2221">
          <w:headerReference w:type="default" r:id="rId16"/>
          <w:headerReference w:type="first" r:id="rId17"/>
          <w:endnotePr>
            <w:numFmt w:val="decimal"/>
          </w:endnotePr>
          <w:pgSz w:w="16840" w:h="11907" w:orient="landscape"/>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4"/>
        <w:gridCol w:w="6534"/>
      </w:tblGrid>
      <w:tr w:rsidR="00E733EF" w:rsidRPr="00C217BA" w14:paraId="713C346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8C88C" w14:textId="1C86B976"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建议3</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928D1B"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rsidRPr="00C217BA" w14:paraId="3558934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B23279"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增加用于WIPO技术援助计划的人力和财政拨款，以尤其弘扬面向发展的知识产权文化，并重点争取在各级不同学术机构开展知识产权教育，提高公众对知识产权的认识。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471F81"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B905FA5"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5732078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tc>
      </w:tr>
      <w:tr w:rsidR="00E733EF" w:rsidRPr="00C217BA" w14:paraId="0D4B7D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5CEBA"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建议4</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A86C32"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54F860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4E2F5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尤其重视中小企业以及从事科研和文化产业工作的各机构的需求，并根据成员国的请求，帮助其制定知识产权领域的适当国家战略。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7C1E2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002D4D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3553646B" w14:textId="595F469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5B401AC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0F2A66A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5968F"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DA18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627CE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4668" w14:textId="5EDCA23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WIPO应在其网站上介绍关于所有技术援助活动的一般信息，并根据成员国的请求，在得到有关活动所涉成员国及其他受援国同意的情况下，提供具体活动的详情。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81EA4C" w14:textId="4AFA8C4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6062E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0A53E1B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E2251"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建议6</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17423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88EE2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0709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1706F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16063E4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5.1 通过充满活力的组织文化为秘书处赋能，提供适当的资源和培训，使工作卓有成效、互相协作、有创新精神。</w:t>
            </w:r>
          </w:p>
        </w:tc>
      </w:tr>
      <w:tr w:rsidR="00E733EF" w14:paraId="66492F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966276"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建议7</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C32E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566EB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B2A63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根据发展中国家尤其是最不发达国家的请求，向其提供技术合作，推动有助于各国处理与知识产权有关的反竞争做法的各项措施，以更好地了解知识产权与竞争政策之间的关系。</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44DBC" w14:textId="3E97555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4E82B2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6CC4F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CC5FC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40634F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DB324A" w14:textId="619D3C1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请WIPO与研究机构和私营企业订立协议，以便利发展中国家尤其是最不发达国家的国家局及其区域和次区域知识产权组织，为专利检索的目的，查阅专业化数据库。</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6E4030" w14:textId="31E2FC8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0E0C1DB" w14:textId="522B806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7979E2F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w:t>
            </w:r>
          </w:p>
        </w:tc>
      </w:tr>
      <w:tr w:rsidR="00E733EF" w14:paraId="420BA64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AC9F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2C13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C11368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BC4E39" w14:textId="181D73A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请WIPO与成员国合作，建立一个数据库，为从可动用的资源中找到能满足与知识产权有关的各项具体需求的资金牵线搭桥，从而扩大其技术援助计划的范围，争取缩小数字鸿沟。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34A0CD" w14:textId="27F3EEB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6BA83A99" w14:textId="66F67E7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2FDCFE3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B1F67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66D6B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8820D"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8CC556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488F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FC1157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A4079BE" w14:textId="79B798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68B4B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F5E7B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4EBC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建议11</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05A38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631026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C355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帮助成员国加强各国保护当地创造、创新与发明的能力，并酌情根据WIPO的任务授权为发展国家科技基础设施提供支持。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129422" w14:textId="479D284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4505A8F4" w14:textId="0AFD0D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052F648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723C7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64EC9" w14:textId="39C0AFC2"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建议12</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794A4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244E2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A8A84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根据WIPO的任务授权，进一步将发展方面的考虑纳入WIPO各项实质性和技术援助活动和辩论的主流。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4C898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4C9A55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C07541" w14:textId="37DC207B"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建议13</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5F1C3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2DFF24C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D9127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WIPO的立法援助应尤其面向发展、按需求提供，并兼顾发展中国家尤其是最不发达国家的优先重点和特别需求，以及各成员国不同的发展水平；对各项活动应规定完成期限。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BAE1CC" w14:textId="21629A5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DDEF8E4" w14:textId="2304364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E342BF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37FBA" w14:textId="2711F9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建议14</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B7BF56"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1C792D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88A2B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在WIPO与WTO之间签订的协定的框架内，WIPO应向发展中国家和最不发达国家提供关于如何落实和运用TRIPS协定中的各项权利和义务以及了解和利用其中所载的灵活性方面的咨询意见。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F71441" w14:textId="103C860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5F6A292" w14:textId="350E77D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C976A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59B0E6" w14:textId="4929FEF9"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建议15</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E4637D" w14:textId="77777777"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EC3652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DA6A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准则制定活动应：</w:t>
            </w:r>
          </w:p>
          <w:p w14:paraId="0194BE75" w14:textId="5F6D0BFF"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具有包容性，并受成员国驱动；</w:t>
            </w:r>
          </w:p>
          <w:p w14:paraId="42668733" w14:textId="18778D4B"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考虑不同的发展水平；</w:t>
            </w:r>
          </w:p>
          <w:p w14:paraId="1FF4BC40" w14:textId="43C21105"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兼顾成本与利益之间的均衡；</w:t>
            </w:r>
          </w:p>
          <w:p w14:paraId="4B1190AA" w14:textId="2331077E"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成为一项参与性程序，兼顾WIPO所有成员国的利益和优先重点，并兼顾包括经认可的政府间组织和非政府组织在内的其他利益攸关者的观点；</w:t>
            </w:r>
          </w:p>
          <w:p w14:paraId="7BE7AA1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t>
            </w:r>
            <w:r w:rsidRPr="00EB2221">
              <w:rPr>
                <w:rFonts w:asciiTheme="minorEastAsia" w:eastAsiaTheme="minorEastAsia" w:hAnsiTheme="minorEastAsia" w:hint="eastAsia"/>
                <w:sz w:val="21"/>
                <w:szCs w:val="21"/>
              </w:rPr>
              <w:tab/>
              <w:t>符合WIPO秘书处保持中立的原则。</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90F191" w14:textId="0D8AD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59B70EE6" w14:textId="4609794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6A12C2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C233F" w14:textId="4DA0DC5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建议16</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0E37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866152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BC1E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在WIPO的准则制定程序中，注意保护公有领域，加深对建立丰富并易于获得的公有领域所涉的影响和利益进行的分析。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F4AC79" w14:textId="0961062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089900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482590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469279" w14:textId="2E889E1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建议17</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6E035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7996941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9F0FA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WIPO在其包括准则制定在内的各项活动中，应当顾及国际知识产权协定中所规定的灵活性，尤其是发展中国家和最不发达国家关心的灵活性。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405B12" w14:textId="40D1AE8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3F282F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69B9CD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B50AE" w14:textId="6DCAEC8A"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建议18</w:t>
            </w:r>
            <w:r w:rsidR="00EB2221"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2EA78" w14:textId="77777777"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CE66D8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0C403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促请政府间委员会（IGC）在不妨碍取得任何成果，包括可能制定一份或多份国际文书的前提下，加快保护遗传资源、传统知识和民间文学艺术的进程。</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EF2836" w14:textId="693C90D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109D128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0543B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建议19</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04863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3C9ED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DC306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开展讨论，了解如何在WIPO的任务授权范围内，进一步提供便利，帮助发展中国家和最不发达国家获取知识和技术，以鼓励创造与创新，并加强WIPO在这方面的现有的活动。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8A737A" w14:textId="11E6557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1F86E575" w14:textId="1B611B2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8F29C6E" w14:textId="5A70E87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E67EBB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085D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A14A2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6E0B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E63BA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F09CC7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提倡开展有助于在WIPO成员国建立强大的公有领域的知识产权方面的准则制定活动，包括编拟指导方针的可能性，以帮助感兴趣的成员国查明在其各自的管辖范围内已流入公有领域的主题事项。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7D6C2E" w14:textId="097393B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2AC130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81DB07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AA0D4"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建议21</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F8BA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555566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F38286" w14:textId="1821A6E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在开展任何新的准则制定活动之前，WIPO应通过成员驱动的程序，酌情开展非正式、公开和兼顾各方利益的磋商，并鼓励成员国尤其是发展中国家和最不发达国家的专家参与磋商。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48D6FD" w14:textId="5BCB39D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096C932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3E1AA0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1234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2736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357B63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45B60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WIPO的各项准则制定活动应当有助于实现联合国系统中议定的各项发展目标，包括《千年宣言》中所载的目标。</w:t>
            </w:r>
          </w:p>
          <w:p w14:paraId="58B29F4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在不损害成员国进行的审议取得任何成果的前提下，WIPO秘书处应酌情并在成员国的指示下，在其准则制定活动的工作文件中处理以下方面的一些问题：</w:t>
            </w:r>
          </w:p>
          <w:p w14:paraId="1CA78729"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(a)为国家执行知识产权规则提供保障；</w:t>
            </w:r>
          </w:p>
          <w:p w14:paraId="09D66C04" w14:textId="508515F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(b)知识产权与竞争之间的联系，</w:t>
            </w:r>
          </w:p>
          <w:p w14:paraId="512437BA"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(c)与知识产权有关的技术转让，</w:t>
            </w:r>
          </w:p>
          <w:p w14:paraId="58217873" w14:textId="77777777" w:rsidR="00E2038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(d)可能为成员国规定的灵活性、例外和限制，以及</w:t>
            </w:r>
          </w:p>
          <w:p w14:paraId="01FA85B6" w14:textId="32A3FCAE" w:rsidR="00E733EF" w:rsidRPr="00EB222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(e</w:t>
            </w:r>
            <w:proofErr w:type="gramStart"/>
            <w:r w:rsidRPr="00EB2221">
              <w:rPr>
                <w:rFonts w:asciiTheme="minorEastAsia" w:eastAsiaTheme="minorEastAsia" w:hAnsiTheme="minorEastAsia" w:hint="eastAsia"/>
                <w:sz w:val="21"/>
                <w:szCs w:val="21"/>
              </w:rPr>
              <w:t>)为发展中国家和最不发达国家增加特别规定的可能性</w:t>
            </w:r>
            <w:proofErr w:type="gramEnd"/>
            <w:r w:rsidRPr="00EB2221">
              <w:rPr>
                <w:rFonts w:asciiTheme="minorEastAsia" w:eastAsiaTheme="minorEastAsia" w:hAnsiTheme="minorEastAsia" w:hint="eastAsia"/>
                <w:sz w:val="21"/>
                <w:szCs w:val="21"/>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2E849B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164768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CFE503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82D1F4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F6B90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24C88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834E0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01A199" w14:textId="1394CE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考虑如何更好地推动有利于竞争的知识产权许可做法，以尤其鼓励创造、创新、以及向有关国家尤其是发展中国家和最不发达国家转让和传播技术。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9F629FC" w14:textId="5C6AC1C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3B595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2F101D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9B7DB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33033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301B72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4FE3A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请WIPO在不超出其权限的情况下，扩大活动范围，争取根据信息社会世界峰会（WSIS）的成果，并考虑数字团结基金（DSF）的重要意义，缩小数字鸿沟。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79FC20" w14:textId="51A21CD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5CA0A8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FF819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DC272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7417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C5F08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6F3CB3" w14:textId="5731E4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729552D" w14:textId="1BF784A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26226D31" w14:textId="063C74B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11C3B76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6BC84C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56DBE"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DFCCB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224794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F62A90" w14:textId="74A66E4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鼓励成员国尤其是发达国家敦促其研究和科技机构加强与发展中国家尤其是最不发达国家的研究与开发机构之间的合作与交流。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E8E386" w14:textId="5094F4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4F6D60B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3F66DB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4CFA4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B123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07889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05E33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18BB20" w14:textId="1D42F66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17F49790" w14:textId="6E0E289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3.2 产权组织全球知识产权体系、服务、知识和数据的生产率和服务质量得到提高。</w:t>
            </w:r>
          </w:p>
          <w:p w14:paraId="1AA5916E" w14:textId="76A29656"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将发展议程各项建议纳入产权组织工作的主流。</w:t>
            </w:r>
          </w:p>
          <w:p w14:paraId="5CC8DAA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4.5 为知识产权局完善知识产权基础设施。</w:t>
            </w:r>
          </w:p>
        </w:tc>
      </w:tr>
      <w:tr w:rsidR="00E733EF" w14:paraId="57ED254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E636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7984E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325FE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FBC02F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探讨成员国尤其是发达国家为促进向发展中国家转让和推广技术可以采取哪些与知识产权有关的扶持性政策和措施。</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F89C71" w14:textId="22718F6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F494BF5" w14:textId="2B599195"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9F3ACA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4B85E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96CCD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DCB9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3C915B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F31BB1" w14:textId="24A342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将有关知识产权相关的技术转让问题的讨论纳入WIPO的一个适当机构的任务授权中。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47B99A" w14:textId="7E4F187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63C45C47" w14:textId="3DC9751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F1500B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55B72B6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51FD8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7899F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9E9EA7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08579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WIPO应与其他政府间组织合作，根据请求向发展中国家，包括最不发达国家，提供关于如何获取和利用与知识产权相关的技术信息，尤其是请求方所特别关心的领域中的这些信息。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68E7E6" w14:textId="645D9FB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245A5EF1" w14:textId="3A19066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3CCC3CE" w14:textId="68E958E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18081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AADA3F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53FC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FDC64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9B757E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76DC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执行成员国议定的、有助于向发展中国家转让技术的各项倡议，例如请WIPO为更好地获取公开提供的专利信息提供便利。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F5B15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3913E407" w14:textId="696B5E6D"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246304A" w14:textId="16F136B5"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09A0AF4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B33A24"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CA440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1636A5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716F3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在WIPO创造机会，交流有关知识产权与竞争政策之间联系方面的国家和区域经验与信息。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DE3815" w14:textId="182993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7079C4C6" w14:textId="7B8C3EE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0A7EE6A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FE868C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24A2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32110"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7B0AF8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08B8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请WIPO建立一个有效的年度审查与评价机制，以评估其面向发展的所有活动，其中包括与技术援助有关的各项活动，并为此目的酌情制定具体的指标与基准。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526A4A" w14:textId="16C08234"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0DC4886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5.3 健全、审慎的财务管理以及有效的组织治理和监督。</w:t>
            </w:r>
          </w:p>
        </w:tc>
      </w:tr>
      <w:tr w:rsidR="00E733EF" w14:paraId="6F11885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9BF8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58B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6E544A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C27907" w14:textId="4EFDFB8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为帮助成员国制定重大的国家计划，请WIPO开展研究，了解在非正规经济部门进行知识产权保护存在哪些障碍，包括了解进行知识产权保护尤其在创造就业机会方面涉及的实际成本和利益。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D9D83D" w14:textId="6ECC1EF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F8C45DD" w14:textId="2CBCB90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360E2A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8E90D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872516"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建议35</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6B13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600BE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BBB49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请WIPO根据成员国的请求，开展新的研究，评估在这些国家中采用知识产权制度会产生哪些经济、社会和文化影响。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E00193" w14:textId="7C39EBC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1DD23B1" w14:textId="0577E54A"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BAF0FD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024144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12CB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E6BA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F9D872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2B776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交流关于人体基因组项目等开放式合作项目以及关于知识产权模式方面的经验。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80A9D2" w14:textId="3CDD941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EFF9FA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03BFC52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563B0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建议37</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287C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99904A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FAEC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根据请求并在成员国的指示下，WIPO可以开展关于知识产权保护方面的研究，以了解知识产权与发展之间的可能联系和影响。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4FC91C" w14:textId="16FFBA1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7F2D9A9" w14:textId="1750493E"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A94CD6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7C702A8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3FD1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2047D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7B189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1CD58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加强WIPO客观评估本组织各项活动对发展产生的影响方面的能力。</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37D34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20533A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F43E7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CAAE7"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F77C91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099F20" w14:textId="1653B90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请WIPO在其核心权限和任务范围内，与相关国际组织合作，协助发展中国家尤其是非洲国家开展有关人才流失问题的研究，并提出相应的建议。</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D2A6BD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4CA714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A0A6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D573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15ACA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BEA5B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E953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E2A8C7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8BF8A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06505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581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670F36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CDEFD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对WIPO目前在合作与发展领域开展的技术援助活动进行审查。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EAF20" w14:textId="57C465F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63A11A0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F5B90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6CDB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建议42</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7E1B9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2445C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C8832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加强各项措施，根据WIPO关于接纳和认可非政府组织的标准，确保广大民间社会广泛地参与WIPO的活动，并对这一问题进行不断审查。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1E3D5A" w14:textId="5ACF56A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9F14D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5402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CAEA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1FA61D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EE54F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考虑如何改进WIPO在寻找伙伴，以在透明和成员驱动的程序中，并在不损害WIPO正在进行的各项活动的前提下，资助和实施与知识产权相关的援助项目中所发挥的作用。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051ECE8" w14:textId="2C94F45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32474E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883BC3"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98CB1"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1E20D7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CBA1AD" w14:textId="07C952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8D868A" w14:textId="1A7B64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3BAD74B" w14:textId="2B62EFC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A1649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AA6E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1D99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BA116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D21A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77C2E5" w14:textId="0B70A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2.3 为树立尊重知识产权的风尚开展国际对话与合作。</w:t>
            </w:r>
          </w:p>
          <w:p w14:paraId="61A5CC23" w14:textId="0E0A327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7E8736D" w14:textId="3E578C58"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bl>
    <w:p w14:paraId="4DD801C9" w14:textId="77777777" w:rsidR="00E733EF" w:rsidRDefault="00E733EF"/>
    <w:p w14:paraId="72C948AB" w14:textId="2409E523" w:rsidR="00E733EF" w:rsidRPr="00CC281F" w:rsidRDefault="00191652" w:rsidP="00CC281F">
      <w:pPr>
        <w:pStyle w:val="Endofdocument-Annex"/>
        <w:overflowPunct w:val="0"/>
        <w:spacing w:before="720" w:afterLines="50" w:after="120" w:line="340" w:lineRule="atLeast"/>
        <w:ind w:left="8505"/>
        <w:rPr>
          <w:rFonts w:ascii="KaiTi" w:eastAsia="KaiTi" w:hAnsi="KaiTi"/>
          <w:iCs/>
          <w:sz w:val="21"/>
          <w:szCs w:val="21"/>
        </w:rPr>
      </w:pPr>
      <w:r w:rsidRPr="00CC281F">
        <w:rPr>
          <w:rFonts w:ascii="KaiTi" w:eastAsia="KaiTi" w:hAnsi="KaiTi" w:hint="eastAsia"/>
          <w:iCs/>
          <w:sz w:val="21"/>
          <w:szCs w:val="21"/>
        </w:rPr>
        <w:t>[后接附件二]</w:t>
      </w:r>
    </w:p>
    <w:p w14:paraId="2EF5C15B" w14:textId="77777777" w:rsidR="00E733EF" w:rsidRDefault="00E733EF">
      <w:pPr>
        <w:ind w:left="5533"/>
        <w:rPr>
          <w:i/>
        </w:rPr>
      </w:pPr>
    </w:p>
    <w:p w14:paraId="25079601" w14:textId="77777777" w:rsidR="00E733EF" w:rsidRDefault="00191652">
      <w:pPr>
        <w:ind w:left="5533"/>
        <w:rPr>
          <w:i/>
        </w:rPr>
      </w:pPr>
      <w:r>
        <w:rPr>
          <w:rFonts w:hint="eastAsia"/>
        </w:rPr>
        <w:br w:type="page"/>
      </w:r>
    </w:p>
    <w:p w14:paraId="0F52C111" w14:textId="77777777" w:rsidR="00E733EF" w:rsidRDefault="00E733EF">
      <w:pPr>
        <w:ind w:left="5533"/>
        <w:rPr>
          <w:i/>
        </w:rPr>
        <w:sectPr w:rsidR="00E733EF">
          <w:headerReference w:type="default" r:id="rId18"/>
          <w:headerReference w:type="first" r:id="rId19"/>
          <w:endnotePr>
            <w:numFmt w:val="decimal"/>
          </w:endnotePr>
          <w:pgSz w:w="16840" w:h="11907" w:orient="landscape"/>
          <w:pgMar w:top="1418" w:right="2440" w:bottom="1134" w:left="1418" w:header="510" w:footer="1021" w:gutter="0"/>
          <w:pgNumType w:start="2"/>
          <w:cols w:space="720"/>
          <w:docGrid w:linePitch="299"/>
        </w:sectPr>
      </w:pPr>
    </w:p>
    <w:p w14:paraId="74C561AC" w14:textId="77777777" w:rsidR="00E733EF" w:rsidRPr="00CC281F" w:rsidRDefault="00191652">
      <w:pPr>
        <w:ind w:left="142" w:hanging="142"/>
        <w:outlineLvl w:val="0"/>
        <w:rPr>
          <w:rFonts w:ascii="SimHei" w:eastAsia="SimHei" w:hAnsi="SimHei"/>
          <w:bCs/>
          <w:sz w:val="21"/>
          <w:szCs w:val="21"/>
        </w:rPr>
      </w:pPr>
      <w:r w:rsidRPr="00CC281F">
        <w:rPr>
          <w:rFonts w:ascii="SimHei" w:eastAsia="SimHei" w:hAnsi="SimHei" w:hint="eastAsia"/>
          <w:bCs/>
          <w:sz w:val="21"/>
          <w:szCs w:val="21"/>
        </w:rPr>
        <w:t>截至2022年的发展议程项目一览表</w:t>
      </w:r>
    </w:p>
    <w:p w14:paraId="5340E72D" w14:textId="77777777" w:rsidR="00E733EF" w:rsidRDefault="00E733EF">
      <w:pPr>
        <w:ind w:left="142" w:hanging="142"/>
        <w:outlineLvl w:val="0"/>
        <w:rPr>
          <w:b/>
          <w:bCs/>
          <w:szCs w:val="22"/>
        </w:rPr>
      </w:pPr>
    </w:p>
    <w:tbl>
      <w:tblPr>
        <w:tblStyle w:val="TableGrid"/>
        <w:tblW w:w="12830" w:type="dxa"/>
        <w:tblInd w:w="142" w:type="dxa"/>
        <w:tblLayout w:type="fixed"/>
        <w:tblLook w:val="04A0" w:firstRow="1" w:lastRow="0" w:firstColumn="1" w:lastColumn="0" w:noHBand="0" w:noVBand="1"/>
      </w:tblPr>
      <w:tblGrid>
        <w:gridCol w:w="814"/>
        <w:gridCol w:w="12016"/>
      </w:tblGrid>
      <w:tr w:rsidR="00E733EF" w:rsidRPr="00CC281F" w14:paraId="7C454E77" w14:textId="77777777">
        <w:tc>
          <w:tcPr>
            <w:tcW w:w="12830" w:type="dxa"/>
            <w:gridSpan w:val="2"/>
          </w:tcPr>
          <w:p w14:paraId="7BF189ED"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已完成且已经审评的发展议程项目（37个）</w:t>
            </w:r>
          </w:p>
        </w:tc>
      </w:tr>
      <w:tr w:rsidR="00E733EF" w:rsidRPr="00CC281F" w14:paraId="4ED74FF7" w14:textId="77777777">
        <w:tc>
          <w:tcPr>
            <w:tcW w:w="814" w:type="dxa"/>
          </w:tcPr>
          <w:p w14:paraId="09E037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79C67DD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“调动资源促进发展”会议</w:t>
            </w:r>
          </w:p>
        </w:tc>
      </w:tr>
      <w:tr w:rsidR="00E733EF" w:rsidRPr="00CC281F" w14:paraId="1AEC3693" w14:textId="77777777">
        <w:tc>
          <w:tcPr>
            <w:tcW w:w="814" w:type="dxa"/>
          </w:tcPr>
          <w:p w14:paraId="3523981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318D75C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知识产权技术援助数据库（IP TAD）</w:t>
            </w:r>
          </w:p>
        </w:tc>
      </w:tr>
      <w:tr w:rsidR="00E733EF" w:rsidRPr="00CC281F" w14:paraId="4AA226E3" w14:textId="77777777">
        <w:tc>
          <w:tcPr>
            <w:tcW w:w="814" w:type="dxa"/>
          </w:tcPr>
          <w:p w14:paraId="72F672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739C34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专业数据库接入和支持——第一阶段</w:t>
            </w:r>
          </w:p>
        </w:tc>
      </w:tr>
      <w:tr w:rsidR="00E733EF" w:rsidRPr="00CC281F" w14:paraId="42025E1F" w14:textId="77777777">
        <w:tc>
          <w:tcPr>
            <w:tcW w:w="814" w:type="dxa"/>
          </w:tcPr>
          <w:p w14:paraId="49BAB5E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1AE0ED7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知识产权发展资源牵线搭桥数据库（IP DMD）</w:t>
            </w:r>
          </w:p>
        </w:tc>
      </w:tr>
      <w:tr w:rsidR="00E733EF" w:rsidRPr="00CC281F" w14:paraId="53DC3550" w14:textId="77777777">
        <w:tc>
          <w:tcPr>
            <w:tcW w:w="814" w:type="dxa"/>
          </w:tcPr>
          <w:p w14:paraId="6FE1A31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3E3A0B9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w:t>
            </w:r>
          </w:p>
        </w:tc>
      </w:tr>
      <w:tr w:rsidR="00E733EF" w:rsidRPr="00CC281F" w14:paraId="58B027CD" w14:textId="77777777">
        <w:tc>
          <w:tcPr>
            <w:tcW w:w="814" w:type="dxa"/>
          </w:tcPr>
          <w:p w14:paraId="41F62F8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1C8941D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创建智能知识产权机构项目</w:t>
            </w:r>
          </w:p>
        </w:tc>
      </w:tr>
      <w:tr w:rsidR="00E733EF" w:rsidRPr="00CC281F" w14:paraId="23940D8A" w14:textId="77777777">
        <w:tc>
          <w:tcPr>
            <w:tcW w:w="814" w:type="dxa"/>
          </w:tcPr>
          <w:p w14:paraId="78F3DAF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3E24C48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国家机构创新与技术转让支助结构</w:t>
            </w:r>
          </w:p>
        </w:tc>
      </w:tr>
      <w:tr w:rsidR="00E733EF" w:rsidRPr="00CC281F" w14:paraId="5731176D" w14:textId="77777777">
        <w:tc>
          <w:tcPr>
            <w:tcW w:w="814" w:type="dxa"/>
          </w:tcPr>
          <w:p w14:paraId="01D83E3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5FD706E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提升国家、次区域和区域知识产权机构和用户的能力</w:t>
            </w:r>
          </w:p>
        </w:tc>
      </w:tr>
      <w:tr w:rsidR="00E733EF" w:rsidRPr="00CC281F" w14:paraId="0C2E486C" w14:textId="77777777">
        <w:tc>
          <w:tcPr>
            <w:tcW w:w="814" w:type="dxa"/>
          </w:tcPr>
          <w:p w14:paraId="115C87F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9.</w:t>
            </w:r>
          </w:p>
        </w:tc>
        <w:tc>
          <w:tcPr>
            <w:tcW w:w="12016" w:type="dxa"/>
          </w:tcPr>
          <w:p w14:paraId="25D8E0A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知识产权与公有领域</w:t>
            </w:r>
          </w:p>
        </w:tc>
      </w:tr>
      <w:tr w:rsidR="00E733EF" w:rsidRPr="00CC281F" w14:paraId="18A3BEC8" w14:textId="77777777">
        <w:tc>
          <w:tcPr>
            <w:tcW w:w="814" w:type="dxa"/>
          </w:tcPr>
          <w:p w14:paraId="669D19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10.</w:t>
            </w:r>
          </w:p>
        </w:tc>
        <w:tc>
          <w:tcPr>
            <w:tcW w:w="12016" w:type="dxa"/>
          </w:tcPr>
          <w:p w14:paraId="33D8A0F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知识产权与竞争政策</w:t>
            </w:r>
          </w:p>
        </w:tc>
      </w:tr>
      <w:tr w:rsidR="00E733EF" w:rsidRPr="00CC281F" w14:paraId="7B02B588" w14:textId="77777777">
        <w:tc>
          <w:tcPr>
            <w:tcW w:w="814" w:type="dxa"/>
          </w:tcPr>
          <w:p w14:paraId="5CDAC81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11.</w:t>
            </w:r>
          </w:p>
        </w:tc>
        <w:tc>
          <w:tcPr>
            <w:tcW w:w="12016" w:type="dxa"/>
          </w:tcPr>
          <w:p w14:paraId="503ACE2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知识产权、信息与通信技术（ICT）、数字鸿沟和获取知识</w:t>
            </w:r>
          </w:p>
        </w:tc>
      </w:tr>
      <w:tr w:rsidR="00E733EF" w:rsidRPr="00CC281F" w14:paraId="00CD49F1" w14:textId="77777777">
        <w:tc>
          <w:tcPr>
            <w:tcW w:w="814" w:type="dxa"/>
          </w:tcPr>
          <w:p w14:paraId="31FB11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12.</w:t>
            </w:r>
          </w:p>
        </w:tc>
        <w:tc>
          <w:tcPr>
            <w:tcW w:w="12016" w:type="dxa"/>
          </w:tcPr>
          <w:p w14:paraId="07E1E9A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w:t>
            </w:r>
          </w:p>
        </w:tc>
      </w:tr>
      <w:tr w:rsidR="00E733EF" w:rsidRPr="00CC281F" w14:paraId="4EA76167" w14:textId="77777777">
        <w:tc>
          <w:tcPr>
            <w:tcW w:w="814" w:type="dxa"/>
          </w:tcPr>
          <w:p w14:paraId="5E9A64B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13.</w:t>
            </w:r>
          </w:p>
        </w:tc>
        <w:tc>
          <w:tcPr>
            <w:tcW w:w="12016" w:type="dxa"/>
          </w:tcPr>
          <w:p w14:paraId="64168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加强产权组织注重成果的管理（RBM）框架为监测和评价产权组织活动对发展产生的影响提供支持</w:t>
            </w:r>
          </w:p>
        </w:tc>
      </w:tr>
      <w:tr w:rsidR="00E733EF" w:rsidRPr="00CC281F" w14:paraId="7013E62B" w14:textId="77777777">
        <w:tc>
          <w:tcPr>
            <w:tcW w:w="814" w:type="dxa"/>
          </w:tcPr>
          <w:p w14:paraId="065095B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14.</w:t>
            </w:r>
          </w:p>
        </w:tc>
        <w:tc>
          <w:tcPr>
            <w:tcW w:w="12016" w:type="dxa"/>
          </w:tcPr>
          <w:p w14:paraId="5C8B890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w:t>
            </w:r>
          </w:p>
        </w:tc>
      </w:tr>
      <w:tr w:rsidR="00E733EF" w:rsidRPr="00CC281F" w14:paraId="1DAC4E94" w14:textId="77777777">
        <w:tc>
          <w:tcPr>
            <w:tcW w:w="814" w:type="dxa"/>
          </w:tcPr>
          <w:p w14:paraId="4671F4A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15.</w:t>
            </w:r>
          </w:p>
        </w:tc>
        <w:tc>
          <w:tcPr>
            <w:tcW w:w="12016" w:type="dxa"/>
          </w:tcPr>
          <w:p w14:paraId="1CC3C6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面向发展中国家和最不发达国家企业发展的知识产权与产品品牌建设</w:t>
            </w:r>
          </w:p>
        </w:tc>
      </w:tr>
      <w:tr w:rsidR="00E733EF" w:rsidRPr="00CC281F" w14:paraId="2AEB7D06" w14:textId="77777777">
        <w:tc>
          <w:tcPr>
            <w:tcW w:w="814" w:type="dxa"/>
          </w:tcPr>
          <w:p w14:paraId="764F384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16.</w:t>
            </w:r>
          </w:p>
        </w:tc>
        <w:tc>
          <w:tcPr>
            <w:tcW w:w="12016" w:type="dxa"/>
          </w:tcPr>
          <w:p w14:paraId="582F556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专利与公有领域</w:t>
            </w:r>
          </w:p>
        </w:tc>
      </w:tr>
      <w:tr w:rsidR="00E733EF" w:rsidRPr="00CC281F" w14:paraId="50FF4A18" w14:textId="77777777">
        <w:tc>
          <w:tcPr>
            <w:tcW w:w="814" w:type="dxa"/>
          </w:tcPr>
          <w:p w14:paraId="272822A7"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17.</w:t>
            </w:r>
          </w:p>
        </w:tc>
        <w:tc>
          <w:tcPr>
            <w:tcW w:w="12016" w:type="dxa"/>
          </w:tcPr>
          <w:p w14:paraId="49C6217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知识产权与人才流失</w:t>
            </w:r>
          </w:p>
        </w:tc>
      </w:tr>
      <w:tr w:rsidR="00E733EF" w:rsidRPr="00CC281F" w14:paraId="381B63BD" w14:textId="77777777">
        <w:tc>
          <w:tcPr>
            <w:tcW w:w="814" w:type="dxa"/>
          </w:tcPr>
          <w:p w14:paraId="6CCA4F7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18.</w:t>
            </w:r>
          </w:p>
        </w:tc>
        <w:tc>
          <w:tcPr>
            <w:tcW w:w="12016" w:type="dxa"/>
          </w:tcPr>
          <w:p w14:paraId="28574C6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知识产权与非正规经济</w:t>
            </w:r>
          </w:p>
        </w:tc>
      </w:tr>
      <w:tr w:rsidR="00E733EF" w:rsidRPr="00CC281F" w14:paraId="3E661C29" w14:textId="77777777">
        <w:tc>
          <w:tcPr>
            <w:tcW w:w="814" w:type="dxa"/>
          </w:tcPr>
          <w:p w14:paraId="0DCE0C5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19.</w:t>
            </w:r>
          </w:p>
        </w:tc>
        <w:tc>
          <w:tcPr>
            <w:tcW w:w="12016" w:type="dxa"/>
          </w:tcPr>
          <w:p w14:paraId="34BC7F2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专业数据库接入和支持——第二阶段</w:t>
            </w:r>
          </w:p>
        </w:tc>
      </w:tr>
      <w:tr w:rsidR="00E733EF" w:rsidRPr="00CC281F" w14:paraId="44D61090" w14:textId="77777777">
        <w:tc>
          <w:tcPr>
            <w:tcW w:w="814" w:type="dxa"/>
          </w:tcPr>
          <w:p w14:paraId="6E531E7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20.</w:t>
            </w:r>
          </w:p>
        </w:tc>
        <w:tc>
          <w:tcPr>
            <w:tcW w:w="12016" w:type="dxa"/>
          </w:tcPr>
          <w:p w14:paraId="05C3D52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建立“初创”国家知识产权学院——第二阶段</w:t>
            </w:r>
          </w:p>
        </w:tc>
      </w:tr>
      <w:tr w:rsidR="00E733EF" w:rsidRPr="00CC281F" w14:paraId="009A58CE" w14:textId="77777777">
        <w:tc>
          <w:tcPr>
            <w:tcW w:w="814" w:type="dxa"/>
          </w:tcPr>
          <w:p w14:paraId="63464FC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21.</w:t>
            </w:r>
          </w:p>
        </w:tc>
        <w:tc>
          <w:tcPr>
            <w:tcW w:w="12016" w:type="dxa"/>
          </w:tcPr>
          <w:p w14:paraId="1B6EB17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w:t>
            </w:r>
          </w:p>
        </w:tc>
      </w:tr>
      <w:tr w:rsidR="00E733EF" w:rsidRPr="00CC281F" w14:paraId="76699996" w14:textId="77777777">
        <w:tc>
          <w:tcPr>
            <w:tcW w:w="814" w:type="dxa"/>
          </w:tcPr>
          <w:p w14:paraId="3C4D8A0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22.</w:t>
            </w:r>
          </w:p>
        </w:tc>
        <w:tc>
          <w:tcPr>
            <w:tcW w:w="12016" w:type="dxa"/>
          </w:tcPr>
          <w:p w14:paraId="05B4714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开发专利信息查询工具——第二阶段</w:t>
            </w:r>
          </w:p>
        </w:tc>
      </w:tr>
      <w:tr w:rsidR="00E733EF" w:rsidRPr="00CC281F" w14:paraId="4C1D8456" w14:textId="77777777">
        <w:tc>
          <w:tcPr>
            <w:tcW w:w="814" w:type="dxa"/>
          </w:tcPr>
          <w:p w14:paraId="4C35FA9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23.</w:t>
            </w:r>
          </w:p>
        </w:tc>
        <w:tc>
          <w:tcPr>
            <w:tcW w:w="12016" w:type="dxa"/>
          </w:tcPr>
          <w:p w14:paraId="4DDA55E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加强各国负责知识产权事务的政府机构和利益攸关方机构管理、监督和促进创意产业的能力，并提高版权集体管理组织的业绩和联网能力</w:t>
            </w:r>
          </w:p>
        </w:tc>
      </w:tr>
      <w:tr w:rsidR="00E733EF" w:rsidRPr="00CC281F" w14:paraId="41E6588C" w14:textId="77777777">
        <w:tc>
          <w:tcPr>
            <w:tcW w:w="814" w:type="dxa"/>
          </w:tcPr>
          <w:p w14:paraId="236AAA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24.</w:t>
            </w:r>
          </w:p>
        </w:tc>
        <w:tc>
          <w:tcPr>
            <w:tcW w:w="12016" w:type="dxa"/>
          </w:tcPr>
          <w:p w14:paraId="4E26CF2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知识产权与技术转让：共同挑战——共同解决</w:t>
            </w:r>
          </w:p>
        </w:tc>
      </w:tr>
      <w:tr w:rsidR="00E733EF" w:rsidRPr="00CC281F" w14:paraId="70E55D4D" w14:textId="77777777">
        <w:tc>
          <w:tcPr>
            <w:tcW w:w="814" w:type="dxa"/>
          </w:tcPr>
          <w:p w14:paraId="3CDFC7F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25.</w:t>
            </w:r>
          </w:p>
        </w:tc>
        <w:tc>
          <w:tcPr>
            <w:tcW w:w="12016" w:type="dxa"/>
          </w:tcPr>
          <w:p w14:paraId="7007A8D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开放式合作项目和知识产权模式</w:t>
            </w:r>
          </w:p>
        </w:tc>
      </w:tr>
      <w:tr w:rsidR="00E733EF" w:rsidRPr="00CC281F" w14:paraId="32EF2744" w14:textId="77777777">
        <w:trPr>
          <w:trHeight w:hRule="exact" w:val="302"/>
        </w:trPr>
        <w:tc>
          <w:tcPr>
            <w:tcW w:w="814" w:type="dxa"/>
          </w:tcPr>
          <w:p w14:paraId="2A39567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26.</w:t>
            </w:r>
          </w:p>
        </w:tc>
        <w:tc>
          <w:tcPr>
            <w:tcW w:w="12016" w:type="dxa"/>
          </w:tcPr>
          <w:p w14:paraId="74B73167" w14:textId="77777777" w:rsidR="00E733EF" w:rsidRPr="00CC281F" w:rsidRDefault="00191652">
            <w:pPr>
              <w:spacing w:after="200" w:line="360" w:lineRule="auto"/>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加强和发展布基纳法索和若干非洲国家音像部门</w:t>
            </w:r>
          </w:p>
        </w:tc>
      </w:tr>
      <w:tr w:rsidR="00E733EF" w:rsidRPr="00CC281F" w14:paraId="57DA2CB3" w14:textId="77777777">
        <w:tc>
          <w:tcPr>
            <w:tcW w:w="814" w:type="dxa"/>
          </w:tcPr>
          <w:p w14:paraId="1BC2367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27.</w:t>
            </w:r>
          </w:p>
        </w:tc>
        <w:tc>
          <w:tcPr>
            <w:tcW w:w="12016" w:type="dxa"/>
          </w:tcPr>
          <w:p w14:paraId="04AF659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加强发展中国家和最不发达国家之间知识产权与发展问题南南合作</w:t>
            </w:r>
          </w:p>
        </w:tc>
      </w:tr>
      <w:tr w:rsidR="00E733EF" w:rsidRPr="00CC281F" w14:paraId="43BEBD91" w14:textId="77777777">
        <w:tc>
          <w:tcPr>
            <w:tcW w:w="814" w:type="dxa"/>
          </w:tcPr>
          <w:p w14:paraId="67F1A1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28.</w:t>
            </w:r>
          </w:p>
        </w:tc>
        <w:tc>
          <w:tcPr>
            <w:tcW w:w="12016" w:type="dxa"/>
          </w:tcPr>
          <w:p w14:paraId="3BD70A9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知识产权和外观设计管理促进发展中国家和最不发达国家企业发展</w:t>
            </w:r>
          </w:p>
        </w:tc>
      </w:tr>
      <w:tr w:rsidR="00E733EF" w:rsidRPr="00CC281F" w14:paraId="57097E6A" w14:textId="77777777">
        <w:tc>
          <w:tcPr>
            <w:tcW w:w="814" w:type="dxa"/>
          </w:tcPr>
          <w:p w14:paraId="077B34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29.</w:t>
            </w:r>
          </w:p>
        </w:tc>
        <w:tc>
          <w:tcPr>
            <w:tcW w:w="12016" w:type="dxa"/>
          </w:tcPr>
          <w:p w14:paraId="1CA091E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进行使用特定技术的适当的信息方面的能力建设，以应对已查明的发展挑战——第二阶段</w:t>
            </w:r>
          </w:p>
        </w:tc>
      </w:tr>
      <w:tr w:rsidR="00E733EF" w:rsidRPr="00CC281F" w14:paraId="40360140" w14:textId="77777777">
        <w:tc>
          <w:tcPr>
            <w:tcW w:w="814" w:type="dxa"/>
          </w:tcPr>
          <w:p w14:paraId="2243974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30.</w:t>
            </w:r>
          </w:p>
        </w:tc>
        <w:tc>
          <w:tcPr>
            <w:tcW w:w="12016" w:type="dxa"/>
          </w:tcPr>
          <w:p w14:paraId="160E5DE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知识产权与经济和社会发展——第二阶段</w:t>
            </w:r>
          </w:p>
        </w:tc>
      </w:tr>
      <w:tr w:rsidR="00E733EF" w:rsidRPr="00CC281F" w14:paraId="4285E872" w14:textId="77777777">
        <w:tc>
          <w:tcPr>
            <w:tcW w:w="814" w:type="dxa"/>
          </w:tcPr>
          <w:p w14:paraId="72DAB7E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31.</w:t>
            </w:r>
          </w:p>
        </w:tc>
        <w:tc>
          <w:tcPr>
            <w:tcW w:w="12016" w:type="dxa"/>
          </w:tcPr>
          <w:p w14:paraId="4BCE404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加强和发展布基纳法索和若干非洲国家音像部门——第二阶段</w:t>
            </w:r>
          </w:p>
        </w:tc>
      </w:tr>
      <w:tr w:rsidR="00E733EF" w:rsidRPr="00CC281F" w14:paraId="1C42E866" w14:textId="77777777">
        <w:tc>
          <w:tcPr>
            <w:tcW w:w="814" w:type="dxa"/>
          </w:tcPr>
          <w:p w14:paraId="26333DC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32.</w:t>
            </w:r>
          </w:p>
        </w:tc>
        <w:tc>
          <w:tcPr>
            <w:tcW w:w="12016" w:type="dxa"/>
          </w:tcPr>
          <w:p w14:paraId="16D59F0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与发展中国家和最不发达国家司法培训机构在发展与知识产权教育和职业培训方面的合作</w:t>
            </w:r>
          </w:p>
        </w:tc>
      </w:tr>
      <w:tr w:rsidR="00E733EF" w:rsidRPr="00CC281F" w14:paraId="0148950B" w14:textId="77777777">
        <w:tc>
          <w:tcPr>
            <w:tcW w:w="814" w:type="dxa"/>
          </w:tcPr>
          <w:p w14:paraId="4DDA598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33.</w:t>
            </w:r>
          </w:p>
        </w:tc>
        <w:tc>
          <w:tcPr>
            <w:tcW w:w="12016" w:type="dxa"/>
          </w:tcPr>
          <w:p w14:paraId="4CA8C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知识产权、旅游业与文化：在埃及和其他发展中国家支持发展目标、推广文化遗产</w:t>
            </w:r>
          </w:p>
        </w:tc>
      </w:tr>
      <w:tr w:rsidR="00E733EF" w:rsidRPr="00CC281F" w14:paraId="070A802F" w14:textId="77777777">
        <w:tc>
          <w:tcPr>
            <w:tcW w:w="814" w:type="dxa"/>
          </w:tcPr>
          <w:p w14:paraId="588A8B0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34.</w:t>
            </w:r>
          </w:p>
        </w:tc>
        <w:tc>
          <w:tcPr>
            <w:tcW w:w="12016" w:type="dxa"/>
          </w:tcPr>
          <w:p w14:paraId="5604890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运用公有领域信息促进经济发展</w:t>
            </w:r>
          </w:p>
        </w:tc>
      </w:tr>
      <w:tr w:rsidR="00E733EF" w:rsidRPr="00CC281F" w14:paraId="77A1E45E" w14:textId="77777777">
        <w:tc>
          <w:tcPr>
            <w:tcW w:w="814" w:type="dxa"/>
          </w:tcPr>
          <w:p w14:paraId="38E430F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35.</w:t>
            </w:r>
          </w:p>
        </w:tc>
        <w:tc>
          <w:tcPr>
            <w:tcW w:w="12016" w:type="dxa"/>
          </w:tcPr>
          <w:p w14:paraId="2538304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 xml:space="preserve">知识产权管理与技术转让：促进发展中国家、最不发达国家和经济转型国家有效利用知识产权 </w:t>
            </w:r>
          </w:p>
        </w:tc>
      </w:tr>
      <w:tr w:rsidR="00E733EF" w:rsidRPr="00CC281F" w14:paraId="4724FB58" w14:textId="77777777">
        <w:tc>
          <w:tcPr>
            <w:tcW w:w="814" w:type="dxa"/>
          </w:tcPr>
          <w:p w14:paraId="18C2E7A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36.</w:t>
            </w:r>
          </w:p>
        </w:tc>
        <w:tc>
          <w:tcPr>
            <w:tcW w:w="12016" w:type="dxa"/>
          </w:tcPr>
          <w:p w14:paraId="083DD51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加强软件部门运用知识产权开发移动应用程序</w:t>
            </w:r>
          </w:p>
        </w:tc>
      </w:tr>
      <w:tr w:rsidR="00E733EF" w:rsidRPr="00CC281F" w14:paraId="6954710F" w14:textId="77777777">
        <w:tc>
          <w:tcPr>
            <w:tcW w:w="814" w:type="dxa"/>
          </w:tcPr>
          <w:p w14:paraId="70CB41F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37.</w:t>
            </w:r>
          </w:p>
        </w:tc>
        <w:tc>
          <w:tcPr>
            <w:tcW w:w="12016" w:type="dxa"/>
          </w:tcPr>
          <w:p w14:paraId="40ADDF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成功的发展议程项目提案用工具</w:t>
            </w:r>
          </w:p>
        </w:tc>
      </w:tr>
      <w:tr w:rsidR="00E733EF" w:rsidRPr="00CC281F" w14:paraId="0C1F9BB7" w14:textId="77777777">
        <w:tc>
          <w:tcPr>
            <w:tcW w:w="12830" w:type="dxa"/>
            <w:gridSpan w:val="2"/>
          </w:tcPr>
          <w:p w14:paraId="67824861"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截至2022年12月仍在实施的发展议程项目（9个）</w:t>
            </w:r>
          </w:p>
        </w:tc>
      </w:tr>
      <w:tr w:rsidR="00E733EF" w:rsidRPr="00CC281F" w14:paraId="251C2002" w14:textId="77777777">
        <w:tc>
          <w:tcPr>
            <w:tcW w:w="814" w:type="dxa"/>
          </w:tcPr>
          <w:p w14:paraId="33A5733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6D42574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版权与数字环境中的内容分发</w:t>
            </w:r>
          </w:p>
        </w:tc>
      </w:tr>
      <w:tr w:rsidR="00E733EF" w:rsidRPr="00CC281F" w14:paraId="45D75345" w14:textId="77777777">
        <w:tc>
          <w:tcPr>
            <w:tcW w:w="814" w:type="dxa"/>
          </w:tcPr>
          <w:p w14:paraId="4304AA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24FE2B7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将当地企业集体商标注册作为跨领域经济发展问题</w:t>
            </w:r>
          </w:p>
        </w:tc>
      </w:tr>
      <w:tr w:rsidR="00E733EF" w:rsidRPr="00CC281F" w14:paraId="3A5CF4DF" w14:textId="77777777">
        <w:tc>
          <w:tcPr>
            <w:tcW w:w="814" w:type="dxa"/>
          </w:tcPr>
          <w:p w14:paraId="70A2576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1EFF11D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加大女性在创新创业方面的作用、鼓励发展中国家女性运用知识产权制度</w:t>
            </w:r>
          </w:p>
        </w:tc>
      </w:tr>
      <w:tr w:rsidR="00E733EF" w:rsidRPr="00CC281F" w14:paraId="0C6632A6" w14:textId="77777777">
        <w:tc>
          <w:tcPr>
            <w:tcW w:w="814" w:type="dxa"/>
          </w:tcPr>
          <w:p w14:paraId="1B2AE19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571CF16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秘鲁及其他发展中国家的知识产权与美食旅游业：通过知识产权促进美食旅游业发展</w:t>
            </w:r>
          </w:p>
        </w:tc>
      </w:tr>
      <w:tr w:rsidR="00E733EF" w:rsidRPr="00CC281F" w14:paraId="368244E7" w14:textId="77777777">
        <w:tc>
          <w:tcPr>
            <w:tcW w:w="814" w:type="dxa"/>
          </w:tcPr>
          <w:p w14:paraId="47B1B43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075A83E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识别和运用公有领域的发明</w:t>
            </w:r>
          </w:p>
        </w:tc>
      </w:tr>
      <w:tr w:rsidR="00E733EF" w:rsidRPr="00CC281F" w14:paraId="57161323" w14:textId="77777777">
        <w:tc>
          <w:tcPr>
            <w:tcW w:w="814" w:type="dxa"/>
          </w:tcPr>
          <w:p w14:paraId="3E9A168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386007C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发展布基纳法索和西非经济货币联盟（西非经货联）若干国家音乐领域和新音乐经济模式</w:t>
            </w:r>
          </w:p>
        </w:tc>
      </w:tr>
      <w:tr w:rsidR="00E733EF" w:rsidRPr="00CC281F" w14:paraId="0108F916" w14:textId="77777777">
        <w:tc>
          <w:tcPr>
            <w:tcW w:w="814" w:type="dxa"/>
          </w:tcPr>
          <w:p w14:paraId="04E8FD0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793F00A7"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推动发展中国家的创意产业在数字时代运用知识产权</w:t>
            </w:r>
          </w:p>
        </w:tc>
      </w:tr>
      <w:tr w:rsidR="00E733EF" w:rsidRPr="00CC281F" w14:paraId="15F26601" w14:textId="77777777">
        <w:tc>
          <w:tcPr>
            <w:tcW w:w="814" w:type="dxa"/>
          </w:tcPr>
          <w:p w14:paraId="5048828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08C558F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系统化统计数据并制定和实施对采用知识产权制度的影响进行评估的方法</w:t>
            </w:r>
          </w:p>
        </w:tc>
      </w:tr>
      <w:tr w:rsidR="00E733EF" w:rsidRPr="00CC281F" w14:paraId="2B3CF989" w14:textId="77777777">
        <w:tc>
          <w:tcPr>
            <w:tcW w:w="814" w:type="dxa"/>
          </w:tcPr>
          <w:p w14:paraId="0F3FF44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9.</w:t>
            </w:r>
          </w:p>
        </w:tc>
        <w:tc>
          <w:tcPr>
            <w:tcW w:w="12016" w:type="dxa"/>
          </w:tcPr>
          <w:p w14:paraId="238B1F5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通过知识产权增强小企业能力：制定在注册后阶段为地理标志或集体商标提供支持的战略</w:t>
            </w:r>
          </w:p>
        </w:tc>
      </w:tr>
      <w:tr w:rsidR="00E733EF" w:rsidRPr="00CC281F" w14:paraId="2473BD7B" w14:textId="77777777">
        <w:tc>
          <w:tcPr>
            <w:tcW w:w="12830" w:type="dxa"/>
            <w:gridSpan w:val="2"/>
          </w:tcPr>
          <w:p w14:paraId="5D3DBC75"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2022年批准的发展议程项目（2个）</w:t>
            </w:r>
          </w:p>
        </w:tc>
      </w:tr>
      <w:tr w:rsidR="00E733EF" w:rsidRPr="00CC281F" w14:paraId="5963AC47" w14:textId="77777777">
        <w:tc>
          <w:tcPr>
            <w:tcW w:w="814" w:type="dxa"/>
          </w:tcPr>
          <w:p w14:paraId="0738DD8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2B96F5E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通过创新和知识产权减少与工作有关的事故和职业病</w:t>
            </w:r>
          </w:p>
        </w:tc>
      </w:tr>
      <w:tr w:rsidR="00E733EF" w:rsidRPr="00CC281F" w14:paraId="0ADE2E0B" w14:textId="77777777">
        <w:tc>
          <w:tcPr>
            <w:tcW w:w="814" w:type="dxa"/>
          </w:tcPr>
          <w:p w14:paraId="5FD4FD1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08FDC79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加强软件部门运用知识产权开发移动应用程序——第二阶段</w:t>
            </w:r>
          </w:p>
        </w:tc>
      </w:tr>
    </w:tbl>
    <w:p w14:paraId="7957902B" w14:textId="303C8515" w:rsidR="00E733EF" w:rsidRDefault="00191652" w:rsidP="00CC281F">
      <w:pPr>
        <w:pStyle w:val="Endofdocument-Annex"/>
        <w:overflowPunct w:val="0"/>
        <w:spacing w:before="720" w:afterLines="50" w:after="120" w:line="340" w:lineRule="atLeast"/>
        <w:ind w:left="8505"/>
      </w:pPr>
      <w:r w:rsidRPr="00CC281F">
        <w:rPr>
          <w:rFonts w:ascii="KaiTi" w:eastAsia="KaiTi" w:hAnsi="KaiTi" w:hint="eastAsia"/>
          <w:iCs/>
          <w:sz w:val="21"/>
          <w:szCs w:val="21"/>
        </w:rPr>
        <w:t>[附件和文件完]</w:t>
      </w:r>
    </w:p>
    <w:sectPr w:rsidR="00E733EF">
      <w:headerReference w:type="default" r:id="rId20"/>
      <w:headerReference w:type="first" r:id="rId21"/>
      <w:endnotePr>
        <w:numFmt w:val="decimal"/>
      </w:endnotePr>
      <w:pgSz w:w="16840" w:h="11907" w:orient="landscape"/>
      <w:pgMar w:top="1418" w:right="2440" w:bottom="1134"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C90" w16cex:dateUtc="2023-03-10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31CEE" w16cid:durableId="27B5B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BB72" w14:textId="77777777" w:rsidR="00855D5E" w:rsidRDefault="00855D5E">
      <w:r>
        <w:separator/>
      </w:r>
    </w:p>
  </w:endnote>
  <w:endnote w:type="continuationSeparator" w:id="0">
    <w:p w14:paraId="1A565665" w14:textId="77777777" w:rsidR="00855D5E" w:rsidRDefault="0085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E19F" w14:textId="77777777" w:rsidR="00F153A3" w:rsidRDefault="00F1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B057" w14:textId="77777777" w:rsidR="00F153A3" w:rsidRDefault="00F15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6D69" w14:textId="77777777" w:rsidR="00F153A3" w:rsidRDefault="00F1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49CD" w14:textId="77777777" w:rsidR="00855D5E" w:rsidRDefault="00855D5E">
      <w:r>
        <w:separator/>
      </w:r>
    </w:p>
  </w:footnote>
  <w:footnote w:type="continuationSeparator" w:id="0">
    <w:p w14:paraId="2541CB5C" w14:textId="77777777" w:rsidR="00855D5E" w:rsidRDefault="00855D5E">
      <w:r>
        <w:continuationSeparator/>
      </w:r>
    </w:p>
  </w:footnote>
  <w:footnote w:id="1">
    <w:p w14:paraId="4D862E89" w14:textId="31052537"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《2022-2026年中期战略计划》可查阅：</w:t>
      </w:r>
      <w:hyperlink r:id="rId1" w:history="1">
        <w:r w:rsidRPr="00B01FC1">
          <w:rPr>
            <w:rStyle w:val="Hyperlink"/>
            <w:rFonts w:asciiTheme="minorEastAsia" w:eastAsiaTheme="minorEastAsia" w:hAnsiTheme="minorEastAsia" w:hint="eastAsia"/>
          </w:rPr>
          <w:t>www.wipo.int/meetings/en/doc_details.jsp?doc_id=541373</w:t>
        </w:r>
      </w:hyperlink>
    </w:p>
  </w:footnote>
  <w:footnote w:id="2">
    <w:p w14:paraId="2FB42F10" w14:textId="77777777"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非洲司、最不发达国家司、阿拉伯国家司、亚洲及太平洋司、拉丁美洲和加勒比司、转型和发达国家司。</w:t>
      </w:r>
    </w:p>
  </w:footnote>
  <w:footnote w:id="3">
    <w:p w14:paraId="2E7E44DE" w14:textId="77777777"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产权组织在阿尔及利亚、巴西、中国、日本、尼日利亚、俄罗斯联邦和新加坡设有驻外办事处。</w:t>
      </w:r>
    </w:p>
  </w:footnote>
  <w:footnote w:id="4">
    <w:p w14:paraId="3D24BA23" w14:textId="2D718FB7"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更多信息可参见：</w:t>
      </w:r>
      <w:hyperlink r:id="rId2" w:history="1">
        <w:r w:rsidRPr="00B01FC1">
          <w:rPr>
            <w:rStyle w:val="Hyperlink"/>
            <w:rFonts w:asciiTheme="minorEastAsia" w:eastAsiaTheme="minorEastAsia" w:hAnsiTheme="minorEastAsia" w:hint="eastAsia"/>
          </w:rPr>
          <w:t>www.wipo.int/tad/en/activitydetails.jsp?id=25842</w:t>
        </w:r>
      </w:hyperlink>
    </w:p>
  </w:footnote>
  <w:footnote w:id="5">
    <w:p w14:paraId="4505A11D" w14:textId="78A3260F"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详细信息可查阅：</w:t>
      </w:r>
      <w:hyperlink r:id="rId3" w:history="1">
        <w:r w:rsidRPr="00B01FC1">
          <w:rPr>
            <w:rStyle w:val="Hyperlink"/>
            <w:rFonts w:asciiTheme="minorEastAsia" w:eastAsiaTheme="minorEastAsia" w:hAnsiTheme="minorEastAsia" w:hint="eastAsia"/>
          </w:rPr>
          <w:t>www.wipo.int/technology-transfer/en/news/2022/news_0004.html</w:t>
        </w:r>
      </w:hyperlink>
    </w:p>
  </w:footnote>
  <w:footnote w:id="6">
    <w:p w14:paraId="0402AB8F" w14:textId="25F811B3"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即在马来西亚、菲律宾、斯里兰卡、泰国和越南，在日本专利局的支持下进行的促进知识产权和技术的有利创新环境项目下的计划。更多信息可参见：</w:t>
      </w:r>
      <w:hyperlink r:id="rId4" w:history="1">
        <w:r w:rsidRPr="00B01FC1">
          <w:rPr>
            <w:rStyle w:val="Hyperlink"/>
            <w:rFonts w:asciiTheme="minorEastAsia" w:eastAsiaTheme="minorEastAsia" w:hAnsiTheme="minorEastAsia" w:hint="eastAsia"/>
          </w:rPr>
          <w:t>www.wipo.int/cooperation/en/funds_in_trust/japan_fitip_global/news/2022/news_0009.html</w:t>
        </w:r>
      </w:hyperlink>
    </w:p>
  </w:footnote>
  <w:footnote w:id="7">
    <w:p w14:paraId="757C2E24" w14:textId="77777777"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有11个拉丁美洲工业产权局的局长出席会议。联合国妇女署和一位区域性别专家也参加了会议。</w:t>
      </w:r>
    </w:p>
  </w:footnote>
  <w:footnote w:id="8">
    <w:p w14:paraId="380306D3" w14:textId="38CBCA6F" w:rsidR="00855D5E" w:rsidRPr="00B01FC1" w:rsidRDefault="00855D5E"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更多信息可参见：</w:t>
      </w:r>
      <w:hyperlink r:id="rId5" w:history="1">
        <w:r w:rsidRPr="00B01FC1">
          <w:rPr>
            <w:rStyle w:val="Hyperlink"/>
            <w:rFonts w:asciiTheme="minorEastAsia" w:eastAsiaTheme="minorEastAsia" w:hAnsiTheme="minorEastAsia" w:hint="eastAsia"/>
          </w:rPr>
          <w:t>www.wipo.int/meetings/en/details.jsp?meeting_id=72351</w:t>
        </w:r>
      </w:hyperlink>
    </w:p>
  </w:footnote>
  <w:footnote w:id="9">
    <w:p w14:paraId="6729AE48" w14:textId="7D21C5F5" w:rsidR="00855D5E" w:rsidRDefault="00855D5E" w:rsidP="00B01FC1">
      <w:pPr>
        <w:pStyle w:val="FootnoteText"/>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产权组织的COVID-19相关服务和支持可访问：</w:t>
      </w:r>
      <w:hyperlink r:id="rId6" w:history="1">
        <w:r w:rsidRPr="00B01FC1">
          <w:rPr>
            <w:rStyle w:val="Hyperlink"/>
            <w:rFonts w:asciiTheme="minorEastAsia" w:eastAsiaTheme="minorEastAsia" w:hAnsiTheme="minorEastAsia" w:hint="eastAsia"/>
          </w:rPr>
          <w:t>www.wipo.int/covid-19/en/</w:t>
        </w:r>
      </w:hyperlink>
    </w:p>
  </w:footnote>
  <w:footnote w:id="10">
    <w:p w14:paraId="450FF3FF"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新的《多哈行动纲领》承认科学、技术和创新，包括包容和有利的创新生态系统，对实现可持续发展目标至关重要。该纲领阐述了与知识产权、创新和创造有关的更具体的目标和行动。</w:t>
      </w:r>
    </w:p>
  </w:footnote>
  <w:footnote w:id="11">
    <w:p w14:paraId="10105070" w14:textId="13B44CB4" w:rsidR="00855D5E" w:rsidRPr="002113D2" w:rsidRDefault="00855D5E" w:rsidP="002113D2">
      <w:pPr>
        <w:pStyle w:val="FootnoteText"/>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在2021年12月13日至14日于日内瓦举行的产权组织会前论坛上，最不发达国家成员国审议并通过了产权组织的可交付成果，以筹备第五届联合国最不发达国家问题会议</w:t>
      </w:r>
      <w:r w:rsidRPr="002113D2">
        <w:rPr>
          <w:rFonts w:asciiTheme="minorEastAsia" w:eastAsiaTheme="minorEastAsia" w:hAnsiTheme="minorEastAsia" w:hint="eastAsia"/>
          <w:color w:val="000000" w:themeColor="text1"/>
        </w:rPr>
        <w:t>，详情可查阅：</w:t>
      </w:r>
      <w:hyperlink r:id="rId7"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/doc_details.jsp?doc_id=563348</w:t>
        </w:r>
      </w:hyperlink>
    </w:p>
  </w:footnote>
  <w:footnote w:id="12">
    <w:p w14:paraId="5CEA8126" w14:textId="06EF633F" w:rsidR="00855D5E" w:rsidRPr="002113D2" w:rsidRDefault="00855D5E" w:rsidP="002113D2">
      <w:pPr>
        <w:pStyle w:val="FootnoteText"/>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一揽子方案可查阅：</w:t>
      </w:r>
      <w:hyperlink r:id="rId8" w:anchor=":~:text=Launched%20in%20July%202022%2C%20the,to%20graduating%20and%20graduated%20LDCs" w:history="1">
        <w:r w:rsidRPr="002113D2">
          <w:rPr>
            <w:rStyle w:val="Hyperlink"/>
            <w:rFonts w:asciiTheme="minorEastAsia" w:eastAsiaTheme="minorEastAsia" w:hAnsiTheme="minorEastAsia" w:hint="eastAsia"/>
          </w:rPr>
          <w:t>www.un.org/ldcportal/content/wipos-graduation-support-package-ldcs#:~:text=Launched%20in%20July%202022%2C%20the,to%20graduating%20and%20graduated%20LDCs</w:t>
        </w:r>
      </w:hyperlink>
      <w:r w:rsidRPr="002113D2">
        <w:rPr>
          <w:rFonts w:asciiTheme="minorEastAsia" w:eastAsiaTheme="minorEastAsia" w:hAnsiTheme="minorEastAsia" w:hint="eastAsia"/>
        </w:rPr>
        <w:t xml:space="preserve"> </w:t>
      </w:r>
    </w:p>
  </w:footnote>
  <w:footnote w:id="13">
    <w:p w14:paraId="2B696BF1" w14:textId="23AFFB44"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 xml:space="preserve"> </w:t>
      </w:r>
      <w:r w:rsidRPr="002113D2">
        <w:rPr>
          <w:rFonts w:asciiTheme="minorEastAsia" w:eastAsiaTheme="minorEastAsia" w:hAnsiTheme="minorEastAsia"/>
          <w:szCs w:val="18"/>
        </w:rPr>
        <w:tab/>
      </w:r>
      <w:r w:rsidRPr="002113D2">
        <w:rPr>
          <w:rFonts w:asciiTheme="minorEastAsia" w:eastAsiaTheme="minorEastAsia" w:hAnsiTheme="minorEastAsia" w:hint="eastAsia"/>
          <w:color w:val="202124"/>
          <w:shd w:val="clear" w:color="auto" w:fill="FFFFFF"/>
        </w:rPr>
        <w:t>联合国的六种官方语文和另外十种语文。</w:t>
      </w:r>
    </w:p>
  </w:footnote>
  <w:footnote w:id="14">
    <w:p w14:paraId="065ECDED"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该课程使专利专业人员具备成功准备和提交专利申请所需的技术技能和知识，这些也可以纳入产权组织成员国专利专业人员的国家/地区资格认证和培训中。</w:t>
      </w:r>
    </w:p>
  </w:footnote>
  <w:footnote w:id="15">
    <w:p w14:paraId="7E0EBA9C"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该课程采纳了产权组织在注重成果的管理方面的最佳做法以及项目准备、监测和评估方面的其他良好做法。</w:t>
      </w:r>
    </w:p>
  </w:footnote>
  <w:footnote w:id="16">
    <w:p w14:paraId="1619F7BF"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该课程旨在就如何使用产权组织开发的权利管理软件培训集体管理组织工作人员。</w:t>
      </w:r>
    </w:p>
  </w:footnote>
  <w:footnote w:id="17">
    <w:p w14:paraId="7D4224A3"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该课程将与大韩民国合作，于2023年在首尔开始面对面授课。</w:t>
      </w:r>
    </w:p>
  </w:footnote>
  <w:footnote w:id="18">
    <w:p w14:paraId="6D8481A4"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包括阿尔巴尼亚、佛得角、古巴、埃及、拉脱维亚、斯洛伐克、南非、蒙古、塔吉克斯坦、乌克兰、乌兹别克斯坦、安提瓜和巴布达、特立尼达和多巴哥以及巴西的知识产权局。</w:t>
      </w:r>
    </w:p>
  </w:footnote>
  <w:footnote w:id="19">
    <w:p w14:paraId="0F6E574F" w14:textId="77777777" w:rsidR="00855D5E" w:rsidRPr="002113D2" w:rsidRDefault="00855D5E"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这些高级课程大部分是在线提供的，只有两门是以混合形式提供的。</w:t>
      </w:r>
    </w:p>
  </w:footnote>
  <w:footnote w:id="20">
    <w:p w14:paraId="17182660" w14:textId="77777777" w:rsidR="00855D5E" w:rsidRDefault="00855D5E" w:rsidP="002113D2">
      <w:pPr>
        <w:pStyle w:val="FootnoteText"/>
        <w:jc w:val="both"/>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专业发展计划课程的形式在2021年有所改变。</w:t>
      </w:r>
    </w:p>
  </w:footnote>
  <w:footnote w:id="21">
    <w:p w14:paraId="1484FEF4" w14:textId="77777777" w:rsidR="00855D5E" w:rsidRPr="00B01FC1" w:rsidRDefault="00855D5E" w:rsidP="00F311B1">
      <w:pPr>
        <w:pStyle w:val="FootnoteText"/>
        <w:jc w:val="both"/>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在这方面，为了便于讨论，编写了一份载有成员国提案的议题列表，并定期更新。请成员国随时提交关于知识产权与发展相关议题的提案。</w:t>
      </w:r>
    </w:p>
  </w:footnote>
  <w:footnote w:id="22">
    <w:p w14:paraId="4D359475" w14:textId="28BF10CD" w:rsidR="00855D5E" w:rsidRPr="00B01FC1" w:rsidRDefault="00855D5E">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秘书处的演示报告可查阅：</w:t>
      </w:r>
      <w:hyperlink r:id="rId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/doc_details.jsp?doc_id=576651</w:t>
        </w:r>
      </w:hyperlink>
    </w:p>
  </w:footnote>
  <w:footnote w:id="23">
    <w:p w14:paraId="1B8D20BA" w14:textId="44F442B1" w:rsidR="00855D5E" w:rsidRPr="00B01FC1" w:rsidRDefault="00855D5E">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秘书处的演示报告可查阅：</w:t>
      </w:r>
      <w:hyperlink r:id="rId1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/doc_details.jsp?doc_id=589492</w:t>
        </w:r>
      </w:hyperlink>
    </w:p>
  </w:footnote>
  <w:footnote w:id="24">
    <w:p w14:paraId="102D3958" w14:textId="69AF5F4F" w:rsidR="00855D5E" w:rsidRPr="00B01FC1" w:rsidRDefault="00855D5E">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见文件CDIP/28/3，可查阅：</w:t>
      </w:r>
      <w:hyperlink r:id="rId1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/doc_details.jsp?doc_id=568113</w:t>
        </w:r>
      </w:hyperlink>
    </w:p>
  </w:footnote>
  <w:footnote w:id="25">
    <w:p w14:paraId="31FD9A2B" w14:textId="07E83FD5" w:rsidR="00855D5E" w:rsidRPr="00B01FC1" w:rsidRDefault="00855D5E">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见文件CDIP/29/3，可查阅：</w:t>
      </w:r>
      <w:hyperlink r:id="rId1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/doc_details.jsp?doc_id=579081</w:t>
        </w:r>
      </w:hyperlink>
    </w:p>
  </w:footnote>
  <w:footnote w:id="26">
    <w:p w14:paraId="69103C1C" w14:textId="73E57198" w:rsidR="00855D5E" w:rsidRPr="00B01FC1" w:rsidRDefault="00855D5E">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文件CDIP/20/5，可查阅：</w:t>
      </w:r>
      <w:hyperlink r:id="rId1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/doc_details.jsp?doc_id=387181</w:t>
        </w:r>
      </w:hyperlink>
    </w:p>
  </w:footnote>
  <w:footnote w:id="27">
    <w:p w14:paraId="2EDEEBDE" w14:textId="4ED04C9A" w:rsidR="00855D5E" w:rsidRPr="00B01FC1" w:rsidRDefault="00855D5E" w:rsidP="00F311B1">
      <w:pPr>
        <w:pStyle w:val="FootnoteText"/>
        <w:jc w:val="both"/>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根据委员会在第六届会议上达成的一致意见，于2013年6月建立了该数据库。</w:t>
      </w:r>
      <w:hyperlink r:id="rId14" w:history="1">
        <w:r w:rsidRPr="00B01FC1">
          <w:rPr>
            <w:rStyle w:val="Hyperlink"/>
            <w:rFonts w:asciiTheme="minorEastAsia" w:eastAsiaTheme="minorEastAsia" w:hAnsiTheme="minorEastAsia" w:hint="eastAsia"/>
          </w:rPr>
          <w:t>www.wipo.int/ip-development/en/agenda/flexibilities/database.html</w:t>
        </w:r>
      </w:hyperlink>
    </w:p>
  </w:footnote>
  <w:footnote w:id="28">
    <w:p w14:paraId="390B7A7E" w14:textId="77777777" w:rsidR="00855D5E" w:rsidRDefault="00855D5E" w:rsidP="00F311B1">
      <w:pPr>
        <w:pStyle w:val="FootnoteText"/>
        <w:jc w:val="both"/>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成员国通知的更新可能是指：(i)对已列入数据库的一个或几个条款的修改；和/或(ii)在其国家法律中新通过的与数据库中的灵活性有关的先前不存在的条款。</w:t>
      </w:r>
    </w:p>
  </w:footnote>
  <w:footnote w:id="29">
    <w:p w14:paraId="0866FB42" w14:textId="4443BC4B" w:rsidR="00855D5E" w:rsidRPr="00F311B1" w:rsidRDefault="00855D5E">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见文件CDIP/28/8，可查阅：</w:t>
      </w:r>
      <w:hyperlink r:id="rId15" w:history="1">
        <w:r w:rsidRPr="000578C5">
          <w:rPr>
            <w:rStyle w:val="Hyperlink"/>
            <w:rFonts w:asciiTheme="minorEastAsia" w:eastAsiaTheme="minorEastAsia" w:hAnsiTheme="minorEastAsia" w:hint="eastAsia"/>
          </w:rPr>
          <w:t>https://www.wipo.int/meetings/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/doc_details.jsp?doc_id=569442</w:t>
        </w:r>
      </w:hyperlink>
    </w:p>
  </w:footnote>
  <w:footnote w:id="30">
    <w:p w14:paraId="71C1D164" w14:textId="759B6E9F" w:rsidR="00855D5E" w:rsidRPr="00F311B1" w:rsidRDefault="00855D5E">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更多信息可参见：</w:t>
      </w:r>
      <w:hyperlink r:id="rId16" w:history="1">
        <w:r w:rsidRPr="000578C5">
          <w:rPr>
            <w:rStyle w:val="Hyperlink"/>
            <w:rFonts w:asciiTheme="minorEastAsia" w:eastAsiaTheme="minorEastAsia" w:hAnsiTheme="minorEastAsia" w:hint="eastAsia"/>
          </w:rPr>
          <w:t>www.wipo.int/women-and-ip/</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/news/2022/news_0006.html</w:t>
        </w:r>
      </w:hyperlink>
    </w:p>
  </w:footnote>
  <w:footnote w:id="31">
    <w:p w14:paraId="338ACEEF" w14:textId="66EFC0BF" w:rsidR="00855D5E" w:rsidRPr="00F311B1" w:rsidRDefault="00855D5E" w:rsidP="00F311B1">
      <w:pPr>
        <w:pStyle w:val="FootnoteText"/>
        <w:jc w:val="both"/>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与产权组织一起在乌干达指导女企业家的“培养有智慧的成功女性”（GSWIM）的创始人兼总经理莉莲·南图姆（Lilian Nantume）女士建立了一个网站，收录了十大最佳成功案例，详情可查阅：</w:t>
      </w:r>
      <w:hyperlink r:id="rId17" w:history="1">
        <w:r w:rsidRPr="00F311B1">
          <w:rPr>
            <w:rStyle w:val="Hyperlink"/>
            <w:rFonts w:asciiTheme="minorEastAsia" w:eastAsiaTheme="minorEastAsia" w:hAnsiTheme="minorEastAsia" w:hint="eastAsia"/>
          </w:rPr>
          <w:t>www.gswim.org/gswimwomensuccessstories</w:t>
        </w:r>
      </w:hyperlink>
    </w:p>
  </w:footnote>
  <w:footnote w:id="32">
    <w:p w14:paraId="6F3165FC" w14:textId="16C24A50" w:rsidR="00855D5E" w:rsidRPr="00F311B1" w:rsidRDefault="00855D5E">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更多信息可参见：</w:t>
      </w:r>
      <w:hyperlink r:id="rId1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/details.jsp?meeting_id=71368</w:t>
        </w:r>
      </w:hyperlink>
    </w:p>
  </w:footnote>
  <w:footnote w:id="33">
    <w:p w14:paraId="55227978" w14:textId="77777777" w:rsidR="00855D5E" w:rsidRPr="00F311B1" w:rsidRDefault="00855D5E" w:rsidP="00F311B1">
      <w:pPr>
        <w:pStyle w:val="FootnoteText"/>
        <w:jc w:val="both"/>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该网络创建于2021年，为此，智利、秘鲁、哥斯达黎加、哥伦比亚的知识产权局与作为荣誉成员的产权组织签署了一份谅解备忘录。</w:t>
      </w:r>
    </w:p>
  </w:footnote>
  <w:footnote w:id="34">
    <w:p w14:paraId="269AD36D" w14:textId="77777777" w:rsidR="00855D5E" w:rsidRDefault="00855D5E">
      <w:pPr>
        <w:pStyle w:val="FootnoteText"/>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即阿根廷、巴西、多米尼加共和国、厄瓜多尔、墨西哥和乌拉圭。</w:t>
      </w:r>
    </w:p>
  </w:footnote>
  <w:footnote w:id="35">
    <w:p w14:paraId="1CADC67B" w14:textId="36A99A42" w:rsidR="00855D5E" w:rsidRPr="008042E7" w:rsidRDefault="00855D5E">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见文件CDIP/29/2，可查阅：</w:t>
      </w:r>
      <w:hyperlink r:id="rId1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/doc_details.jsp?doc_id=582745</w:t>
        </w:r>
      </w:hyperlink>
    </w:p>
  </w:footnote>
  <w:footnote w:id="36">
    <w:p w14:paraId="51A413E8" w14:textId="77777777" w:rsidR="00855D5E" w:rsidRPr="008042E7" w:rsidRDefault="00855D5E">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由于实施了发展议程项目“成功的发展议程项目提案用工具”，进展报告的报告形式得到了更新。</w:t>
      </w:r>
    </w:p>
  </w:footnote>
  <w:footnote w:id="37">
    <w:p w14:paraId="1E9C801A" w14:textId="238F9C7C" w:rsidR="00855D5E" w:rsidRPr="008042E7" w:rsidRDefault="00855D5E">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见文件CDIP/29/6，可查阅：</w:t>
      </w:r>
      <w:hyperlink r:id="rId2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/doc_details.jsp?doc_id=581143</w:t>
        </w:r>
      </w:hyperlink>
    </w:p>
  </w:footnote>
  <w:footnote w:id="38">
    <w:p w14:paraId="74EB3098" w14:textId="577317F6" w:rsidR="00855D5E" w:rsidRDefault="00855D5E">
      <w:pPr>
        <w:pStyle w:val="FootnoteText"/>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见文件CDIP/29/9，可查阅：</w:t>
      </w:r>
      <w:hyperlink r:id="rId2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/doc_details.jsp?doc_id=582427</w:t>
        </w:r>
      </w:hyperlink>
    </w:p>
  </w:footnote>
  <w:footnote w:id="39">
    <w:p w14:paraId="7DB43E89"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即在阿塞拜疆、哥伦比亚、哥斯达黎加、多米尼加共和国、埃及、萨尔瓦多、格鲁吉亚、伊朗伊斯兰共和国、秘鲁、沙特阿拉伯、特立尼达和多巴哥以及突尼斯。哥伦比亚和多米尼加共和国各设立了两个知识产权培训机构，一个在工业产权局（哥伦比亚的工业和商业监管局（SIC）和多米尼加共和国的国家工业产权局（ONAPI）），另一个在版权局（哥伦比亚的国家作者权利局（DNDA）和多米尼加共和国的国家作者权利局（ONDA））。</w:t>
      </w:r>
    </w:p>
  </w:footnote>
  <w:footnote w:id="40">
    <w:p w14:paraId="06D00FC6"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其中七个项目正在进行中。</w:t>
      </w:r>
    </w:p>
  </w:footnote>
  <w:footnote w:id="41">
    <w:p w14:paraId="76F9D819"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这些课程使知识产权培训机构具备为主要受众设计和提供专门技能计划的技能和能力，并掌握使部分培训自动化的工具（自定进度的课程、教育指南、对其培训师的持续培训等）。</w:t>
      </w:r>
    </w:p>
  </w:footnote>
  <w:footnote w:id="42">
    <w:p w14:paraId="69E4279F" w14:textId="028B626C"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63%的参与者是妇女。99%的满意度调查答复者对会议表示高度满意。</w:t>
      </w:r>
    </w:p>
  </w:footnote>
  <w:footnote w:id="43">
    <w:p w14:paraId="70D0F85E"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项目包括适用以下适当技术：在莫桑比克：(i)为生产高质量“罗非鱼鱼苗”改造的鱼苗孵化器技术；(ii)设计和生产厌氧消化池以便将废物转化为沼气和生物肥料技术。在塞内加尔：(i)水果（洋葱和芒果）的简单和可持续干燥技术；以及(ii)石油提炼以便用于废物回收和增值的技术。在乌干达：(i)木柴烧砖替代技术；(ii)雨水收集和处理技术。</w:t>
      </w:r>
    </w:p>
  </w:footnote>
  <w:footnote w:id="44">
    <w:p w14:paraId="1BD526C9"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计划在2023年第二和第三季度举行讲习班。</w:t>
      </w:r>
    </w:p>
  </w:footnote>
  <w:footnote w:id="45">
    <w:p w14:paraId="5B3DB194" w14:textId="77777777" w:rsidR="00855D5E" w:rsidRPr="008042E7" w:rsidRDefault="00855D5E"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IP-TAD提供产权组织在受益国所开展的技术援助活动的信息，这些受益国可能是发展中国家、最不发达国家，也可能是转型国家。</w:t>
      </w:r>
    </w:p>
  </w:footnote>
  <w:footnote w:id="46">
    <w:p w14:paraId="68D25C52" w14:textId="77777777" w:rsidR="00855D5E" w:rsidRDefault="00855D5E" w:rsidP="008042E7">
      <w:pPr>
        <w:pStyle w:val="FootnoteText"/>
        <w:jc w:val="both"/>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这些顾问不在总部工作，也不在产权组织驻外办事处工作。</w:t>
      </w:r>
    </w:p>
  </w:footnote>
  <w:footnote w:id="47">
    <w:p w14:paraId="692CA2A8" w14:textId="756B2D2D" w:rsidR="00855D5E" w:rsidRPr="008042E7" w:rsidRDefault="00855D5E">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见文件CDIP/28/5，可查阅：</w:t>
      </w:r>
      <w:hyperlink r:id="rId22" w:history="1">
        <w:r w:rsidRPr="008042E7">
          <w:rPr>
            <w:rStyle w:val="Hyperlink"/>
            <w:rFonts w:asciiTheme="minorEastAsia" w:eastAsiaTheme="minorEastAsia" w:hAnsiTheme="minorEastAsia" w:hint="eastAsia"/>
          </w:rPr>
          <w:t>www.wipo.int/meetings/</w:t>
        </w:r>
        <w:r w:rsidRPr="008042E7">
          <w:rPr>
            <w:rStyle w:val="Hyperlink"/>
            <w:rFonts w:asciiTheme="minorEastAsia" w:eastAsiaTheme="minorEastAsia" w:hAnsiTheme="minorEastAsia"/>
          </w:rPr>
          <w:t>zh</w:t>
        </w:r>
        <w:r w:rsidRPr="008042E7">
          <w:rPr>
            <w:rStyle w:val="Hyperlink"/>
            <w:rFonts w:asciiTheme="minorEastAsia" w:eastAsiaTheme="minorEastAsia" w:hAnsiTheme="minorEastAsia" w:hint="eastAsia"/>
          </w:rPr>
          <w:t>/doc_details.jsp?doc_id=570471</w:t>
        </w:r>
      </w:hyperlink>
    </w:p>
  </w:footnote>
  <w:footnote w:id="48">
    <w:p w14:paraId="7069044F" w14:textId="2BB11E5F"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所有产出都在各次会议上提交给了CDIP，可查阅：</w:t>
      </w:r>
      <w:hyperlink r:id="rId23" w:history="1">
        <w:r w:rsidRPr="00140621">
          <w:rPr>
            <w:rStyle w:val="Hyperlink"/>
            <w:rFonts w:asciiTheme="minorEastAsia" w:eastAsiaTheme="minorEastAsia" w:hAnsiTheme="minorEastAsia" w:hint="eastAsia"/>
          </w:rPr>
          <w:t>dacatalogue.wipo.int/projects/DA_01_05_01</w:t>
        </w:r>
      </w:hyperlink>
    </w:p>
  </w:footnote>
  <w:footnote w:id="49">
    <w:p w14:paraId="07D73F84" w14:textId="44E6E247"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见文件CDIP/29/4，可查阅：</w:t>
      </w:r>
      <w:hyperlink r:id="rId24"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/doc_details.jsp?doc_id=581111</w:t>
        </w:r>
      </w:hyperlink>
    </w:p>
  </w:footnote>
  <w:footnote w:id="50">
    <w:p w14:paraId="67AC6552" w14:textId="6883875F"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见文件CDIP/29/5，可查阅：</w:t>
      </w:r>
      <w:hyperlink r:id="rId2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/doc_details.jsp?doc_id=580962</w:t>
        </w:r>
      </w:hyperlink>
    </w:p>
  </w:footnote>
  <w:footnote w:id="51">
    <w:p w14:paraId="5BB7E7BC" w14:textId="77777777"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即在不丹、柬埔寨、老挝人民民主共和国、</w:t>
      </w:r>
      <w:r w:rsidRPr="00140621">
        <w:rPr>
          <w:rStyle w:val="ui-provider"/>
          <w:rFonts w:asciiTheme="minorEastAsia" w:eastAsiaTheme="minorEastAsia" w:hAnsiTheme="minorEastAsia" w:hint="eastAsia"/>
        </w:rPr>
        <w:t>伊朗伊斯兰共和国</w:t>
      </w:r>
      <w:r w:rsidRPr="00140621">
        <w:rPr>
          <w:rFonts w:asciiTheme="minorEastAsia" w:eastAsiaTheme="minorEastAsia" w:hAnsiTheme="minorEastAsia" w:hint="eastAsia"/>
        </w:rPr>
        <w:t>和萨摩亚。</w:t>
      </w:r>
    </w:p>
  </w:footnote>
  <w:footnote w:id="52">
    <w:p w14:paraId="3941F52F" w14:textId="77777777"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该论坛吸引了来自亚太地区7个国家的45名与会者（53%为妇女）。与会者包括知识产权局的高级领导，特别是孟加拉国和柬埔寨的知识产权局局长等。</w:t>
      </w:r>
    </w:p>
  </w:footnote>
  <w:footnote w:id="53">
    <w:p w14:paraId="3267D667" w14:textId="77777777"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3个非洲地区、4个在亚太地区、11个在美洲及加勒比地区、3个在转型和发达国家。</w:t>
      </w:r>
    </w:p>
  </w:footnote>
  <w:footnote w:id="54">
    <w:p w14:paraId="54990E73" w14:textId="18ED2F97" w:rsidR="00855D5E" w:rsidRPr="00140621" w:rsidRDefault="00855D5E"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PATENTSCOPE数据库可访问：</w:t>
      </w:r>
      <w:hyperlink r:id="rId26" w:history="1">
        <w:r w:rsidRPr="00140621">
          <w:rPr>
            <w:rStyle w:val="Hyperlink"/>
            <w:rFonts w:asciiTheme="minorEastAsia" w:eastAsiaTheme="minorEastAsia" w:hAnsiTheme="minorEastAsia" w:hint="eastAsia"/>
            <w:szCs w:val="22"/>
          </w:rPr>
          <w:t>patentscope.wipo.int/search/en/search.jsf</w:t>
        </w:r>
      </w:hyperlink>
    </w:p>
  </w:footnote>
  <w:footnote w:id="55">
    <w:p w14:paraId="0ECC343D" w14:textId="77777777" w:rsidR="00855D5E" w:rsidRDefault="00855D5E" w:rsidP="00140621">
      <w:pPr>
        <w:pStyle w:val="FootnoteText"/>
        <w:jc w:val="both"/>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最大申请数量为8,396项，最小申请数量为3,271项。</w:t>
      </w:r>
    </w:p>
  </w:footnote>
  <w:footnote w:id="56">
    <w:p w14:paraId="4AFCAF33" w14:textId="5E4772CB"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见文件PCT/WG/15/10，可查阅：</w:t>
      </w:r>
      <w:hyperlink r:id="rId27"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/doc_details.jsp?doc_id=583294</w:t>
        </w:r>
      </w:hyperlink>
    </w:p>
  </w:footnote>
  <w:footnote w:id="57">
    <w:p w14:paraId="5ADA035A" w14:textId="760BC5C3"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见文件SCP/34/8，可查阅：</w:t>
      </w:r>
      <w:hyperlink r:id="rId28"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/doc_details.jsp?doc_id=586551</w:t>
        </w:r>
      </w:hyperlink>
    </w:p>
  </w:footnote>
  <w:footnote w:id="58">
    <w:p w14:paraId="78BF8D00" w14:textId="3CAEB8E2" w:rsidR="00855D5E" w:rsidRDefault="00855D5E" w:rsidP="00D77568">
      <w:pPr>
        <w:pStyle w:val="FootnoteText"/>
        <w:jc w:val="both"/>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此类报告已作为一个常设项目被列入PCT工作组每届会议的议程。见关于国际局在2021年和2022年开展的PCT技术援助活动的文件PCT/WG/15/10，可查阅：</w:t>
      </w:r>
      <w:hyperlink r:id="rId29"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/doc_details.jsp?doc_id=583294</w:t>
        </w:r>
      </w:hyperlink>
    </w:p>
  </w:footnote>
  <w:footnote w:id="59">
    <w:p w14:paraId="67913C1F" w14:textId="15F79770"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见文件PCT/WG/15/10，可查阅：</w:t>
      </w:r>
      <w:hyperlink r:id="rId3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/doc_details.jsp?doc_id=583294</w:t>
        </w:r>
      </w:hyperlink>
    </w:p>
  </w:footnote>
  <w:footnote w:id="60">
    <w:p w14:paraId="49BC6CAB" w14:textId="5679554A"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见文件PCT/WG/15/7，可查阅：</w:t>
      </w:r>
      <w:hyperlink r:id="rId3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/doc_details.jsp?doc_id=582418</w:t>
        </w:r>
      </w:hyperlink>
    </w:p>
  </w:footnote>
  <w:footnote w:id="61">
    <w:p w14:paraId="5CA1BC2E" w14:textId="07C9DB2B"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见文件PCT/WG/15/4，可查阅：</w:t>
      </w:r>
      <w:hyperlink r:id="rId3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/doc_details.jsp?doc_id=580516</w:t>
        </w:r>
      </w:hyperlink>
    </w:p>
  </w:footnote>
  <w:footnote w:id="62">
    <w:p w14:paraId="43BD054E" w14:textId="7777777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例如，通过使用学习管理系统，以基于网络的电子学习平台的形式实现。</w:t>
      </w:r>
    </w:p>
  </w:footnote>
  <w:footnote w:id="63">
    <w:p w14:paraId="45815DF3" w14:textId="04A5B9D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一个来自阿拉伯地区；一个来自非洲地区；两个来自拉丁美洲及加勒比海地区；两个来自转型国家和发达国家，一个来自亚太地区。</w:t>
      </w:r>
    </w:p>
  </w:footnote>
  <w:footnote w:id="64">
    <w:p w14:paraId="0EFDFA3D" w14:textId="7777777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有些活动涉及两三种知识产权模式。</w:t>
      </w:r>
    </w:p>
  </w:footnote>
  <w:footnote w:id="65">
    <w:p w14:paraId="4075AA29" w14:textId="7777777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这些项目是与产权组织区域和国家发展部门合作实施的。</w:t>
      </w:r>
    </w:p>
  </w:footnote>
  <w:footnote w:id="66">
    <w:p w14:paraId="7D0DC2FA" w14:textId="7777777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该试点项目计划在2023年中期公开启动。</w:t>
      </w:r>
    </w:p>
  </w:footnote>
  <w:footnote w:id="67">
    <w:p w14:paraId="13FDFA18" w14:textId="77777777" w:rsidR="00855D5E" w:rsidRPr="00D77568" w:rsidRDefault="00855D5E"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一份载有对东盟成员国建议的报告将于2023年3月提交。</w:t>
      </w:r>
    </w:p>
  </w:footnote>
  <w:footnote w:id="68">
    <w:p w14:paraId="11701535" w14:textId="65E9A795" w:rsidR="00855D5E" w:rsidRPr="00191652" w:rsidRDefault="00855D5E" w:rsidP="00D77568">
      <w:pPr>
        <w:pStyle w:val="FootnoteText"/>
        <w:jc w:val="both"/>
        <w:rPr>
          <w:lang w:val="fr-CH"/>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lang w:val="fr-CH"/>
        </w:rPr>
        <w:tab/>
      </w:r>
      <w:r w:rsidRPr="00D77568">
        <w:rPr>
          <w:rFonts w:asciiTheme="minorEastAsia" w:eastAsiaTheme="minorEastAsia" w:hAnsiTheme="minorEastAsia" w:hint="eastAsia"/>
        </w:rPr>
        <w:t>一篇描述</w:t>
      </w:r>
      <w:r w:rsidRPr="00D77568">
        <w:rPr>
          <w:rFonts w:asciiTheme="minorEastAsia" w:eastAsiaTheme="minorEastAsia" w:hAnsiTheme="minorEastAsia" w:hint="eastAsia"/>
          <w:lang w:val="fr-CH"/>
        </w:rPr>
        <w:t>Madd de Casamance</w:t>
      </w:r>
      <w:r w:rsidRPr="00D77568">
        <w:rPr>
          <w:rFonts w:asciiTheme="minorEastAsia" w:eastAsiaTheme="minorEastAsia" w:hAnsiTheme="minorEastAsia" w:hint="eastAsia"/>
        </w:rPr>
        <w:t>案例的短文可参见</w:t>
      </w:r>
      <w:r w:rsidRPr="00D77568">
        <w:rPr>
          <w:rFonts w:asciiTheme="minorEastAsia" w:eastAsiaTheme="minorEastAsia" w:hAnsiTheme="minorEastAsia" w:hint="eastAsia"/>
          <w:lang w:val="fr-CH"/>
        </w:rPr>
        <w:t>：</w:t>
      </w:r>
      <w:hyperlink r:id="rId33" w:history="1">
        <w:r w:rsidRPr="000578C5">
          <w:rPr>
            <w:rStyle w:val="Hyperlink"/>
            <w:rFonts w:asciiTheme="minorEastAsia" w:eastAsiaTheme="minorEastAsia" w:hAnsiTheme="minorEastAsia" w:hint="eastAsia"/>
            <w:lang w:val="fr-CH"/>
          </w:rPr>
          <w:t>www.wipo.int/ipadvantage/</w:t>
        </w:r>
        <w:r w:rsidRPr="000578C5">
          <w:rPr>
            <w:rStyle w:val="Hyperlink"/>
            <w:rFonts w:asciiTheme="minorEastAsia" w:eastAsiaTheme="minorEastAsia" w:hAnsiTheme="minorEastAsia"/>
            <w:lang w:val="fr-CH"/>
          </w:rPr>
          <w:t>zh</w:t>
        </w:r>
        <w:r w:rsidRPr="000578C5">
          <w:rPr>
            <w:rStyle w:val="Hyperlink"/>
            <w:rFonts w:asciiTheme="minorEastAsia" w:eastAsiaTheme="minorEastAsia" w:hAnsiTheme="minorEastAsia" w:hint="eastAsia"/>
            <w:lang w:val="fr-CH"/>
          </w:rPr>
          <w:t>/details.jsp?id=11582</w:t>
        </w:r>
      </w:hyperlink>
    </w:p>
  </w:footnote>
  <w:footnote w:id="69">
    <w:p w14:paraId="13EA455C"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实地项目的落实通常是在产权组织成员国的支持（特别是产权组织中国信托基金的资金支持）以及与粮食及农业组织（粮农组织），联合国工业发展组织（工发组织）和联合国贸易和发展会议（贸发会议）等外部合作伙伴的合作下进行。</w:t>
      </w:r>
    </w:p>
  </w:footnote>
  <w:footnote w:id="70">
    <w:p w14:paraId="1D738941"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一个来自拉丁美洲及加勒比地区，两个来自非洲地区。</w:t>
      </w:r>
    </w:p>
  </w:footnote>
  <w:footnote w:id="71">
    <w:p w14:paraId="74654A3E"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3项活动在转型和发达国家，1项在阿拉伯地区。</w:t>
      </w:r>
    </w:p>
  </w:footnote>
  <w:footnote w:id="72">
    <w:p w14:paraId="6CDE1F3C"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见文件WO/GA/55/4。</w:t>
      </w:r>
    </w:p>
  </w:footnote>
  <w:footnote w:id="73">
    <w:p w14:paraId="20614499"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见文件WO/GA/55/12，第309段。</w:t>
      </w:r>
    </w:p>
  </w:footnote>
  <w:footnote w:id="74">
    <w:p w14:paraId="4E91688A" w14:textId="77777777" w:rsidR="00855D5E" w:rsidRPr="004C19C1" w:rsidRDefault="00855D5E"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即阿尔及利亚、巴西、巴基斯坦和乌干达。</w:t>
      </w:r>
    </w:p>
  </w:footnote>
  <w:footnote w:id="75">
    <w:p w14:paraId="3B64507F" w14:textId="6DFD16E7" w:rsidR="00855D5E" w:rsidRDefault="00855D5E" w:rsidP="004C19C1">
      <w:pPr>
        <w:pStyle w:val="FootnoteText"/>
        <w:jc w:val="both"/>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每个受益国一次。</w:t>
      </w:r>
    </w:p>
  </w:footnote>
  <w:footnote w:id="76">
    <w:p w14:paraId="1270F43A" w14:textId="77777777" w:rsidR="00855D5E" w:rsidRPr="00D612CE" w:rsidRDefault="00855D5E">
      <w:pPr>
        <w:pStyle w:val="FootnoteText"/>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即玻利维亚、巴西、菲律宾和突尼斯。</w:t>
      </w:r>
    </w:p>
  </w:footnote>
  <w:footnote w:id="77">
    <w:p w14:paraId="1256119E" w14:textId="4FCEEA5A" w:rsidR="00855D5E" w:rsidRDefault="00855D5E">
      <w:pPr>
        <w:pStyle w:val="FootnoteText"/>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本项目的网页可查阅：</w:t>
      </w:r>
      <w:hyperlink r:id="rId34" w:history="1">
        <w:r w:rsidRPr="00D612CE">
          <w:rPr>
            <w:rStyle w:val="Hyperlink"/>
            <w:rFonts w:asciiTheme="minorEastAsia" w:eastAsiaTheme="minorEastAsia" w:hAnsiTheme="minorEastAsia" w:hint="eastAsia"/>
          </w:rPr>
          <w:t>www.wipo.int/collective-marks/en/index.html</w:t>
        </w:r>
      </w:hyperlink>
    </w:p>
  </w:footnote>
  <w:footnote w:id="78">
    <w:p w14:paraId="0AEE84E3" w14:textId="77777777" w:rsidR="00855D5E" w:rsidRPr="00D612CE" w:rsidRDefault="00855D5E"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与产权组织知识产权和创新生态系统以及全球挑战和伙伴关系部门合作。</w:t>
      </w:r>
    </w:p>
  </w:footnote>
  <w:footnote w:id="79">
    <w:p w14:paraId="7B6CAB90" w14:textId="500155C3" w:rsidR="00855D5E" w:rsidRPr="00D612CE" w:rsidRDefault="00855D5E"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更多信息可参见：</w:t>
      </w:r>
      <w:hyperlink r:id="rId3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/topic.jsp?group_id=346</w:t>
        </w:r>
      </w:hyperlink>
    </w:p>
  </w:footnote>
  <w:footnote w:id="80">
    <w:p w14:paraId="12FEAEDF" w14:textId="5E43F63A" w:rsidR="00855D5E" w:rsidRPr="00D612CE" w:rsidRDefault="00855D5E"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更多信息可查阅：</w:t>
      </w:r>
      <w:hyperlink r:id="rId36" w:history="1">
        <w:r w:rsidRPr="00D612CE">
          <w:rPr>
            <w:rStyle w:val="Hyperlink"/>
            <w:rFonts w:asciiTheme="minorEastAsia" w:eastAsiaTheme="minorEastAsia" w:hAnsiTheme="minorEastAsia" w:hint="eastAsia"/>
          </w:rPr>
          <w:t>www.wipo.int/global-awards/en/</w:t>
        </w:r>
      </w:hyperlink>
    </w:p>
  </w:footnote>
  <w:footnote w:id="81">
    <w:p w14:paraId="4F8768B8" w14:textId="77777777" w:rsidR="00855D5E" w:rsidRPr="00D612CE" w:rsidRDefault="00855D5E"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即ABC培训和技术援助；ABC全球图书服务；以及推动无障碍出版。</w:t>
      </w:r>
    </w:p>
  </w:footnote>
  <w:footnote w:id="82">
    <w:p w14:paraId="18C92E2B" w14:textId="77777777" w:rsidR="00855D5E" w:rsidRPr="00D612CE" w:rsidRDefault="00855D5E"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20名学员已完成培训，其余学员将在2023年完成培训。</w:t>
      </w:r>
    </w:p>
  </w:footnote>
  <w:footnote w:id="83">
    <w:p w14:paraId="78FCDA7F" w14:textId="7049E77C" w:rsidR="00855D5E" w:rsidRDefault="00855D5E" w:rsidP="00D612CE">
      <w:pPr>
        <w:pStyle w:val="FootnoteText"/>
        <w:jc w:val="both"/>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如有兴趣，可在以下网址注册：</w:t>
      </w:r>
      <w:hyperlink r:id="rId37" w:history="1">
        <w:r w:rsidRPr="00D612CE">
          <w:rPr>
            <w:rStyle w:val="Hyperlink"/>
            <w:rFonts w:asciiTheme="minorEastAsia" w:eastAsiaTheme="minorEastAsia" w:hAnsiTheme="minorEastAsia" w:hint="eastAsia"/>
          </w:rPr>
          <w:t>learning.daisy.org</w:t>
        </w:r>
      </w:hyperlink>
      <w:r w:rsidRPr="00D612CE">
        <w:rPr>
          <w:rFonts w:asciiTheme="minorEastAsia" w:eastAsiaTheme="minorEastAsia" w:hAnsiTheme="minorEastAsia" w:hint="eastAsia"/>
        </w:rPr>
        <w:t>.ABC在线课程对印刷品阅读障碍者是无障碍的，有高度结构化的可导航课程内容、无障碍测验、附说明的图像和有字幕的视频。</w:t>
      </w:r>
    </w:p>
  </w:footnote>
  <w:footnote w:id="84">
    <w:p w14:paraId="175720CB" w14:textId="5E4266C6"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见文件SCCR/42/3，可查阅：</w:t>
      </w:r>
      <w:hyperlink r:id="rId3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/doc_details.jsp?doc_id=568092</w:t>
        </w:r>
      </w:hyperlink>
    </w:p>
  </w:footnote>
  <w:footnote w:id="85">
    <w:p w14:paraId="0491B988" w14:textId="346D94F8"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见文件SCCR/42/4，可查阅：</w:t>
      </w:r>
      <w:hyperlink r:id="rId3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/doc_details.jsp?doc_id=568491</w:t>
        </w:r>
      </w:hyperlink>
    </w:p>
  </w:footnote>
  <w:footnote w:id="86">
    <w:p w14:paraId="65874935" w14:textId="6AF8BC2B"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见文件SCCR/36/7，可查阅：</w:t>
      </w:r>
      <w:hyperlink r:id="rId4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/doc_details.jsp?doc_id=408219</w:t>
        </w:r>
      </w:hyperlink>
    </w:p>
  </w:footnote>
  <w:footnote w:id="87">
    <w:p w14:paraId="121055F1" w14:textId="6357A1CC"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见文件SCCR/40/2，可查阅：</w:t>
      </w:r>
      <w:hyperlink r:id="rId4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/doc_details.jsp?doc_id=515597</w:t>
        </w:r>
      </w:hyperlink>
    </w:p>
  </w:footnote>
  <w:footnote w:id="88">
    <w:p w14:paraId="17BDB04E" w14:textId="33E709C5"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w:t>
      </w:r>
      <w:r>
        <w:rPr>
          <w:rFonts w:asciiTheme="minorEastAsia" w:eastAsiaTheme="minorEastAsia" w:hAnsiTheme="minorEastAsia" w:hint="eastAsia"/>
        </w:rPr>
        <w:t>CDIP</w:t>
      </w:r>
      <w:r>
        <w:rPr>
          <w:rFonts w:asciiTheme="minorEastAsia" w:eastAsiaTheme="minorEastAsia" w:hAnsiTheme="minorEastAsia"/>
        </w:rPr>
        <w:t>/</w:t>
      </w:r>
      <w:r w:rsidRPr="00746A4F">
        <w:rPr>
          <w:rFonts w:asciiTheme="minorEastAsia" w:eastAsiaTheme="minorEastAsia" w:hAnsiTheme="minorEastAsia" w:hint="eastAsia"/>
        </w:rPr>
        <w:t>13/11，可查阅：</w:t>
      </w:r>
      <w:hyperlink r:id="rId4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/doc_details.jsp?doc_id=272841</w:t>
        </w:r>
      </w:hyperlink>
    </w:p>
  </w:footnote>
  <w:footnote w:id="89">
    <w:p w14:paraId="63216B30" w14:textId="77777777" w:rsidR="00855D5E" w:rsidRDefault="00855D5E" w:rsidP="00746A4F">
      <w:pPr>
        <w:pStyle w:val="FootnoteText"/>
        <w:jc w:val="both"/>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该项目重点关注拉丁美洲的视听市场。受益国是巴西、哥斯达黎加、阿根廷、厄瓜多尔、秘鲁和乌拉圭。</w:t>
      </w:r>
    </w:p>
  </w:footnote>
  <w:footnote w:id="90">
    <w:p w14:paraId="1419FBE3" w14:textId="416E8B4E"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见文件CDIP/28/7，可查阅：</w:t>
      </w:r>
      <w:hyperlink r:id="rId4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/doc_details.jsp?doc_id=569511</w:t>
        </w:r>
      </w:hyperlink>
    </w:p>
  </w:footnote>
  <w:footnote w:id="91">
    <w:p w14:paraId="43E0F913" w14:textId="48E306C7" w:rsidR="00855D5E" w:rsidRPr="00746A4F" w:rsidRDefault="00855D5E"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见文件CDIP/28/6，可查阅：</w:t>
      </w:r>
      <w:hyperlink r:id="rId44"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/doc_details.jsp?doc_id=569485</w:t>
        </w:r>
      </w:hyperlink>
    </w:p>
  </w:footnote>
  <w:footnote w:id="92">
    <w:p w14:paraId="28C01DED" w14:textId="77777777" w:rsidR="00855D5E" w:rsidRDefault="00855D5E" w:rsidP="00746A4F">
      <w:pPr>
        <w:pStyle w:val="FootnoteText"/>
        <w:jc w:val="both"/>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Pat-INFORMED是由产权组织、国际药品制造商和协会联合会（IFPMA）及20家领先的研究型生物制药公司在2018年发起的一项倡议。</w:t>
      </w:r>
      <w:r w:rsidRPr="00746A4F">
        <w:rPr>
          <w:rFonts w:asciiTheme="minorEastAsia" w:eastAsiaTheme="minorEastAsia" w:hAnsiTheme="minorEastAsia" w:hint="eastAsia"/>
        </w:rPr>
        <w:t>它提供了一个搜索引擎和开放存取数据库，为采购机构访问数据库和公众了解药品的专利状况提供了便利。</w:t>
      </w:r>
    </w:p>
  </w:footnote>
  <w:footnote w:id="93">
    <w:p w14:paraId="6D48E6A2" w14:textId="4887D928" w:rsidR="00855D5E" w:rsidRPr="00175541" w:rsidRDefault="00855D5E">
      <w:pPr>
        <w:pStyle w:val="FootnoteText"/>
        <w:rPr>
          <w:rFonts w:asciiTheme="minorEastAsia" w:eastAsiaTheme="minorEastAsia" w:hAnsiTheme="minorEastAsia"/>
        </w:rPr>
      </w:pPr>
      <w:r w:rsidRPr="00175541">
        <w:rPr>
          <w:rStyle w:val="FootnoteReference"/>
          <w:rFonts w:asciiTheme="minorEastAsia" w:eastAsiaTheme="minorEastAsia" w:hAnsiTheme="minorEastAsia"/>
        </w:rPr>
        <w:footnoteRef/>
      </w:r>
      <w:r w:rsidRPr="00175541">
        <w:rPr>
          <w:rFonts w:asciiTheme="minorEastAsia" w:eastAsiaTheme="minorEastAsia" w:hAnsiTheme="minorEastAsia"/>
          <w:szCs w:val="18"/>
        </w:rPr>
        <w:tab/>
      </w:r>
      <w:r w:rsidRPr="00175541">
        <w:rPr>
          <w:rFonts w:asciiTheme="minorEastAsia" w:eastAsiaTheme="minorEastAsia" w:hAnsiTheme="minorEastAsia" w:hint="eastAsia"/>
        </w:rPr>
        <w:t>更多信息可查阅：</w:t>
      </w:r>
      <w:hyperlink r:id="rId45" w:history="1">
        <w:r w:rsidRPr="00175541">
          <w:rPr>
            <w:rStyle w:val="Hyperlink"/>
            <w:rFonts w:asciiTheme="minorEastAsia" w:eastAsiaTheme="minorEastAsia" w:hAnsiTheme="minorEastAsia" w:hint="eastAsia"/>
          </w:rPr>
          <w:t>www.wipo.int/global_ip/en/activities/ip_office_business_solutions/</w:t>
        </w:r>
      </w:hyperlink>
    </w:p>
  </w:footnote>
  <w:footnote w:id="94">
    <w:p w14:paraId="20C4D761" w14:textId="1EA2BDB5" w:rsidR="00855D5E" w:rsidRDefault="00855D5E">
      <w:pPr>
        <w:pStyle w:val="FootnoteText"/>
      </w:pPr>
      <w:r w:rsidRPr="00175541">
        <w:rPr>
          <w:rStyle w:val="FootnoteReference"/>
          <w:rFonts w:asciiTheme="minorEastAsia" w:eastAsiaTheme="minorEastAsia" w:hAnsiTheme="minorEastAsia"/>
        </w:rPr>
        <w:footnoteRef/>
      </w:r>
      <w:r w:rsidRPr="00175541">
        <w:rPr>
          <w:rFonts w:asciiTheme="minorEastAsia" w:eastAsiaTheme="minorEastAsia" w:hAnsiTheme="minorEastAsia"/>
          <w:szCs w:val="18"/>
        </w:rPr>
        <w:tab/>
      </w:r>
      <w:r w:rsidRPr="00175541">
        <w:rPr>
          <w:rFonts w:asciiTheme="minorEastAsia" w:eastAsiaTheme="minorEastAsia" w:hAnsiTheme="minorEastAsia" w:hint="eastAsia"/>
        </w:rPr>
        <w:t>关于该会议的联合新闻可查阅：</w:t>
      </w:r>
      <w:hyperlink r:id="rId46" w:history="1">
        <w:r w:rsidRPr="00175541">
          <w:rPr>
            <w:rStyle w:val="Hyperlink"/>
            <w:rFonts w:asciiTheme="minorEastAsia" w:eastAsiaTheme="minorEastAsia" w:hAnsiTheme="minorEastAsia" w:hint="eastAsia"/>
          </w:rPr>
          <w:t>www.wto.org/english/news_e/news22_e/igo_01feb22_e.htm</w:t>
        </w:r>
      </w:hyperlink>
    </w:p>
  </w:footnote>
  <w:footnote w:id="95">
    <w:p w14:paraId="3A8767E6" w14:textId="64548AFD" w:rsidR="00855D5E" w:rsidRPr="00F165A7" w:rsidRDefault="00855D5E">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7"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/details.jsp?meeting_id=65948</w:t>
        </w:r>
      </w:hyperlink>
    </w:p>
  </w:footnote>
  <w:footnote w:id="96">
    <w:p w14:paraId="77A9BD37" w14:textId="1A64FBA1" w:rsidR="00855D5E" w:rsidRPr="00F165A7" w:rsidRDefault="00855D5E">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/details.jsp?meeting_id=69028</w:t>
        </w:r>
      </w:hyperlink>
    </w:p>
  </w:footnote>
  <w:footnote w:id="97">
    <w:p w14:paraId="45CCDEF1" w14:textId="2F1622A9" w:rsidR="00855D5E" w:rsidRPr="00F165A7" w:rsidRDefault="00855D5E">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/details.jsp?meeting_id=73869</w:t>
        </w:r>
      </w:hyperlink>
    </w:p>
  </w:footnote>
  <w:footnote w:id="98">
    <w:p w14:paraId="5F91960C" w14:textId="7F3C78B2" w:rsidR="00855D5E" w:rsidRPr="00F165A7" w:rsidRDefault="00855D5E">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平台可访问：</w:t>
      </w:r>
      <w:hyperlink r:id="rId50" w:history="1">
        <w:r w:rsidRPr="00F165A7">
          <w:rPr>
            <w:rStyle w:val="Hyperlink"/>
            <w:rFonts w:asciiTheme="minorEastAsia" w:eastAsiaTheme="minorEastAsia" w:hAnsiTheme="minorEastAsia" w:hint="eastAsia"/>
          </w:rPr>
          <w:t>www.who-wipo-wto-trilateral.org/</w:t>
        </w:r>
      </w:hyperlink>
    </w:p>
  </w:footnote>
  <w:footnote w:id="99">
    <w:p w14:paraId="6F3623AC" w14:textId="77777777" w:rsidR="00855D5E" w:rsidRPr="00F165A7" w:rsidRDefault="00855D5E">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大师班讨论了女企业家面临的一些挑战，包括性别陈规定型观念、获得资金的机会有限、缺乏数字和创业技能以及对知识产权注册的认识不足。</w:t>
      </w:r>
    </w:p>
  </w:footnote>
  <w:footnote w:id="100">
    <w:p w14:paraId="0B036B1C" w14:textId="4DEF338F" w:rsidR="00855D5E" w:rsidRDefault="00855D5E">
      <w:pPr>
        <w:pStyle w:val="FootnoteText"/>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网页可访问：</w:t>
      </w:r>
      <w:hyperlink r:id="rId51" w:history="1">
        <w:r w:rsidRPr="000578C5">
          <w:rPr>
            <w:rStyle w:val="Hyperlink"/>
            <w:rFonts w:asciiTheme="minorEastAsia" w:eastAsiaTheme="minorEastAsia" w:hAnsiTheme="minorEastAsia" w:hint="eastAsia"/>
          </w:rPr>
          <w:t>www.wipo.int/ip-outreach/</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/ipday/2022/youth-gallery.html</w:t>
        </w:r>
      </w:hyperlink>
    </w:p>
  </w:footnote>
  <w:footnote w:id="101">
    <w:p w14:paraId="1D30BAC2" w14:textId="473E563A"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52" w:history="1">
        <w:r w:rsidRPr="003008E4">
          <w:rPr>
            <w:rStyle w:val="Hyperlink"/>
            <w:rFonts w:asciiTheme="minorEastAsia" w:eastAsiaTheme="minorEastAsia" w:hAnsiTheme="minorEastAsia" w:hint="eastAsia"/>
          </w:rPr>
          <w:t>www.wipo.int/ip-outreach/en/ipday/2022/international-youth-day-2022.html</w:t>
        </w:r>
      </w:hyperlink>
    </w:p>
  </w:footnote>
  <w:footnote w:id="102">
    <w:p w14:paraId="7179770B" w14:textId="6C99C831"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53" w:history="1">
        <w:r w:rsidRPr="003008E4">
          <w:rPr>
            <w:rStyle w:val="Hyperlink"/>
            <w:rFonts w:asciiTheme="minorEastAsia" w:eastAsiaTheme="minorEastAsia" w:hAnsiTheme="minorEastAsia" w:hint="eastAsia"/>
          </w:rPr>
          <w:t>www.wipo.int/ip-outreach/en/ipday/2022/youth-movie-night.html</w:t>
        </w:r>
      </w:hyperlink>
    </w:p>
  </w:footnote>
  <w:footnote w:id="103">
    <w:p w14:paraId="5BD8E7A4" w14:textId="62A1F86F"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4" w:history="1">
        <w:r w:rsidRPr="003008E4">
          <w:rPr>
            <w:rStyle w:val="Hyperlink"/>
            <w:rFonts w:asciiTheme="minorEastAsia" w:eastAsiaTheme="minorEastAsia" w:hAnsiTheme="minorEastAsia" w:hint="eastAsia"/>
          </w:rPr>
          <w:t>www.wipo.int/ip-outreach/en/ipday/2022/youth-art-and-innovation-fair.html</w:t>
        </w:r>
      </w:hyperlink>
    </w:p>
  </w:footnote>
  <w:footnote w:id="104">
    <w:p w14:paraId="2B3B6827" w14:textId="7AC4A53E"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网播可查阅：</w:t>
      </w:r>
      <w:hyperlink r:id="rId55" w:history="1">
        <w:r w:rsidRPr="003008E4">
          <w:rPr>
            <w:rStyle w:val="Hyperlink"/>
            <w:rFonts w:asciiTheme="minorEastAsia" w:eastAsiaTheme="minorEastAsia" w:hAnsiTheme="minorEastAsia" w:hint="eastAsia"/>
          </w:rPr>
          <w:t>webcast.wipo.int/video/WIPO_WIPD_2022_2022-04-26_PM_115159</w:t>
        </w:r>
      </w:hyperlink>
    </w:p>
  </w:footnote>
  <w:footnote w:id="105">
    <w:p w14:paraId="21177763" w14:textId="65044371"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6" w:history="1">
        <w:r w:rsidRPr="003008E4">
          <w:rPr>
            <w:rStyle w:val="Hyperlink"/>
            <w:rFonts w:asciiTheme="minorEastAsia" w:eastAsiaTheme="minorEastAsia" w:hAnsiTheme="minorEastAsia" w:hint="eastAsia"/>
          </w:rPr>
          <w:t>www.itu.int/net4/wsis/forum/2022/Agenda/Session/262</w:t>
        </w:r>
      </w:hyperlink>
    </w:p>
  </w:footnote>
  <w:footnote w:id="106">
    <w:p w14:paraId="1C4BD4ED" w14:textId="6F9C3312"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7" w:history="1">
        <w:r w:rsidRPr="003008E4">
          <w:rPr>
            <w:rStyle w:val="Hyperlink"/>
            <w:rFonts w:asciiTheme="minorEastAsia" w:eastAsiaTheme="minorEastAsia" w:hAnsiTheme="minorEastAsia" w:hint="eastAsia"/>
          </w:rPr>
          <w:t>www.wto.org/english/news_e/news22_e/pf22_30sep22_e.htm</w:t>
        </w:r>
      </w:hyperlink>
    </w:p>
  </w:footnote>
  <w:footnote w:id="107">
    <w:p w14:paraId="24345846" w14:textId="56601E64"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8" w:history="1">
        <w:r w:rsidRPr="003008E4">
          <w:rPr>
            <w:rStyle w:val="Hyperlink"/>
            <w:rFonts w:asciiTheme="minorEastAsia" w:eastAsiaTheme="minorEastAsia" w:hAnsiTheme="minorEastAsia" w:hint="eastAsia"/>
          </w:rPr>
          <w:t>unece.org/info/events/event/373517</w:t>
        </w:r>
      </w:hyperlink>
    </w:p>
  </w:footnote>
  <w:footnote w:id="108">
    <w:p w14:paraId="072B368C" w14:textId="407ACF0D"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关于WIPO GREEN合作伙伴的更多信息可查阅：</w:t>
      </w:r>
      <w:hyperlink r:id="rId59" w:history="1">
        <w:r w:rsidRPr="003008E4">
          <w:rPr>
            <w:rStyle w:val="Hyperlink"/>
            <w:rFonts w:asciiTheme="minorEastAsia" w:eastAsiaTheme="minorEastAsia" w:hAnsiTheme="minorEastAsia" w:hint="eastAsia"/>
          </w:rPr>
          <w:t>www3.wipo.int/wipogreen/en/partners/</w:t>
        </w:r>
      </w:hyperlink>
    </w:p>
  </w:footnote>
  <w:footnote w:id="109">
    <w:p w14:paraId="1FD8466B" w14:textId="77777777"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自2013年推出以来，该平台已为网络成员之间的1,000多次联系提供了便利。</w:t>
      </w:r>
    </w:p>
  </w:footnote>
  <w:footnote w:id="110">
    <w:p w14:paraId="47123B21" w14:textId="050B5E6F"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WIPO GREEN加速项目可访问：www3.</w:t>
      </w:r>
      <w:r>
        <w:rPr>
          <w:rFonts w:asciiTheme="minorEastAsia" w:eastAsiaTheme="minorEastAsia" w:hAnsiTheme="minorEastAsia" w:hint="eastAsia"/>
        </w:rPr>
        <w:t>wipo.int/wipogreen/en/projects/</w:t>
      </w:r>
    </w:p>
  </w:footnote>
  <w:footnote w:id="111">
    <w:p w14:paraId="21734D09" w14:textId="77777777"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阿根廷、巴西、智利和秘鲁的国家知识产权局和其他政府实体是该项目合作伙伴。</w:t>
      </w:r>
    </w:p>
  </w:footnote>
  <w:footnote w:id="112">
    <w:p w14:paraId="5F5F2942" w14:textId="77777777"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这些气候变化需求包括能源、水、污染和废物挑战，可在WIPO GREEN平台中的中国城市库中找到。</w:t>
      </w:r>
    </w:p>
  </w:footnote>
  <w:footnote w:id="113">
    <w:p w14:paraId="60BEC4C2" w14:textId="4265EEB4" w:rsidR="00855D5E" w:rsidRDefault="00855D5E">
      <w:pPr>
        <w:pStyle w:val="FootnoteText"/>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报告可查阅：</w:t>
      </w:r>
      <w:hyperlink r:id="rId60" w:history="1">
        <w:r w:rsidRPr="003008E4">
          <w:rPr>
            <w:rStyle w:val="Hyperlink"/>
            <w:rFonts w:asciiTheme="minorEastAsia" w:eastAsiaTheme="minorEastAsia" w:hAnsiTheme="minorEastAsia" w:hint="eastAsia"/>
          </w:rPr>
          <w:t>www.wipo.int/publications/en/details.jsp?id=4583</w:t>
        </w:r>
      </w:hyperlink>
    </w:p>
  </w:footnote>
  <w:footnote w:id="114">
    <w:p w14:paraId="118F2304" w14:textId="5B834615"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该书可查阅：</w:t>
      </w:r>
      <w:hyperlink r:id="rId61" w:history="1">
        <w:r w:rsidRPr="003008E4">
          <w:rPr>
            <w:rStyle w:val="Hyperlink"/>
            <w:rFonts w:asciiTheme="minorEastAsia" w:eastAsiaTheme="minorEastAsia" w:hAnsiTheme="minorEastAsia" w:hint="eastAsia"/>
          </w:rPr>
          <w:t>www.wipo.int/en/green-technology-book/</w:t>
        </w:r>
      </w:hyperlink>
    </w:p>
  </w:footnote>
  <w:footnote w:id="115">
    <w:p w14:paraId="3B3F1071" w14:textId="56247389" w:rsidR="00855D5E" w:rsidRPr="003008E4" w:rsidRDefault="00855D5E" w:rsidP="003008E4">
      <w:pPr>
        <w:pStyle w:val="FootnoteText"/>
        <w:jc w:val="both"/>
        <w:rPr>
          <w:rStyle w:val="Hyperlink"/>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62" w:history="1">
        <w:r w:rsidRPr="003008E4">
          <w:rPr>
            <w:rStyle w:val="Hyperlink"/>
            <w:rFonts w:asciiTheme="minorEastAsia" w:eastAsiaTheme="minorEastAsia" w:hAnsiTheme="minorEastAsia" w:hint="eastAsia"/>
          </w:rPr>
          <w:t>www3.wipo.int/wipogreen/en/ipo-green/</w:t>
        </w:r>
      </w:hyperlink>
    </w:p>
  </w:footnote>
  <w:footnote w:id="116">
    <w:p w14:paraId="7D669D88" w14:textId="77777777"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知识产权管理诊所是与产权组织知识产权和创新生态系统部门合作组织的。</w:t>
      </w:r>
    </w:p>
  </w:footnote>
  <w:footnote w:id="117">
    <w:p w14:paraId="64B66C7B" w14:textId="4F713BCA"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见文件WIPO/ACE/12/14，可查阅：</w:t>
      </w:r>
      <w:hyperlink r:id="rId6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/doc_details.jsp?doc_id=372936</w:t>
        </w:r>
      </w:hyperlink>
    </w:p>
  </w:footnote>
  <w:footnote w:id="118">
    <w:p w14:paraId="456C911C" w14:textId="77777777"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非洲地区5个，亚洲及太平洋地区1个，拉丁美洲及加勒比地区1个，经济转型国家1个。</w:t>
      </w:r>
    </w:p>
  </w:footnote>
  <w:footnote w:id="119">
    <w:p w14:paraId="7107C49F" w14:textId="77777777"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非洲地区3次，阿拉伯地区3次，亚洲及太平洋地区1次，经济转型国家1次。</w:t>
      </w:r>
    </w:p>
  </w:footnote>
  <w:footnote w:id="120">
    <w:p w14:paraId="520F05B7" w14:textId="5F767F5E" w:rsidR="00855D5E" w:rsidRPr="003008E4" w:rsidRDefault="00855D5E"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见文件</w:t>
      </w:r>
      <w:hyperlink r:id="rId64" w:history="1">
        <w:r w:rsidRPr="003008E4">
          <w:rPr>
            <w:rFonts w:asciiTheme="minorEastAsia" w:eastAsiaTheme="minorEastAsia" w:hAnsiTheme="minorEastAsia" w:hint="eastAsia"/>
          </w:rPr>
          <w:t>WIPO/ACE/11/10</w:t>
        </w:r>
      </w:hyperlink>
      <w:r w:rsidRPr="003008E4">
        <w:rPr>
          <w:rFonts w:asciiTheme="minorEastAsia" w:eastAsiaTheme="minorEastAsia" w:hAnsiTheme="minorEastAsia" w:hint="eastAsia"/>
        </w:rPr>
        <w:t>，可查阅：</w:t>
      </w:r>
      <w:hyperlink r:id="rId6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/doc_details.jsp?doc_id=340916</w:t>
        </w:r>
      </w:hyperlink>
      <w:r w:rsidRPr="003008E4">
        <w:rPr>
          <w:rFonts w:asciiTheme="minorEastAsia" w:eastAsiaTheme="minorEastAsia" w:hAnsiTheme="minorEastAsia" w:hint="eastAsia"/>
        </w:rPr>
        <w:t>，培训和宣传活动可查阅：</w:t>
      </w:r>
      <w:r w:rsidRPr="003008E4">
        <w:rPr>
          <w:rStyle w:val="Hyperlink"/>
          <w:rFonts w:asciiTheme="minorEastAsia" w:eastAsiaTheme="minorEastAsia" w:hAnsiTheme="minorEastAsia" w:hint="eastAsia"/>
          <w:szCs w:val="22"/>
        </w:rPr>
        <w:t>www.wipo.int/enforcement/en/activities/current.html</w:t>
      </w:r>
    </w:p>
  </w:footnote>
  <w:footnote w:id="121">
    <w:p w14:paraId="255B245C" w14:textId="77777777" w:rsidR="00855D5E" w:rsidRDefault="00855D5E" w:rsidP="003008E4">
      <w:pPr>
        <w:pStyle w:val="FootnoteText"/>
        <w:jc w:val="both"/>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即印度尼西亚、马来西亚、泰国、越南、菲律宾和新加坡。</w:t>
      </w:r>
    </w:p>
  </w:footnote>
  <w:footnote w:id="122">
    <w:p w14:paraId="348E9FF6" w14:textId="60011A8E" w:rsidR="00855D5E" w:rsidRPr="003A07B5" w:rsidRDefault="00855D5E"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color w:val="000000" w:themeColor="text1"/>
          <w:szCs w:val="22"/>
        </w:rPr>
        <w:t>网站可访问：</w:t>
      </w:r>
      <w:hyperlink r:id="rId66" w:history="1">
        <w:r w:rsidRPr="003A07B5">
          <w:rPr>
            <w:rStyle w:val="Hyperlink"/>
            <w:rFonts w:asciiTheme="minorEastAsia" w:eastAsiaTheme="minorEastAsia" w:hAnsiTheme="minorEastAsia" w:hint="eastAsia"/>
          </w:rPr>
          <w:t>respectforip.org/</w:t>
        </w:r>
      </w:hyperlink>
    </w:p>
  </w:footnote>
  <w:footnote w:id="123">
    <w:p w14:paraId="5E9B5F3B" w14:textId="25649886" w:rsidR="00855D5E" w:rsidRPr="003A07B5" w:rsidRDefault="00855D5E"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更多信息可参见：</w:t>
      </w:r>
      <w:hyperlink r:id="rId67" w:history="1">
        <w:r w:rsidRPr="000578C5">
          <w:rPr>
            <w:rStyle w:val="Hyperlink"/>
            <w:rFonts w:asciiTheme="minorEastAsia" w:eastAsiaTheme="minorEastAsia" w:hAnsiTheme="minorEastAsia" w:hint="eastAsia"/>
          </w:rPr>
          <w:t>www.wipo.int/tk/</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/youth_prize.html</w:t>
        </w:r>
      </w:hyperlink>
    </w:p>
  </w:footnote>
  <w:footnote w:id="124">
    <w:p w14:paraId="09A1437D" w14:textId="1F3C057A" w:rsidR="00855D5E" w:rsidRPr="003A07B5" w:rsidRDefault="00855D5E"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更多信息可参见：</w:t>
      </w:r>
      <w:hyperlink r:id="rId68" w:history="1">
        <w:r w:rsidRPr="003A07B5">
          <w:rPr>
            <w:rStyle w:val="Hyperlink"/>
            <w:rFonts w:asciiTheme="minorEastAsia" w:eastAsiaTheme="minorEastAsia" w:hAnsiTheme="minorEastAsia" w:hint="eastAsia"/>
          </w:rPr>
          <w:t>mailchi.mp/wipo.int/traditional-knowledge-update-192022-strengthening-the-capacity-of-community-enterprises-from-indigenous-peoples-and-local-communities</w:t>
        </w:r>
      </w:hyperlink>
    </w:p>
  </w:footnote>
  <w:footnote w:id="125">
    <w:p w14:paraId="0AA6B8DA" w14:textId="77777777" w:rsidR="00855D5E" w:rsidRPr="003A07B5" w:rsidRDefault="00855D5E"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2021年10月，产权组织大会同意延长政府间委员会2022-2023两年期的任务授权，并同意政府间委员会2022-2023两年期的工作计划。</w:t>
      </w:r>
    </w:p>
  </w:footnote>
  <w:footnote w:id="126">
    <w:p w14:paraId="390E3DA4" w14:textId="5CAAE705" w:rsidR="00855D5E" w:rsidRDefault="00855D5E" w:rsidP="003A07B5">
      <w:pPr>
        <w:pStyle w:val="FootnoteText"/>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国际研讨会由产权组织中国信托基金（FIT）资助。更多信息可查阅：</w:t>
      </w:r>
      <w:hyperlink r:id="rId6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/details.jsp?meeting_id=74409</w:t>
        </w:r>
      </w:hyperlink>
    </w:p>
  </w:footnote>
  <w:footnote w:id="127">
    <w:p w14:paraId="725F8A20" w14:textId="236D9285" w:rsidR="00855D5E" w:rsidRPr="00905F05" w:rsidRDefault="00855D5E"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产权组织的“知识产权与竞争政策”网页可访问：</w:t>
      </w:r>
      <w:hyperlink r:id="rId70" w:history="1">
        <w:r w:rsidRPr="000578C5">
          <w:rPr>
            <w:rStyle w:val="Hyperlink"/>
            <w:rFonts w:asciiTheme="minorEastAsia" w:eastAsiaTheme="minorEastAsia" w:hAnsiTheme="minorEastAsia" w:hint="eastAsia"/>
          </w:rPr>
          <w:t>www.wipo.int/ip-competition/</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w:t>
        </w:r>
      </w:hyperlink>
    </w:p>
  </w:footnote>
  <w:footnote w:id="128">
    <w:p w14:paraId="5642EDC0" w14:textId="3D9ABAC7" w:rsidR="00855D5E" w:rsidRPr="00905F05" w:rsidRDefault="00855D5E"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2022年11月23日，举行了关于创新和竞争可持续性的网络研讨会。</w:t>
      </w:r>
      <w:r w:rsidRPr="00905F05">
        <w:rPr>
          <w:rFonts w:asciiTheme="minorEastAsia" w:eastAsiaTheme="minorEastAsia" w:hAnsiTheme="minorEastAsia" w:hint="eastAsia"/>
        </w:rPr>
        <w:t>更多详细信息可查阅：</w:t>
      </w:r>
      <w:hyperlink r:id="rId7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/details.jsp?meeting_id=74548</w:t>
        </w:r>
      </w:hyperlink>
    </w:p>
  </w:footnote>
  <w:footnote w:id="129">
    <w:p w14:paraId="60A7CFF7" w14:textId="77777777" w:rsidR="00855D5E" w:rsidRPr="00905F05" w:rsidRDefault="00855D5E"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该项目计划于2023年完成。</w:t>
      </w:r>
    </w:p>
  </w:footnote>
  <w:footnote w:id="130">
    <w:p w14:paraId="20E2222E" w14:textId="73FC428D" w:rsidR="00855D5E" w:rsidRPr="00905F05" w:rsidRDefault="00855D5E"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关于产权组织知识产权诊断的更多信息可参见：</w:t>
      </w:r>
      <w:hyperlink r:id="rId72" w:history="1">
        <w:r w:rsidRPr="000578C5">
          <w:rPr>
            <w:rStyle w:val="Hyperlink"/>
            <w:rFonts w:asciiTheme="minorEastAsia" w:eastAsiaTheme="minorEastAsia" w:hAnsiTheme="minorEastAsia" w:hint="eastAsia"/>
          </w:rPr>
          <w:t>www.wipo.int/ipdiagnostics/</w:t>
        </w:r>
        <w:r w:rsidRPr="000578C5">
          <w:rPr>
            <w:rStyle w:val="Hyperlink"/>
            <w:rFonts w:asciiTheme="minorEastAsia" w:eastAsiaTheme="minorEastAsia" w:hAnsiTheme="minorEastAsia"/>
          </w:rPr>
          <w:t>zh</w:t>
        </w:r>
      </w:hyperlink>
    </w:p>
  </w:footnote>
  <w:footnote w:id="131">
    <w:p w14:paraId="1E460452" w14:textId="77777777" w:rsidR="00855D5E" w:rsidRPr="00905F05" w:rsidRDefault="00855D5E"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即《发明未来》《注重外观》《创造一个商标》《创造性表达》被译为泰语，《创造性表达》同时也被译为伊拉克语和拉脱维亚语。</w:t>
      </w:r>
    </w:p>
  </w:footnote>
  <w:footnote w:id="132">
    <w:p w14:paraId="7F208DCF" w14:textId="77777777" w:rsidR="00855D5E" w:rsidRDefault="00855D5E" w:rsidP="00905F05">
      <w:pPr>
        <w:pStyle w:val="FootnoteText"/>
        <w:jc w:val="both"/>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即智利、哥伦比亚、厄瓜多尔、摩洛哥、秘鲁、菲律宾和南非。</w:t>
      </w:r>
    </w:p>
  </w:footnote>
  <w:footnote w:id="133">
    <w:p w14:paraId="1EED3E1B" w14:textId="77777777" w:rsidR="00855D5E" w:rsidRPr="00905F05" w:rsidRDefault="00855D5E">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企业家在线网络是与产权组织区域和国家发展部门联合推出的一项举措。</w:t>
      </w:r>
    </w:p>
  </w:footnote>
  <w:footnote w:id="134">
    <w:p w14:paraId="0E7447AF" w14:textId="2F920865" w:rsidR="00855D5E" w:rsidRPr="00905F05" w:rsidRDefault="00855D5E">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更多信息可参见：</w:t>
      </w:r>
      <w:hyperlink r:id="rId7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/topic.jsp?group_id=360</w:t>
        </w:r>
      </w:hyperlink>
    </w:p>
  </w:footnote>
  <w:footnote w:id="135">
    <w:p w14:paraId="1DEECF0E" w14:textId="77777777" w:rsidR="00855D5E" w:rsidRPr="00905F05" w:rsidRDefault="00855D5E">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该工具包预计将于2023年完成。</w:t>
      </w:r>
    </w:p>
  </w:footnote>
  <w:footnote w:id="136">
    <w:p w14:paraId="6D8A14B0" w14:textId="06C078A7" w:rsidR="00855D5E" w:rsidRPr="00905F05" w:rsidRDefault="00855D5E">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该目录可查阅：</w:t>
      </w:r>
      <w:hyperlink r:id="rId74" w:history="1">
        <w:r w:rsidRPr="00905F05">
          <w:rPr>
            <w:rStyle w:val="Hyperlink"/>
            <w:rFonts w:asciiTheme="minorEastAsia" w:eastAsiaTheme="minorEastAsia" w:hAnsiTheme="minorEastAsia" w:hint="eastAsia"/>
          </w:rPr>
          <w:t>www.wipo.int/tisc/en/search/</w:t>
        </w:r>
      </w:hyperlink>
    </w:p>
  </w:footnote>
  <w:footnote w:id="137">
    <w:p w14:paraId="6548A483" w14:textId="1058D732" w:rsidR="00855D5E" w:rsidRDefault="00855D5E">
      <w:pPr>
        <w:pStyle w:val="FootnoteText"/>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关于“创新性别差距”的更多信息，可参见：</w:t>
      </w:r>
      <w:hyperlink r:id="rId75" w:history="1">
        <w:r w:rsidRPr="000578C5">
          <w:rPr>
            <w:rStyle w:val="Hyperlink"/>
            <w:rFonts w:asciiTheme="minorEastAsia" w:eastAsiaTheme="minorEastAsia" w:hAnsiTheme="minorEastAsia" w:hint="eastAsia"/>
          </w:rPr>
          <w:t>www.wipo.int/about-ip/</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/ip_innovation_economics/gender_innovation_gap/</w:t>
        </w:r>
      </w:hyperlink>
    </w:p>
  </w:footnote>
  <w:footnote w:id="138">
    <w:p w14:paraId="2EDC2A1B" w14:textId="3B445E19"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关于该论坛的更多信息，可参见：</w:t>
      </w:r>
      <w:hyperlink r:id="rId76"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/2022/judgesforum2022.html</w:t>
        </w:r>
      </w:hyperlink>
    </w:p>
  </w:footnote>
  <w:footnote w:id="139">
    <w:p w14:paraId="4F481298" w14:textId="77777777"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即多米尼加共和国、埃及、摩洛哥和坦桑尼亚联合共和国。</w:t>
      </w:r>
    </w:p>
  </w:footnote>
  <w:footnote w:id="140">
    <w:p w14:paraId="1AFE2152" w14:textId="48DAC31E"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WIPO Lex的网站可查阅：</w:t>
      </w:r>
      <w:hyperlink r:id="rId77" w:history="1">
        <w:r w:rsidRPr="00855D5E">
          <w:rPr>
            <w:rStyle w:val="Hyperlink"/>
            <w:rFonts w:asciiTheme="minorEastAsia" w:eastAsiaTheme="minorEastAsia" w:hAnsiTheme="minorEastAsia" w:hint="eastAsia"/>
          </w:rPr>
          <w:t>www.wipo.int/wipolex</w:t>
        </w:r>
      </w:hyperlink>
    </w:p>
  </w:footnote>
  <w:footnote w:id="141">
    <w:p w14:paraId="225100F0" w14:textId="77777777"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hint="eastAsia"/>
        </w:rPr>
        <w:t xml:space="preserve"> </w:t>
      </w:r>
      <w:r w:rsidRPr="00855D5E">
        <w:rPr>
          <w:rFonts w:asciiTheme="minorEastAsia" w:eastAsiaTheme="minorEastAsia" w:hAnsiTheme="minorEastAsia"/>
          <w:szCs w:val="18"/>
        </w:rPr>
        <w:tab/>
      </w:r>
      <w:r w:rsidRPr="00855D5E">
        <w:rPr>
          <w:rStyle w:val="null"/>
          <w:rFonts w:asciiTheme="minorEastAsia" w:eastAsiaTheme="minorEastAsia" w:hAnsiTheme="minorEastAsia" w:hint="eastAsia"/>
          <w:szCs w:val="22"/>
        </w:rPr>
        <w:t>阿尔巴尼亚、埃及、联合王国和坦桑尼亚联合共和国。</w:t>
      </w:r>
    </w:p>
  </w:footnote>
  <w:footnote w:id="142">
    <w:p w14:paraId="189DA8DE" w14:textId="77777777"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由非洲地区知识产权组织（ARIPO）的成员国、东南亚国家联盟（东盟）和阿拉伯地区国家的网络组成。</w:t>
      </w:r>
    </w:p>
  </w:footnote>
  <w:footnote w:id="143">
    <w:p w14:paraId="73641088" w14:textId="0B7C2E2B"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WIPO INSPIRE可访问：</w:t>
      </w:r>
      <w:hyperlink r:id="rId78" w:history="1">
        <w:r w:rsidRPr="00855D5E">
          <w:rPr>
            <w:rStyle w:val="Hyperlink"/>
            <w:rFonts w:asciiTheme="minorEastAsia" w:eastAsiaTheme="minorEastAsia" w:hAnsiTheme="minorEastAsia" w:hint="eastAsia"/>
          </w:rPr>
          <w:t>inspire.wipo.int</w:t>
        </w:r>
      </w:hyperlink>
    </w:p>
  </w:footnote>
  <w:footnote w:id="144">
    <w:p w14:paraId="60DB20F9" w14:textId="3603DA0C"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数据库报告门户网站可查阅：</w:t>
      </w:r>
      <w:hyperlink r:id="rId79" w:history="1">
        <w:r w:rsidRPr="00855D5E">
          <w:rPr>
            <w:rStyle w:val="Hyperlink"/>
            <w:rFonts w:asciiTheme="minorEastAsia" w:eastAsiaTheme="minorEastAsia" w:hAnsiTheme="minorEastAsia" w:hint="eastAsia"/>
          </w:rPr>
          <w:t>inspire.wipo.int/wipo-inspire</w:t>
        </w:r>
      </w:hyperlink>
    </w:p>
  </w:footnote>
  <w:footnote w:id="145">
    <w:p w14:paraId="518CDC21" w14:textId="4CD0E190"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技术与创新支持中心网页可查阅：</w:t>
      </w:r>
      <w:hyperlink r:id="rId80" w:history="1">
        <w:r w:rsidRPr="000578C5">
          <w:rPr>
            <w:rStyle w:val="Hyperlink"/>
            <w:rFonts w:asciiTheme="minorEastAsia" w:eastAsiaTheme="minorEastAsia" w:hAnsiTheme="minorEastAsia" w:hint="eastAsia"/>
          </w:rPr>
          <w:t>www.wipo.int/tisc/</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w:t>
        </w:r>
      </w:hyperlink>
    </w:p>
  </w:footnote>
  <w:footnote w:id="146">
    <w:p w14:paraId="23E5B881" w14:textId="046A3E0A"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产权组织eTISC平台可查阅：</w:t>
      </w:r>
      <w:hyperlink r:id="rId81" w:history="1">
        <w:r w:rsidRPr="00855D5E">
          <w:rPr>
            <w:rStyle w:val="Hyperlink"/>
            <w:rFonts w:asciiTheme="minorEastAsia" w:eastAsiaTheme="minorEastAsia" w:hAnsiTheme="minorEastAsia" w:hint="eastAsia"/>
          </w:rPr>
          <w:t>etisc.wipo.int</w:t>
        </w:r>
      </w:hyperlink>
      <w:r w:rsidRPr="00855D5E">
        <w:rPr>
          <w:rFonts w:asciiTheme="minorEastAsia" w:eastAsiaTheme="minorEastAsia" w:hAnsiTheme="minorEastAsia" w:hint="eastAsia"/>
        </w:rPr>
        <w:t xml:space="preserve"> </w:t>
      </w:r>
    </w:p>
  </w:footnote>
  <w:footnote w:id="147">
    <w:p w14:paraId="3EE3F086" w14:textId="16A7CB55" w:rsidR="00855D5E" w:rsidRPr="00855D5E" w:rsidRDefault="00855D5E"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最初的试点在2022年底开始。</w:t>
      </w:r>
    </w:p>
  </w:footnote>
  <w:footnote w:id="148">
    <w:p w14:paraId="498F1F58" w14:textId="7ADAA83F" w:rsidR="00855D5E" w:rsidRDefault="00855D5E" w:rsidP="00855D5E">
      <w:pPr>
        <w:pStyle w:val="FootnoteText"/>
        <w:jc w:val="both"/>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更多信息可参见：</w:t>
      </w:r>
      <w:hyperlink r:id="rId82" w:history="1">
        <w:r w:rsidRPr="00855D5E">
          <w:rPr>
            <w:rStyle w:val="Hyperlink"/>
            <w:rFonts w:asciiTheme="minorEastAsia" w:eastAsiaTheme="minorEastAsia" w:hAnsiTheme="minorEastAsia" w:hint="eastAsia"/>
          </w:rPr>
          <w:t>tppm.wipo.int</w:t>
        </w:r>
      </w:hyperlink>
    </w:p>
  </w:footnote>
  <w:footnote w:id="149">
    <w:p w14:paraId="12B24492" w14:textId="77777777"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对大流行期间相关专利活动的初步了解。</w:t>
      </w:r>
    </w:p>
  </w:footnote>
  <w:footnote w:id="150">
    <w:p w14:paraId="5BFD4118" w14:textId="77777777"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它让学习者有机会跟踪其学习进度，并证明他们完成了该电子教程。</w:t>
      </w:r>
    </w:p>
  </w:footnote>
  <w:footnote w:id="151">
    <w:p w14:paraId="1DB72E6E" w14:textId="317575F1"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门户网站可查阅：</w:t>
      </w:r>
      <w:hyperlink r:id="rId83" w:history="1">
        <w:r w:rsidRPr="007C66F9">
          <w:rPr>
            <w:rStyle w:val="Hyperlink"/>
            <w:rFonts w:asciiTheme="minorEastAsia" w:eastAsiaTheme="minorEastAsia" w:hAnsiTheme="minorEastAsia" w:hint="eastAsia"/>
          </w:rPr>
          <w:t>inspire.wipo.int/patent-register-portal</w:t>
        </w:r>
      </w:hyperlink>
    </w:p>
  </w:footnote>
  <w:footnote w:id="152">
    <w:p w14:paraId="177CFD57" w14:textId="023A7E8A"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指南可参见：</w:t>
      </w:r>
      <w:hyperlink r:id="rId84"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/details.jsp?id=4501</w:t>
        </w:r>
      </w:hyperlink>
    </w:p>
  </w:footnote>
  <w:footnote w:id="153">
    <w:p w14:paraId="310FC21B" w14:textId="19151B66"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指南可参见：</w:t>
      </w:r>
      <w:hyperlink r:id="rId85"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/details.jsp?id=4502</w:t>
        </w:r>
      </w:hyperlink>
    </w:p>
  </w:footnote>
  <w:footnote w:id="154">
    <w:p w14:paraId="449654EF" w14:textId="59C8D26D" w:rsidR="00855D5E" w:rsidRPr="007C66F9" w:rsidRDefault="00855D5E"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出版物可查阅：</w:t>
      </w:r>
      <w:hyperlink r:id="rId86"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/details.jsp?id=4586</w:t>
        </w:r>
      </w:hyperlink>
    </w:p>
  </w:footnote>
  <w:footnote w:id="155">
    <w:p w14:paraId="56452778" w14:textId="77777777" w:rsidR="00855D5E" w:rsidRDefault="00855D5E" w:rsidP="007C66F9">
      <w:pPr>
        <w:pStyle w:val="FootnoteText"/>
        <w:jc w:val="both"/>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与区域和国家发展部门合作。</w:t>
      </w:r>
    </w:p>
  </w:footnote>
  <w:footnote w:id="156">
    <w:p w14:paraId="36080DD9" w14:textId="083D7D30" w:rsidR="00855D5E" w:rsidRPr="00855D5E" w:rsidRDefault="00855D5E"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该方法可查阅：</w:t>
      </w:r>
      <w:hyperlink r:id="rId87"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/details.jsp?id=4522</w:t>
        </w:r>
      </w:hyperlink>
    </w:p>
  </w:footnote>
  <w:footnote w:id="157">
    <w:p w14:paraId="6E07FCD8" w14:textId="39F848E5" w:rsidR="00855D5E" w:rsidRPr="00855D5E" w:rsidRDefault="00855D5E"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出版物可查阅：</w:t>
      </w:r>
      <w:hyperlink r:id="rId88" w:history="1">
        <w:r w:rsidRPr="00855D5E">
          <w:rPr>
            <w:rStyle w:val="Hyperlink"/>
            <w:rFonts w:asciiTheme="minorEastAsia" w:eastAsiaTheme="minorEastAsia" w:hAnsiTheme="minorEastAsia" w:hint="eastAsia"/>
          </w:rPr>
          <w:t>www.cambridge.org/core/books/informal-economy-in-developing-nations/C7494C6FD7EE4DC86BBADB4A7B87BCE3</w:t>
        </w:r>
      </w:hyperlink>
    </w:p>
  </w:footnote>
  <w:footnote w:id="158">
    <w:p w14:paraId="437BE174" w14:textId="77777777" w:rsidR="00855D5E" w:rsidRPr="00855D5E" w:rsidRDefault="00855D5E"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该项目由WIPO学院从2016至2018年在四个试点国家实施。在该项目于2018年12月完成之后，被纳入由产权组织司法研究所协调的继续司法教育（CJE）计划的主流。</w:t>
      </w:r>
    </w:p>
  </w:footnote>
  <w:footnote w:id="159">
    <w:p w14:paraId="02850A11" w14:textId="1AA3BD2E" w:rsidR="00855D5E" w:rsidRPr="00855D5E" w:rsidRDefault="00855D5E"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更多信息可参见：</w:t>
      </w:r>
      <w:hyperlink r:id="rId89" w:history="1">
        <w:r w:rsidRPr="00855D5E">
          <w:rPr>
            <w:rStyle w:val="Hyperlink"/>
            <w:rFonts w:asciiTheme="minorEastAsia" w:eastAsiaTheme="minorEastAsia" w:hAnsiTheme="minorEastAsia" w:hint="eastAsia"/>
          </w:rPr>
          <w:t>welc.wipo.int/jtip/?lang=</w:t>
        </w:r>
        <w:r>
          <w:rPr>
            <w:rStyle w:val="Hyperlink"/>
            <w:rFonts w:asciiTheme="minorEastAsia" w:eastAsiaTheme="minorEastAsia" w:hAnsiTheme="minorEastAsia"/>
          </w:rPr>
          <w:t>zh</w:t>
        </w:r>
      </w:hyperlink>
      <w:r>
        <w:rPr>
          <w:rStyle w:val="Hyperlink"/>
          <w:rFonts w:asciiTheme="minorEastAsia" w:eastAsiaTheme="minorEastAsia" w:hAnsiTheme="minorEastAsia" w:hint="eastAsia"/>
        </w:rPr>
        <w:t>_</w:t>
      </w:r>
      <w:r>
        <w:rPr>
          <w:rStyle w:val="Hyperlink"/>
          <w:rFonts w:asciiTheme="minorEastAsia" w:eastAsiaTheme="minorEastAsia" w:hAnsiTheme="minorEastAsia"/>
        </w:rPr>
        <w:t>CN</w:t>
      </w:r>
    </w:p>
  </w:footnote>
  <w:footnote w:id="160">
    <w:p w14:paraId="44DFE95F" w14:textId="77777777" w:rsidR="00855D5E" w:rsidRPr="00855D5E" w:rsidRDefault="00855D5E"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即埃及、多米尼加共和国、格鲁吉亚和巴西。</w:t>
      </w:r>
    </w:p>
  </w:footnote>
  <w:footnote w:id="161">
    <w:p w14:paraId="5D08A805" w14:textId="05114459" w:rsidR="00855D5E" w:rsidRDefault="00855D5E" w:rsidP="00855D5E">
      <w:pPr>
        <w:pStyle w:val="FootnoteText"/>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该项目的网站可访问：</w:t>
      </w:r>
      <w:hyperlink r:id="rId90" w:history="1">
        <w:r w:rsidRPr="000578C5">
          <w:rPr>
            <w:rStyle w:val="Hyperlink"/>
            <w:rFonts w:asciiTheme="minorEastAsia" w:eastAsiaTheme="minorEastAsia" w:hAnsiTheme="minorEastAsia" w:hint="eastAsia"/>
          </w:rPr>
          <w:t>www.wipo.int/women-inventors/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/index.html</w:t>
        </w:r>
      </w:hyperlink>
    </w:p>
  </w:footnote>
  <w:footnote w:id="162">
    <w:p w14:paraId="3022B5BD" w14:textId="548E1785" w:rsidR="00855D5E" w:rsidRPr="00182762" w:rsidRDefault="00855D5E"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2022/23两年期的计划和预算将《2030年可持续发展议程》中确定的优先事项与产权组织8个部门中的6个部门所开展的工作对接起来，并将它们与相关的可持续发展目标和发展议程建议联系起来。</w:t>
      </w:r>
    </w:p>
  </w:footnote>
  <w:footnote w:id="163">
    <w:p w14:paraId="3EA2D90B" w14:textId="77777777" w:rsidR="00855D5E" w:rsidRPr="00182762" w:rsidRDefault="00855D5E"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2002/23两年期的发展支出占到产权组织总预算的18.9%，比上一个两年期增加了0.7%。</w:t>
      </w:r>
    </w:p>
  </w:footnote>
  <w:footnote w:id="164">
    <w:p w14:paraId="086D5C7B" w14:textId="0277C4EE" w:rsidR="00855D5E" w:rsidRPr="00182762" w:rsidRDefault="00855D5E"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关于产权组织的COVID-19相关服务和支助的更多信息可查阅：</w:t>
      </w:r>
      <w:hyperlink r:id="rId91" w:history="1">
        <w:r w:rsidR="00182762" w:rsidRPr="000578C5">
          <w:rPr>
            <w:rStyle w:val="Hyperlink"/>
            <w:rFonts w:asciiTheme="minorEastAsia" w:eastAsiaTheme="minorEastAsia" w:hAnsiTheme="minorEastAsia" w:hint="eastAsia"/>
          </w:rPr>
          <w:t>www.wipo.int/covid-19/</w:t>
        </w:r>
        <w:r w:rsidR="00182762" w:rsidRPr="000578C5">
          <w:rPr>
            <w:rStyle w:val="Hyperlink"/>
            <w:rFonts w:asciiTheme="minorEastAsia" w:eastAsiaTheme="minorEastAsia" w:hAnsiTheme="minorEastAsia"/>
          </w:rPr>
          <w:t>zh</w:t>
        </w:r>
        <w:r w:rsidR="00182762" w:rsidRPr="000578C5">
          <w:rPr>
            <w:rStyle w:val="Hyperlink"/>
            <w:rFonts w:asciiTheme="minorEastAsia" w:eastAsiaTheme="minorEastAsia" w:hAnsiTheme="minorEastAsia" w:hint="eastAsia"/>
          </w:rPr>
          <w:t>/</w:t>
        </w:r>
      </w:hyperlink>
    </w:p>
  </w:footnote>
  <w:footnote w:id="165">
    <w:p w14:paraId="66819A39" w14:textId="47CA9396" w:rsidR="00855D5E" w:rsidRPr="00182762" w:rsidRDefault="00855D5E"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见文件CDIP/26/6，可查阅：</w:t>
      </w:r>
      <w:hyperlink r:id="rId92" w:history="1">
        <w:r w:rsidR="00182762" w:rsidRPr="000578C5">
          <w:rPr>
            <w:rStyle w:val="Hyperlink"/>
            <w:rFonts w:asciiTheme="minorEastAsia" w:eastAsiaTheme="minorEastAsia" w:hAnsiTheme="minorEastAsia" w:hint="eastAsia"/>
          </w:rPr>
          <w:t>www.wipo.int/meetings/</w:t>
        </w:r>
        <w:r w:rsidR="00182762" w:rsidRPr="000578C5">
          <w:rPr>
            <w:rStyle w:val="Hyperlink"/>
            <w:rFonts w:asciiTheme="minorEastAsia" w:eastAsiaTheme="minorEastAsia" w:hAnsiTheme="minorEastAsia"/>
          </w:rPr>
          <w:t>zh</w:t>
        </w:r>
        <w:r w:rsidR="00182762" w:rsidRPr="000578C5">
          <w:rPr>
            <w:rStyle w:val="Hyperlink"/>
            <w:rFonts w:asciiTheme="minorEastAsia" w:eastAsiaTheme="minorEastAsia" w:hAnsiTheme="minorEastAsia" w:hint="eastAsia"/>
          </w:rPr>
          <w:t>/doc_details.jsp?doc_id=537901</w:t>
        </w:r>
      </w:hyperlink>
    </w:p>
  </w:footnote>
  <w:footnote w:id="166">
    <w:p w14:paraId="150657BF" w14:textId="418CB304" w:rsidR="00855D5E" w:rsidRDefault="00855D5E" w:rsidP="00182762">
      <w:pPr>
        <w:pStyle w:val="FootnoteText"/>
        <w:jc w:val="both"/>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见文件CDIP/29/9，可查阅：</w:t>
      </w:r>
      <w:hyperlink r:id="rId93" w:history="1">
        <w:r w:rsidR="00A91DBD" w:rsidRPr="000578C5">
          <w:rPr>
            <w:rStyle w:val="Hyperlink"/>
            <w:rFonts w:asciiTheme="minorEastAsia" w:eastAsiaTheme="minorEastAsia" w:hAnsiTheme="minorEastAsia" w:hint="eastAsia"/>
          </w:rPr>
          <w:t>www.wipo.int/meetings/</w:t>
        </w:r>
        <w:r w:rsidR="00A91DBD" w:rsidRPr="000578C5">
          <w:rPr>
            <w:rStyle w:val="Hyperlink"/>
            <w:rFonts w:asciiTheme="minorEastAsia" w:eastAsiaTheme="minorEastAsia" w:hAnsiTheme="minorEastAsia"/>
          </w:rPr>
          <w:t>zh</w:t>
        </w:r>
        <w:r w:rsidR="00A91DBD" w:rsidRPr="000578C5">
          <w:rPr>
            <w:rStyle w:val="Hyperlink"/>
            <w:rFonts w:asciiTheme="minorEastAsia" w:eastAsiaTheme="minorEastAsia" w:hAnsiTheme="minorEastAsia" w:hint="eastAsia"/>
          </w:rPr>
          <w:t>/doc_details.jsp?doc_id=582427</w:t>
        </w:r>
      </w:hyperlink>
    </w:p>
  </w:footnote>
  <w:footnote w:id="167">
    <w:p w14:paraId="2F610877" w14:textId="77777777" w:rsidR="00855D5E" w:rsidRPr="00A91DBD" w:rsidRDefault="00855D5E"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如礼物、外部活动、供应商关系中的道德操守问题，以及与国际公务员的独立性和公正性有关的挑战。</w:t>
      </w:r>
    </w:p>
  </w:footnote>
  <w:footnote w:id="168">
    <w:p w14:paraId="388E7B0C" w14:textId="77777777" w:rsidR="00855D5E" w:rsidRPr="00A91DBD" w:rsidRDefault="00855D5E"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两者预计将在2023年完成和实施。</w:t>
      </w:r>
    </w:p>
  </w:footnote>
  <w:footnote w:id="169">
    <w:p w14:paraId="4D134F94" w14:textId="1DE32E98" w:rsidR="00855D5E" w:rsidRPr="00A91DBD" w:rsidRDefault="00855D5E"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多边组织道德操守网络作为联合国系统各实体、附属国际组织和国际金融机构的道德操守职能部门的一个广泛论坛，旨在促进整个系统内就道德操守相关问题开展合作。</w:t>
      </w:r>
    </w:p>
  </w:footnote>
  <w:footnote w:id="170">
    <w:p w14:paraId="78E0C0E5" w14:textId="4DBC82E9" w:rsidR="00855D5E" w:rsidRDefault="00855D5E" w:rsidP="00A91DBD">
      <w:pPr>
        <w:pStyle w:val="FootnoteText"/>
        <w:jc w:val="both"/>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更多信息可参见：</w:t>
      </w:r>
      <w:hyperlink r:id="rId94" w:history="1">
        <w:r w:rsidR="00A91DBD" w:rsidRPr="000578C5">
          <w:rPr>
            <w:rStyle w:val="Hyperlink"/>
            <w:rFonts w:asciiTheme="minorEastAsia" w:eastAsiaTheme="minorEastAsia" w:hAnsiTheme="minorEastAsia" w:hint="eastAsia"/>
          </w:rPr>
          <w:t>www.wipo.int/jobs/</w:t>
        </w:r>
        <w:r w:rsidR="00A91DBD" w:rsidRPr="000578C5">
          <w:rPr>
            <w:rStyle w:val="Hyperlink"/>
            <w:rFonts w:asciiTheme="minorEastAsia" w:eastAsiaTheme="minorEastAsia" w:hAnsiTheme="minorEastAsia"/>
          </w:rPr>
          <w:t>zh</w:t>
        </w:r>
        <w:r w:rsidR="00A91DBD" w:rsidRPr="000578C5">
          <w:rPr>
            <w:rStyle w:val="Hyperlink"/>
            <w:rFonts w:asciiTheme="minorEastAsia" w:eastAsiaTheme="minorEastAsia" w:hAnsiTheme="minorEastAsia" w:hint="eastAsia"/>
          </w:rPr>
          <w:t>/young-experts-program.html</w:t>
        </w:r>
      </w:hyperlink>
    </w:p>
  </w:footnote>
  <w:footnote w:id="171">
    <w:p w14:paraId="6155131E" w14:textId="77777777" w:rsidR="00855D5E" w:rsidRPr="00BD740B" w:rsidRDefault="00855D5E">
      <w:pPr>
        <w:pStyle w:val="FootnoteText"/>
        <w:rPr>
          <w:rFonts w:asciiTheme="minorEastAsia" w:eastAsiaTheme="minorEastAsia" w:hAnsiTheme="minorEastAsia"/>
        </w:rPr>
      </w:pPr>
      <w:r w:rsidRPr="00BD740B">
        <w:rPr>
          <w:rStyle w:val="FootnoteReference"/>
          <w:rFonts w:asciiTheme="minorEastAsia" w:eastAsiaTheme="minorEastAsia" w:hAnsiTheme="minorEastAsia"/>
        </w:rPr>
        <w:footnoteRef/>
      </w:r>
      <w:r w:rsidRPr="00BD740B">
        <w:rPr>
          <w:rFonts w:asciiTheme="minorEastAsia" w:eastAsiaTheme="minorEastAsia" w:hAnsiTheme="minorEastAsia"/>
          <w:szCs w:val="18"/>
        </w:rPr>
        <w:tab/>
      </w:r>
      <w:r w:rsidRPr="00BD740B">
        <w:rPr>
          <w:rFonts w:asciiTheme="minorEastAsia" w:eastAsiaTheme="minorEastAsia" w:hAnsiTheme="minorEastAsia" w:hint="eastAsia"/>
        </w:rPr>
        <w:t>第二批青年专家于2023年2月加入产权组织。</w:t>
      </w:r>
    </w:p>
  </w:footnote>
  <w:footnote w:id="172">
    <w:p w14:paraId="17CB3E8B" w14:textId="0A0C5E0A" w:rsidR="00855D5E" w:rsidRPr="00EB2221" w:rsidRDefault="00855D5E">
      <w:pPr>
        <w:pStyle w:val="FootnoteText"/>
        <w:rPr>
          <w:rFonts w:asciiTheme="minorEastAsia" w:eastAsiaTheme="minorEastAsia" w:hAnsiTheme="minorEastAsia"/>
        </w:rPr>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带星号的发展议程建议为2007年大会指明须予立即落实的建议。</w:t>
      </w:r>
    </w:p>
  </w:footnote>
  <w:footnote w:id="173">
    <w:p w14:paraId="6B2B0966" w14:textId="53F6F20B" w:rsidR="00855D5E" w:rsidRDefault="00855D5E">
      <w:pPr>
        <w:pStyle w:val="FootnoteText"/>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产权组织《2022-2026年中期战略计划》阐述了预期成果，可查阅：</w:t>
      </w:r>
      <w:hyperlink r:id="rId95" w:history="1">
        <w:r w:rsidR="00EB2221" w:rsidRPr="000578C5">
          <w:rPr>
            <w:rStyle w:val="Hyperlink"/>
            <w:rFonts w:asciiTheme="minorEastAsia" w:eastAsiaTheme="minorEastAsia" w:hAnsiTheme="minorEastAsia" w:hint="eastAsia"/>
          </w:rPr>
          <w:t>www.wipo.int/meetings/</w:t>
        </w:r>
        <w:r w:rsidR="00EB2221" w:rsidRPr="000578C5">
          <w:rPr>
            <w:rStyle w:val="Hyperlink"/>
            <w:rFonts w:asciiTheme="minorEastAsia" w:eastAsiaTheme="minorEastAsia" w:hAnsiTheme="minorEastAsia"/>
          </w:rPr>
          <w:t>zh</w:t>
        </w:r>
        <w:r w:rsidR="00EB2221" w:rsidRPr="000578C5">
          <w:rPr>
            <w:rStyle w:val="Hyperlink"/>
            <w:rFonts w:asciiTheme="minorEastAsia" w:eastAsiaTheme="minorEastAsia" w:hAnsiTheme="minorEastAsia" w:hint="eastAsia"/>
          </w:rPr>
          <w:t>/doc_details.jsp?doc_id=541373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4A8A" w14:textId="77777777" w:rsidR="00F153A3" w:rsidRDefault="00F1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6C7" w14:textId="77777777" w:rsidR="00855D5E" w:rsidRPr="00B01FC1" w:rsidRDefault="00855D5E">
    <w:pPr>
      <w:jc w:val="right"/>
      <w:rPr>
        <w:rFonts w:asciiTheme="minorEastAsia" w:eastAsiaTheme="minorEastAsia" w:hAnsiTheme="minorEastAsia"/>
        <w:caps/>
        <w:sz w:val="21"/>
        <w:szCs w:val="21"/>
      </w:rPr>
    </w:pPr>
    <w:bookmarkStart w:id="6" w:name="Code2"/>
    <w:bookmarkEnd w:id="6"/>
    <w:r w:rsidRPr="00B01FC1">
      <w:rPr>
        <w:rFonts w:asciiTheme="minorEastAsia" w:eastAsiaTheme="minorEastAsia" w:hAnsiTheme="minorEastAsia" w:hint="eastAsia"/>
        <w:caps/>
        <w:sz w:val="21"/>
        <w:szCs w:val="21"/>
      </w:rPr>
      <w:t>CDIP/30/2</w:t>
    </w:r>
  </w:p>
  <w:p w14:paraId="24ED548D" w14:textId="6AB7BFA9" w:rsidR="00855D5E" w:rsidRPr="00B01FC1" w:rsidRDefault="00855D5E">
    <w:pPr>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F153A3">
      <w:rPr>
        <w:rFonts w:asciiTheme="minorEastAsia" w:eastAsiaTheme="minorEastAsia" w:hAnsiTheme="minorEastAsia"/>
        <w:noProof/>
        <w:sz w:val="21"/>
        <w:szCs w:val="21"/>
      </w:rPr>
      <w:t>29</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p w14:paraId="5D785A5F" w14:textId="77777777" w:rsidR="00855D5E" w:rsidRPr="00B01FC1" w:rsidRDefault="00855D5E">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3848" w14:textId="77777777" w:rsidR="00F153A3" w:rsidRDefault="00F15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E570" w14:textId="77777777" w:rsidR="00EB2221" w:rsidRPr="00EB2221" w:rsidRDefault="00EB2221" w:rsidP="00EB2221">
    <w:pPr>
      <w:jc w:val="right"/>
      <w:rPr>
        <w:rFonts w:asciiTheme="minorEastAsia" w:eastAsiaTheme="minorEastAsia" w:hAnsiTheme="minorEastAsia"/>
        <w:caps/>
        <w:sz w:val="21"/>
        <w:szCs w:val="21"/>
      </w:rPr>
    </w:pPr>
    <w:r w:rsidRPr="00EB2221">
      <w:rPr>
        <w:rFonts w:asciiTheme="minorEastAsia" w:eastAsiaTheme="minorEastAsia" w:hAnsiTheme="minorEastAsia" w:hint="eastAsia"/>
        <w:caps/>
        <w:sz w:val="21"/>
        <w:szCs w:val="21"/>
      </w:rPr>
      <w:t>CDIP/30/2</w:t>
    </w:r>
  </w:p>
  <w:sdt>
    <w:sdtPr>
      <w:rPr>
        <w:rFonts w:asciiTheme="minorEastAsia" w:eastAsiaTheme="minorEastAsia" w:hAnsiTheme="minorEastAsia"/>
        <w:sz w:val="21"/>
        <w:szCs w:val="21"/>
      </w:rPr>
      <w:id w:val="114483795"/>
      <w:docPartObj>
        <w:docPartGallery w:val="Page Numbers (Top of Page)"/>
        <w:docPartUnique/>
      </w:docPartObj>
    </w:sdtPr>
    <w:sdtEndPr>
      <w:rPr>
        <w:rFonts w:ascii="Arial" w:eastAsia="SimSun" w:hAnsi="Arial"/>
        <w:sz w:val="22"/>
        <w:szCs w:val="20"/>
      </w:rPr>
    </w:sdtEndPr>
    <w:sdtContent>
      <w:p w14:paraId="2393DE68" w14:textId="64C90AA8" w:rsidR="00EB2221" w:rsidRPr="00EB2221" w:rsidRDefault="00EB2221" w:rsidP="00EB2221">
        <w:pPr>
          <w:jc w:val="right"/>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附件一第</w:t>
        </w:r>
        <w:r w:rsidRPr="00EB2221">
          <w:rPr>
            <w:rFonts w:asciiTheme="minorEastAsia" w:eastAsiaTheme="minorEastAsia" w:hAnsiTheme="minorEastAsia"/>
            <w:sz w:val="21"/>
            <w:szCs w:val="21"/>
          </w:rPr>
          <w:fldChar w:fldCharType="begin"/>
        </w:r>
        <w:r w:rsidRPr="00EB2221">
          <w:rPr>
            <w:rFonts w:asciiTheme="minorEastAsia" w:eastAsiaTheme="minorEastAsia" w:hAnsiTheme="minorEastAsia"/>
            <w:sz w:val="21"/>
            <w:szCs w:val="21"/>
          </w:rPr>
          <w:instrText>PAGE   \* MERGEFORMAT</w:instrText>
        </w:r>
        <w:r w:rsidRPr="00EB2221">
          <w:rPr>
            <w:rFonts w:asciiTheme="minorEastAsia" w:eastAsiaTheme="minorEastAsia" w:hAnsiTheme="minorEastAsia"/>
            <w:sz w:val="21"/>
            <w:szCs w:val="21"/>
          </w:rPr>
          <w:fldChar w:fldCharType="separate"/>
        </w:r>
        <w:r w:rsidRPr="00EB2221">
          <w:rPr>
            <w:rFonts w:asciiTheme="minorEastAsia" w:eastAsiaTheme="minorEastAsia" w:hAnsiTheme="minorEastAsia"/>
            <w:noProof/>
            <w:sz w:val="21"/>
            <w:szCs w:val="21"/>
            <w:lang w:val="zh-CN"/>
          </w:rPr>
          <w:t>2</w:t>
        </w:r>
        <w:r w:rsidRPr="00EB2221">
          <w:rPr>
            <w:rFonts w:asciiTheme="minorEastAsia" w:eastAsiaTheme="minorEastAsia" w:hAnsiTheme="minorEastAsia"/>
            <w:sz w:val="21"/>
            <w:szCs w:val="21"/>
          </w:rPr>
          <w:fldChar w:fldCharType="end"/>
        </w:r>
        <w:r w:rsidRPr="00EB2221">
          <w:rPr>
            <w:rFonts w:asciiTheme="minorEastAsia" w:eastAsiaTheme="minorEastAsia" w:hAnsiTheme="minorEastAsia" w:hint="eastAsia"/>
            <w:sz w:val="21"/>
            <w:szCs w:val="21"/>
          </w:rPr>
          <w:t>页</w:t>
        </w:r>
      </w:p>
      <w:p w14:paraId="77AEF2BA" w14:textId="22AB6023" w:rsidR="00EB2221" w:rsidRDefault="00F153A3">
        <w:pPr>
          <w:pStyle w:val="Header"/>
          <w:jc w:val="right"/>
        </w:pPr>
      </w:p>
    </w:sdtContent>
  </w:sdt>
  <w:p w14:paraId="1C8632CD" w14:textId="77777777" w:rsidR="00855D5E" w:rsidRPr="00EB2221" w:rsidRDefault="00855D5E">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D15A" w14:textId="77777777" w:rsidR="00855D5E" w:rsidRPr="00C217BA" w:rsidRDefault="00855D5E" w:rsidP="00C217BA">
    <w:pPr>
      <w:pStyle w:val="Header"/>
      <w:jc w:val="righ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CDIP/30/2</w:t>
    </w:r>
  </w:p>
  <w:p w14:paraId="52F93AFE" w14:textId="77777777" w:rsidR="00855D5E" w:rsidRPr="00C217BA" w:rsidRDefault="00855D5E" w:rsidP="00C217BA">
    <w:pPr>
      <w:jc w:val="righ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附件一</w:t>
    </w:r>
  </w:p>
  <w:p w14:paraId="3E58FF2F" w14:textId="77777777" w:rsidR="00855D5E" w:rsidRPr="00C217BA" w:rsidRDefault="00855D5E" w:rsidP="00C217BA">
    <w:pPr>
      <w:pStyle w:val="Heade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EAC2" w14:textId="77777777" w:rsidR="00855D5E" w:rsidRPr="00EB2221" w:rsidRDefault="00855D5E">
    <w:pPr>
      <w:jc w:val="right"/>
      <w:rPr>
        <w:rFonts w:asciiTheme="minorEastAsia" w:eastAsiaTheme="minorEastAsia" w:hAnsiTheme="minorEastAsia"/>
        <w:caps/>
        <w:sz w:val="21"/>
        <w:szCs w:val="21"/>
      </w:rPr>
    </w:pPr>
    <w:r w:rsidRPr="00EB2221">
      <w:rPr>
        <w:rFonts w:asciiTheme="minorEastAsia" w:eastAsiaTheme="minorEastAsia" w:hAnsiTheme="minorEastAsia"/>
        <w:noProof/>
        <w:sz w:val="21"/>
        <w:szCs w:val="21"/>
        <w:lang w:eastAsia="en-US"/>
      </w:rPr>
      <mc:AlternateContent>
        <mc:Choice Requires="wps">
          <w:drawing>
            <wp:anchor distT="0" distB="0" distL="114300" distR="114300" simplePos="0" relativeHeight="251658240" behindDoc="0" locked="0" layoutInCell="1" allowOverlap="1" wp14:anchorId="282C628E" wp14:editId="49CD9F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79F2C3" w14:textId="77777777" w:rsidR="00855D5E" w:rsidRDefault="00855D5E">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2C628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379F2C3" w14:textId="77777777" w:rsidR="00855D5E" w:rsidRDefault="00855D5E">
                    <w:pPr>
                      <w:pStyle w:val="ad"/>
                    </w:pPr>
                  </w:p>
                </w:txbxContent>
              </v:textbox>
              <w10:wrap anchorx="margin"/>
            </v:shape>
          </w:pict>
        </mc:Fallback>
      </mc:AlternateContent>
    </w:r>
    <w:r w:rsidRPr="00EB2221">
      <w:rPr>
        <w:rFonts w:asciiTheme="minorEastAsia" w:eastAsiaTheme="minorEastAsia" w:hAnsiTheme="minorEastAsia" w:hint="eastAsia"/>
        <w:caps/>
        <w:sz w:val="21"/>
        <w:szCs w:val="21"/>
      </w:rPr>
      <w:t>CDIP/30/2</w:t>
    </w:r>
  </w:p>
  <w:p w14:paraId="3862F902" w14:textId="1B8BE6B0" w:rsidR="00855D5E" w:rsidRPr="00EB2221" w:rsidRDefault="00855D5E">
    <w:pPr>
      <w:jc w:val="right"/>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附件一第</w:t>
    </w:r>
    <w:r w:rsidRPr="00EB2221">
      <w:rPr>
        <w:rFonts w:asciiTheme="minorEastAsia" w:eastAsiaTheme="minorEastAsia" w:hAnsiTheme="minorEastAsia" w:hint="eastAsia"/>
        <w:sz w:val="21"/>
        <w:szCs w:val="21"/>
      </w:rPr>
      <w:fldChar w:fldCharType="begin"/>
    </w:r>
    <w:r w:rsidRPr="00EB2221">
      <w:rPr>
        <w:rFonts w:asciiTheme="minorEastAsia" w:eastAsiaTheme="minorEastAsia" w:hAnsiTheme="minorEastAsia" w:hint="eastAsia"/>
        <w:sz w:val="21"/>
        <w:szCs w:val="21"/>
      </w:rPr>
      <w:instrText xml:space="preserve"> PAGE  \* MERGEFORMAT </w:instrText>
    </w:r>
    <w:r w:rsidRPr="00EB2221">
      <w:rPr>
        <w:rFonts w:asciiTheme="minorEastAsia" w:eastAsiaTheme="minorEastAsia" w:hAnsiTheme="minorEastAsia" w:hint="eastAsia"/>
        <w:sz w:val="21"/>
        <w:szCs w:val="21"/>
      </w:rPr>
      <w:fldChar w:fldCharType="separate"/>
    </w:r>
    <w:r w:rsidR="00F153A3">
      <w:rPr>
        <w:rFonts w:asciiTheme="minorEastAsia" w:eastAsiaTheme="minorEastAsia" w:hAnsiTheme="minorEastAsia"/>
        <w:noProof/>
        <w:sz w:val="21"/>
        <w:szCs w:val="21"/>
      </w:rPr>
      <w:t>13</w:t>
    </w:r>
    <w:r w:rsidRPr="00EB2221">
      <w:rPr>
        <w:rFonts w:asciiTheme="minorEastAsia" w:eastAsiaTheme="minorEastAsia" w:hAnsiTheme="minorEastAsia" w:hint="eastAsia"/>
        <w:sz w:val="21"/>
        <w:szCs w:val="21"/>
      </w:rPr>
      <w:fldChar w:fldCharType="end"/>
    </w:r>
    <w:r w:rsidRPr="00EB2221">
      <w:rPr>
        <w:rFonts w:asciiTheme="minorEastAsia" w:eastAsiaTheme="minorEastAsia" w:hAnsiTheme="minorEastAsia" w:hint="eastAsia"/>
        <w:sz w:val="21"/>
        <w:szCs w:val="21"/>
      </w:rPr>
      <w:t>页</w:t>
    </w:r>
  </w:p>
  <w:p w14:paraId="007122DA" w14:textId="77777777" w:rsidR="00855D5E" w:rsidRPr="00EB2221" w:rsidRDefault="00855D5E">
    <w:pPr>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AE25" w14:textId="77777777" w:rsidR="00855D5E" w:rsidRDefault="00855D5E">
    <w:pPr>
      <w:pStyle w:val="Header"/>
      <w:jc w:val="right"/>
    </w:pPr>
    <w:r>
      <w:rPr>
        <w:noProof/>
        <w:lang w:eastAsia="en-US"/>
      </w:rPr>
      <mc:AlternateContent>
        <mc:Choice Requires="wps">
          <w:drawing>
            <wp:anchor distT="0" distB="0" distL="114300" distR="114300" simplePos="0" relativeHeight="251659264" behindDoc="0" locked="0" layoutInCell="1" allowOverlap="1" wp14:anchorId="707A45DC" wp14:editId="1DD6F6B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E5C78C" w14:textId="77777777" w:rsidR="00855D5E" w:rsidRDefault="00855D5E">
                          <w:pPr>
                            <w:pStyle w:val="Header"/>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7A45DC"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32E5C78C" w14:textId="77777777" w:rsidR="00855D5E" w:rsidRDefault="00855D5E">
                    <w:pPr>
                      <w:pStyle w:val="ad"/>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v:textbox>
              <w10:wrap anchorx="margin"/>
            </v:shape>
          </w:pict>
        </mc:Fallback>
      </mc:AlternateContent>
    </w:r>
    <w:r>
      <w:rPr>
        <w:rFonts w:hint="eastAsia"/>
      </w:rPr>
      <w:t>CDIP/30/2</w:t>
    </w:r>
  </w:p>
  <w:p w14:paraId="3425112A" w14:textId="77777777" w:rsidR="00855D5E" w:rsidRDefault="00855D5E">
    <w:pPr>
      <w:jc w:val="right"/>
    </w:pPr>
    <w:r>
      <w:rPr>
        <w:rFonts w:hint="eastAsia"/>
      </w:rPr>
      <w:t>附件一</w:t>
    </w:r>
  </w:p>
  <w:p w14:paraId="0D1040CB" w14:textId="77777777" w:rsidR="00855D5E" w:rsidRDefault="00855D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400D" w14:textId="41CB0CAA" w:rsidR="00855D5E" w:rsidRPr="00CC281F" w:rsidRDefault="00855D5E">
    <w:pPr>
      <w:jc w:val="right"/>
      <w:rPr>
        <w:rFonts w:asciiTheme="minorEastAsia" w:eastAsiaTheme="minorEastAsia" w:hAnsiTheme="minorEastAsia"/>
        <w:caps/>
        <w:sz w:val="21"/>
        <w:szCs w:val="21"/>
      </w:rPr>
    </w:pPr>
    <w:r w:rsidRPr="00CC281F">
      <w:rPr>
        <w:rFonts w:asciiTheme="minorEastAsia" w:eastAsiaTheme="minorEastAsia" w:hAnsiTheme="minorEastAsia"/>
        <w:noProof/>
        <w:sz w:val="21"/>
        <w:szCs w:val="21"/>
        <w:lang w:eastAsia="en-US"/>
      </w:rPr>
      <mc:AlternateContent>
        <mc:Choice Requires="wps">
          <w:drawing>
            <wp:anchor distT="0" distB="0" distL="114300" distR="114300" simplePos="0" relativeHeight="251660288" behindDoc="0" locked="0" layoutInCell="1" allowOverlap="1" wp14:anchorId="329C105C" wp14:editId="7388D3CD">
              <wp:simplePos x="0" y="0"/>
              <wp:positionH relativeFrom="margin">
                <wp:posOffset>7388543</wp:posOffset>
              </wp:positionH>
              <wp:positionV relativeFrom="paragraph">
                <wp:posOffset>160655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EE076" w14:textId="73CA30A3" w:rsidR="00855D5E" w:rsidRDefault="00855D5E">
                          <w:pPr>
                            <w:jc w:val="right"/>
                          </w:pPr>
                          <w:r>
                            <w:rPr>
                              <w:rFonts w:hint="eastAsia"/>
                            </w:rPr>
                            <w:t>附件二第</w:t>
                          </w:r>
                          <w:r>
                            <w:t>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9C105C" id="_x0000_t202" coordsize="21600,21600" o:spt="202" path="m,l,21600r21600,l21600,xe">
              <v:stroke joinstyle="miter"/>
              <v:path gradientshapeok="t" o:connecttype="rect"/>
            </v:shapetype>
            <v:shape id="文本框 4" o:spid="_x0000_s1028" type="#_x0000_t202" style="position:absolute;left:0;text-align:left;margin-left:581.8pt;margin-top:12.6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" filled="f" stroked="f" strokeweight=".5pt">
              <v:textbox style="mso-fit-shape-to-text:t" inset="0,0,0,0">
                <w:txbxContent>
                  <w:p w14:paraId="31EEE076" w14:textId="73CA30A3" w:rsidR="00855D5E" w:rsidRDefault="00855D5E">
                    <w:pPr>
                      <w:jc w:val="right"/>
                    </w:pPr>
                    <w:r>
                      <w:rPr>
                        <w:rFonts w:hint="eastAsia"/>
                      </w:rPr>
                      <w:t>附件二第</w:t>
                    </w:r>
                    <w:r>
                      <w:t>2</w:t>
                    </w:r>
                    <w:r>
                      <w:rPr>
                        <w:rFonts w:hint="eastAsia"/>
                      </w:rPr>
                      <w:t>页</w:t>
                    </w:r>
                  </w:p>
                </w:txbxContent>
              </v:textbox>
              <w10:wrap anchorx="margin"/>
            </v:shape>
          </w:pict>
        </mc:Fallback>
      </mc:AlternateContent>
    </w:r>
    <w:r w:rsidRPr="00CC281F">
      <w:rPr>
        <w:rFonts w:asciiTheme="minorEastAsia" w:eastAsiaTheme="minorEastAsia" w:hAnsiTheme="minorEastAsia" w:hint="eastAsia"/>
        <w:caps/>
        <w:sz w:val="21"/>
        <w:szCs w:val="21"/>
      </w:rPr>
      <w:t>CDIP/30/2</w:t>
    </w:r>
  </w:p>
  <w:p w14:paraId="311502F9" w14:textId="0E828F95" w:rsidR="00855D5E" w:rsidRPr="00CC281F" w:rsidRDefault="00855D5E">
    <w:pPr>
      <w:jc w:val="right"/>
      <w:rPr>
        <w:rFonts w:asciiTheme="minorEastAsia" w:eastAsiaTheme="minorEastAsia" w:hAnsiTheme="minorEastAsia"/>
        <w:sz w:val="21"/>
        <w:szCs w:val="21"/>
      </w:rPr>
    </w:pPr>
  </w:p>
  <w:p w14:paraId="29D0E24B" w14:textId="77777777" w:rsidR="00855D5E" w:rsidRPr="00CC281F" w:rsidRDefault="00855D5E">
    <w:pPr>
      <w:jc w:val="right"/>
      <w:rPr>
        <w:rFonts w:asciiTheme="minorEastAsia" w:eastAsiaTheme="minorEastAsia" w:hAnsiTheme="minorEastAsia"/>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BE29" w14:textId="5665FDD8" w:rsidR="00855D5E" w:rsidRPr="00CC281F" w:rsidRDefault="00855D5E" w:rsidP="00CC281F">
    <w:pPr>
      <w:pStyle w:val="Heade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CDIP/30/2</w:t>
    </w:r>
  </w:p>
  <w:p w14:paraId="06A45128" w14:textId="77777777" w:rsidR="00855D5E" w:rsidRPr="00CC281F" w:rsidRDefault="00855D5E" w:rsidP="00CC281F">
    <w:pPr>
      <w:pStyle w:val="Heade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附件二</w:t>
    </w:r>
  </w:p>
  <w:p w14:paraId="68CA17BD" w14:textId="77777777" w:rsidR="00855D5E" w:rsidRPr="00CC281F" w:rsidRDefault="00855D5E" w:rsidP="00CC281F">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07A448B0"/>
    <w:multiLevelType w:val="multilevel"/>
    <w:tmpl w:val="07A448B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E09CF"/>
    <w:multiLevelType w:val="multilevel"/>
    <w:tmpl w:val="11EE09CF"/>
    <w:lvl w:ilvl="0">
      <w:start w:val="1807"/>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 w15:restartNumberingAfterBreak="0">
    <w:nsid w:val="13624F00"/>
    <w:multiLevelType w:val="multilevel"/>
    <w:tmpl w:val="13624F0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5" w15:restartNumberingAfterBreak="0">
    <w:nsid w:val="334E778A"/>
    <w:multiLevelType w:val="multilevel"/>
    <w:tmpl w:val="334E778A"/>
    <w:lvl w:ilvl="0">
      <w:start w:val="1"/>
      <w:numFmt w:val="lowerRoman"/>
      <w:lvlText w:val="(%1)"/>
      <w:lvlJc w:val="righ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54F88"/>
    <w:multiLevelType w:val="multilevel"/>
    <w:tmpl w:val="47054F88"/>
    <w:lvl w:ilvl="0">
      <w:start w:val="1"/>
      <w:numFmt w:val="chineseCountingThousand"/>
      <w:lvlText w:val="%1."/>
      <w:lvlJc w:val="righ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0297763"/>
    <w:multiLevelType w:val="multilevel"/>
    <w:tmpl w:val="50297763"/>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8E177D"/>
    <w:multiLevelType w:val="multilevel"/>
    <w:tmpl w:val="548E177D"/>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0C52C7"/>
    <w:multiLevelType w:val="multilevel"/>
    <w:tmpl w:val="5AC0E786"/>
    <w:lvl w:ilvl="0">
      <w:start w:val="1"/>
      <w:numFmt w:val="decimal"/>
      <w:lvlText w:val="%1."/>
      <w:lvlJc w:val="left"/>
      <w:pPr>
        <w:ind w:left="8724" w:hanging="360"/>
      </w:pPr>
      <w:rPr>
        <w:rFonts w:asciiTheme="minorEastAsia" w:eastAsiaTheme="minorEastAsia" w:hAnsiTheme="minorEastAsia"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E552B6"/>
    <w:multiLevelType w:val="multilevel"/>
    <w:tmpl w:val="77E552B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9F08FE"/>
    <w:multiLevelType w:val="hybridMultilevel"/>
    <w:tmpl w:val="66D6840E"/>
    <w:lvl w:ilvl="0" w:tplc="04090013">
      <w:start w:val="1"/>
      <w:numFmt w:val="chineseCountingThousand"/>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3" w15:restartNumberingAfterBreak="0">
    <w:nsid w:val="7E6110D2"/>
    <w:multiLevelType w:val="multilevel"/>
    <w:tmpl w:val="7E6110D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6"/>
  </w:num>
  <w:num w:numId="6">
    <w:abstractNumId w:val="3"/>
  </w:num>
  <w:num w:numId="7">
    <w:abstractNumId w:val="1"/>
  </w:num>
  <w:num w:numId="8">
    <w:abstractNumId w:val="5"/>
  </w:num>
  <w:num w:numId="9">
    <w:abstractNumId w:val="8"/>
  </w:num>
  <w:num w:numId="10">
    <w:abstractNumId w:val="11"/>
  </w:num>
  <w:num w:numId="11">
    <w:abstractNumId w:val="9"/>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4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3980"/>
    <w:rsid w:val="00005E6D"/>
    <w:rsid w:val="00006BBC"/>
    <w:rsid w:val="00006EEE"/>
    <w:rsid w:val="0001014C"/>
    <w:rsid w:val="00014604"/>
    <w:rsid w:val="00015467"/>
    <w:rsid w:val="00022007"/>
    <w:rsid w:val="000244E4"/>
    <w:rsid w:val="00025976"/>
    <w:rsid w:val="000269C8"/>
    <w:rsid w:val="00031CD0"/>
    <w:rsid w:val="0003240E"/>
    <w:rsid w:val="00032860"/>
    <w:rsid w:val="00032F57"/>
    <w:rsid w:val="000332F7"/>
    <w:rsid w:val="0003427D"/>
    <w:rsid w:val="000355F2"/>
    <w:rsid w:val="00043CAA"/>
    <w:rsid w:val="00043FD0"/>
    <w:rsid w:val="00044C80"/>
    <w:rsid w:val="00046E16"/>
    <w:rsid w:val="00046FD1"/>
    <w:rsid w:val="000525D8"/>
    <w:rsid w:val="00056816"/>
    <w:rsid w:val="000606BB"/>
    <w:rsid w:val="0006085D"/>
    <w:rsid w:val="000627E4"/>
    <w:rsid w:val="00064546"/>
    <w:rsid w:val="000650B3"/>
    <w:rsid w:val="00066EC5"/>
    <w:rsid w:val="0007239A"/>
    <w:rsid w:val="00074176"/>
    <w:rsid w:val="00075432"/>
    <w:rsid w:val="00075D47"/>
    <w:rsid w:val="0007691A"/>
    <w:rsid w:val="0007782C"/>
    <w:rsid w:val="00077CC1"/>
    <w:rsid w:val="00081FD7"/>
    <w:rsid w:val="00083433"/>
    <w:rsid w:val="00086E71"/>
    <w:rsid w:val="0009398E"/>
    <w:rsid w:val="00095526"/>
    <w:rsid w:val="0009580C"/>
    <w:rsid w:val="000968ED"/>
    <w:rsid w:val="00097D2D"/>
    <w:rsid w:val="000A041C"/>
    <w:rsid w:val="000A0871"/>
    <w:rsid w:val="000A0DE8"/>
    <w:rsid w:val="000A1DA6"/>
    <w:rsid w:val="000A276B"/>
    <w:rsid w:val="000A3D97"/>
    <w:rsid w:val="000A5495"/>
    <w:rsid w:val="000A6A46"/>
    <w:rsid w:val="000B0235"/>
    <w:rsid w:val="000B261F"/>
    <w:rsid w:val="000B44BF"/>
    <w:rsid w:val="000B4CC9"/>
    <w:rsid w:val="000B4E3B"/>
    <w:rsid w:val="000B7D6D"/>
    <w:rsid w:val="000C374A"/>
    <w:rsid w:val="000C38AF"/>
    <w:rsid w:val="000C3E3A"/>
    <w:rsid w:val="000C4F93"/>
    <w:rsid w:val="000C65E7"/>
    <w:rsid w:val="000C6B94"/>
    <w:rsid w:val="000D0958"/>
    <w:rsid w:val="000D2313"/>
    <w:rsid w:val="000D3117"/>
    <w:rsid w:val="000D320E"/>
    <w:rsid w:val="000D4E26"/>
    <w:rsid w:val="000D79BE"/>
    <w:rsid w:val="000E163E"/>
    <w:rsid w:val="000E2550"/>
    <w:rsid w:val="000E27A3"/>
    <w:rsid w:val="000E2E30"/>
    <w:rsid w:val="000E4761"/>
    <w:rsid w:val="000E6AD1"/>
    <w:rsid w:val="000F316E"/>
    <w:rsid w:val="000F3D80"/>
    <w:rsid w:val="000F534E"/>
    <w:rsid w:val="000F55FD"/>
    <w:rsid w:val="000F5E56"/>
    <w:rsid w:val="000F7545"/>
    <w:rsid w:val="0010098E"/>
    <w:rsid w:val="00101FB6"/>
    <w:rsid w:val="00102291"/>
    <w:rsid w:val="001078FA"/>
    <w:rsid w:val="0011145F"/>
    <w:rsid w:val="00112288"/>
    <w:rsid w:val="00112325"/>
    <w:rsid w:val="00112836"/>
    <w:rsid w:val="001148AF"/>
    <w:rsid w:val="0011501A"/>
    <w:rsid w:val="0011798B"/>
    <w:rsid w:val="001209F6"/>
    <w:rsid w:val="00120E16"/>
    <w:rsid w:val="00121610"/>
    <w:rsid w:val="001229A9"/>
    <w:rsid w:val="00123179"/>
    <w:rsid w:val="00123921"/>
    <w:rsid w:val="00127009"/>
    <w:rsid w:val="0012759C"/>
    <w:rsid w:val="00127BEC"/>
    <w:rsid w:val="001335CE"/>
    <w:rsid w:val="00135FE7"/>
    <w:rsid w:val="001362EE"/>
    <w:rsid w:val="00137472"/>
    <w:rsid w:val="00140621"/>
    <w:rsid w:val="00141942"/>
    <w:rsid w:val="0015034F"/>
    <w:rsid w:val="0015687E"/>
    <w:rsid w:val="001647D5"/>
    <w:rsid w:val="001659E1"/>
    <w:rsid w:val="00165ACB"/>
    <w:rsid w:val="00167474"/>
    <w:rsid w:val="00175541"/>
    <w:rsid w:val="001769A3"/>
    <w:rsid w:val="0017704D"/>
    <w:rsid w:val="00177A3F"/>
    <w:rsid w:val="0018090D"/>
    <w:rsid w:val="00182762"/>
    <w:rsid w:val="00182D03"/>
    <w:rsid w:val="00183284"/>
    <w:rsid w:val="001832A6"/>
    <w:rsid w:val="00183503"/>
    <w:rsid w:val="00190846"/>
    <w:rsid w:val="00191652"/>
    <w:rsid w:val="00191C32"/>
    <w:rsid w:val="0019228E"/>
    <w:rsid w:val="00193509"/>
    <w:rsid w:val="0019416F"/>
    <w:rsid w:val="001974B5"/>
    <w:rsid w:val="001A0E93"/>
    <w:rsid w:val="001A146A"/>
    <w:rsid w:val="001A6388"/>
    <w:rsid w:val="001B282A"/>
    <w:rsid w:val="001B4C6D"/>
    <w:rsid w:val="001B6345"/>
    <w:rsid w:val="001C2397"/>
    <w:rsid w:val="001C61F2"/>
    <w:rsid w:val="001C7C98"/>
    <w:rsid w:val="001D1179"/>
    <w:rsid w:val="001D1A6F"/>
    <w:rsid w:val="001D24C1"/>
    <w:rsid w:val="001D263E"/>
    <w:rsid w:val="001D4107"/>
    <w:rsid w:val="001D7847"/>
    <w:rsid w:val="001E0A44"/>
    <w:rsid w:val="001E3817"/>
    <w:rsid w:val="001E633F"/>
    <w:rsid w:val="001F01F6"/>
    <w:rsid w:val="001F1DC8"/>
    <w:rsid w:val="001F22AB"/>
    <w:rsid w:val="001F29A7"/>
    <w:rsid w:val="001F353F"/>
    <w:rsid w:val="001F5900"/>
    <w:rsid w:val="001F64BD"/>
    <w:rsid w:val="00201350"/>
    <w:rsid w:val="00202C82"/>
    <w:rsid w:val="00203D24"/>
    <w:rsid w:val="002042FB"/>
    <w:rsid w:val="00206179"/>
    <w:rsid w:val="0020618A"/>
    <w:rsid w:val="002075C9"/>
    <w:rsid w:val="00207CAA"/>
    <w:rsid w:val="002113D2"/>
    <w:rsid w:val="00212089"/>
    <w:rsid w:val="0021217E"/>
    <w:rsid w:val="00212522"/>
    <w:rsid w:val="002131A4"/>
    <w:rsid w:val="00214349"/>
    <w:rsid w:val="00215045"/>
    <w:rsid w:val="002153EA"/>
    <w:rsid w:val="00215C2A"/>
    <w:rsid w:val="00216155"/>
    <w:rsid w:val="002173FA"/>
    <w:rsid w:val="0022005A"/>
    <w:rsid w:val="0022386D"/>
    <w:rsid w:val="00226C82"/>
    <w:rsid w:val="00230A40"/>
    <w:rsid w:val="00230D0F"/>
    <w:rsid w:val="00231B8E"/>
    <w:rsid w:val="002326AB"/>
    <w:rsid w:val="00233BF1"/>
    <w:rsid w:val="00233D18"/>
    <w:rsid w:val="002348F8"/>
    <w:rsid w:val="00234A11"/>
    <w:rsid w:val="002363B5"/>
    <w:rsid w:val="002374AA"/>
    <w:rsid w:val="00237579"/>
    <w:rsid w:val="00237AC0"/>
    <w:rsid w:val="00242B02"/>
    <w:rsid w:val="00243430"/>
    <w:rsid w:val="00244187"/>
    <w:rsid w:val="00252ABA"/>
    <w:rsid w:val="0025646A"/>
    <w:rsid w:val="00256A24"/>
    <w:rsid w:val="002634C4"/>
    <w:rsid w:val="00264165"/>
    <w:rsid w:val="002653D6"/>
    <w:rsid w:val="0026795F"/>
    <w:rsid w:val="002706A2"/>
    <w:rsid w:val="002711D4"/>
    <w:rsid w:val="00273875"/>
    <w:rsid w:val="00274F9A"/>
    <w:rsid w:val="00276D94"/>
    <w:rsid w:val="00280465"/>
    <w:rsid w:val="00280AA6"/>
    <w:rsid w:val="00284C97"/>
    <w:rsid w:val="00285614"/>
    <w:rsid w:val="002910F5"/>
    <w:rsid w:val="002928D3"/>
    <w:rsid w:val="00292C91"/>
    <w:rsid w:val="002932A6"/>
    <w:rsid w:val="00293ADF"/>
    <w:rsid w:val="002952B8"/>
    <w:rsid w:val="002A07F9"/>
    <w:rsid w:val="002A4653"/>
    <w:rsid w:val="002A53C8"/>
    <w:rsid w:val="002A54F5"/>
    <w:rsid w:val="002A5D5F"/>
    <w:rsid w:val="002A6D46"/>
    <w:rsid w:val="002B0233"/>
    <w:rsid w:val="002B0DDA"/>
    <w:rsid w:val="002B2FE4"/>
    <w:rsid w:val="002C7E07"/>
    <w:rsid w:val="002D5B30"/>
    <w:rsid w:val="002D5D60"/>
    <w:rsid w:val="002E01FB"/>
    <w:rsid w:val="002E0BB0"/>
    <w:rsid w:val="002E2DF5"/>
    <w:rsid w:val="002E3B35"/>
    <w:rsid w:val="002E5331"/>
    <w:rsid w:val="002E621C"/>
    <w:rsid w:val="002E63BF"/>
    <w:rsid w:val="002F121C"/>
    <w:rsid w:val="002F1FE6"/>
    <w:rsid w:val="002F4E68"/>
    <w:rsid w:val="002F5CBB"/>
    <w:rsid w:val="00300225"/>
    <w:rsid w:val="003008E4"/>
    <w:rsid w:val="00300BF0"/>
    <w:rsid w:val="00300F6D"/>
    <w:rsid w:val="00305627"/>
    <w:rsid w:val="00306487"/>
    <w:rsid w:val="00312F7F"/>
    <w:rsid w:val="00314C76"/>
    <w:rsid w:val="00322309"/>
    <w:rsid w:val="00323C00"/>
    <w:rsid w:val="00324A8D"/>
    <w:rsid w:val="003263D4"/>
    <w:rsid w:val="00327C21"/>
    <w:rsid w:val="00330877"/>
    <w:rsid w:val="00332161"/>
    <w:rsid w:val="00332FCF"/>
    <w:rsid w:val="003330CA"/>
    <w:rsid w:val="00334515"/>
    <w:rsid w:val="00335D29"/>
    <w:rsid w:val="003369C5"/>
    <w:rsid w:val="00337A82"/>
    <w:rsid w:val="00337A9A"/>
    <w:rsid w:val="00340090"/>
    <w:rsid w:val="0034165B"/>
    <w:rsid w:val="00344738"/>
    <w:rsid w:val="003468CA"/>
    <w:rsid w:val="00351828"/>
    <w:rsid w:val="00352545"/>
    <w:rsid w:val="00352681"/>
    <w:rsid w:val="00352857"/>
    <w:rsid w:val="00353566"/>
    <w:rsid w:val="0035619E"/>
    <w:rsid w:val="00356431"/>
    <w:rsid w:val="00360DC5"/>
    <w:rsid w:val="00361450"/>
    <w:rsid w:val="0036514F"/>
    <w:rsid w:val="00365DE5"/>
    <w:rsid w:val="00366005"/>
    <w:rsid w:val="0036714E"/>
    <w:rsid w:val="00367331"/>
    <w:rsid w:val="003673CF"/>
    <w:rsid w:val="00367AD2"/>
    <w:rsid w:val="00370040"/>
    <w:rsid w:val="003707C4"/>
    <w:rsid w:val="003722E0"/>
    <w:rsid w:val="00372975"/>
    <w:rsid w:val="00372E52"/>
    <w:rsid w:val="00373BDE"/>
    <w:rsid w:val="0037436B"/>
    <w:rsid w:val="00375DC3"/>
    <w:rsid w:val="00376CDE"/>
    <w:rsid w:val="00380B7E"/>
    <w:rsid w:val="003819BB"/>
    <w:rsid w:val="003845C1"/>
    <w:rsid w:val="0038619C"/>
    <w:rsid w:val="003901A4"/>
    <w:rsid w:val="00393EDA"/>
    <w:rsid w:val="003941A5"/>
    <w:rsid w:val="003955C5"/>
    <w:rsid w:val="003A0699"/>
    <w:rsid w:val="003A07B5"/>
    <w:rsid w:val="003A1DB1"/>
    <w:rsid w:val="003A3E94"/>
    <w:rsid w:val="003A6F89"/>
    <w:rsid w:val="003B38C1"/>
    <w:rsid w:val="003B4838"/>
    <w:rsid w:val="003B4B0A"/>
    <w:rsid w:val="003B7791"/>
    <w:rsid w:val="003C01AA"/>
    <w:rsid w:val="003C17FB"/>
    <w:rsid w:val="003C1894"/>
    <w:rsid w:val="003C34E9"/>
    <w:rsid w:val="003C38A3"/>
    <w:rsid w:val="003C402B"/>
    <w:rsid w:val="003C4522"/>
    <w:rsid w:val="003C54BD"/>
    <w:rsid w:val="003C5C79"/>
    <w:rsid w:val="003C692C"/>
    <w:rsid w:val="003C69D4"/>
    <w:rsid w:val="003E0B05"/>
    <w:rsid w:val="003E0D1C"/>
    <w:rsid w:val="003E51F9"/>
    <w:rsid w:val="003E5B97"/>
    <w:rsid w:val="003E5C26"/>
    <w:rsid w:val="003F07EC"/>
    <w:rsid w:val="003F249C"/>
    <w:rsid w:val="003F26A1"/>
    <w:rsid w:val="003F2E30"/>
    <w:rsid w:val="003F713C"/>
    <w:rsid w:val="003F72E9"/>
    <w:rsid w:val="003F7EB4"/>
    <w:rsid w:val="00401478"/>
    <w:rsid w:val="00401C0E"/>
    <w:rsid w:val="00405202"/>
    <w:rsid w:val="00405D71"/>
    <w:rsid w:val="00406115"/>
    <w:rsid w:val="00406D82"/>
    <w:rsid w:val="00407F20"/>
    <w:rsid w:val="0041101F"/>
    <w:rsid w:val="00411798"/>
    <w:rsid w:val="00413DAC"/>
    <w:rsid w:val="0041436E"/>
    <w:rsid w:val="004152B0"/>
    <w:rsid w:val="00415E34"/>
    <w:rsid w:val="0041617F"/>
    <w:rsid w:val="00416DBE"/>
    <w:rsid w:val="00417BDF"/>
    <w:rsid w:val="00422EDE"/>
    <w:rsid w:val="00423E3E"/>
    <w:rsid w:val="00425EE2"/>
    <w:rsid w:val="00427AF4"/>
    <w:rsid w:val="00430AC9"/>
    <w:rsid w:val="0043124D"/>
    <w:rsid w:val="00433659"/>
    <w:rsid w:val="004348F4"/>
    <w:rsid w:val="00434A14"/>
    <w:rsid w:val="00435A70"/>
    <w:rsid w:val="00437D05"/>
    <w:rsid w:val="00443044"/>
    <w:rsid w:val="00444CD4"/>
    <w:rsid w:val="00446147"/>
    <w:rsid w:val="0044622C"/>
    <w:rsid w:val="004463A0"/>
    <w:rsid w:val="00452346"/>
    <w:rsid w:val="0045429D"/>
    <w:rsid w:val="00454320"/>
    <w:rsid w:val="004603C1"/>
    <w:rsid w:val="004623C5"/>
    <w:rsid w:val="0046416E"/>
    <w:rsid w:val="004647DA"/>
    <w:rsid w:val="00466E21"/>
    <w:rsid w:val="004700AD"/>
    <w:rsid w:val="00470C76"/>
    <w:rsid w:val="00471957"/>
    <w:rsid w:val="00471F9B"/>
    <w:rsid w:val="0047356B"/>
    <w:rsid w:val="00474062"/>
    <w:rsid w:val="00474602"/>
    <w:rsid w:val="0047465C"/>
    <w:rsid w:val="004746E3"/>
    <w:rsid w:val="00475A7C"/>
    <w:rsid w:val="00477D6B"/>
    <w:rsid w:val="00481A02"/>
    <w:rsid w:val="00485A2A"/>
    <w:rsid w:val="00493C24"/>
    <w:rsid w:val="00494F4A"/>
    <w:rsid w:val="00494F6E"/>
    <w:rsid w:val="0049591F"/>
    <w:rsid w:val="00495E0E"/>
    <w:rsid w:val="004A0437"/>
    <w:rsid w:val="004A0C30"/>
    <w:rsid w:val="004A219C"/>
    <w:rsid w:val="004A3B1E"/>
    <w:rsid w:val="004A43A3"/>
    <w:rsid w:val="004A58FB"/>
    <w:rsid w:val="004A5E73"/>
    <w:rsid w:val="004A61A2"/>
    <w:rsid w:val="004A7AE5"/>
    <w:rsid w:val="004B0EA1"/>
    <w:rsid w:val="004B23DE"/>
    <w:rsid w:val="004B3FBA"/>
    <w:rsid w:val="004B578F"/>
    <w:rsid w:val="004C0008"/>
    <w:rsid w:val="004C0C49"/>
    <w:rsid w:val="004C0F9F"/>
    <w:rsid w:val="004C19C1"/>
    <w:rsid w:val="004C1CEE"/>
    <w:rsid w:val="004C2617"/>
    <w:rsid w:val="004C3BBC"/>
    <w:rsid w:val="004C3F97"/>
    <w:rsid w:val="004C431E"/>
    <w:rsid w:val="004C488B"/>
    <w:rsid w:val="004C6222"/>
    <w:rsid w:val="004D0DC1"/>
    <w:rsid w:val="004D3BDF"/>
    <w:rsid w:val="004D445B"/>
    <w:rsid w:val="004D48A7"/>
    <w:rsid w:val="004D6D40"/>
    <w:rsid w:val="004E0DE4"/>
    <w:rsid w:val="004E2385"/>
    <w:rsid w:val="004E69D3"/>
    <w:rsid w:val="004E6E80"/>
    <w:rsid w:val="004E78A2"/>
    <w:rsid w:val="004F4AD5"/>
    <w:rsid w:val="004F5124"/>
    <w:rsid w:val="005013CC"/>
    <w:rsid w:val="005019FF"/>
    <w:rsid w:val="00504AFA"/>
    <w:rsid w:val="00505678"/>
    <w:rsid w:val="005059CD"/>
    <w:rsid w:val="00510A9D"/>
    <w:rsid w:val="00513AC7"/>
    <w:rsid w:val="00515819"/>
    <w:rsid w:val="00516064"/>
    <w:rsid w:val="005161A3"/>
    <w:rsid w:val="00517F13"/>
    <w:rsid w:val="005207AA"/>
    <w:rsid w:val="00525B09"/>
    <w:rsid w:val="00526EFF"/>
    <w:rsid w:val="00527336"/>
    <w:rsid w:val="0053057A"/>
    <w:rsid w:val="00531B8E"/>
    <w:rsid w:val="00533D75"/>
    <w:rsid w:val="00534307"/>
    <w:rsid w:val="00537F69"/>
    <w:rsid w:val="00544743"/>
    <w:rsid w:val="005454FA"/>
    <w:rsid w:val="00552A94"/>
    <w:rsid w:val="00556076"/>
    <w:rsid w:val="0056002C"/>
    <w:rsid w:val="00560A29"/>
    <w:rsid w:val="00561DC5"/>
    <w:rsid w:val="00562BF6"/>
    <w:rsid w:val="00564AC8"/>
    <w:rsid w:val="00565211"/>
    <w:rsid w:val="00570E7B"/>
    <w:rsid w:val="00571D59"/>
    <w:rsid w:val="0057203F"/>
    <w:rsid w:val="00575361"/>
    <w:rsid w:val="005761D1"/>
    <w:rsid w:val="00577372"/>
    <w:rsid w:val="00577775"/>
    <w:rsid w:val="00580011"/>
    <w:rsid w:val="00580C9A"/>
    <w:rsid w:val="005817FA"/>
    <w:rsid w:val="00581F48"/>
    <w:rsid w:val="00582E75"/>
    <w:rsid w:val="00584FFF"/>
    <w:rsid w:val="00587F32"/>
    <w:rsid w:val="0059101B"/>
    <w:rsid w:val="00591214"/>
    <w:rsid w:val="005928CC"/>
    <w:rsid w:val="00594054"/>
    <w:rsid w:val="00595011"/>
    <w:rsid w:val="0059586A"/>
    <w:rsid w:val="005A0130"/>
    <w:rsid w:val="005A2156"/>
    <w:rsid w:val="005A3C5C"/>
    <w:rsid w:val="005A504E"/>
    <w:rsid w:val="005A5C75"/>
    <w:rsid w:val="005A6506"/>
    <w:rsid w:val="005B2EC7"/>
    <w:rsid w:val="005B2F3D"/>
    <w:rsid w:val="005B3CBB"/>
    <w:rsid w:val="005B3D01"/>
    <w:rsid w:val="005C0B1C"/>
    <w:rsid w:val="005C4AEA"/>
    <w:rsid w:val="005C4FC1"/>
    <w:rsid w:val="005C5FF0"/>
    <w:rsid w:val="005C6649"/>
    <w:rsid w:val="005C7EE0"/>
    <w:rsid w:val="005D2021"/>
    <w:rsid w:val="005D46D0"/>
    <w:rsid w:val="005D5971"/>
    <w:rsid w:val="005D733E"/>
    <w:rsid w:val="005E03BB"/>
    <w:rsid w:val="005E0474"/>
    <w:rsid w:val="005E1290"/>
    <w:rsid w:val="005E14DD"/>
    <w:rsid w:val="005E2396"/>
    <w:rsid w:val="005E2A7A"/>
    <w:rsid w:val="005E389A"/>
    <w:rsid w:val="005E441B"/>
    <w:rsid w:val="005E56C4"/>
    <w:rsid w:val="005E71FE"/>
    <w:rsid w:val="005E7A13"/>
    <w:rsid w:val="005F0A13"/>
    <w:rsid w:val="005F1E95"/>
    <w:rsid w:val="005F3DCD"/>
    <w:rsid w:val="005F4314"/>
    <w:rsid w:val="005F61AD"/>
    <w:rsid w:val="005F6D10"/>
    <w:rsid w:val="005F781A"/>
    <w:rsid w:val="005F7DFB"/>
    <w:rsid w:val="00601F16"/>
    <w:rsid w:val="006025EC"/>
    <w:rsid w:val="00603694"/>
    <w:rsid w:val="00605144"/>
    <w:rsid w:val="00605827"/>
    <w:rsid w:val="00605BD9"/>
    <w:rsid w:val="00606202"/>
    <w:rsid w:val="00610A9D"/>
    <w:rsid w:val="006116C4"/>
    <w:rsid w:val="00613DE2"/>
    <w:rsid w:val="00622B00"/>
    <w:rsid w:val="00624936"/>
    <w:rsid w:val="006251DB"/>
    <w:rsid w:val="00625F30"/>
    <w:rsid w:val="0062632C"/>
    <w:rsid w:val="00626B5F"/>
    <w:rsid w:val="00630FED"/>
    <w:rsid w:val="0063261A"/>
    <w:rsid w:val="00635B06"/>
    <w:rsid w:val="00636203"/>
    <w:rsid w:val="006362D5"/>
    <w:rsid w:val="00640DDA"/>
    <w:rsid w:val="006417C0"/>
    <w:rsid w:val="00641B7E"/>
    <w:rsid w:val="00641DF9"/>
    <w:rsid w:val="006430C3"/>
    <w:rsid w:val="0064330F"/>
    <w:rsid w:val="006441D3"/>
    <w:rsid w:val="00645718"/>
    <w:rsid w:val="00646050"/>
    <w:rsid w:val="00651C13"/>
    <w:rsid w:val="006559CA"/>
    <w:rsid w:val="006601F5"/>
    <w:rsid w:val="00660B3C"/>
    <w:rsid w:val="00665E75"/>
    <w:rsid w:val="00670E61"/>
    <w:rsid w:val="006713CA"/>
    <w:rsid w:val="00671C1E"/>
    <w:rsid w:val="00671EFB"/>
    <w:rsid w:val="00674A1C"/>
    <w:rsid w:val="00675446"/>
    <w:rsid w:val="00675D8F"/>
    <w:rsid w:val="006769BE"/>
    <w:rsid w:val="00676C5C"/>
    <w:rsid w:val="006816B4"/>
    <w:rsid w:val="00682153"/>
    <w:rsid w:val="00685E97"/>
    <w:rsid w:val="0069190E"/>
    <w:rsid w:val="006941DD"/>
    <w:rsid w:val="0069435F"/>
    <w:rsid w:val="00694449"/>
    <w:rsid w:val="00696037"/>
    <w:rsid w:val="00696420"/>
    <w:rsid w:val="006A1177"/>
    <w:rsid w:val="006A1EA4"/>
    <w:rsid w:val="006A217C"/>
    <w:rsid w:val="006A47D3"/>
    <w:rsid w:val="006A6085"/>
    <w:rsid w:val="006A74E7"/>
    <w:rsid w:val="006B03ED"/>
    <w:rsid w:val="006B0778"/>
    <w:rsid w:val="006B09BA"/>
    <w:rsid w:val="006B0DB3"/>
    <w:rsid w:val="006B3419"/>
    <w:rsid w:val="006B3D84"/>
    <w:rsid w:val="006B4D1D"/>
    <w:rsid w:val="006B5461"/>
    <w:rsid w:val="006B7CD9"/>
    <w:rsid w:val="006B7E02"/>
    <w:rsid w:val="006C171C"/>
    <w:rsid w:val="006C4050"/>
    <w:rsid w:val="006C43F1"/>
    <w:rsid w:val="006C4E14"/>
    <w:rsid w:val="006C6766"/>
    <w:rsid w:val="006D20DD"/>
    <w:rsid w:val="006D5CCA"/>
    <w:rsid w:val="006E246D"/>
    <w:rsid w:val="006E3003"/>
    <w:rsid w:val="006E3465"/>
    <w:rsid w:val="006E42FB"/>
    <w:rsid w:val="006E4861"/>
    <w:rsid w:val="006E6FFA"/>
    <w:rsid w:val="006E7009"/>
    <w:rsid w:val="006E7923"/>
    <w:rsid w:val="006E7DDF"/>
    <w:rsid w:val="006F0D2C"/>
    <w:rsid w:val="006F2208"/>
    <w:rsid w:val="006F524B"/>
    <w:rsid w:val="0070055E"/>
    <w:rsid w:val="00703E3A"/>
    <w:rsid w:val="00704731"/>
    <w:rsid w:val="007052A6"/>
    <w:rsid w:val="0070699A"/>
    <w:rsid w:val="0070716F"/>
    <w:rsid w:val="00707948"/>
    <w:rsid w:val="00707980"/>
    <w:rsid w:val="00710B31"/>
    <w:rsid w:val="00711C97"/>
    <w:rsid w:val="00713FB7"/>
    <w:rsid w:val="00716835"/>
    <w:rsid w:val="00716F5E"/>
    <w:rsid w:val="00720EFD"/>
    <w:rsid w:val="00723C89"/>
    <w:rsid w:val="00724D45"/>
    <w:rsid w:val="007259C5"/>
    <w:rsid w:val="00725F2B"/>
    <w:rsid w:val="00735F5A"/>
    <w:rsid w:val="0073666E"/>
    <w:rsid w:val="00736F98"/>
    <w:rsid w:val="007429CC"/>
    <w:rsid w:val="007459DC"/>
    <w:rsid w:val="00745A39"/>
    <w:rsid w:val="00745C2C"/>
    <w:rsid w:val="007469CC"/>
    <w:rsid w:val="00746A4F"/>
    <w:rsid w:val="00751A48"/>
    <w:rsid w:val="0075321A"/>
    <w:rsid w:val="007549BE"/>
    <w:rsid w:val="00754B8E"/>
    <w:rsid w:val="00756199"/>
    <w:rsid w:val="00756BB4"/>
    <w:rsid w:val="007630F7"/>
    <w:rsid w:val="00764590"/>
    <w:rsid w:val="00766901"/>
    <w:rsid w:val="00767126"/>
    <w:rsid w:val="007675E4"/>
    <w:rsid w:val="0077071F"/>
    <w:rsid w:val="00770B7A"/>
    <w:rsid w:val="00770E96"/>
    <w:rsid w:val="00772053"/>
    <w:rsid w:val="0077361B"/>
    <w:rsid w:val="0077452F"/>
    <w:rsid w:val="007748E3"/>
    <w:rsid w:val="00776A1D"/>
    <w:rsid w:val="00781847"/>
    <w:rsid w:val="00782A20"/>
    <w:rsid w:val="00784D0B"/>
    <w:rsid w:val="007854AF"/>
    <w:rsid w:val="00787770"/>
    <w:rsid w:val="00787DFF"/>
    <w:rsid w:val="007909A0"/>
    <w:rsid w:val="00790CA7"/>
    <w:rsid w:val="00792F21"/>
    <w:rsid w:val="00793A7C"/>
    <w:rsid w:val="00793B2A"/>
    <w:rsid w:val="007954FB"/>
    <w:rsid w:val="007959F1"/>
    <w:rsid w:val="00796C5F"/>
    <w:rsid w:val="00797426"/>
    <w:rsid w:val="007A1153"/>
    <w:rsid w:val="007A3398"/>
    <w:rsid w:val="007A398A"/>
    <w:rsid w:val="007A6952"/>
    <w:rsid w:val="007A77B6"/>
    <w:rsid w:val="007B0C23"/>
    <w:rsid w:val="007B1E5D"/>
    <w:rsid w:val="007B1E8E"/>
    <w:rsid w:val="007B5559"/>
    <w:rsid w:val="007B7780"/>
    <w:rsid w:val="007C3D8A"/>
    <w:rsid w:val="007C66F9"/>
    <w:rsid w:val="007D1613"/>
    <w:rsid w:val="007D1F15"/>
    <w:rsid w:val="007D23B7"/>
    <w:rsid w:val="007D2ED1"/>
    <w:rsid w:val="007D5AA2"/>
    <w:rsid w:val="007D6682"/>
    <w:rsid w:val="007D714A"/>
    <w:rsid w:val="007D7648"/>
    <w:rsid w:val="007E042E"/>
    <w:rsid w:val="007E1C08"/>
    <w:rsid w:val="007E3972"/>
    <w:rsid w:val="007E433E"/>
    <w:rsid w:val="007E4C0E"/>
    <w:rsid w:val="007E7AF9"/>
    <w:rsid w:val="007F2AF8"/>
    <w:rsid w:val="007F5702"/>
    <w:rsid w:val="007F77ED"/>
    <w:rsid w:val="0080072C"/>
    <w:rsid w:val="008009F2"/>
    <w:rsid w:val="00801671"/>
    <w:rsid w:val="008032ED"/>
    <w:rsid w:val="008042E7"/>
    <w:rsid w:val="00812BA0"/>
    <w:rsid w:val="008139C0"/>
    <w:rsid w:val="00815C09"/>
    <w:rsid w:val="00815E41"/>
    <w:rsid w:val="008176F7"/>
    <w:rsid w:val="00820E94"/>
    <w:rsid w:val="008229CD"/>
    <w:rsid w:val="00822C29"/>
    <w:rsid w:val="00823B76"/>
    <w:rsid w:val="0082588F"/>
    <w:rsid w:val="00826024"/>
    <w:rsid w:val="0082788F"/>
    <w:rsid w:val="00831FC8"/>
    <w:rsid w:val="0083371D"/>
    <w:rsid w:val="0084079E"/>
    <w:rsid w:val="00840B2E"/>
    <w:rsid w:val="008411BC"/>
    <w:rsid w:val="00843DFF"/>
    <w:rsid w:val="00845D53"/>
    <w:rsid w:val="008460D1"/>
    <w:rsid w:val="00847190"/>
    <w:rsid w:val="00850386"/>
    <w:rsid w:val="0085084A"/>
    <w:rsid w:val="008516EE"/>
    <w:rsid w:val="008532E1"/>
    <w:rsid w:val="00855D5E"/>
    <w:rsid w:val="008567F2"/>
    <w:rsid w:val="00860F0F"/>
    <w:rsid w:val="00864DB6"/>
    <w:rsid w:val="00865B60"/>
    <w:rsid w:val="00873CB8"/>
    <w:rsid w:val="00877A18"/>
    <w:rsid w:val="00880C01"/>
    <w:rsid w:val="00883C7E"/>
    <w:rsid w:val="00884804"/>
    <w:rsid w:val="00885C2D"/>
    <w:rsid w:val="00886518"/>
    <w:rsid w:val="00890C1D"/>
    <w:rsid w:val="00890EC6"/>
    <w:rsid w:val="00891BA0"/>
    <w:rsid w:val="00891BD8"/>
    <w:rsid w:val="00891F03"/>
    <w:rsid w:val="00895CEF"/>
    <w:rsid w:val="008963B0"/>
    <w:rsid w:val="008A134B"/>
    <w:rsid w:val="008A22AF"/>
    <w:rsid w:val="008A2FA9"/>
    <w:rsid w:val="008A31E4"/>
    <w:rsid w:val="008A4FF3"/>
    <w:rsid w:val="008A6027"/>
    <w:rsid w:val="008A6DA9"/>
    <w:rsid w:val="008B2CC1"/>
    <w:rsid w:val="008B3FC9"/>
    <w:rsid w:val="008B4E9D"/>
    <w:rsid w:val="008B60B2"/>
    <w:rsid w:val="008B78EF"/>
    <w:rsid w:val="008C0563"/>
    <w:rsid w:val="008C3DA8"/>
    <w:rsid w:val="008C498D"/>
    <w:rsid w:val="008C5B81"/>
    <w:rsid w:val="008C70F4"/>
    <w:rsid w:val="008D1D63"/>
    <w:rsid w:val="008D235C"/>
    <w:rsid w:val="008D566F"/>
    <w:rsid w:val="008D5863"/>
    <w:rsid w:val="008D71E4"/>
    <w:rsid w:val="008E1A14"/>
    <w:rsid w:val="008E7349"/>
    <w:rsid w:val="008F2AA2"/>
    <w:rsid w:val="008F5749"/>
    <w:rsid w:val="008F61FA"/>
    <w:rsid w:val="0090058B"/>
    <w:rsid w:val="00900AC6"/>
    <w:rsid w:val="0090159D"/>
    <w:rsid w:val="00902418"/>
    <w:rsid w:val="009025DB"/>
    <w:rsid w:val="00902772"/>
    <w:rsid w:val="00902E1F"/>
    <w:rsid w:val="00904844"/>
    <w:rsid w:val="00905002"/>
    <w:rsid w:val="00905C38"/>
    <w:rsid w:val="00905F05"/>
    <w:rsid w:val="00907285"/>
    <w:rsid w:val="0090731E"/>
    <w:rsid w:val="00916EE2"/>
    <w:rsid w:val="00922839"/>
    <w:rsid w:val="00923A8B"/>
    <w:rsid w:val="00924258"/>
    <w:rsid w:val="00924AEA"/>
    <w:rsid w:val="00924BF6"/>
    <w:rsid w:val="009259AC"/>
    <w:rsid w:val="00927473"/>
    <w:rsid w:val="00930CB2"/>
    <w:rsid w:val="00931DFC"/>
    <w:rsid w:val="00934407"/>
    <w:rsid w:val="0093465B"/>
    <w:rsid w:val="0093684D"/>
    <w:rsid w:val="009413F8"/>
    <w:rsid w:val="009438B1"/>
    <w:rsid w:val="00951D6A"/>
    <w:rsid w:val="00953204"/>
    <w:rsid w:val="0095345A"/>
    <w:rsid w:val="009539C7"/>
    <w:rsid w:val="00960A6B"/>
    <w:rsid w:val="00962D0B"/>
    <w:rsid w:val="00962E1D"/>
    <w:rsid w:val="00962F5F"/>
    <w:rsid w:val="0096303E"/>
    <w:rsid w:val="00963FFD"/>
    <w:rsid w:val="00964BE4"/>
    <w:rsid w:val="00966A22"/>
    <w:rsid w:val="0096722F"/>
    <w:rsid w:val="00976C7E"/>
    <w:rsid w:val="00980843"/>
    <w:rsid w:val="00981679"/>
    <w:rsid w:val="00982B96"/>
    <w:rsid w:val="0098686D"/>
    <w:rsid w:val="009912A5"/>
    <w:rsid w:val="00992514"/>
    <w:rsid w:val="00992CEB"/>
    <w:rsid w:val="00995DB3"/>
    <w:rsid w:val="00996591"/>
    <w:rsid w:val="009A01E5"/>
    <w:rsid w:val="009A0F0A"/>
    <w:rsid w:val="009A11F2"/>
    <w:rsid w:val="009A31E5"/>
    <w:rsid w:val="009A48E6"/>
    <w:rsid w:val="009A5A9B"/>
    <w:rsid w:val="009A6222"/>
    <w:rsid w:val="009A7750"/>
    <w:rsid w:val="009B14B4"/>
    <w:rsid w:val="009B1629"/>
    <w:rsid w:val="009B2715"/>
    <w:rsid w:val="009B56C8"/>
    <w:rsid w:val="009C0793"/>
    <w:rsid w:val="009C32C6"/>
    <w:rsid w:val="009C4927"/>
    <w:rsid w:val="009C5D48"/>
    <w:rsid w:val="009C7E8A"/>
    <w:rsid w:val="009D000C"/>
    <w:rsid w:val="009D3B75"/>
    <w:rsid w:val="009D504C"/>
    <w:rsid w:val="009E08C7"/>
    <w:rsid w:val="009E1F57"/>
    <w:rsid w:val="009E2657"/>
    <w:rsid w:val="009E2791"/>
    <w:rsid w:val="009E3F6F"/>
    <w:rsid w:val="009E483D"/>
    <w:rsid w:val="009E4F18"/>
    <w:rsid w:val="009E6035"/>
    <w:rsid w:val="009E7D4C"/>
    <w:rsid w:val="009F499F"/>
    <w:rsid w:val="00A016D1"/>
    <w:rsid w:val="00A01841"/>
    <w:rsid w:val="00A02868"/>
    <w:rsid w:val="00A02F92"/>
    <w:rsid w:val="00A033DB"/>
    <w:rsid w:val="00A038FC"/>
    <w:rsid w:val="00A04216"/>
    <w:rsid w:val="00A06429"/>
    <w:rsid w:val="00A10FE9"/>
    <w:rsid w:val="00A11E4B"/>
    <w:rsid w:val="00A13457"/>
    <w:rsid w:val="00A1493D"/>
    <w:rsid w:val="00A16628"/>
    <w:rsid w:val="00A214A8"/>
    <w:rsid w:val="00A234A2"/>
    <w:rsid w:val="00A235F3"/>
    <w:rsid w:val="00A23A4A"/>
    <w:rsid w:val="00A23C50"/>
    <w:rsid w:val="00A25B73"/>
    <w:rsid w:val="00A25BD7"/>
    <w:rsid w:val="00A264B3"/>
    <w:rsid w:val="00A26BB1"/>
    <w:rsid w:val="00A30579"/>
    <w:rsid w:val="00A36D79"/>
    <w:rsid w:val="00A37342"/>
    <w:rsid w:val="00A40444"/>
    <w:rsid w:val="00A41BA8"/>
    <w:rsid w:val="00A42DAF"/>
    <w:rsid w:val="00A446EA"/>
    <w:rsid w:val="00A447FC"/>
    <w:rsid w:val="00A45BD8"/>
    <w:rsid w:val="00A4763B"/>
    <w:rsid w:val="00A53BBB"/>
    <w:rsid w:val="00A600BB"/>
    <w:rsid w:val="00A6213B"/>
    <w:rsid w:val="00A629EF"/>
    <w:rsid w:val="00A6384E"/>
    <w:rsid w:val="00A64418"/>
    <w:rsid w:val="00A64847"/>
    <w:rsid w:val="00A64EED"/>
    <w:rsid w:val="00A6656C"/>
    <w:rsid w:val="00A76EF4"/>
    <w:rsid w:val="00A776DF"/>
    <w:rsid w:val="00A808B9"/>
    <w:rsid w:val="00A8291D"/>
    <w:rsid w:val="00A84002"/>
    <w:rsid w:val="00A8678F"/>
    <w:rsid w:val="00A869B7"/>
    <w:rsid w:val="00A90062"/>
    <w:rsid w:val="00A91DBD"/>
    <w:rsid w:val="00A962AB"/>
    <w:rsid w:val="00A96F1E"/>
    <w:rsid w:val="00A973B6"/>
    <w:rsid w:val="00A97AC0"/>
    <w:rsid w:val="00AA0A55"/>
    <w:rsid w:val="00AA1044"/>
    <w:rsid w:val="00AA105D"/>
    <w:rsid w:val="00AA2499"/>
    <w:rsid w:val="00AA3206"/>
    <w:rsid w:val="00AA45FE"/>
    <w:rsid w:val="00AA71C4"/>
    <w:rsid w:val="00AA7DB5"/>
    <w:rsid w:val="00AB01F6"/>
    <w:rsid w:val="00AB3420"/>
    <w:rsid w:val="00AB345C"/>
    <w:rsid w:val="00AB3E5D"/>
    <w:rsid w:val="00AB4384"/>
    <w:rsid w:val="00AB618A"/>
    <w:rsid w:val="00AB7DAA"/>
    <w:rsid w:val="00AC0C58"/>
    <w:rsid w:val="00AC205C"/>
    <w:rsid w:val="00AC32F3"/>
    <w:rsid w:val="00AC339B"/>
    <w:rsid w:val="00AC3FB9"/>
    <w:rsid w:val="00AC599C"/>
    <w:rsid w:val="00AD0114"/>
    <w:rsid w:val="00AD64F0"/>
    <w:rsid w:val="00AE04D0"/>
    <w:rsid w:val="00AE33C8"/>
    <w:rsid w:val="00AE6529"/>
    <w:rsid w:val="00AF0A6B"/>
    <w:rsid w:val="00AF12B1"/>
    <w:rsid w:val="00AF1F9F"/>
    <w:rsid w:val="00AF25E5"/>
    <w:rsid w:val="00AF3AAE"/>
    <w:rsid w:val="00AF43EB"/>
    <w:rsid w:val="00AF5F15"/>
    <w:rsid w:val="00AF712E"/>
    <w:rsid w:val="00B01FC1"/>
    <w:rsid w:val="00B027F7"/>
    <w:rsid w:val="00B02EBA"/>
    <w:rsid w:val="00B0497F"/>
    <w:rsid w:val="00B05A69"/>
    <w:rsid w:val="00B06873"/>
    <w:rsid w:val="00B126A0"/>
    <w:rsid w:val="00B13E5F"/>
    <w:rsid w:val="00B1586A"/>
    <w:rsid w:val="00B15C45"/>
    <w:rsid w:val="00B2060B"/>
    <w:rsid w:val="00B25532"/>
    <w:rsid w:val="00B25EF6"/>
    <w:rsid w:val="00B275BC"/>
    <w:rsid w:val="00B27FDC"/>
    <w:rsid w:val="00B319D9"/>
    <w:rsid w:val="00B32031"/>
    <w:rsid w:val="00B3381D"/>
    <w:rsid w:val="00B33BDC"/>
    <w:rsid w:val="00B35A84"/>
    <w:rsid w:val="00B42317"/>
    <w:rsid w:val="00B4279C"/>
    <w:rsid w:val="00B42C93"/>
    <w:rsid w:val="00B42E82"/>
    <w:rsid w:val="00B4327F"/>
    <w:rsid w:val="00B45265"/>
    <w:rsid w:val="00B52523"/>
    <w:rsid w:val="00B532F5"/>
    <w:rsid w:val="00B60A9B"/>
    <w:rsid w:val="00B624B9"/>
    <w:rsid w:val="00B6343D"/>
    <w:rsid w:val="00B65336"/>
    <w:rsid w:val="00B65544"/>
    <w:rsid w:val="00B65BE1"/>
    <w:rsid w:val="00B66D76"/>
    <w:rsid w:val="00B66F0D"/>
    <w:rsid w:val="00B75281"/>
    <w:rsid w:val="00B76BE6"/>
    <w:rsid w:val="00B813A3"/>
    <w:rsid w:val="00B83D9F"/>
    <w:rsid w:val="00B86606"/>
    <w:rsid w:val="00B8785C"/>
    <w:rsid w:val="00B92669"/>
    <w:rsid w:val="00B92F1F"/>
    <w:rsid w:val="00B94D30"/>
    <w:rsid w:val="00B94EF5"/>
    <w:rsid w:val="00B96C09"/>
    <w:rsid w:val="00B9734B"/>
    <w:rsid w:val="00BA099F"/>
    <w:rsid w:val="00BA0A6A"/>
    <w:rsid w:val="00BA30E2"/>
    <w:rsid w:val="00BA316F"/>
    <w:rsid w:val="00BA5D21"/>
    <w:rsid w:val="00BA61D9"/>
    <w:rsid w:val="00BA6286"/>
    <w:rsid w:val="00BA71A8"/>
    <w:rsid w:val="00BA722F"/>
    <w:rsid w:val="00BB020C"/>
    <w:rsid w:val="00BB0F9C"/>
    <w:rsid w:val="00BB152F"/>
    <w:rsid w:val="00BB53EA"/>
    <w:rsid w:val="00BB7921"/>
    <w:rsid w:val="00BB7D8F"/>
    <w:rsid w:val="00BC0A8D"/>
    <w:rsid w:val="00BC0D41"/>
    <w:rsid w:val="00BC1947"/>
    <w:rsid w:val="00BC48D2"/>
    <w:rsid w:val="00BC6B03"/>
    <w:rsid w:val="00BC787B"/>
    <w:rsid w:val="00BC7AC6"/>
    <w:rsid w:val="00BD0AF9"/>
    <w:rsid w:val="00BD108E"/>
    <w:rsid w:val="00BD154E"/>
    <w:rsid w:val="00BD3DCF"/>
    <w:rsid w:val="00BD5328"/>
    <w:rsid w:val="00BD5D2A"/>
    <w:rsid w:val="00BD740B"/>
    <w:rsid w:val="00BE0CDD"/>
    <w:rsid w:val="00BE3E85"/>
    <w:rsid w:val="00BE44C6"/>
    <w:rsid w:val="00BE451D"/>
    <w:rsid w:val="00BF106E"/>
    <w:rsid w:val="00BF1EFC"/>
    <w:rsid w:val="00BF5131"/>
    <w:rsid w:val="00C022F2"/>
    <w:rsid w:val="00C03DB5"/>
    <w:rsid w:val="00C06A04"/>
    <w:rsid w:val="00C072C6"/>
    <w:rsid w:val="00C07795"/>
    <w:rsid w:val="00C11BFE"/>
    <w:rsid w:val="00C147B2"/>
    <w:rsid w:val="00C14C39"/>
    <w:rsid w:val="00C14E02"/>
    <w:rsid w:val="00C17A63"/>
    <w:rsid w:val="00C21005"/>
    <w:rsid w:val="00C217BA"/>
    <w:rsid w:val="00C231FC"/>
    <w:rsid w:val="00C232F1"/>
    <w:rsid w:val="00C25569"/>
    <w:rsid w:val="00C27E2A"/>
    <w:rsid w:val="00C30293"/>
    <w:rsid w:val="00C32E10"/>
    <w:rsid w:val="00C402C2"/>
    <w:rsid w:val="00C403C1"/>
    <w:rsid w:val="00C414B5"/>
    <w:rsid w:val="00C41B82"/>
    <w:rsid w:val="00C41F84"/>
    <w:rsid w:val="00C47DCF"/>
    <w:rsid w:val="00C5068F"/>
    <w:rsid w:val="00C5393D"/>
    <w:rsid w:val="00C54231"/>
    <w:rsid w:val="00C545F3"/>
    <w:rsid w:val="00C55B3D"/>
    <w:rsid w:val="00C5612E"/>
    <w:rsid w:val="00C6340D"/>
    <w:rsid w:val="00C63E30"/>
    <w:rsid w:val="00C66D51"/>
    <w:rsid w:val="00C7039F"/>
    <w:rsid w:val="00C70F9C"/>
    <w:rsid w:val="00C7315E"/>
    <w:rsid w:val="00C74330"/>
    <w:rsid w:val="00C745B6"/>
    <w:rsid w:val="00C75086"/>
    <w:rsid w:val="00C758B6"/>
    <w:rsid w:val="00C86D74"/>
    <w:rsid w:val="00C877F0"/>
    <w:rsid w:val="00C8780C"/>
    <w:rsid w:val="00C91F48"/>
    <w:rsid w:val="00C9401D"/>
    <w:rsid w:val="00C9418C"/>
    <w:rsid w:val="00C943C0"/>
    <w:rsid w:val="00C95C8F"/>
    <w:rsid w:val="00C96D88"/>
    <w:rsid w:val="00CA13B7"/>
    <w:rsid w:val="00CA1F47"/>
    <w:rsid w:val="00CA2C5B"/>
    <w:rsid w:val="00CA4646"/>
    <w:rsid w:val="00CA4923"/>
    <w:rsid w:val="00CA51AF"/>
    <w:rsid w:val="00CA66AE"/>
    <w:rsid w:val="00CB0C15"/>
    <w:rsid w:val="00CB1CFF"/>
    <w:rsid w:val="00CB3081"/>
    <w:rsid w:val="00CB3941"/>
    <w:rsid w:val="00CB43DB"/>
    <w:rsid w:val="00CB6D53"/>
    <w:rsid w:val="00CC1BF5"/>
    <w:rsid w:val="00CC281F"/>
    <w:rsid w:val="00CC319F"/>
    <w:rsid w:val="00CC3514"/>
    <w:rsid w:val="00CC3D23"/>
    <w:rsid w:val="00CC46C2"/>
    <w:rsid w:val="00CC67F3"/>
    <w:rsid w:val="00CD04F1"/>
    <w:rsid w:val="00CD0D3B"/>
    <w:rsid w:val="00CD1828"/>
    <w:rsid w:val="00CD2CEC"/>
    <w:rsid w:val="00CD2E86"/>
    <w:rsid w:val="00CD3D06"/>
    <w:rsid w:val="00CE1A67"/>
    <w:rsid w:val="00CE54AE"/>
    <w:rsid w:val="00CE5DEA"/>
    <w:rsid w:val="00CE62BA"/>
    <w:rsid w:val="00CE63A9"/>
    <w:rsid w:val="00CE68D8"/>
    <w:rsid w:val="00CE785F"/>
    <w:rsid w:val="00CF059F"/>
    <w:rsid w:val="00CF185E"/>
    <w:rsid w:val="00CF2159"/>
    <w:rsid w:val="00CF2881"/>
    <w:rsid w:val="00CF29D8"/>
    <w:rsid w:val="00CF2CC0"/>
    <w:rsid w:val="00CF3C52"/>
    <w:rsid w:val="00CF478C"/>
    <w:rsid w:val="00CF4DAB"/>
    <w:rsid w:val="00CF66B6"/>
    <w:rsid w:val="00CF681A"/>
    <w:rsid w:val="00CF78EE"/>
    <w:rsid w:val="00D0034E"/>
    <w:rsid w:val="00D01B45"/>
    <w:rsid w:val="00D01E9D"/>
    <w:rsid w:val="00D03332"/>
    <w:rsid w:val="00D04569"/>
    <w:rsid w:val="00D05BF2"/>
    <w:rsid w:val="00D07316"/>
    <w:rsid w:val="00D07B50"/>
    <w:rsid w:val="00D07C78"/>
    <w:rsid w:val="00D11329"/>
    <w:rsid w:val="00D143D2"/>
    <w:rsid w:val="00D15121"/>
    <w:rsid w:val="00D15267"/>
    <w:rsid w:val="00D159D9"/>
    <w:rsid w:val="00D200EF"/>
    <w:rsid w:val="00D21538"/>
    <w:rsid w:val="00D21AEB"/>
    <w:rsid w:val="00D223D0"/>
    <w:rsid w:val="00D22F93"/>
    <w:rsid w:val="00D24B15"/>
    <w:rsid w:val="00D26A62"/>
    <w:rsid w:val="00D2758A"/>
    <w:rsid w:val="00D27692"/>
    <w:rsid w:val="00D27F9D"/>
    <w:rsid w:val="00D30A8B"/>
    <w:rsid w:val="00D30B06"/>
    <w:rsid w:val="00D3614F"/>
    <w:rsid w:val="00D36997"/>
    <w:rsid w:val="00D372CE"/>
    <w:rsid w:val="00D41AA6"/>
    <w:rsid w:val="00D4285D"/>
    <w:rsid w:val="00D45252"/>
    <w:rsid w:val="00D45A69"/>
    <w:rsid w:val="00D525CC"/>
    <w:rsid w:val="00D527BF"/>
    <w:rsid w:val="00D548CA"/>
    <w:rsid w:val="00D54A57"/>
    <w:rsid w:val="00D56197"/>
    <w:rsid w:val="00D612CE"/>
    <w:rsid w:val="00D61611"/>
    <w:rsid w:val="00D62CEF"/>
    <w:rsid w:val="00D63855"/>
    <w:rsid w:val="00D64F69"/>
    <w:rsid w:val="00D710FE"/>
    <w:rsid w:val="00D71296"/>
    <w:rsid w:val="00D71B4D"/>
    <w:rsid w:val="00D77568"/>
    <w:rsid w:val="00D77979"/>
    <w:rsid w:val="00D77F24"/>
    <w:rsid w:val="00D802E8"/>
    <w:rsid w:val="00D83CF2"/>
    <w:rsid w:val="00D8554E"/>
    <w:rsid w:val="00D93088"/>
    <w:rsid w:val="00D93D55"/>
    <w:rsid w:val="00D96C78"/>
    <w:rsid w:val="00D97929"/>
    <w:rsid w:val="00DA0555"/>
    <w:rsid w:val="00DA3A6B"/>
    <w:rsid w:val="00DA7D4F"/>
    <w:rsid w:val="00DB05C9"/>
    <w:rsid w:val="00DB1999"/>
    <w:rsid w:val="00DB29C8"/>
    <w:rsid w:val="00DB4590"/>
    <w:rsid w:val="00DB49BC"/>
    <w:rsid w:val="00DB509C"/>
    <w:rsid w:val="00DB5701"/>
    <w:rsid w:val="00DB5A73"/>
    <w:rsid w:val="00DB65FF"/>
    <w:rsid w:val="00DB69E9"/>
    <w:rsid w:val="00DC0423"/>
    <w:rsid w:val="00DC1194"/>
    <w:rsid w:val="00DC1926"/>
    <w:rsid w:val="00DC2381"/>
    <w:rsid w:val="00DC327E"/>
    <w:rsid w:val="00DC530F"/>
    <w:rsid w:val="00DC7153"/>
    <w:rsid w:val="00DD149A"/>
    <w:rsid w:val="00DD1B59"/>
    <w:rsid w:val="00DD2DC5"/>
    <w:rsid w:val="00DD31D0"/>
    <w:rsid w:val="00DD3924"/>
    <w:rsid w:val="00DD57C5"/>
    <w:rsid w:val="00DD6719"/>
    <w:rsid w:val="00DD7B7F"/>
    <w:rsid w:val="00DE0E50"/>
    <w:rsid w:val="00DE4502"/>
    <w:rsid w:val="00DE5DD2"/>
    <w:rsid w:val="00DE5DDE"/>
    <w:rsid w:val="00DE79BF"/>
    <w:rsid w:val="00DE7FFC"/>
    <w:rsid w:val="00DF1551"/>
    <w:rsid w:val="00DF1C6D"/>
    <w:rsid w:val="00DF34F7"/>
    <w:rsid w:val="00DF3DB1"/>
    <w:rsid w:val="00DF5481"/>
    <w:rsid w:val="00DF7014"/>
    <w:rsid w:val="00DF7C9D"/>
    <w:rsid w:val="00E0072F"/>
    <w:rsid w:val="00E0225E"/>
    <w:rsid w:val="00E07704"/>
    <w:rsid w:val="00E125B4"/>
    <w:rsid w:val="00E15015"/>
    <w:rsid w:val="00E168C5"/>
    <w:rsid w:val="00E20381"/>
    <w:rsid w:val="00E2051B"/>
    <w:rsid w:val="00E20892"/>
    <w:rsid w:val="00E22734"/>
    <w:rsid w:val="00E23B0D"/>
    <w:rsid w:val="00E270BB"/>
    <w:rsid w:val="00E307FF"/>
    <w:rsid w:val="00E32B14"/>
    <w:rsid w:val="00E32D4C"/>
    <w:rsid w:val="00E335FE"/>
    <w:rsid w:val="00E36FDD"/>
    <w:rsid w:val="00E42094"/>
    <w:rsid w:val="00E627B8"/>
    <w:rsid w:val="00E65328"/>
    <w:rsid w:val="00E66903"/>
    <w:rsid w:val="00E66B90"/>
    <w:rsid w:val="00E7229B"/>
    <w:rsid w:val="00E72BFB"/>
    <w:rsid w:val="00E733EF"/>
    <w:rsid w:val="00E75267"/>
    <w:rsid w:val="00E8069A"/>
    <w:rsid w:val="00E8148A"/>
    <w:rsid w:val="00E90A87"/>
    <w:rsid w:val="00E94143"/>
    <w:rsid w:val="00E94981"/>
    <w:rsid w:val="00E970FD"/>
    <w:rsid w:val="00EA0850"/>
    <w:rsid w:val="00EA0AAB"/>
    <w:rsid w:val="00EA0BE3"/>
    <w:rsid w:val="00EA2F49"/>
    <w:rsid w:val="00EA3BF1"/>
    <w:rsid w:val="00EA3DD7"/>
    <w:rsid w:val="00EA4218"/>
    <w:rsid w:val="00EA43B6"/>
    <w:rsid w:val="00EA47E0"/>
    <w:rsid w:val="00EA62EC"/>
    <w:rsid w:val="00EA75F9"/>
    <w:rsid w:val="00EA7B0D"/>
    <w:rsid w:val="00EA7D6E"/>
    <w:rsid w:val="00EB2221"/>
    <w:rsid w:val="00EB243E"/>
    <w:rsid w:val="00EB2F76"/>
    <w:rsid w:val="00EB45DF"/>
    <w:rsid w:val="00EB4E90"/>
    <w:rsid w:val="00EB4FD9"/>
    <w:rsid w:val="00EB5C8A"/>
    <w:rsid w:val="00EB78BD"/>
    <w:rsid w:val="00EC1709"/>
    <w:rsid w:val="00EC170C"/>
    <w:rsid w:val="00EC28FE"/>
    <w:rsid w:val="00EC3D28"/>
    <w:rsid w:val="00EC4E49"/>
    <w:rsid w:val="00EC720B"/>
    <w:rsid w:val="00EC73A8"/>
    <w:rsid w:val="00ED032E"/>
    <w:rsid w:val="00ED0A4A"/>
    <w:rsid w:val="00ED2243"/>
    <w:rsid w:val="00ED500B"/>
    <w:rsid w:val="00ED66FF"/>
    <w:rsid w:val="00ED77FB"/>
    <w:rsid w:val="00EE11A5"/>
    <w:rsid w:val="00EE15B2"/>
    <w:rsid w:val="00EE2A96"/>
    <w:rsid w:val="00EE3FE5"/>
    <w:rsid w:val="00EE45FA"/>
    <w:rsid w:val="00EE5775"/>
    <w:rsid w:val="00EE60BB"/>
    <w:rsid w:val="00EF0364"/>
    <w:rsid w:val="00EF1F79"/>
    <w:rsid w:val="00EF2707"/>
    <w:rsid w:val="00EF38CB"/>
    <w:rsid w:val="00EF6725"/>
    <w:rsid w:val="00F01FAB"/>
    <w:rsid w:val="00F0409C"/>
    <w:rsid w:val="00F042F1"/>
    <w:rsid w:val="00F043DE"/>
    <w:rsid w:val="00F0544D"/>
    <w:rsid w:val="00F1049B"/>
    <w:rsid w:val="00F10611"/>
    <w:rsid w:val="00F11311"/>
    <w:rsid w:val="00F12486"/>
    <w:rsid w:val="00F1353B"/>
    <w:rsid w:val="00F13A9F"/>
    <w:rsid w:val="00F153A3"/>
    <w:rsid w:val="00F1543B"/>
    <w:rsid w:val="00F165A7"/>
    <w:rsid w:val="00F1786D"/>
    <w:rsid w:val="00F23366"/>
    <w:rsid w:val="00F25006"/>
    <w:rsid w:val="00F2733C"/>
    <w:rsid w:val="00F311B1"/>
    <w:rsid w:val="00F33C38"/>
    <w:rsid w:val="00F345BB"/>
    <w:rsid w:val="00F35233"/>
    <w:rsid w:val="00F3681E"/>
    <w:rsid w:val="00F37BBC"/>
    <w:rsid w:val="00F41463"/>
    <w:rsid w:val="00F427D5"/>
    <w:rsid w:val="00F42CDC"/>
    <w:rsid w:val="00F43189"/>
    <w:rsid w:val="00F43DD7"/>
    <w:rsid w:val="00F4476D"/>
    <w:rsid w:val="00F45115"/>
    <w:rsid w:val="00F453BA"/>
    <w:rsid w:val="00F45BFB"/>
    <w:rsid w:val="00F45F47"/>
    <w:rsid w:val="00F46C01"/>
    <w:rsid w:val="00F47A06"/>
    <w:rsid w:val="00F552CB"/>
    <w:rsid w:val="00F600A3"/>
    <w:rsid w:val="00F615AC"/>
    <w:rsid w:val="00F61AB2"/>
    <w:rsid w:val="00F61C02"/>
    <w:rsid w:val="00F62ED2"/>
    <w:rsid w:val="00F63261"/>
    <w:rsid w:val="00F6391A"/>
    <w:rsid w:val="00F6456A"/>
    <w:rsid w:val="00F6460C"/>
    <w:rsid w:val="00F66152"/>
    <w:rsid w:val="00F75652"/>
    <w:rsid w:val="00F75CB0"/>
    <w:rsid w:val="00F76D75"/>
    <w:rsid w:val="00F77CB7"/>
    <w:rsid w:val="00F82203"/>
    <w:rsid w:val="00F83D9A"/>
    <w:rsid w:val="00F85ACF"/>
    <w:rsid w:val="00F85D57"/>
    <w:rsid w:val="00F86046"/>
    <w:rsid w:val="00F86F8A"/>
    <w:rsid w:val="00F9165B"/>
    <w:rsid w:val="00F965ED"/>
    <w:rsid w:val="00F96FE4"/>
    <w:rsid w:val="00F97245"/>
    <w:rsid w:val="00F97309"/>
    <w:rsid w:val="00FA0157"/>
    <w:rsid w:val="00FA0437"/>
    <w:rsid w:val="00FA1448"/>
    <w:rsid w:val="00FA4BE5"/>
    <w:rsid w:val="00FA7184"/>
    <w:rsid w:val="00FA765D"/>
    <w:rsid w:val="00FB0DD0"/>
    <w:rsid w:val="00FB0F0A"/>
    <w:rsid w:val="00FB1901"/>
    <w:rsid w:val="00FB2B6D"/>
    <w:rsid w:val="00FB35E3"/>
    <w:rsid w:val="00FB5272"/>
    <w:rsid w:val="00FB52FD"/>
    <w:rsid w:val="00FC02CE"/>
    <w:rsid w:val="00FC16AE"/>
    <w:rsid w:val="00FC2EF3"/>
    <w:rsid w:val="00FC39A6"/>
    <w:rsid w:val="00FC463F"/>
    <w:rsid w:val="00FC482F"/>
    <w:rsid w:val="00FC4908"/>
    <w:rsid w:val="00FC5B72"/>
    <w:rsid w:val="00FC60D0"/>
    <w:rsid w:val="00FC66C9"/>
    <w:rsid w:val="00FD127D"/>
    <w:rsid w:val="00FD1371"/>
    <w:rsid w:val="00FD36C3"/>
    <w:rsid w:val="00FD37F2"/>
    <w:rsid w:val="00FD680D"/>
    <w:rsid w:val="00FE18A7"/>
    <w:rsid w:val="00FE41B7"/>
    <w:rsid w:val="00FE62FA"/>
    <w:rsid w:val="16C346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B86B"/>
  <w15:docId w15:val="{20FFB6E9-F4B8-4F0A-AC20-27A7CAE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uiPriority w:val="99"/>
    <w:unhideWhenUsed/>
    <w:qFormat/>
    <w:rPr>
      <w:sz w:val="20"/>
    </w:rPr>
  </w:style>
  <w:style w:type="paragraph" w:styleId="Salutation">
    <w:name w:val="Salutation"/>
    <w:basedOn w:val="Normal"/>
    <w:next w:val="Normal"/>
    <w:semiHidden/>
    <w:qFormat/>
  </w:style>
  <w:style w:type="paragraph" w:styleId="BodyText">
    <w:name w:val="Body Text"/>
    <w:basedOn w:val="Normal"/>
    <w:qFormat/>
    <w:rsid w:val="00B01FC1"/>
    <w:pPr>
      <w:overflowPunct w:val="0"/>
      <w:spacing w:afterLines="50" w:after="50" w:line="340" w:lineRule="atLeast"/>
    </w:pPr>
    <w:rPr>
      <w:sz w:val="21"/>
    </w:rPr>
  </w:style>
  <w:style w:type="paragraph" w:styleId="EndnoteText">
    <w:name w:val="endnote text"/>
    <w:basedOn w:val="Normal"/>
    <w:semiHidden/>
    <w:qFormat/>
    <w:rPr>
      <w:sz w:val="18"/>
    </w:rPr>
  </w:style>
  <w:style w:type="paragraph" w:styleId="BalloonText">
    <w:name w:val="Balloon Text"/>
    <w:basedOn w:val="Normal"/>
    <w:link w:val="BalloonTextChar"/>
    <w:semiHidden/>
    <w:unhideWhenUsed/>
    <w:qFormat/>
    <w:rPr>
      <w:rFonts w:ascii="Segoe UI" w:hAnsi="Segoe UI" w:cs="Segoe UI"/>
      <w:sz w:val="18"/>
      <w:szCs w:val="18"/>
    </w:rPr>
  </w:style>
  <w:style w:type="paragraph" w:styleId="Footer">
    <w:name w:val="footer"/>
    <w:basedOn w:val="Normal"/>
    <w:semiHidden/>
    <w:qFormat/>
    <w:pPr>
      <w:tabs>
        <w:tab w:val="center" w:pos="4320"/>
        <w:tab w:val="right" w:pos="8640"/>
      </w:tabs>
    </w:pPr>
  </w:style>
  <w:style w:type="paragraph" w:styleId="Header">
    <w:name w:val="header"/>
    <w:basedOn w:val="Normal"/>
    <w:link w:val="HeaderChar"/>
    <w:uiPriority w:val="99"/>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semiHidden/>
    <w:qFormat/>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rPr>
      <w:vertAlign w:val="superscript"/>
    </w:rPr>
  </w:style>
  <w:style w:type="paragraph" w:customStyle="1" w:styleId="Endofdocument-Annex">
    <w:name w:val="[End of document - Annex]"/>
    <w:basedOn w:val="Normal"/>
    <w:qFormat/>
    <w:pPr>
      <w:ind w:left="5534"/>
    </w:pPr>
  </w:style>
  <w:style w:type="paragraph" w:customStyle="1" w:styleId="ONUME">
    <w:name w:val="ONUM E"/>
    <w:basedOn w:val="BodyText"/>
    <w:link w:val="ONUMEChar"/>
    <w:qFormat/>
    <w:pPr>
      <w:numPr>
        <w:numId w:val="2"/>
      </w:numPr>
    </w:pPr>
  </w:style>
  <w:style w:type="paragraph" w:customStyle="1" w:styleId="ONUMFS">
    <w:name w:val="ONUM FS"/>
    <w:basedOn w:val="BodyText"/>
    <w:link w:val="ONUMFSChar"/>
    <w:qFormat/>
    <w:pPr>
      <w:numPr>
        <w:numId w:val="3"/>
      </w:numPr>
    </w:p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qFormat/>
    <w:rPr>
      <w:rFonts w:ascii="Arial" w:eastAsia="SimSun" w:hAnsi="Arial" w:cs="Arial"/>
      <w:sz w:val="18"/>
      <w:lang w:val="en-US" w:eastAsia="zh-CN"/>
    </w:rPr>
  </w:style>
  <w:style w:type="character" w:customStyle="1" w:styleId="ONUMFSChar">
    <w:name w:val="ONUM FS Char"/>
    <w:basedOn w:val="DefaultParagraphFont"/>
    <w:link w:val="ONUMFS"/>
    <w:qFormat/>
    <w:rPr>
      <w:rFonts w:ascii="Arial" w:eastAsia="SimSun" w:hAnsi="Arial" w:cs="Arial"/>
      <w:sz w:val="22"/>
      <w:lang w:val="en-US" w:eastAsia="zh-CN"/>
    </w:rPr>
  </w:style>
  <w:style w:type="character" w:customStyle="1" w:styleId="null">
    <w:name w:val="null"/>
    <w:basedOn w:val="DefaultParagraphFont"/>
  </w:style>
  <w:style w:type="character" w:customStyle="1" w:styleId="CommentTextChar">
    <w:name w:val="Comment Text Char"/>
    <w:basedOn w:val="DefaultParagraphFont"/>
    <w:link w:val="CommentText"/>
    <w:qFormat/>
    <w:rPr>
      <w:rFonts w:ascii="Arial" w:eastAsia="SimSun" w:hAnsi="Arial" w:cs="Arial"/>
      <w:sz w:val="18"/>
      <w:lang w:val="en-US" w:eastAsia="zh-CN"/>
    </w:rPr>
  </w:style>
  <w:style w:type="character" w:customStyle="1" w:styleId="BalloonTextChar">
    <w:name w:val="Balloon Text Char"/>
    <w:basedOn w:val="DefaultParagraphFont"/>
    <w:link w:val="BalloonText"/>
    <w:semiHidden/>
    <w:qFormat/>
    <w:rPr>
      <w:rFonts w:ascii="Segoe UI" w:eastAsia="SimSun" w:hAnsi="Segoe UI" w:cs="Segoe UI"/>
      <w:sz w:val="18"/>
      <w:szCs w:val="18"/>
      <w:lang w:val="en-US" w:eastAsia="zh-CN"/>
    </w:rPr>
  </w:style>
  <w:style w:type="character" w:customStyle="1" w:styleId="A6">
    <w:name w:val="A6"/>
    <w:basedOn w:val="DefaultParagraphFont"/>
    <w:uiPriority w:val="99"/>
    <w:rPr>
      <w:color w:val="000000"/>
    </w:rPr>
  </w:style>
  <w:style w:type="character" w:customStyle="1" w:styleId="ONUMEChar">
    <w:name w:val="ONUM E Char"/>
    <w:basedOn w:val="DefaultParagraphFont"/>
    <w:link w:val="ONUME"/>
    <w:qFormat/>
    <w:rPr>
      <w:rFonts w:ascii="Arial" w:eastAsia="SimSun" w:hAnsi="Arial" w:cs="Arial"/>
      <w:sz w:val="22"/>
      <w:lang w:val="en-US" w:eastAsia="zh-CN"/>
    </w:rPr>
  </w:style>
  <w:style w:type="character" w:customStyle="1" w:styleId="HeaderChar">
    <w:name w:val="Header Char"/>
    <w:basedOn w:val="DefaultParagraphFont"/>
    <w:link w:val="Header"/>
    <w:uiPriority w:val="99"/>
    <w:rPr>
      <w:rFonts w:ascii="Arial" w:eastAsia="SimSun" w:hAnsi="Arial" w:cs="Arial"/>
      <w:sz w:val="22"/>
      <w:lang w:val="en-US" w:eastAsia="zh-CN"/>
    </w:rPr>
  </w:style>
  <w:style w:type="character" w:customStyle="1" w:styleId="ui-provider">
    <w:name w:val="ui-provider"/>
    <w:basedOn w:val="DefaultParagraphFont"/>
    <w:qFormat/>
  </w:style>
  <w:style w:type="paragraph" w:customStyle="1" w:styleId="paragraph">
    <w:name w:val="paragraph"/>
    <w:basedOn w:val="Normal"/>
    <w:qFormat/>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1">
    <w:name w:val="未处理的提及1"/>
    <w:basedOn w:val="DefaultParagraphFont"/>
    <w:uiPriority w:val="99"/>
    <w:semiHidden/>
    <w:unhideWhenUsed/>
    <w:qFormat/>
    <w:rPr>
      <w:color w:val="605E5C"/>
      <w:shd w:val="clear" w:color="auto" w:fill="E1DFDD"/>
    </w:rPr>
  </w:style>
  <w:style w:type="paragraph" w:styleId="CommentSubject">
    <w:name w:val="annotation subject"/>
    <w:basedOn w:val="CommentText"/>
    <w:next w:val="CommentText"/>
    <w:link w:val="CommentSubjectChar"/>
    <w:semiHidden/>
    <w:unhideWhenUsed/>
    <w:rsid w:val="005059CD"/>
    <w:rPr>
      <w:b/>
      <w:bCs/>
      <w:sz w:val="22"/>
    </w:rPr>
  </w:style>
  <w:style w:type="character" w:customStyle="1" w:styleId="CommentSubjectChar">
    <w:name w:val="Comment Subject Char"/>
    <w:basedOn w:val="CommentTextChar"/>
    <w:link w:val="CommentSubject"/>
    <w:semiHidden/>
    <w:rsid w:val="005059CD"/>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n/search.jsf" TargetMode="External"/><Relationship Id="rId21" Type="http://schemas.openxmlformats.org/officeDocument/2006/relationships/hyperlink" Target="http://www.wipo.int/meetings/zh/doc_details.jsp?doc_id=582427" TargetMode="External"/><Relationship Id="rId42" Type="http://schemas.openxmlformats.org/officeDocument/2006/relationships/hyperlink" Target="http://www.wipo.int/meetings/zh/doc_details.jsp?doc_id=272841" TargetMode="External"/><Relationship Id="rId47" Type="http://schemas.openxmlformats.org/officeDocument/2006/relationships/hyperlink" Target="http://www.wipo.int/meetings/zh/details.jsp?meeting_id=65948" TargetMode="External"/><Relationship Id="rId63" Type="http://schemas.openxmlformats.org/officeDocument/2006/relationships/hyperlink" Target="http://www.wipo.int/meetings/zh/doc_details.jsp?doc_id=372936"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84" Type="http://schemas.openxmlformats.org/officeDocument/2006/relationships/hyperlink" Target="http://www.wipo.int/publications/zh/details.jsp?id=4501" TargetMode="External"/><Relationship Id="rId89" Type="http://schemas.openxmlformats.org/officeDocument/2006/relationships/hyperlink" Target="https://welc.wipo.int/jtip/?lang=zh_CN" TargetMode="External"/><Relationship Id="rId16" Type="http://schemas.openxmlformats.org/officeDocument/2006/relationships/hyperlink" Target="http://www.wipo.int/women-and-ip/zh/news/2022/news_0006.html" TargetMode="External"/><Relationship Id="rId11" Type="http://schemas.openxmlformats.org/officeDocument/2006/relationships/hyperlink" Target="http://www.wipo.int/meetings/zh/doc_details.jsp?doc_id=568113" TargetMode="External"/><Relationship Id="rId32" Type="http://schemas.openxmlformats.org/officeDocument/2006/relationships/hyperlink" Target="http://www.wipo.int/meetings/zh/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tisc/en/search/" TargetMode="External"/><Relationship Id="rId79" Type="http://schemas.openxmlformats.org/officeDocument/2006/relationships/hyperlink" Target="https://inspire.wipo.int/wipo-inspire" TargetMode="External"/><Relationship Id="rId5" Type="http://schemas.openxmlformats.org/officeDocument/2006/relationships/hyperlink" Target="http://www.wipo.int/meetings/en/details.jsp?meeting_id=72351" TargetMode="External"/><Relationship Id="rId90" Type="http://schemas.openxmlformats.org/officeDocument/2006/relationships/hyperlink" Target="http://www.wipo.int/women-inventors/zh/index.html" TargetMode="External"/><Relationship Id="rId95" Type="http://schemas.openxmlformats.org/officeDocument/2006/relationships/hyperlink" Target="http://www.wipo.int/meetings/zh/doc_details.jsp?doc_id=541373" TargetMode="External"/><Relationship Id="rId22" Type="http://schemas.openxmlformats.org/officeDocument/2006/relationships/hyperlink" Target="http://www.wipo.int/meetings/zh/doc_details.jsp?doc_id=570471" TargetMode="External"/><Relationship Id="rId27" Type="http://schemas.openxmlformats.org/officeDocument/2006/relationships/hyperlink" Target="http://www.wipo.int/meetings/zh/doc_details.jsp?doc_id=583294" TargetMode="External"/><Relationship Id="rId43" Type="http://schemas.openxmlformats.org/officeDocument/2006/relationships/hyperlink" Target="http://www.wipo.int/meetings/zh/doc_details.jsp?doc_id=569511" TargetMode="External"/><Relationship Id="rId48" Type="http://schemas.openxmlformats.org/officeDocument/2006/relationships/hyperlink" Target="http://www.wipo.int/meetings/zh/details.jsp?meeting_id=69028" TargetMode="External"/><Relationship Id="rId64" Type="http://schemas.openxmlformats.org/officeDocument/2006/relationships/hyperlink" Target="https://www.wipo.int/edocs/mdocs/enforcement/en/wipo_ace_11/wipo_ace_11_10.pdf" TargetMode="External"/><Relationship Id="rId69" Type="http://schemas.openxmlformats.org/officeDocument/2006/relationships/hyperlink" Target="http://www.wipo.int/meetings/zh/details.jsp?meeting_id=74409"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www.wipo.int/ip-outreach/zh/ipday/2022/youth-gallery.html" TargetMode="External"/><Relationship Id="rId72" Type="http://schemas.openxmlformats.org/officeDocument/2006/relationships/hyperlink" Target="http://www.wipo.int/ipdiagnostics/zh" TargetMode="External"/><Relationship Id="rId80" Type="http://schemas.openxmlformats.org/officeDocument/2006/relationships/hyperlink" Target="http://www.wipo.int/tisc/zh/" TargetMode="External"/><Relationship Id="rId85" Type="http://schemas.openxmlformats.org/officeDocument/2006/relationships/hyperlink" Target="http://www.wipo.int/publications/zh/details.jsp?id=4502" TargetMode="External"/><Relationship Id="rId93" Type="http://schemas.openxmlformats.org/officeDocument/2006/relationships/hyperlink" Target="http://www.wipo.int/meetings/zh/doc_details.jsp?doc_id=582427" TargetMode="External"/><Relationship Id="rId3" Type="http://schemas.openxmlformats.org/officeDocument/2006/relationships/hyperlink" Target="http://www.wipo.int/technology-transfer/en/news/2022/news_0004.html" TargetMode="External"/><Relationship Id="rId12" Type="http://schemas.openxmlformats.org/officeDocument/2006/relationships/hyperlink" Target="http://www.wipo.int/meetings/zh/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zh/doc_details.jsp?doc_id=580962" TargetMode="External"/><Relationship Id="rId33" Type="http://schemas.openxmlformats.org/officeDocument/2006/relationships/hyperlink" Target="http://www.wipo.int/ipadvantage/zh/details.jsp?id=11582" TargetMode="External"/><Relationship Id="rId38" Type="http://schemas.openxmlformats.org/officeDocument/2006/relationships/hyperlink" Target="http://www.wipo.int/meetings/zh/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www.wipo.int/tk/zh/youth_prize.html" TargetMode="External"/><Relationship Id="rId20" Type="http://schemas.openxmlformats.org/officeDocument/2006/relationships/hyperlink" Target="http://www.wipo.int/meetings/zh/doc_details.jsp?doc_id=581143" TargetMode="External"/><Relationship Id="rId41" Type="http://schemas.openxmlformats.org/officeDocument/2006/relationships/hyperlink" Target="http://www.wipo.int/meetings/zh/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s://www3.wipo.int/wipogreen/en/ipo-green/" TargetMode="External"/><Relationship Id="rId70" Type="http://schemas.openxmlformats.org/officeDocument/2006/relationships/hyperlink" Target="http://www.wipo.int/ip-competition/zh/" TargetMode="External"/><Relationship Id="rId75" Type="http://schemas.openxmlformats.org/officeDocument/2006/relationships/hyperlink" Target="http://www.wipo.int/about-ip/zh/ip_innovation_economics/gender_innovation_gap/"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www.wipo.int/covid-19/zh/"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covid-19/en/" TargetMode="External"/><Relationship Id="rId15" Type="http://schemas.openxmlformats.org/officeDocument/2006/relationships/hyperlink" Target="https://www.wipo.int/meetings/zh/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zh/doc_details.jsp?doc_id=586551" TargetMode="External"/><Relationship Id="rId36" Type="http://schemas.openxmlformats.org/officeDocument/2006/relationships/hyperlink" Target="http://www.wipo.int/global-awards/en/" TargetMode="External"/><Relationship Id="rId49" Type="http://schemas.openxmlformats.org/officeDocument/2006/relationships/hyperlink" Target="http://www.wipo.int/meetings/zh/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zh/doc_details.jsp?doc_id=589492" TargetMode="External"/><Relationship Id="rId31" Type="http://schemas.openxmlformats.org/officeDocument/2006/relationships/hyperlink" Target="http://www.wipo.int/meetings/zh/doc_details.jsp?doc_id=582418" TargetMode="External"/><Relationship Id="rId44" Type="http://schemas.openxmlformats.org/officeDocument/2006/relationships/hyperlink" Target="http://www.wipo.int/meetings/zh/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www.wipo.int/publications/en/details.jsp?id=4583" TargetMode="External"/><Relationship Id="rId65" Type="http://schemas.openxmlformats.org/officeDocument/2006/relationships/hyperlink" Target="http://www.wipo.int/meetings/zh/doc_details.jsp?doc_id=340916" TargetMode="External"/><Relationship Id="rId73" Type="http://schemas.openxmlformats.org/officeDocument/2006/relationships/hyperlink" Target="http://www.wipo.int/meetings/zh/topic.jsp?group_id=360" TargetMode="External"/><Relationship Id="rId78" Type="http://schemas.openxmlformats.org/officeDocument/2006/relationships/hyperlink" Target="https://inspire.wipo.int/" TargetMode="External"/><Relationship Id="rId81" Type="http://schemas.openxmlformats.org/officeDocument/2006/relationships/hyperlink" Target="https://etisc.wipo.int/" TargetMode="External"/><Relationship Id="rId86" Type="http://schemas.openxmlformats.org/officeDocument/2006/relationships/hyperlink" Target="http://www.wipo.int/publications/zh/details.jsp?id=4586" TargetMode="External"/><Relationship Id="rId94" Type="http://schemas.openxmlformats.org/officeDocument/2006/relationships/hyperlink" Target="http://www.wipo.int/jobs/zh/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zh/doc_details.jsp?doc_id=576651" TargetMode="External"/><Relationship Id="rId13" Type="http://schemas.openxmlformats.org/officeDocument/2006/relationships/hyperlink" Target="http://www.wipo.int/meetings/zh/doc_details.jsp?doc_id=387181" TargetMode="External"/><Relationship Id="rId18" Type="http://schemas.openxmlformats.org/officeDocument/2006/relationships/hyperlink" Target="http://www.wipo.int/meetings/zh/details.jsp?meeting_id=71368" TargetMode="External"/><Relationship Id="rId39" Type="http://schemas.openxmlformats.org/officeDocument/2006/relationships/hyperlink" Target="http://www.wipo.int/meetings/zh/doc_details.jsp?doc_id=568491" TargetMode="External"/><Relationship Id="rId34" Type="http://schemas.openxmlformats.org/officeDocument/2006/relationships/hyperlink" Target="http://www.wipo.int/collective-marks/en/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meetings/zh/2022/judgesforum2022.html" TargetMode="External"/><Relationship Id="rId7" Type="http://schemas.openxmlformats.org/officeDocument/2006/relationships/hyperlink" Target="http://www.wipo.int/meetings/zh/doc_details.jsp?doc_id=563348" TargetMode="External"/><Relationship Id="rId71" Type="http://schemas.openxmlformats.org/officeDocument/2006/relationships/hyperlink" Target="http://www.wipo.int/meetings/zh/details.jsp?meeting_id=74548" TargetMode="External"/><Relationship Id="rId92" Type="http://schemas.openxmlformats.org/officeDocument/2006/relationships/hyperlink" Target="http://www.wipo.int/meetings/zh/doc_details.jsp?doc_id=537901"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zh/doc_details.jsp?doc_id=583294" TargetMode="External"/><Relationship Id="rId24" Type="http://schemas.openxmlformats.org/officeDocument/2006/relationships/hyperlink" Target="http://www.wipo.int/meetings/zh/doc_details.jsp?doc_id=581111" TargetMode="External"/><Relationship Id="rId40" Type="http://schemas.openxmlformats.org/officeDocument/2006/relationships/hyperlink" Target="http://www.wipo.int/meetings/zh/doc_details.jsp?doc_id=408219" TargetMode="External"/><Relationship Id="rId45" Type="http://schemas.openxmlformats.org/officeDocument/2006/relationships/hyperlink" Target="http://www.wipo.int/global_ip/en/activities/ip_office_business_solutions/" TargetMode="External"/><Relationship Id="rId66" Type="http://schemas.openxmlformats.org/officeDocument/2006/relationships/hyperlink" Target="https://respectforip.org/" TargetMode="External"/><Relationship Id="rId87" Type="http://schemas.openxmlformats.org/officeDocument/2006/relationships/hyperlink" Target="http://www.wipo.int/publications/zh/details.jsp?id=4522" TargetMode="External"/><Relationship Id="rId61" Type="http://schemas.openxmlformats.org/officeDocument/2006/relationships/hyperlink" Target="http://www.wipo.int/en/green-technology-book/" TargetMode="External"/><Relationship Id="rId82" Type="http://schemas.openxmlformats.org/officeDocument/2006/relationships/hyperlink" Target="https://tppm.wipo.int/" TargetMode="External"/><Relationship Id="rId19" Type="http://schemas.openxmlformats.org/officeDocument/2006/relationships/hyperlink" Target="http://www.wipo.int/meetings/zh/doc_details.jsp?doc_id=582745" TargetMode="External"/><Relationship Id="rId14" Type="http://schemas.openxmlformats.org/officeDocument/2006/relationships/hyperlink" Target="http://www.wipo.int/ip-development/en/agenda/flexibilities/database.html" TargetMode="External"/><Relationship Id="rId30" Type="http://schemas.openxmlformats.org/officeDocument/2006/relationships/hyperlink" Target="http://www.wipo.int/meetings/zh/doc_details.jsp?doc_id=583294" TargetMode="External"/><Relationship Id="rId35" Type="http://schemas.openxmlformats.org/officeDocument/2006/relationships/hyperlink" Target="http://www.wipo.int/meetings/zh/topic.jsp?group_id=346" TargetMode="External"/><Relationship Id="rId56" Type="http://schemas.openxmlformats.org/officeDocument/2006/relationships/hyperlink" Target="http://www.itu.int/net4/wsis/forum/2022/Agenda/Session/262" TargetMode="External"/><Relationship Id="rId77" Type="http://schemas.openxmlformats.org/officeDocument/2006/relationships/hyperlink" Target="http://www.wipo.int/wip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71D62-60C9-4F93-830E-36712F4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42063</Words>
  <Characters>45187</Characters>
  <Application>Microsoft Office Word</Application>
  <DocSecurity>0</DocSecurity>
  <Lines>1416</Lines>
  <Paragraphs>529</Paragraphs>
  <ScaleCrop>false</ScaleCrop>
  <HeadingPairs>
    <vt:vector size="2" baseType="variant">
      <vt:variant>
        <vt:lpstr>Title</vt:lpstr>
      </vt:variant>
      <vt:variant>
        <vt:i4>1</vt:i4>
      </vt:variant>
    </vt:vector>
  </HeadingPairs>
  <TitlesOfParts>
    <vt:vector size="1" baseType="lpstr">
      <vt:lpstr>CDIP/30/2</vt:lpstr>
    </vt:vector>
  </TitlesOfParts>
  <Company>WIPO</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CDIP/30/2</dc:title>
  <dc:subject>总干事关于发展议程落实情况的报告</dc:subject>
  <dc:creator>MARTINEZ LIMÓN Cristina</dc:creator>
  <cp:keywords>FOR OFFICIAL USE ONLY</cp:keywords>
  <cp:lastModifiedBy>PANAKAL Joseph Lazar</cp:lastModifiedBy>
  <cp:revision>2</cp:revision>
  <cp:lastPrinted>2023-03-10T13:56:00Z</cp:lastPrinted>
  <dcterms:created xsi:type="dcterms:W3CDTF">2023-03-16T15:59:00Z</dcterms:created>
  <dcterms:modified xsi:type="dcterms:W3CDTF">2023-03-16T15:59:00Z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KSOProductBuildVer">
    <vt:lpwstr>2052-11.8.2.8411</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