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27A87" w:rsidRPr="00C94E9E" w:rsidTr="006F109E">
        <w:trPr>
          <w:trHeight w:val="1977"/>
        </w:trPr>
        <w:tc>
          <w:tcPr>
            <w:tcW w:w="4594" w:type="dxa"/>
            <w:tcBorders>
              <w:bottom w:val="single" w:sz="4" w:space="0" w:color="auto"/>
            </w:tcBorders>
            <w:tcMar>
              <w:bottom w:w="170" w:type="dxa"/>
            </w:tcMar>
          </w:tcPr>
          <w:p w:rsidR="00427A87" w:rsidRPr="00C94E9E" w:rsidRDefault="00427A87" w:rsidP="006F109E">
            <w:r w:rsidRPr="00C94E9E">
              <w:rPr>
                <w:noProof/>
              </w:rPr>
              <w:drawing>
                <wp:anchor distT="0" distB="0" distL="114300" distR="114300" simplePos="0" relativeHeight="251659264" behindDoc="1" locked="0" layoutInCell="0" allowOverlap="1" wp14:anchorId="3C770033" wp14:editId="3C4F754E">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27A87" w:rsidRPr="00C94E9E" w:rsidRDefault="00427A87" w:rsidP="006F109E"/>
        </w:tc>
        <w:tc>
          <w:tcPr>
            <w:tcW w:w="425" w:type="dxa"/>
            <w:tcBorders>
              <w:bottom w:val="single" w:sz="4" w:space="0" w:color="auto"/>
            </w:tcBorders>
            <w:tcMar>
              <w:left w:w="0" w:type="dxa"/>
              <w:right w:w="0" w:type="dxa"/>
            </w:tcMar>
          </w:tcPr>
          <w:p w:rsidR="00427A87" w:rsidRPr="00C94E9E" w:rsidRDefault="00427A87" w:rsidP="006F109E">
            <w:pPr>
              <w:jc w:val="right"/>
            </w:pPr>
            <w:r w:rsidRPr="00C94E9E">
              <w:rPr>
                <w:b/>
                <w:sz w:val="40"/>
                <w:szCs w:val="40"/>
              </w:rPr>
              <w:t>C</w:t>
            </w:r>
          </w:p>
        </w:tc>
      </w:tr>
      <w:tr w:rsidR="00427A87" w:rsidRPr="00C94E9E" w:rsidTr="006F109E">
        <w:trPr>
          <w:trHeight w:hRule="exact" w:val="340"/>
        </w:trPr>
        <w:tc>
          <w:tcPr>
            <w:tcW w:w="9356" w:type="dxa"/>
            <w:gridSpan w:val="3"/>
            <w:tcBorders>
              <w:top w:val="single" w:sz="4" w:space="0" w:color="auto"/>
            </w:tcBorders>
            <w:tcMar>
              <w:top w:w="170" w:type="dxa"/>
              <w:left w:w="0" w:type="dxa"/>
              <w:right w:w="0" w:type="dxa"/>
            </w:tcMar>
            <w:vAlign w:val="bottom"/>
          </w:tcPr>
          <w:p w:rsidR="00427A87" w:rsidRPr="00C94E9E" w:rsidRDefault="00427A87" w:rsidP="00427A87">
            <w:pPr>
              <w:jc w:val="right"/>
              <w:rPr>
                <w:rFonts w:ascii="Arial Black" w:hAnsi="Arial Black"/>
                <w:caps/>
                <w:sz w:val="15"/>
              </w:rPr>
            </w:pPr>
            <w:r>
              <w:rPr>
                <w:rFonts w:ascii="Arial Black" w:hAnsi="Arial Black" w:hint="eastAsia"/>
                <w:caps/>
                <w:sz w:val="15"/>
              </w:rPr>
              <w:t>SCP</w:t>
            </w:r>
            <w:r w:rsidRPr="00C94E9E">
              <w:rPr>
                <w:rFonts w:ascii="Arial Black" w:hAnsi="Arial Black" w:hint="eastAsia"/>
                <w:caps/>
                <w:sz w:val="15"/>
              </w:rPr>
              <w:t>/2</w:t>
            </w:r>
            <w:r>
              <w:rPr>
                <w:rFonts w:ascii="Arial Black" w:hAnsi="Arial Black" w:hint="eastAsia"/>
                <w:caps/>
                <w:sz w:val="15"/>
              </w:rPr>
              <w:t>0</w:t>
            </w:r>
            <w:r w:rsidRPr="00C94E9E">
              <w:rPr>
                <w:rFonts w:ascii="Arial Black" w:hAnsi="Arial Black"/>
                <w:caps/>
                <w:sz w:val="15"/>
              </w:rPr>
              <w:t>/</w:t>
            </w:r>
            <w:r>
              <w:rPr>
                <w:rFonts w:ascii="Arial Black" w:hAnsi="Arial Black" w:hint="eastAsia"/>
                <w:caps/>
                <w:sz w:val="15"/>
              </w:rPr>
              <w:t>5</w:t>
            </w:r>
            <w:bookmarkStart w:id="0" w:name="Code"/>
            <w:bookmarkEnd w:id="0"/>
          </w:p>
        </w:tc>
      </w:tr>
      <w:tr w:rsidR="00427A87" w:rsidRPr="00C94E9E" w:rsidTr="006F109E">
        <w:trPr>
          <w:trHeight w:hRule="exact" w:val="170"/>
        </w:trPr>
        <w:tc>
          <w:tcPr>
            <w:tcW w:w="9356" w:type="dxa"/>
            <w:gridSpan w:val="3"/>
            <w:noWrap/>
            <w:tcMar>
              <w:left w:w="0" w:type="dxa"/>
              <w:right w:w="0" w:type="dxa"/>
            </w:tcMar>
            <w:vAlign w:val="bottom"/>
          </w:tcPr>
          <w:p w:rsidR="00427A87" w:rsidRPr="00C94E9E" w:rsidRDefault="00427A87" w:rsidP="006F109E">
            <w:pPr>
              <w:jc w:val="right"/>
              <w:rPr>
                <w:rFonts w:ascii="Arial Black" w:hAnsi="Arial Black"/>
                <w:b/>
                <w:caps/>
                <w:sz w:val="15"/>
                <w:szCs w:val="15"/>
              </w:rPr>
            </w:pPr>
            <w:r w:rsidRPr="00C94E9E">
              <w:rPr>
                <w:rFonts w:eastAsia="SimHei" w:hint="eastAsia"/>
                <w:b/>
                <w:sz w:val="15"/>
                <w:szCs w:val="15"/>
              </w:rPr>
              <w:t>原</w:t>
            </w:r>
            <w:r w:rsidRPr="00C94E9E">
              <w:rPr>
                <w:rFonts w:eastAsia="SimHei"/>
                <w:b/>
                <w:sz w:val="15"/>
                <w:szCs w:val="15"/>
                <w:lang w:val="pt-BR"/>
              </w:rPr>
              <w:t xml:space="preserve"> </w:t>
            </w:r>
            <w:r w:rsidRPr="00C94E9E">
              <w:rPr>
                <w:rFonts w:eastAsia="SimHei" w:hint="eastAsia"/>
                <w:b/>
                <w:sz w:val="15"/>
                <w:szCs w:val="15"/>
              </w:rPr>
              <w:t>文</w:t>
            </w:r>
            <w:r w:rsidRPr="00C94E9E">
              <w:rPr>
                <w:rFonts w:eastAsia="SimHei" w:hint="eastAsia"/>
                <w:b/>
                <w:sz w:val="15"/>
                <w:szCs w:val="15"/>
                <w:lang w:val="pt-BR"/>
              </w:rPr>
              <w:t>：英</w:t>
            </w:r>
            <w:r w:rsidRPr="00C94E9E">
              <w:rPr>
                <w:rFonts w:eastAsia="SimHei" w:hint="eastAsia"/>
                <w:b/>
                <w:sz w:val="15"/>
                <w:szCs w:val="15"/>
              </w:rPr>
              <w:t>文</w:t>
            </w:r>
          </w:p>
        </w:tc>
      </w:tr>
      <w:tr w:rsidR="00427A87" w:rsidRPr="00C94E9E" w:rsidTr="006F109E">
        <w:trPr>
          <w:trHeight w:hRule="exact" w:val="198"/>
        </w:trPr>
        <w:tc>
          <w:tcPr>
            <w:tcW w:w="9356" w:type="dxa"/>
            <w:gridSpan w:val="3"/>
            <w:tcMar>
              <w:left w:w="0" w:type="dxa"/>
              <w:right w:w="0" w:type="dxa"/>
            </w:tcMar>
            <w:vAlign w:val="bottom"/>
          </w:tcPr>
          <w:p w:rsidR="00427A87" w:rsidRPr="00C94E9E" w:rsidRDefault="00427A87" w:rsidP="004F5803">
            <w:pPr>
              <w:jc w:val="right"/>
              <w:rPr>
                <w:rFonts w:ascii="SimHei" w:eastAsia="SimHei" w:hAnsi="Arial Black"/>
                <w:b/>
                <w:caps/>
                <w:sz w:val="15"/>
                <w:szCs w:val="15"/>
              </w:rPr>
            </w:pPr>
            <w:r w:rsidRPr="00C94E9E">
              <w:rPr>
                <w:rFonts w:ascii="SimHei" w:eastAsia="SimHei" w:hint="eastAsia"/>
                <w:b/>
                <w:sz w:val="15"/>
                <w:szCs w:val="15"/>
              </w:rPr>
              <w:t>日</w:t>
            </w:r>
            <w:r w:rsidRPr="00C94E9E">
              <w:rPr>
                <w:rFonts w:ascii="SimHei" w:eastAsia="SimHei" w:hint="eastAsia"/>
                <w:b/>
                <w:sz w:val="15"/>
                <w:szCs w:val="15"/>
                <w:lang w:val="pt-BR"/>
              </w:rPr>
              <w:t xml:space="preserve"> </w:t>
            </w:r>
            <w:r w:rsidRPr="00C94E9E">
              <w:rPr>
                <w:rFonts w:ascii="SimHei" w:eastAsia="SimHei" w:hint="eastAsia"/>
                <w:b/>
                <w:sz w:val="15"/>
                <w:szCs w:val="15"/>
              </w:rPr>
              <w:t>期</w:t>
            </w:r>
            <w:r w:rsidRPr="00C94E9E">
              <w:rPr>
                <w:rFonts w:ascii="SimHei" w:eastAsia="SimHei" w:hAnsi="SimSun" w:hint="eastAsia"/>
                <w:b/>
                <w:sz w:val="15"/>
                <w:szCs w:val="15"/>
                <w:lang w:val="pt-BR"/>
              </w:rPr>
              <w:t>：</w:t>
            </w:r>
            <w:r w:rsidRPr="00C94E9E">
              <w:rPr>
                <w:rFonts w:ascii="Arial Black" w:eastAsia="SimHei" w:hAnsi="Arial Black"/>
                <w:b/>
                <w:sz w:val="15"/>
                <w:szCs w:val="15"/>
                <w:lang w:val="pt-BR"/>
              </w:rPr>
              <w:t>2013</w:t>
            </w:r>
            <w:r w:rsidRPr="00C94E9E">
              <w:rPr>
                <w:rFonts w:ascii="SimHei" w:eastAsia="SimHei" w:hAnsi="Times New Roman" w:hint="eastAsia"/>
                <w:b/>
                <w:sz w:val="15"/>
                <w:szCs w:val="15"/>
              </w:rPr>
              <w:t>年</w:t>
            </w:r>
            <w:r>
              <w:rPr>
                <w:rFonts w:ascii="Arial Black" w:eastAsia="SimHei" w:hAnsi="Arial Black" w:hint="eastAsia"/>
                <w:b/>
                <w:sz w:val="15"/>
                <w:szCs w:val="15"/>
                <w:lang w:val="pt-BR"/>
              </w:rPr>
              <w:t>1</w:t>
            </w:r>
            <w:r w:rsidR="004F5803">
              <w:rPr>
                <w:rFonts w:ascii="Arial Black" w:eastAsia="SimHei" w:hAnsi="Arial Black" w:hint="eastAsia"/>
                <w:b/>
                <w:sz w:val="15"/>
                <w:szCs w:val="15"/>
                <w:lang w:val="pt-BR"/>
              </w:rPr>
              <w:t>0</w:t>
            </w:r>
            <w:r w:rsidRPr="00C94E9E">
              <w:rPr>
                <w:rFonts w:ascii="SimHei" w:eastAsia="SimHei" w:hAnsi="Times New Roman" w:hint="eastAsia"/>
                <w:b/>
                <w:sz w:val="15"/>
                <w:szCs w:val="15"/>
              </w:rPr>
              <w:t>月</w:t>
            </w:r>
            <w:r>
              <w:rPr>
                <w:rFonts w:ascii="Arial Black" w:eastAsia="SimHei" w:hAnsi="Arial Black" w:hint="eastAsia"/>
                <w:b/>
                <w:sz w:val="15"/>
                <w:szCs w:val="15"/>
              </w:rPr>
              <w:t>9</w:t>
            </w:r>
            <w:r w:rsidRPr="00C94E9E">
              <w:rPr>
                <w:rFonts w:ascii="SimHei" w:eastAsia="SimHei" w:hAnsi="Times New Roman" w:hint="eastAsia"/>
                <w:b/>
                <w:sz w:val="15"/>
                <w:szCs w:val="15"/>
              </w:rPr>
              <w:t>日</w:t>
            </w:r>
            <w:r w:rsidRPr="00C94E9E">
              <w:rPr>
                <w:rFonts w:ascii="SimHei" w:eastAsia="SimHei" w:hAnsi="Arial Black" w:hint="eastAsia"/>
                <w:b/>
                <w:caps/>
                <w:sz w:val="15"/>
                <w:szCs w:val="15"/>
              </w:rPr>
              <w:t xml:space="preserve">  </w:t>
            </w:r>
            <w:bookmarkStart w:id="1" w:name="Date"/>
            <w:bookmarkEnd w:id="1"/>
          </w:p>
        </w:tc>
      </w:tr>
    </w:tbl>
    <w:p w:rsidR="00427A87" w:rsidRPr="00C94E9E" w:rsidRDefault="00427A87" w:rsidP="00427A87"/>
    <w:p w:rsidR="00427A87" w:rsidRPr="00C94E9E" w:rsidRDefault="00427A87" w:rsidP="00427A87"/>
    <w:p w:rsidR="00427A87" w:rsidRPr="00C94E9E" w:rsidRDefault="00427A87" w:rsidP="00427A87"/>
    <w:p w:rsidR="00427A87" w:rsidRPr="00C94E9E" w:rsidRDefault="00427A87" w:rsidP="00427A87"/>
    <w:p w:rsidR="00427A87" w:rsidRPr="00C94E9E" w:rsidRDefault="00427A87" w:rsidP="00427A87"/>
    <w:p w:rsidR="00427A87" w:rsidRPr="00C94E9E" w:rsidRDefault="00427A87" w:rsidP="00427A87">
      <w:pPr>
        <w:pStyle w:val="Meetingtitle"/>
        <w:spacing w:line="240" w:lineRule="auto"/>
        <w:ind w:left="0"/>
        <w:rPr>
          <w:rFonts w:ascii="SimHei" w:eastAsia="SimHei"/>
          <w:b w:val="0"/>
          <w:szCs w:val="28"/>
          <w:lang w:eastAsia="zh-CN"/>
        </w:rPr>
      </w:pPr>
      <w:r w:rsidRPr="00C94E9E">
        <w:rPr>
          <w:rFonts w:ascii="SimHei" w:eastAsia="SimHei" w:hint="eastAsia"/>
          <w:b w:val="0"/>
          <w:szCs w:val="28"/>
          <w:lang w:eastAsia="zh-CN"/>
        </w:rPr>
        <w:t>专利法常设委员会</w:t>
      </w:r>
    </w:p>
    <w:p w:rsidR="00427A87" w:rsidRPr="00C94E9E" w:rsidRDefault="00427A87" w:rsidP="00427A87"/>
    <w:p w:rsidR="00427A87" w:rsidRPr="00C94E9E" w:rsidRDefault="00427A87" w:rsidP="00427A87"/>
    <w:p w:rsidR="00427A87" w:rsidRPr="00C94E9E" w:rsidRDefault="00427A87" w:rsidP="00427A87">
      <w:pPr>
        <w:autoSpaceDE w:val="0"/>
        <w:autoSpaceDN w:val="0"/>
        <w:textAlignment w:val="bottom"/>
        <w:rPr>
          <w:rFonts w:ascii="KaiTi" w:eastAsia="KaiTi"/>
          <w:b/>
          <w:sz w:val="24"/>
          <w:szCs w:val="24"/>
        </w:rPr>
      </w:pPr>
      <w:r w:rsidRPr="00C94E9E">
        <w:rPr>
          <w:rFonts w:ascii="KaiTi" w:eastAsia="KaiTi" w:hint="eastAsia"/>
          <w:b/>
          <w:sz w:val="24"/>
          <w:szCs w:val="24"/>
        </w:rPr>
        <w:t>第</w:t>
      </w:r>
      <w:r>
        <w:rPr>
          <w:rFonts w:ascii="KaiTi" w:eastAsia="KaiTi" w:hint="eastAsia"/>
          <w:b/>
          <w:sz w:val="24"/>
          <w:szCs w:val="24"/>
        </w:rPr>
        <w:t>二</w:t>
      </w:r>
      <w:r w:rsidRPr="00C94E9E">
        <w:rPr>
          <w:rFonts w:ascii="KaiTi" w:eastAsia="KaiTi" w:hint="eastAsia"/>
          <w:b/>
          <w:sz w:val="24"/>
          <w:szCs w:val="24"/>
        </w:rPr>
        <w:t>十届会议</w:t>
      </w:r>
    </w:p>
    <w:p w:rsidR="00427A87" w:rsidRPr="00C94E9E" w:rsidRDefault="00427A87" w:rsidP="00427A87">
      <w:pPr>
        <w:pStyle w:val="Meetingplacedate"/>
        <w:spacing w:line="240" w:lineRule="auto"/>
        <w:ind w:left="0"/>
        <w:rPr>
          <w:rFonts w:ascii="KaiTi" w:eastAsia="KaiTi" w:cs="Arial"/>
          <w:szCs w:val="24"/>
          <w:lang w:eastAsia="zh-CN"/>
        </w:rPr>
      </w:pPr>
      <w:r w:rsidRPr="00C94E9E">
        <w:rPr>
          <w:rFonts w:ascii="KaiTi" w:eastAsia="KaiTi" w:hAnsi="Times New Roman"/>
          <w:b w:val="0"/>
          <w:szCs w:val="24"/>
          <w:lang w:eastAsia="zh-CN"/>
        </w:rPr>
        <w:t>201</w:t>
      </w:r>
      <w:r>
        <w:rPr>
          <w:rFonts w:ascii="KaiTi" w:eastAsia="KaiTi" w:hAnsi="Times New Roman" w:hint="eastAsia"/>
          <w:b w:val="0"/>
          <w:szCs w:val="24"/>
          <w:lang w:eastAsia="zh-CN"/>
        </w:rPr>
        <w:t>4</w:t>
      </w:r>
      <w:r w:rsidRPr="00C94E9E">
        <w:rPr>
          <w:rFonts w:ascii="KaiTi" w:eastAsia="KaiTi" w:cs="Arial" w:hint="eastAsia"/>
          <w:szCs w:val="24"/>
          <w:lang w:eastAsia="zh-CN"/>
        </w:rPr>
        <w:t>年</w:t>
      </w:r>
      <w:r>
        <w:rPr>
          <w:rFonts w:ascii="KaiTi" w:eastAsia="KaiTi" w:hAnsi="Times New Roman" w:hint="eastAsia"/>
          <w:b w:val="0"/>
          <w:szCs w:val="24"/>
          <w:lang w:eastAsia="zh-CN"/>
        </w:rPr>
        <w:t>1</w:t>
      </w:r>
      <w:r w:rsidRPr="00C94E9E">
        <w:rPr>
          <w:rFonts w:ascii="KaiTi" w:eastAsia="KaiTi" w:cs="Arial" w:hint="eastAsia"/>
          <w:szCs w:val="24"/>
          <w:lang w:eastAsia="zh-CN"/>
        </w:rPr>
        <w:t>月</w:t>
      </w:r>
      <w:r>
        <w:rPr>
          <w:rFonts w:ascii="KaiTi" w:eastAsia="KaiTi" w:hAnsi="Times New Roman" w:hint="eastAsia"/>
          <w:b w:val="0"/>
          <w:szCs w:val="24"/>
          <w:lang w:eastAsia="zh-CN"/>
        </w:rPr>
        <w:t>27</w:t>
      </w:r>
      <w:r w:rsidRPr="00C94E9E">
        <w:rPr>
          <w:rFonts w:ascii="KaiTi" w:eastAsia="KaiTi" w:cs="Arial" w:hint="eastAsia"/>
          <w:szCs w:val="24"/>
          <w:lang w:eastAsia="zh-CN"/>
        </w:rPr>
        <w:t>日至</w:t>
      </w:r>
      <w:r>
        <w:rPr>
          <w:rFonts w:ascii="KaiTi" w:eastAsia="KaiTi" w:hAnsi="Times New Roman" w:hint="eastAsia"/>
          <w:b w:val="0"/>
          <w:szCs w:val="24"/>
          <w:lang w:eastAsia="zh-CN"/>
        </w:rPr>
        <w:t>31</w:t>
      </w:r>
      <w:r w:rsidRPr="00C94E9E">
        <w:rPr>
          <w:rFonts w:ascii="KaiTi" w:eastAsia="KaiTi" w:cs="Arial" w:hint="eastAsia"/>
          <w:szCs w:val="24"/>
          <w:lang w:eastAsia="zh-CN"/>
        </w:rPr>
        <w:t>日，日内瓦</w:t>
      </w:r>
    </w:p>
    <w:p w:rsidR="00427A87" w:rsidRPr="00C94E9E" w:rsidRDefault="00427A87" w:rsidP="00427A87"/>
    <w:p w:rsidR="00427A87" w:rsidRPr="00C94E9E" w:rsidRDefault="00427A87" w:rsidP="00427A87"/>
    <w:p w:rsidR="00427A87" w:rsidRPr="00C94E9E" w:rsidRDefault="00427A87" w:rsidP="00427A87"/>
    <w:p w:rsidR="00317942" w:rsidRPr="00EC2D77" w:rsidRDefault="00317942">
      <w:pPr>
        <w:rPr>
          <w:rFonts w:ascii="KaiTi" w:eastAsia="KaiTi" w:hAnsi="KaiTi"/>
          <w:caps/>
          <w:sz w:val="24"/>
        </w:rPr>
      </w:pPr>
      <w:r w:rsidRPr="00EC2D77">
        <w:rPr>
          <w:rFonts w:ascii="KaiTi" w:eastAsia="KaiTi" w:hAnsi="KaiTi" w:hint="eastAsia"/>
          <w:caps/>
          <w:sz w:val="24"/>
        </w:rPr>
        <w:t>专利权的例外和限制：药物的临时配制</w:t>
      </w:r>
    </w:p>
    <w:p w:rsidR="00317942" w:rsidRPr="00EC2D77" w:rsidRDefault="00317942">
      <w:pPr>
        <w:rPr>
          <w:rFonts w:ascii="KaiTi" w:eastAsia="KaiTi" w:hAnsi="KaiTi"/>
        </w:rPr>
      </w:pPr>
    </w:p>
    <w:p w:rsidR="00317942" w:rsidRPr="00EC2D77" w:rsidRDefault="00317942">
      <w:pPr>
        <w:rPr>
          <w:rFonts w:ascii="KaiTi" w:eastAsia="KaiTi" w:hAnsi="KaiTi"/>
          <w:i/>
          <w:sz w:val="21"/>
          <w:szCs w:val="21"/>
        </w:rPr>
      </w:pPr>
      <w:r w:rsidRPr="00EC2D77">
        <w:rPr>
          <w:rFonts w:ascii="KaiTi" w:eastAsia="KaiTi" w:hAnsi="KaiTi" w:hint="eastAsia"/>
          <w:i/>
          <w:sz w:val="21"/>
          <w:szCs w:val="21"/>
        </w:rPr>
        <w:t>秘书处编拟的文件</w:t>
      </w:r>
    </w:p>
    <w:p w:rsidR="00317942" w:rsidRDefault="00317942">
      <w:pPr>
        <w:rPr>
          <w:szCs w:val="22"/>
        </w:rPr>
      </w:pPr>
    </w:p>
    <w:p w:rsidR="00317942" w:rsidRDefault="00317942">
      <w:pPr>
        <w:pStyle w:val="Endofdocument"/>
        <w:spacing w:after="0" w:line="240" w:lineRule="auto"/>
        <w:ind w:left="0"/>
        <w:rPr>
          <w:rFonts w:eastAsia="SimSun" w:cs="Arial"/>
          <w:sz w:val="22"/>
          <w:szCs w:val="22"/>
          <w:lang w:eastAsia="zh-CN"/>
        </w:rPr>
      </w:pPr>
    </w:p>
    <w:p w:rsidR="00A8532E" w:rsidRDefault="00A8532E">
      <w:pPr>
        <w:pStyle w:val="Endofdocument"/>
        <w:spacing w:after="0" w:line="240" w:lineRule="auto"/>
        <w:ind w:left="0"/>
        <w:rPr>
          <w:rFonts w:eastAsia="SimSun" w:cs="Arial"/>
          <w:sz w:val="22"/>
          <w:szCs w:val="22"/>
          <w:lang w:eastAsia="zh-CN"/>
        </w:rPr>
      </w:pPr>
    </w:p>
    <w:p w:rsidR="00A8532E" w:rsidRDefault="00A8532E">
      <w:pPr>
        <w:pStyle w:val="Endofdocument"/>
        <w:spacing w:after="0" w:line="240" w:lineRule="auto"/>
        <w:ind w:left="0"/>
        <w:rPr>
          <w:rFonts w:eastAsia="SimSun" w:cs="Arial"/>
          <w:sz w:val="22"/>
          <w:szCs w:val="22"/>
          <w:lang w:eastAsia="zh-CN"/>
        </w:rPr>
      </w:pPr>
    </w:p>
    <w:p w:rsidR="0097765B" w:rsidRDefault="00317942" w:rsidP="00A8532E">
      <w:pPr>
        <w:pStyle w:val="Endofdocument"/>
        <w:spacing w:afterLines="100" w:after="240" w:line="240" w:lineRule="auto"/>
        <w:ind w:left="0"/>
        <w:contextualSpacing w:val="0"/>
        <w:rPr>
          <w:rFonts w:cs="Arial"/>
          <w:b/>
          <w:bCs/>
          <w:snapToGrid w:val="0"/>
          <w:sz w:val="22"/>
          <w:szCs w:val="22"/>
          <w:lang w:eastAsia="zh-CN"/>
        </w:rPr>
      </w:pPr>
      <w:r w:rsidRPr="0097765B">
        <w:rPr>
          <w:rFonts w:ascii="SimHei" w:eastAsia="SimHei" w:hAnsi="SimHei" w:cs="Arial" w:hint="eastAsia"/>
          <w:bCs/>
          <w:snapToGrid w:val="0"/>
          <w:sz w:val="22"/>
          <w:szCs w:val="22"/>
          <w:lang w:eastAsia="zh-CN"/>
        </w:rPr>
        <w:t>导</w:t>
      </w:r>
      <w:r w:rsidR="0097765B" w:rsidRPr="0097765B">
        <w:rPr>
          <w:rFonts w:ascii="SimHei" w:eastAsia="SimHei" w:hAnsi="SimHei" w:cs="Arial"/>
          <w:bCs/>
          <w:snapToGrid w:val="0"/>
          <w:sz w:val="22"/>
          <w:szCs w:val="22"/>
          <w:lang w:eastAsia="zh-CN"/>
        </w:rPr>
        <w:t xml:space="preserve">  </w:t>
      </w:r>
      <w:r w:rsidRPr="0097765B">
        <w:rPr>
          <w:rFonts w:ascii="SimHei" w:eastAsia="SimHei" w:hAnsi="SimHei" w:cs="Arial" w:hint="eastAsia"/>
          <w:bCs/>
          <w:snapToGrid w:val="0"/>
          <w:sz w:val="22"/>
          <w:szCs w:val="22"/>
          <w:lang w:eastAsia="zh-CN"/>
        </w:rPr>
        <w:t>言</w:t>
      </w:r>
    </w:p>
    <w:p w:rsidR="00317942" w:rsidRPr="0097765B" w:rsidRDefault="00317942" w:rsidP="00427A87">
      <w:pPr>
        <w:adjustRightInd w:val="0"/>
        <w:spacing w:afterLines="50" w:after="120" w:line="340" w:lineRule="atLeast"/>
        <w:jc w:val="both"/>
        <w:rPr>
          <w:rFonts w:ascii="SimSun" w:hAnsi="SimSun"/>
          <w:sz w:val="21"/>
          <w:szCs w:val="21"/>
        </w:rPr>
      </w:pPr>
      <w:r w:rsidRPr="0097765B">
        <w:rPr>
          <w:rFonts w:ascii="SimSun" w:hAnsi="SimSun"/>
          <w:sz w:val="21"/>
          <w:szCs w:val="21"/>
        </w:rPr>
        <w:fldChar w:fldCharType="begin"/>
      </w:r>
      <w:r w:rsidRPr="0097765B">
        <w:rPr>
          <w:rFonts w:ascii="SimSun" w:hAnsi="SimSun"/>
          <w:sz w:val="21"/>
          <w:szCs w:val="21"/>
        </w:rPr>
        <w:instrText xml:space="preserve"> AUTONUM  </w:instrText>
      </w:r>
      <w:r w:rsidRPr="0097765B">
        <w:rPr>
          <w:rFonts w:ascii="SimSun" w:hAnsi="SimSun"/>
          <w:sz w:val="21"/>
          <w:szCs w:val="21"/>
        </w:rPr>
        <w:fldChar w:fldCharType="end"/>
      </w:r>
      <w:r w:rsidR="0097765B">
        <w:rPr>
          <w:rFonts w:ascii="SimSun" w:hAnsi="SimSun"/>
          <w:sz w:val="21"/>
          <w:szCs w:val="21"/>
        </w:rPr>
        <w:t>.</w:t>
      </w:r>
      <w:r w:rsidR="0097765B">
        <w:rPr>
          <w:rFonts w:ascii="SimSun" w:hAnsi="SimSun"/>
          <w:sz w:val="21"/>
          <w:szCs w:val="21"/>
        </w:rPr>
        <w:tab/>
      </w:r>
      <w:r w:rsidRPr="0097765B">
        <w:rPr>
          <w:rFonts w:ascii="SimSun" w:hAnsi="SimSun" w:hint="eastAsia"/>
          <w:sz w:val="21"/>
          <w:szCs w:val="21"/>
        </w:rPr>
        <w:t>2013年2月25日至28日举行的专利法常设委员会(SCP)第十九届会议商定，关于“专利权的例外和限制”这一主题，秘书处将根据从成员国收到的资料，就成员国怎样实施以下五种例外与限制的问题编拟一份文件，但不对这些例外与限制的有效性进行评价：私人和</w:t>
      </w:r>
      <w:r w:rsidRPr="0097765B">
        <w:rPr>
          <w:rFonts w:ascii="SimSun" w:hAnsi="SimSun"/>
          <w:sz w:val="21"/>
          <w:szCs w:val="21"/>
        </w:rPr>
        <w:t>/</w:t>
      </w:r>
      <w:r w:rsidRPr="0097765B">
        <w:rPr>
          <w:rFonts w:ascii="SimSun" w:hAnsi="SimSun" w:hint="eastAsia"/>
          <w:sz w:val="21"/>
          <w:szCs w:val="21"/>
        </w:rPr>
        <w:t>或非商业性使用；实验性使用和</w:t>
      </w:r>
      <w:r w:rsidRPr="0097765B">
        <w:rPr>
          <w:rFonts w:ascii="SimSun" w:hAnsi="SimSun"/>
          <w:sz w:val="21"/>
          <w:szCs w:val="21"/>
        </w:rPr>
        <w:t>/</w:t>
      </w:r>
      <w:r w:rsidRPr="0097765B">
        <w:rPr>
          <w:rFonts w:ascii="SimSun" w:hAnsi="SimSun" w:hint="eastAsia"/>
          <w:sz w:val="21"/>
          <w:szCs w:val="21"/>
        </w:rPr>
        <w:t>或科学研究；药物的配制；先前使用；在外国船舶、航空器和陆地车辆上使用的物品。该文件也应包括成员国在实施这些例外时遇到的实际挑战。</w:t>
      </w:r>
    </w:p>
    <w:p w:rsidR="00317942" w:rsidRPr="0097765B" w:rsidRDefault="00317942" w:rsidP="00427A87">
      <w:pPr>
        <w:adjustRightInd w:val="0"/>
        <w:spacing w:afterLines="50" w:after="120" w:line="340" w:lineRule="atLeast"/>
        <w:jc w:val="both"/>
        <w:rPr>
          <w:rFonts w:ascii="SimSun" w:hAnsi="SimSun"/>
          <w:sz w:val="21"/>
          <w:szCs w:val="21"/>
        </w:rPr>
      </w:pPr>
      <w:r w:rsidRPr="0097765B">
        <w:rPr>
          <w:rFonts w:ascii="SimSun" w:hAnsi="SimSun"/>
          <w:sz w:val="21"/>
          <w:szCs w:val="21"/>
          <w:lang w:eastAsia="en-US"/>
        </w:rPr>
        <w:fldChar w:fldCharType="begin"/>
      </w:r>
      <w:r w:rsidRPr="0097765B">
        <w:rPr>
          <w:rFonts w:ascii="SimSun" w:hAnsi="SimSun"/>
          <w:sz w:val="21"/>
          <w:szCs w:val="21"/>
        </w:rPr>
        <w:instrText xml:space="preserve"> AUTONUM  </w:instrText>
      </w:r>
      <w:r w:rsidRPr="0097765B">
        <w:rPr>
          <w:rFonts w:ascii="SimSun" w:hAnsi="SimSun"/>
          <w:sz w:val="21"/>
          <w:szCs w:val="21"/>
          <w:lang w:eastAsia="en-US"/>
        </w:rPr>
        <w:fldChar w:fldCharType="end"/>
      </w:r>
      <w:r w:rsidR="0097765B">
        <w:rPr>
          <w:rFonts w:ascii="SimSun" w:hAnsi="SimSun"/>
          <w:sz w:val="21"/>
          <w:szCs w:val="21"/>
        </w:rPr>
        <w:t>.</w:t>
      </w:r>
      <w:r w:rsidR="0097765B">
        <w:rPr>
          <w:rFonts w:ascii="SimSun" w:hAnsi="SimSun"/>
          <w:sz w:val="21"/>
          <w:szCs w:val="21"/>
        </w:rPr>
        <w:tab/>
      </w:r>
      <w:r w:rsidRPr="0097765B">
        <w:rPr>
          <w:rFonts w:ascii="SimSun" w:hAnsi="SimSun" w:hint="eastAsia"/>
          <w:sz w:val="21"/>
          <w:szCs w:val="21"/>
        </w:rPr>
        <w:t>根据上述决定，秘书处发出第C.</w:t>
      </w:r>
      <w:r w:rsidRPr="0097765B">
        <w:rPr>
          <w:rFonts w:ascii="SimSun" w:hAnsi="SimSun"/>
          <w:sz w:val="21"/>
          <w:szCs w:val="21"/>
        </w:rPr>
        <w:t>8261</w:t>
      </w:r>
      <w:r w:rsidRPr="0097765B">
        <w:rPr>
          <w:rFonts w:ascii="SimSun" w:hAnsi="SimSun" w:hint="eastAsia"/>
          <w:sz w:val="21"/>
          <w:szCs w:val="21"/>
        </w:rPr>
        <w:t>号通知，请成员国和地区专利局就上述五项例外和限制向国际局提交《专利权例外和限制问卷》(下称《问卷》)答复中所含信息之外的信息或对该信息加以更新。此外，也请尚未提交问卷答复的成员国和地区专利局提供上述信息。</w:t>
      </w:r>
    </w:p>
    <w:p w:rsidR="00317942" w:rsidRPr="0097765B" w:rsidRDefault="00317942" w:rsidP="00427A87">
      <w:pPr>
        <w:adjustRightInd w:val="0"/>
        <w:spacing w:afterLines="50" w:after="120" w:line="340" w:lineRule="atLeast"/>
        <w:jc w:val="both"/>
        <w:rPr>
          <w:rFonts w:ascii="SimSun" w:hAnsi="SimSun"/>
          <w:sz w:val="21"/>
          <w:szCs w:val="21"/>
        </w:rPr>
      </w:pPr>
      <w:r w:rsidRPr="0097765B">
        <w:rPr>
          <w:rFonts w:ascii="SimSun" w:hAnsi="SimSun"/>
          <w:sz w:val="21"/>
          <w:szCs w:val="21"/>
          <w:lang w:eastAsia="en-US"/>
        </w:rPr>
        <w:fldChar w:fldCharType="begin"/>
      </w:r>
      <w:r w:rsidRPr="0097765B">
        <w:rPr>
          <w:rFonts w:ascii="SimSun" w:hAnsi="SimSun"/>
          <w:sz w:val="21"/>
          <w:szCs w:val="21"/>
        </w:rPr>
        <w:instrText xml:space="preserve"> AUTONUM  </w:instrText>
      </w:r>
      <w:r w:rsidRPr="0097765B">
        <w:rPr>
          <w:rFonts w:ascii="SimSun" w:hAnsi="SimSun"/>
          <w:sz w:val="21"/>
          <w:szCs w:val="21"/>
          <w:lang w:eastAsia="en-US"/>
        </w:rPr>
        <w:fldChar w:fldCharType="end"/>
      </w:r>
      <w:r w:rsidR="0097765B">
        <w:rPr>
          <w:rFonts w:ascii="SimSun" w:hAnsi="SimSun"/>
          <w:sz w:val="21"/>
          <w:szCs w:val="21"/>
        </w:rPr>
        <w:t>.</w:t>
      </w:r>
      <w:r w:rsidR="0097765B">
        <w:rPr>
          <w:rFonts w:ascii="SimSun" w:hAnsi="SimSun"/>
          <w:sz w:val="21"/>
          <w:szCs w:val="21"/>
        </w:rPr>
        <w:tab/>
      </w:r>
      <w:r w:rsidRPr="0097765B">
        <w:rPr>
          <w:rFonts w:ascii="SimSun" w:hAnsi="SimSun" w:hint="eastAsia"/>
          <w:color w:val="000000"/>
          <w:sz w:val="21"/>
          <w:szCs w:val="21"/>
        </w:rPr>
        <w:t>因而，本文件提供了关于成员国如何实施</w:t>
      </w:r>
      <w:r w:rsidRPr="0097765B">
        <w:rPr>
          <w:rFonts w:ascii="SimSun" w:hAnsi="SimSun" w:hint="eastAsia"/>
          <w:color w:val="000000"/>
          <w:sz w:val="21"/>
          <w:szCs w:val="21"/>
          <w:u w:val="single"/>
        </w:rPr>
        <w:t>药物的临时配制</w:t>
      </w:r>
      <w:r w:rsidRPr="0097765B">
        <w:rPr>
          <w:rFonts w:ascii="SimSun" w:hAnsi="SimSun" w:hint="eastAsia"/>
          <w:color w:val="000000"/>
          <w:sz w:val="21"/>
          <w:szCs w:val="21"/>
        </w:rPr>
        <w:t>相关的例外和/或限制方面的信息。本文件旨在提供根据各成员国适用法律实施该主题例外和/或限制方面的全面且比较性的概括信息。文件提到了成员国和地区专利局提交的答复原文，用以说明在特定司法辖区内例外的范围。问卷以及从成员国所收到的全部答复可参见SCP电子论坛：</w:t>
      </w:r>
      <w:r w:rsidRPr="0097765B">
        <w:rPr>
          <w:rFonts w:ascii="SimSun" w:hAnsi="SimSun"/>
          <w:color w:val="0000FF"/>
          <w:sz w:val="21"/>
          <w:szCs w:val="21"/>
          <w:lang w:eastAsia="en-US"/>
        </w:rPr>
        <w:fldChar w:fldCharType="begin"/>
      </w:r>
      <w:r w:rsidRPr="0097765B">
        <w:rPr>
          <w:rFonts w:ascii="SimSun" w:hAnsi="SimSun"/>
          <w:color w:val="0000FF"/>
          <w:sz w:val="21"/>
          <w:szCs w:val="21"/>
        </w:rPr>
        <w:instrText xml:space="preserve"> HYPERLINK "http://www.wipo.int/scp/en/exceptions/" </w:instrText>
      </w:r>
      <w:r w:rsidR="00DF1584" w:rsidRPr="0097765B">
        <w:rPr>
          <w:rFonts w:ascii="SimSun" w:hAnsi="SimSun"/>
          <w:color w:val="0000FF"/>
          <w:sz w:val="21"/>
          <w:szCs w:val="21"/>
          <w:lang w:eastAsia="en-US"/>
        </w:rPr>
      </w:r>
      <w:r w:rsidRPr="0097765B">
        <w:rPr>
          <w:rFonts w:ascii="SimSun" w:hAnsi="SimSun"/>
          <w:color w:val="0000FF"/>
          <w:sz w:val="21"/>
          <w:szCs w:val="21"/>
          <w:lang w:eastAsia="en-US"/>
        </w:rPr>
        <w:fldChar w:fldCharType="separate"/>
      </w:r>
      <w:r w:rsidRPr="0097765B">
        <w:rPr>
          <w:rStyle w:val="af4"/>
          <w:rFonts w:ascii="SimSun" w:hAnsi="SimSun"/>
          <w:sz w:val="21"/>
          <w:szCs w:val="21"/>
        </w:rPr>
        <w:t>http://www.wipo.int/scp/en/exceptions/</w:t>
      </w:r>
      <w:r w:rsidRPr="0097765B">
        <w:rPr>
          <w:rFonts w:ascii="SimSun" w:hAnsi="SimSun"/>
          <w:color w:val="0000FF"/>
          <w:sz w:val="21"/>
          <w:szCs w:val="21"/>
          <w:lang w:eastAsia="en-US"/>
        </w:rPr>
        <w:fldChar w:fldCharType="end"/>
      </w:r>
      <w:r w:rsidRPr="0097765B">
        <w:rPr>
          <w:rFonts w:ascii="SimSun" w:hAnsi="SimSun" w:hint="eastAsia"/>
          <w:color w:val="000000"/>
          <w:sz w:val="21"/>
          <w:szCs w:val="21"/>
        </w:rPr>
        <w:t>。为了便于更快捷地获得答复中所含信息，该网站以矩阵形式列出了所有的答复，并设置了到每份答复中每个部分的超级链接。</w:t>
      </w:r>
    </w:p>
    <w:p w:rsidR="00317942" w:rsidRPr="0097765B" w:rsidRDefault="00317942" w:rsidP="00427A87">
      <w:pPr>
        <w:adjustRightInd w:val="0"/>
        <w:spacing w:afterLines="50" w:after="120" w:line="340" w:lineRule="atLeast"/>
        <w:jc w:val="both"/>
        <w:rPr>
          <w:rFonts w:ascii="SimSun" w:hAnsi="SimSun"/>
          <w:color w:val="000000"/>
          <w:sz w:val="21"/>
          <w:szCs w:val="21"/>
        </w:rPr>
      </w:pPr>
      <w:r w:rsidRPr="0097765B">
        <w:rPr>
          <w:rFonts w:ascii="SimSun" w:hAnsi="SimSun"/>
          <w:color w:val="000000"/>
          <w:sz w:val="21"/>
          <w:szCs w:val="21"/>
        </w:rPr>
        <w:fldChar w:fldCharType="begin"/>
      </w:r>
      <w:r w:rsidRPr="0097765B">
        <w:rPr>
          <w:rFonts w:ascii="SimSun" w:hAnsi="SimSun"/>
          <w:color w:val="000000"/>
          <w:sz w:val="21"/>
          <w:szCs w:val="21"/>
        </w:rPr>
        <w:instrText xml:space="preserve"> AUTONUM  </w:instrText>
      </w:r>
      <w:r w:rsidRPr="0097765B">
        <w:rPr>
          <w:rFonts w:ascii="SimSun" w:hAnsi="SimSun"/>
          <w:color w:val="000000"/>
          <w:sz w:val="21"/>
          <w:szCs w:val="21"/>
        </w:rPr>
        <w:fldChar w:fldCharType="end"/>
      </w:r>
      <w:r w:rsidR="0097765B">
        <w:rPr>
          <w:rFonts w:ascii="SimSun" w:hAnsi="SimSun"/>
          <w:color w:val="000000"/>
          <w:sz w:val="21"/>
          <w:szCs w:val="21"/>
        </w:rPr>
        <w:t>.</w:t>
      </w:r>
      <w:r w:rsidR="0097765B">
        <w:rPr>
          <w:rFonts w:ascii="SimSun" w:hAnsi="SimSun"/>
          <w:color w:val="000000"/>
          <w:sz w:val="21"/>
          <w:szCs w:val="21"/>
        </w:rPr>
        <w:tab/>
      </w:r>
      <w:r w:rsidRPr="0097765B">
        <w:rPr>
          <w:rFonts w:ascii="SimSun" w:hAnsi="SimSun" w:hint="eastAsia"/>
          <w:color w:val="000000"/>
          <w:sz w:val="21"/>
          <w:szCs w:val="21"/>
        </w:rPr>
        <w:t>本文件包含三个部分：(</w:t>
      </w:r>
      <w:proofErr w:type="spellStart"/>
      <w:r w:rsidRPr="0097765B">
        <w:rPr>
          <w:rFonts w:ascii="SimSun" w:hAnsi="SimSun" w:hint="eastAsia"/>
          <w:color w:val="000000"/>
          <w:sz w:val="21"/>
          <w:szCs w:val="21"/>
        </w:rPr>
        <w:t>i</w:t>
      </w:r>
      <w:proofErr w:type="spellEnd"/>
      <w:r w:rsidRPr="0097765B">
        <w:rPr>
          <w:rFonts w:ascii="SimSun" w:hAnsi="SimSun" w:hint="eastAsia"/>
          <w:color w:val="000000"/>
          <w:sz w:val="21"/>
          <w:szCs w:val="21"/>
        </w:rPr>
        <w:t>)规定例外的公共政策目标；(ii)适用法律和例外范围；以及(iii)实施挑战。</w:t>
      </w:r>
    </w:p>
    <w:p w:rsidR="00317942" w:rsidRPr="0097765B" w:rsidRDefault="00317942" w:rsidP="00427A87">
      <w:pPr>
        <w:adjustRightInd w:val="0"/>
        <w:spacing w:afterLines="50" w:after="120" w:line="340" w:lineRule="atLeast"/>
        <w:jc w:val="both"/>
        <w:rPr>
          <w:rFonts w:ascii="SimSun" w:hAnsi="SimSun"/>
          <w:sz w:val="21"/>
          <w:szCs w:val="21"/>
        </w:rPr>
      </w:pPr>
      <w:r w:rsidRPr="0097765B">
        <w:rPr>
          <w:rFonts w:ascii="SimSun" w:hAnsi="SimSun"/>
          <w:sz w:val="21"/>
          <w:szCs w:val="21"/>
          <w:lang w:eastAsia="en-US"/>
        </w:rPr>
        <w:lastRenderedPageBreak/>
        <w:fldChar w:fldCharType="begin"/>
      </w:r>
      <w:r w:rsidRPr="0097765B">
        <w:rPr>
          <w:rFonts w:ascii="SimSun" w:hAnsi="SimSun"/>
          <w:sz w:val="21"/>
          <w:szCs w:val="21"/>
        </w:rPr>
        <w:instrText xml:space="preserve"> AUTONUM  </w:instrText>
      </w:r>
      <w:r w:rsidRPr="0097765B">
        <w:rPr>
          <w:rFonts w:ascii="SimSun" w:hAnsi="SimSun"/>
          <w:sz w:val="21"/>
          <w:szCs w:val="21"/>
          <w:lang w:eastAsia="en-US"/>
        </w:rPr>
        <w:fldChar w:fldCharType="end"/>
      </w:r>
      <w:r w:rsidR="0097765B">
        <w:rPr>
          <w:rFonts w:ascii="SimSun" w:hAnsi="SimSun"/>
          <w:sz w:val="21"/>
          <w:szCs w:val="21"/>
        </w:rPr>
        <w:t>.</w:t>
      </w:r>
      <w:r w:rsidR="0097765B">
        <w:rPr>
          <w:rFonts w:ascii="SimSun" w:hAnsi="SimSun"/>
          <w:sz w:val="21"/>
          <w:szCs w:val="21"/>
        </w:rPr>
        <w:tab/>
      </w:r>
      <w:r w:rsidRPr="0097765B">
        <w:rPr>
          <w:rFonts w:ascii="SimSun" w:hAnsi="SimSun" w:hint="eastAsia"/>
          <w:sz w:val="21"/>
          <w:szCs w:val="21"/>
        </w:rPr>
        <w:t>以下成员国和专利局表明了其适用法律规定了关于药物配制方面的例外和/或限制：阿尔巴尼亚、亚美尼亚、阿塞拜疆、波斯尼亚和黑塞哥维那、巴西、保加利亚、克罗地亚、塞浦路斯、捷克共和国、朝鲜民主主义人民共和国、丹麦、芬兰、法国、德国、希腊、(中国)香港、匈牙利、意大利、日本、拉脱维亚、立陶宛、摩洛哥、挪威、菲律宾、波兰、葡萄牙、大韩民国、摩尔多瓦共和国、俄罗斯联邦、塞尔维亚、斯洛伐克、西班牙、瑞典、塔吉克斯坦、泰国、土耳其、联合王国、越南以及欧亚专利局(EAPO)(共计39个)。</w:t>
      </w:r>
    </w:p>
    <w:p w:rsidR="00317942" w:rsidRPr="0097765B" w:rsidRDefault="00317942" w:rsidP="0097765B">
      <w:pPr>
        <w:spacing w:beforeLines="100" w:before="240" w:afterLines="100" w:after="240" w:line="340" w:lineRule="atLeast"/>
        <w:jc w:val="both"/>
        <w:rPr>
          <w:rFonts w:ascii="SimHei" w:eastAsia="SimHei" w:hAnsi="SimHei"/>
          <w:bCs/>
          <w:sz w:val="21"/>
          <w:szCs w:val="21"/>
        </w:rPr>
      </w:pPr>
      <w:r w:rsidRPr="0097765B">
        <w:rPr>
          <w:rFonts w:ascii="SimHei" w:eastAsia="SimHei" w:hAnsi="SimHei" w:hint="eastAsia"/>
          <w:bCs/>
          <w:sz w:val="21"/>
          <w:szCs w:val="21"/>
        </w:rPr>
        <w:t>规定例外的公共政策目标</w:t>
      </w:r>
    </w:p>
    <w:p w:rsidR="00317942" w:rsidRPr="0097765B" w:rsidRDefault="00317942" w:rsidP="00427A87">
      <w:pPr>
        <w:adjustRightInd w:val="0"/>
        <w:spacing w:afterLines="50" w:after="120" w:line="340" w:lineRule="atLeast"/>
        <w:jc w:val="both"/>
        <w:rPr>
          <w:rFonts w:ascii="SimSun" w:hAnsi="SimSun"/>
          <w:sz w:val="21"/>
          <w:szCs w:val="21"/>
        </w:rPr>
      </w:pPr>
      <w:r w:rsidRPr="0097765B">
        <w:rPr>
          <w:rFonts w:ascii="SimSun" w:hAnsi="SimSun"/>
          <w:sz w:val="21"/>
          <w:szCs w:val="21"/>
          <w:lang w:eastAsia="en-US"/>
        </w:rPr>
        <w:fldChar w:fldCharType="begin"/>
      </w:r>
      <w:r w:rsidRPr="0097765B">
        <w:rPr>
          <w:rFonts w:ascii="SimSun" w:hAnsi="SimSun"/>
          <w:sz w:val="21"/>
          <w:szCs w:val="21"/>
        </w:rPr>
        <w:instrText xml:space="preserve"> AUTONUM  </w:instrText>
      </w:r>
      <w:r w:rsidRPr="0097765B">
        <w:rPr>
          <w:rFonts w:ascii="SimSun" w:hAnsi="SimSun"/>
          <w:sz w:val="21"/>
          <w:szCs w:val="21"/>
          <w:lang w:eastAsia="en-US"/>
        </w:rPr>
        <w:fldChar w:fldCharType="end"/>
      </w:r>
      <w:r w:rsidR="0097765B">
        <w:rPr>
          <w:rFonts w:ascii="SimSun" w:hAnsi="SimSun"/>
          <w:sz w:val="21"/>
          <w:szCs w:val="21"/>
        </w:rPr>
        <w:t>.</w:t>
      </w:r>
      <w:r w:rsidR="0097765B">
        <w:rPr>
          <w:rFonts w:ascii="SimSun" w:hAnsi="SimSun"/>
          <w:sz w:val="21"/>
          <w:szCs w:val="21"/>
        </w:rPr>
        <w:tab/>
      </w:r>
      <w:r w:rsidRPr="0097765B">
        <w:rPr>
          <w:rFonts w:ascii="SimSun" w:hAnsi="SimSun" w:hint="eastAsia"/>
          <w:sz w:val="21"/>
          <w:szCs w:val="21"/>
        </w:rPr>
        <w:t>关于例外的公共政策目标这一问题，成员国答复如下：巴西的答复强调了在权利人利益和这些权利用户与保护公共利益之间建立合理平衡关系的重要性，其指出“通过为专利所赋予的专用权设立有限的例外，规定这类例外不能不合理地违背其正常利用，也不应不合理地损害专利权人的合法权益，同时还应虑及第三方的合法权益。因此，其认为此类例外有助于促进技术创新和技术的转让与传播，有利于技术知识的创造者和使用者双方，有益于社会经济福利，并能够兼顾权利与义务的平衡。”</w:t>
      </w:r>
    </w:p>
    <w:p w:rsidR="00317942" w:rsidRPr="0097765B" w:rsidRDefault="00317942" w:rsidP="00427A87">
      <w:pPr>
        <w:adjustRightInd w:val="0"/>
        <w:spacing w:afterLines="50" w:after="120" w:line="340" w:lineRule="atLeast"/>
        <w:jc w:val="both"/>
        <w:rPr>
          <w:rFonts w:ascii="SimSun" w:hAnsi="SimSun"/>
          <w:iCs/>
          <w:sz w:val="21"/>
          <w:szCs w:val="21"/>
        </w:rPr>
      </w:pPr>
      <w:r w:rsidRPr="0097765B">
        <w:rPr>
          <w:rFonts w:ascii="SimSun" w:hAnsi="SimSun"/>
          <w:sz w:val="21"/>
          <w:szCs w:val="21"/>
          <w:lang w:eastAsia="en-US"/>
        </w:rPr>
        <w:fldChar w:fldCharType="begin"/>
      </w:r>
      <w:r w:rsidRPr="0097765B">
        <w:rPr>
          <w:rFonts w:ascii="SimSun" w:hAnsi="SimSun"/>
          <w:sz w:val="21"/>
          <w:szCs w:val="21"/>
        </w:rPr>
        <w:instrText xml:space="preserve"> AUTONUM  </w:instrText>
      </w:r>
      <w:r w:rsidRPr="0097765B">
        <w:rPr>
          <w:rFonts w:ascii="SimSun" w:hAnsi="SimSun"/>
          <w:sz w:val="21"/>
          <w:szCs w:val="21"/>
          <w:lang w:eastAsia="en-US"/>
        </w:rPr>
        <w:fldChar w:fldCharType="end"/>
      </w:r>
      <w:r w:rsidR="0097765B">
        <w:rPr>
          <w:rFonts w:ascii="SimSun" w:hAnsi="SimSun"/>
          <w:sz w:val="21"/>
          <w:szCs w:val="21"/>
        </w:rPr>
        <w:t>.</w:t>
      </w:r>
      <w:r w:rsidR="0097765B">
        <w:rPr>
          <w:rFonts w:ascii="SimSun" w:hAnsi="SimSun"/>
          <w:sz w:val="21"/>
          <w:szCs w:val="21"/>
        </w:rPr>
        <w:tab/>
      </w:r>
      <w:r w:rsidRPr="0097765B">
        <w:rPr>
          <w:rFonts w:ascii="SimSun" w:hAnsi="SimSun" w:hint="eastAsia"/>
          <w:sz w:val="21"/>
          <w:szCs w:val="21"/>
        </w:rPr>
        <w:t>一些成员国的答复则强调了公共卫生，特别是获取药物和治疗患者。塞浦路斯在答复中指出，例外是“基于公共利益和人类福利原则[</w:t>
      </w:r>
      <w:r w:rsidR="00427A87">
        <w:rPr>
          <w:rFonts w:ascii="SimSun" w:hAnsi="SimSun" w:hint="eastAsia"/>
          <w:sz w:val="21"/>
          <w:szCs w:val="21"/>
        </w:rPr>
        <w:t>……</w:t>
      </w:r>
      <w:r w:rsidRPr="0097765B">
        <w:rPr>
          <w:rFonts w:ascii="SimSun" w:hAnsi="SimSun" w:hint="eastAsia"/>
          <w:sz w:val="21"/>
          <w:szCs w:val="21"/>
        </w:rPr>
        <w:t>]”</w:t>
      </w:r>
      <w:r w:rsidRPr="0097765B">
        <w:rPr>
          <w:rStyle w:val="af0"/>
          <w:rFonts w:ascii="SimSun" w:hAnsi="SimSun"/>
          <w:sz w:val="21"/>
          <w:szCs w:val="21"/>
          <w:lang w:eastAsia="en-US"/>
        </w:rPr>
        <w:footnoteReference w:id="2"/>
      </w:r>
      <w:r w:rsidRPr="0097765B">
        <w:rPr>
          <w:rFonts w:ascii="SimSun" w:hAnsi="SimSun" w:hint="eastAsia"/>
          <w:sz w:val="21"/>
          <w:szCs w:val="21"/>
        </w:rPr>
        <w:t>。类似地，法国的答复中也指出，“例外应有利于公共卫生利益”。波兰的答复则是“不进行不可能的个体治疗”。摩尔多瓦共和国答复说，规定例外的政策目标是“不限制药物在个案中的使用，以改进药物的获取”。葡萄牙答复说，“不限制获取治疗，不妨碍医患关系”。类似地，西班牙答复说，这一规定的目标在于“为患者提供医疗专业人士所开的能够在药房配制的处方药的获取。简而言之，一方面，医疗保健方面的理由要加以保护，另一方面，此类行为并不被视为是损害了专利主题的正常应用</w:t>
      </w:r>
      <w:r w:rsidR="004F5803" w:rsidRPr="0097765B">
        <w:rPr>
          <w:rFonts w:ascii="SimSun" w:hAnsi="SimSun" w:hint="eastAsia"/>
          <w:sz w:val="21"/>
          <w:szCs w:val="21"/>
        </w:rPr>
        <w:t>”</w:t>
      </w:r>
      <w:r w:rsidRPr="0097765B">
        <w:rPr>
          <w:rFonts w:ascii="SimSun" w:hAnsi="SimSun" w:hint="eastAsia"/>
          <w:sz w:val="21"/>
          <w:szCs w:val="21"/>
        </w:rPr>
        <w:t>。</w:t>
      </w:r>
    </w:p>
    <w:p w:rsidR="00317942" w:rsidRPr="0097765B" w:rsidRDefault="00317942" w:rsidP="00427A87">
      <w:pPr>
        <w:adjustRightInd w:val="0"/>
        <w:spacing w:afterLines="50" w:after="120" w:line="340" w:lineRule="atLeast"/>
        <w:jc w:val="both"/>
        <w:rPr>
          <w:rFonts w:ascii="SimSun" w:hAnsi="SimSun"/>
          <w:sz w:val="21"/>
          <w:szCs w:val="21"/>
        </w:rPr>
      </w:pPr>
      <w:r w:rsidRPr="0097765B">
        <w:rPr>
          <w:rFonts w:ascii="SimSun" w:hAnsi="SimSun"/>
          <w:sz w:val="21"/>
          <w:szCs w:val="21"/>
          <w:lang w:eastAsia="en-US"/>
        </w:rPr>
        <w:fldChar w:fldCharType="begin"/>
      </w:r>
      <w:r w:rsidRPr="0097765B">
        <w:rPr>
          <w:rFonts w:ascii="SimSun" w:hAnsi="SimSun"/>
          <w:sz w:val="21"/>
          <w:szCs w:val="21"/>
        </w:rPr>
        <w:instrText xml:space="preserve"> AUTONUM  </w:instrText>
      </w:r>
      <w:r w:rsidRPr="0097765B">
        <w:rPr>
          <w:rFonts w:ascii="SimSun" w:hAnsi="SimSun"/>
          <w:sz w:val="21"/>
          <w:szCs w:val="21"/>
          <w:lang w:eastAsia="en-US"/>
        </w:rPr>
        <w:fldChar w:fldCharType="end"/>
      </w:r>
      <w:r w:rsidR="0097765B">
        <w:rPr>
          <w:rFonts w:ascii="SimSun" w:hAnsi="SimSun"/>
          <w:sz w:val="21"/>
          <w:szCs w:val="21"/>
        </w:rPr>
        <w:t>.</w:t>
      </w:r>
      <w:r w:rsidR="0097765B">
        <w:rPr>
          <w:rFonts w:ascii="SimSun" w:hAnsi="SimSun"/>
          <w:sz w:val="21"/>
          <w:szCs w:val="21"/>
        </w:rPr>
        <w:tab/>
      </w:r>
      <w:r w:rsidRPr="0097765B">
        <w:rPr>
          <w:rFonts w:ascii="SimSun" w:hAnsi="SimSun" w:hint="eastAsia"/>
          <w:sz w:val="21"/>
          <w:szCs w:val="21"/>
        </w:rPr>
        <w:t>德国和意大利的答复还指出，该规定“意在促进医疗行为的实施，因为专利不应限制医生(医师)为促进卫生利益而开处方药的自由。这应允许医生在个案中为其患者开具药房中配制的药物，而无需考虑可能涉及的专利权”。类似地，瑞典的答复指出，例外的政策目标是要使药房工作人员能够“在个案中根据医师处方配制药物，不承担侵犯专利权风险”。同样地，联合王国的答复中指出，“药剂师应有自由在个案下根据医生处方配制药物，不承担专利侵权风险”。德国的答复补充说，“该项规定是对人体或动物体手术或治疗方法不予专利保护的补充”。</w:t>
      </w:r>
    </w:p>
    <w:p w:rsidR="00317942" w:rsidRPr="0097765B" w:rsidRDefault="00317942" w:rsidP="00427A87">
      <w:pPr>
        <w:adjustRightInd w:val="0"/>
        <w:spacing w:afterLines="50" w:after="120" w:line="340" w:lineRule="atLeast"/>
        <w:jc w:val="both"/>
        <w:rPr>
          <w:rFonts w:ascii="SimSun" w:hAnsi="SimSun"/>
          <w:sz w:val="21"/>
          <w:szCs w:val="21"/>
        </w:rPr>
      </w:pPr>
      <w:r w:rsidRPr="0097765B">
        <w:rPr>
          <w:rFonts w:ascii="SimSun" w:hAnsi="SimSun"/>
          <w:sz w:val="21"/>
          <w:szCs w:val="21"/>
          <w:lang w:eastAsia="en-US"/>
        </w:rPr>
        <w:fldChar w:fldCharType="begin"/>
      </w:r>
      <w:r w:rsidRPr="0097765B">
        <w:rPr>
          <w:rFonts w:ascii="SimSun" w:hAnsi="SimSun"/>
          <w:sz w:val="21"/>
          <w:szCs w:val="21"/>
        </w:rPr>
        <w:instrText xml:space="preserve"> AUTONUM  </w:instrText>
      </w:r>
      <w:r w:rsidRPr="0097765B">
        <w:rPr>
          <w:rFonts w:ascii="SimSun" w:hAnsi="SimSun"/>
          <w:sz w:val="21"/>
          <w:szCs w:val="21"/>
          <w:lang w:eastAsia="en-US"/>
        </w:rPr>
        <w:fldChar w:fldCharType="end"/>
      </w:r>
      <w:r w:rsidR="0097765B">
        <w:rPr>
          <w:rFonts w:ascii="SimSun" w:hAnsi="SimSun"/>
          <w:sz w:val="21"/>
          <w:szCs w:val="21"/>
        </w:rPr>
        <w:t>.</w:t>
      </w:r>
      <w:r w:rsidR="0097765B">
        <w:rPr>
          <w:rFonts w:ascii="SimSun" w:hAnsi="SimSun"/>
          <w:sz w:val="21"/>
          <w:szCs w:val="21"/>
        </w:rPr>
        <w:tab/>
      </w:r>
      <w:r w:rsidRPr="0097765B">
        <w:rPr>
          <w:rFonts w:ascii="SimSun" w:hAnsi="SimSun" w:hint="eastAsia"/>
          <w:iCs/>
          <w:sz w:val="21"/>
          <w:szCs w:val="21"/>
        </w:rPr>
        <w:t>匈牙利的答复指出，</w:t>
      </w:r>
      <w:r w:rsidRPr="00427A87">
        <w:rPr>
          <w:rFonts w:ascii="SimSun" w:hAnsi="SimSun" w:hint="eastAsia"/>
          <w:sz w:val="21"/>
          <w:szCs w:val="21"/>
        </w:rPr>
        <w:t>规定</w:t>
      </w:r>
      <w:r w:rsidRPr="0097765B">
        <w:rPr>
          <w:rFonts w:ascii="SimSun" w:hAnsi="SimSun" w:hint="eastAsia"/>
          <w:iCs/>
          <w:sz w:val="21"/>
          <w:szCs w:val="21"/>
        </w:rPr>
        <w:t>例外的政策目标“是为患者提供低成本高质量的药物，同时降低国家卫生方案的支出”。但是其还指出，“例外的使用涉及最小数量”，因此“不会损害到专利的正常使用”。挪威的答复表示，“只要药物是根据处方配制，药房配制药物应能不顾及专利权”。</w:t>
      </w:r>
    </w:p>
    <w:p w:rsidR="00317942" w:rsidRPr="0097765B" w:rsidRDefault="00317942" w:rsidP="00427A87">
      <w:pPr>
        <w:adjustRightInd w:val="0"/>
        <w:spacing w:afterLines="50" w:after="120" w:line="340" w:lineRule="atLeast"/>
        <w:jc w:val="both"/>
        <w:rPr>
          <w:rFonts w:ascii="SimSun" w:hAnsi="SimSun"/>
          <w:sz w:val="21"/>
          <w:szCs w:val="21"/>
        </w:rPr>
      </w:pPr>
      <w:r w:rsidRPr="0097765B">
        <w:rPr>
          <w:rFonts w:ascii="SimSun" w:hAnsi="SimSun"/>
          <w:sz w:val="21"/>
          <w:szCs w:val="21"/>
          <w:lang w:eastAsia="en-US"/>
        </w:rPr>
        <w:fldChar w:fldCharType="begin"/>
      </w:r>
      <w:r w:rsidRPr="0097765B">
        <w:rPr>
          <w:rFonts w:ascii="SimSun" w:hAnsi="SimSun"/>
          <w:sz w:val="21"/>
          <w:szCs w:val="21"/>
        </w:rPr>
        <w:instrText xml:space="preserve"> AUTONUM  </w:instrText>
      </w:r>
      <w:r w:rsidRPr="0097765B">
        <w:rPr>
          <w:rFonts w:ascii="SimSun" w:hAnsi="SimSun"/>
          <w:sz w:val="21"/>
          <w:szCs w:val="21"/>
          <w:lang w:eastAsia="en-US"/>
        </w:rPr>
        <w:fldChar w:fldCharType="end"/>
      </w:r>
      <w:r w:rsidR="0097765B">
        <w:rPr>
          <w:rFonts w:ascii="SimSun" w:hAnsi="SimSun"/>
          <w:sz w:val="21"/>
          <w:szCs w:val="21"/>
        </w:rPr>
        <w:t>.</w:t>
      </w:r>
      <w:r w:rsidR="0097765B">
        <w:rPr>
          <w:rFonts w:ascii="SimSun" w:hAnsi="SimSun"/>
          <w:sz w:val="21"/>
          <w:szCs w:val="21"/>
        </w:rPr>
        <w:tab/>
      </w:r>
      <w:r w:rsidRPr="0097765B">
        <w:rPr>
          <w:rFonts w:ascii="SimSun" w:hAnsi="SimSun" w:hint="eastAsia"/>
          <w:sz w:val="21"/>
          <w:szCs w:val="21"/>
        </w:rPr>
        <w:t>日本和大韩民国的答复表示，“考虑到医师或牙医配制药物的行为具有社会责任，目的是帮助患者恢复健康，因此将专利权扩展到配制药物行为是不妥当的”</w:t>
      </w:r>
      <w:r w:rsidRPr="0097765B">
        <w:rPr>
          <w:rStyle w:val="af0"/>
          <w:rFonts w:ascii="SimSun" w:hAnsi="SimSun"/>
          <w:sz w:val="21"/>
          <w:szCs w:val="21"/>
          <w:lang w:eastAsia="en-US"/>
        </w:rPr>
        <w:footnoteReference w:id="3"/>
      </w:r>
      <w:r w:rsidR="00427A87">
        <w:rPr>
          <w:rFonts w:ascii="SimSun" w:hAnsi="SimSun" w:hint="eastAsia"/>
          <w:sz w:val="21"/>
          <w:szCs w:val="21"/>
        </w:rPr>
        <w:t>。</w:t>
      </w:r>
    </w:p>
    <w:p w:rsidR="00317942" w:rsidRPr="0097765B" w:rsidRDefault="00317942" w:rsidP="00427A87">
      <w:pPr>
        <w:adjustRightInd w:val="0"/>
        <w:spacing w:afterLines="50" w:after="120" w:line="340" w:lineRule="atLeast"/>
        <w:jc w:val="both"/>
        <w:rPr>
          <w:rFonts w:ascii="SimSun" w:hAnsi="SimSun"/>
          <w:sz w:val="21"/>
          <w:szCs w:val="21"/>
        </w:rPr>
      </w:pPr>
      <w:r w:rsidRPr="0097765B">
        <w:rPr>
          <w:rFonts w:ascii="SimSun" w:hAnsi="SimSun"/>
          <w:sz w:val="21"/>
          <w:szCs w:val="21"/>
          <w:lang w:eastAsia="en-US"/>
        </w:rPr>
        <w:fldChar w:fldCharType="begin"/>
      </w:r>
      <w:r w:rsidRPr="0097765B">
        <w:rPr>
          <w:rFonts w:ascii="SimSun" w:hAnsi="SimSun"/>
          <w:sz w:val="21"/>
          <w:szCs w:val="21"/>
        </w:rPr>
        <w:instrText xml:space="preserve"> AUTONUM  </w:instrText>
      </w:r>
      <w:r w:rsidRPr="0097765B">
        <w:rPr>
          <w:rFonts w:ascii="SimSun" w:hAnsi="SimSun"/>
          <w:sz w:val="21"/>
          <w:szCs w:val="21"/>
          <w:lang w:eastAsia="en-US"/>
        </w:rPr>
        <w:fldChar w:fldCharType="end"/>
      </w:r>
      <w:r w:rsidR="0097765B">
        <w:rPr>
          <w:rFonts w:ascii="SimSun" w:hAnsi="SimSun"/>
          <w:sz w:val="21"/>
          <w:szCs w:val="21"/>
        </w:rPr>
        <w:t>.</w:t>
      </w:r>
      <w:r w:rsidR="0097765B">
        <w:rPr>
          <w:rFonts w:ascii="SimSun" w:hAnsi="SimSun"/>
          <w:sz w:val="21"/>
          <w:szCs w:val="21"/>
        </w:rPr>
        <w:tab/>
      </w:r>
      <w:r w:rsidRPr="0097765B">
        <w:rPr>
          <w:rFonts w:ascii="SimSun" w:hAnsi="SimSun" w:hint="eastAsia"/>
          <w:sz w:val="21"/>
          <w:szCs w:val="21"/>
        </w:rPr>
        <w:t>俄罗斯联邦对此问题的答复是，此类发明的使用是“为了人类和动物的健康利益”，其还指出“在极端情况下，有必要对紧急医疗救助加以管理时，这些情况就会发生”，“一次性配制药物还可</w:t>
      </w:r>
      <w:r w:rsidRPr="0097765B">
        <w:rPr>
          <w:rFonts w:ascii="SimSun" w:hAnsi="SimSun" w:hint="eastAsia"/>
          <w:sz w:val="21"/>
          <w:szCs w:val="21"/>
        </w:rPr>
        <w:lastRenderedPageBreak/>
        <w:t>被视为仅以处方中所规定的数量配制”。塞尔维亚的答复指出，基本道德和卫生利益要求药物专利不能阻碍在个案中药物的生产和投放市场。《欧亚专利公约》中规定这一例外的政策目标是“保护人类健康、确保药物获取”。</w:t>
      </w:r>
    </w:p>
    <w:p w:rsidR="00317942" w:rsidRPr="0097765B" w:rsidRDefault="00317942" w:rsidP="00427A87">
      <w:pPr>
        <w:adjustRightInd w:val="0"/>
        <w:spacing w:afterLines="50" w:after="120" w:line="340" w:lineRule="atLeast"/>
        <w:jc w:val="both"/>
        <w:rPr>
          <w:rFonts w:ascii="SimSun" w:hAnsi="SimSun"/>
          <w:sz w:val="21"/>
          <w:szCs w:val="21"/>
        </w:rPr>
      </w:pPr>
      <w:r w:rsidRPr="0097765B">
        <w:rPr>
          <w:rFonts w:ascii="SimSun" w:hAnsi="SimSun"/>
          <w:sz w:val="21"/>
          <w:szCs w:val="21"/>
          <w:lang w:eastAsia="en-US"/>
        </w:rPr>
        <w:fldChar w:fldCharType="begin"/>
      </w:r>
      <w:r w:rsidRPr="0097765B">
        <w:rPr>
          <w:rFonts w:ascii="SimSun" w:hAnsi="SimSun"/>
          <w:sz w:val="21"/>
          <w:szCs w:val="21"/>
        </w:rPr>
        <w:instrText xml:space="preserve"> AUTONUM  </w:instrText>
      </w:r>
      <w:r w:rsidRPr="0097765B">
        <w:rPr>
          <w:rFonts w:ascii="SimSun" w:hAnsi="SimSun"/>
          <w:sz w:val="21"/>
          <w:szCs w:val="21"/>
          <w:lang w:eastAsia="en-US"/>
        </w:rPr>
        <w:fldChar w:fldCharType="end"/>
      </w:r>
      <w:r w:rsidR="0097765B">
        <w:rPr>
          <w:rFonts w:ascii="SimSun" w:hAnsi="SimSun"/>
          <w:sz w:val="21"/>
          <w:szCs w:val="21"/>
        </w:rPr>
        <w:t>.</w:t>
      </w:r>
      <w:r w:rsidR="0097765B">
        <w:rPr>
          <w:rFonts w:ascii="SimSun" w:hAnsi="SimSun"/>
          <w:sz w:val="21"/>
          <w:szCs w:val="21"/>
        </w:rPr>
        <w:tab/>
      </w:r>
      <w:r w:rsidRPr="0097765B">
        <w:rPr>
          <w:rFonts w:ascii="SimSun" w:hAnsi="SimSun" w:hint="eastAsia"/>
          <w:sz w:val="21"/>
          <w:szCs w:val="21"/>
        </w:rPr>
        <w:t>丹麦规定这一例外的政策目标在于，使其国内法与共同体专利相关的协议相一致</w:t>
      </w:r>
      <w:r w:rsidRPr="0097765B">
        <w:rPr>
          <w:rStyle w:val="af0"/>
          <w:rFonts w:ascii="SimSun" w:hAnsi="SimSun"/>
          <w:sz w:val="21"/>
          <w:szCs w:val="21"/>
          <w:lang w:eastAsia="en-US"/>
        </w:rPr>
        <w:footnoteReference w:id="4"/>
      </w:r>
      <w:r w:rsidR="00427A87">
        <w:rPr>
          <w:rFonts w:ascii="SimSun" w:hAnsi="SimSun" w:hint="eastAsia"/>
          <w:sz w:val="21"/>
          <w:szCs w:val="21"/>
        </w:rPr>
        <w:t>。</w:t>
      </w:r>
      <w:r w:rsidRPr="0097765B">
        <w:rPr>
          <w:rFonts w:ascii="SimSun" w:hAnsi="SimSun" w:hint="eastAsia"/>
          <w:sz w:val="21"/>
          <w:szCs w:val="21"/>
        </w:rPr>
        <w:t>同样地，拉脱维亚的答复表示，通过这一例外是为了协调国家专利法与欧洲联盟成员国的专利法。</w:t>
      </w:r>
    </w:p>
    <w:p w:rsidR="00317942" w:rsidRPr="0097765B" w:rsidRDefault="00317942" w:rsidP="00427A87">
      <w:pPr>
        <w:adjustRightInd w:val="0"/>
        <w:spacing w:afterLines="50" w:after="120" w:line="340" w:lineRule="atLeast"/>
        <w:jc w:val="both"/>
        <w:rPr>
          <w:rFonts w:ascii="SimSun" w:hAnsi="SimSun"/>
          <w:sz w:val="21"/>
          <w:szCs w:val="21"/>
        </w:rPr>
      </w:pPr>
      <w:r w:rsidRPr="0097765B">
        <w:rPr>
          <w:rFonts w:ascii="SimSun" w:hAnsi="SimSun"/>
          <w:sz w:val="21"/>
          <w:szCs w:val="21"/>
          <w:lang w:eastAsia="en-US"/>
        </w:rPr>
        <w:fldChar w:fldCharType="begin"/>
      </w:r>
      <w:r w:rsidRPr="0097765B">
        <w:rPr>
          <w:rFonts w:ascii="SimSun" w:hAnsi="SimSun"/>
          <w:sz w:val="21"/>
          <w:szCs w:val="21"/>
        </w:rPr>
        <w:instrText xml:space="preserve"> AUTONUM  </w:instrText>
      </w:r>
      <w:r w:rsidRPr="0097765B">
        <w:rPr>
          <w:rFonts w:ascii="SimSun" w:hAnsi="SimSun"/>
          <w:sz w:val="21"/>
          <w:szCs w:val="21"/>
          <w:lang w:eastAsia="en-US"/>
        </w:rPr>
        <w:fldChar w:fldCharType="end"/>
      </w:r>
      <w:r w:rsidR="0097765B">
        <w:rPr>
          <w:rFonts w:ascii="SimSun" w:hAnsi="SimSun"/>
          <w:sz w:val="21"/>
          <w:szCs w:val="21"/>
        </w:rPr>
        <w:t>.</w:t>
      </w:r>
      <w:r w:rsidR="0097765B">
        <w:rPr>
          <w:rFonts w:ascii="SimSun" w:hAnsi="SimSun"/>
          <w:sz w:val="21"/>
          <w:szCs w:val="21"/>
        </w:rPr>
        <w:tab/>
      </w:r>
      <w:r w:rsidRPr="0097765B">
        <w:rPr>
          <w:rFonts w:ascii="SimSun" w:hAnsi="SimSun" w:hint="eastAsia"/>
          <w:sz w:val="21"/>
          <w:szCs w:val="21"/>
        </w:rPr>
        <w:t>许多成员国未就例外的公共政策目标</w:t>
      </w:r>
      <w:proofErr w:type="gramStart"/>
      <w:r w:rsidRPr="0097765B">
        <w:rPr>
          <w:rFonts w:ascii="SimSun" w:hAnsi="SimSun" w:hint="eastAsia"/>
          <w:sz w:val="21"/>
          <w:szCs w:val="21"/>
        </w:rPr>
        <w:t>作出</w:t>
      </w:r>
      <w:proofErr w:type="gramEnd"/>
      <w:r w:rsidRPr="0097765B">
        <w:rPr>
          <w:rFonts w:ascii="SimSun" w:hAnsi="SimSun" w:hint="eastAsia"/>
          <w:sz w:val="21"/>
          <w:szCs w:val="21"/>
        </w:rPr>
        <w:t>答复。</w:t>
      </w:r>
    </w:p>
    <w:p w:rsidR="00317942" w:rsidRPr="0097765B" w:rsidRDefault="00317942" w:rsidP="0097765B">
      <w:pPr>
        <w:spacing w:beforeLines="100" w:before="240" w:afterLines="100" w:after="240" w:line="340" w:lineRule="atLeast"/>
        <w:jc w:val="both"/>
        <w:rPr>
          <w:rFonts w:ascii="SimHei" w:eastAsia="SimHei" w:hAnsi="SimHei"/>
          <w:bCs/>
          <w:sz w:val="21"/>
          <w:szCs w:val="21"/>
        </w:rPr>
      </w:pPr>
      <w:r w:rsidRPr="0097765B">
        <w:rPr>
          <w:rFonts w:ascii="SimHei" w:eastAsia="SimHei" w:hAnsi="SimHei" w:hint="eastAsia"/>
          <w:bCs/>
          <w:sz w:val="21"/>
          <w:szCs w:val="21"/>
        </w:rPr>
        <w:t>适用法律和例外范围</w:t>
      </w:r>
    </w:p>
    <w:p w:rsidR="00317942" w:rsidRPr="0097765B" w:rsidRDefault="00317942" w:rsidP="00427A87">
      <w:pPr>
        <w:adjustRightInd w:val="0"/>
        <w:spacing w:afterLines="50" w:after="120" w:line="340" w:lineRule="atLeast"/>
        <w:jc w:val="both"/>
        <w:rPr>
          <w:rFonts w:ascii="SimSun" w:hAnsi="SimSun"/>
          <w:sz w:val="21"/>
          <w:szCs w:val="21"/>
        </w:rPr>
      </w:pPr>
      <w:r w:rsidRPr="0097765B">
        <w:rPr>
          <w:rFonts w:ascii="SimSun" w:hAnsi="SimSun"/>
          <w:sz w:val="21"/>
          <w:szCs w:val="21"/>
        </w:rPr>
        <w:fldChar w:fldCharType="begin"/>
      </w:r>
      <w:r w:rsidRPr="0097765B">
        <w:rPr>
          <w:rFonts w:ascii="SimSun" w:hAnsi="SimSun"/>
          <w:sz w:val="21"/>
          <w:szCs w:val="21"/>
        </w:rPr>
        <w:instrText xml:space="preserve"> AUTONUM  </w:instrText>
      </w:r>
      <w:r w:rsidRPr="0097765B">
        <w:rPr>
          <w:rFonts w:ascii="SimSun" w:hAnsi="SimSun"/>
          <w:sz w:val="21"/>
          <w:szCs w:val="21"/>
        </w:rPr>
        <w:fldChar w:fldCharType="end"/>
      </w:r>
      <w:r w:rsidR="0097765B">
        <w:rPr>
          <w:rFonts w:ascii="SimSun" w:hAnsi="SimSun"/>
          <w:sz w:val="21"/>
          <w:szCs w:val="21"/>
        </w:rPr>
        <w:t>.</w:t>
      </w:r>
      <w:r w:rsidR="0097765B">
        <w:rPr>
          <w:rFonts w:ascii="SimSun" w:hAnsi="SimSun"/>
          <w:sz w:val="21"/>
          <w:szCs w:val="21"/>
        </w:rPr>
        <w:tab/>
      </w:r>
      <w:r w:rsidRPr="0097765B">
        <w:rPr>
          <w:rFonts w:ascii="SimSun" w:hAnsi="SimSun" w:hint="eastAsia"/>
          <w:sz w:val="21"/>
          <w:szCs w:val="21"/>
        </w:rPr>
        <w:t>39个成员国就其规定与药物临时配制相关的例外和/或限制的法律进行了报告。许多成员国的法律规定了此类例外</w:t>
      </w:r>
      <w:r w:rsidRPr="0097765B">
        <w:rPr>
          <w:rStyle w:val="af0"/>
          <w:rFonts w:ascii="SimSun" w:hAnsi="SimSun"/>
          <w:sz w:val="21"/>
          <w:szCs w:val="21"/>
          <w:lang w:eastAsia="en-US"/>
        </w:rPr>
        <w:footnoteReference w:id="5"/>
      </w:r>
      <w:r w:rsidRPr="0097765B">
        <w:rPr>
          <w:rFonts w:ascii="SimSun" w:hAnsi="SimSun" w:hint="eastAsia"/>
          <w:sz w:val="21"/>
          <w:szCs w:val="21"/>
        </w:rPr>
        <w:t>，其表示药房根据处方“临时”配制药物不属于专利权范围</w:t>
      </w:r>
      <w:r w:rsidRPr="0097765B">
        <w:rPr>
          <w:rStyle w:val="af0"/>
          <w:rFonts w:ascii="SimSun" w:hAnsi="SimSun"/>
          <w:sz w:val="21"/>
          <w:szCs w:val="21"/>
          <w:lang w:eastAsia="en-US"/>
        </w:rPr>
        <w:footnoteReference w:id="6"/>
      </w:r>
      <w:r w:rsidR="00427A87">
        <w:rPr>
          <w:rFonts w:ascii="SimSun" w:hAnsi="SimSun" w:hint="eastAsia"/>
          <w:sz w:val="21"/>
          <w:szCs w:val="21"/>
        </w:rPr>
        <w:t>。</w:t>
      </w:r>
      <w:r w:rsidRPr="0097765B">
        <w:rPr>
          <w:rFonts w:ascii="SimSun" w:hAnsi="SimSun" w:hint="eastAsia"/>
          <w:sz w:val="21"/>
          <w:szCs w:val="21"/>
        </w:rPr>
        <w:t>许多这些成员国的适用法律规定，这类配制还应针对“个案”。此外，与此类配制的药物相关的“行动”、“行为”、“治疗”或“流程”也被许多成员国列入例外的范围</w:t>
      </w:r>
      <w:r w:rsidRPr="0097765B">
        <w:rPr>
          <w:rStyle w:val="af0"/>
          <w:rFonts w:ascii="SimSun" w:hAnsi="SimSun"/>
          <w:sz w:val="21"/>
          <w:szCs w:val="21"/>
          <w:lang w:eastAsia="en-US"/>
        </w:rPr>
        <w:footnoteReference w:id="7"/>
      </w:r>
      <w:r w:rsidR="00427A87">
        <w:rPr>
          <w:rFonts w:ascii="SimSun" w:hAnsi="SimSun" w:hint="eastAsia"/>
          <w:sz w:val="21"/>
          <w:szCs w:val="21"/>
        </w:rPr>
        <w:t>。</w:t>
      </w:r>
    </w:p>
    <w:p w:rsidR="00317942" w:rsidRPr="00427A87" w:rsidRDefault="00317942" w:rsidP="0097765B">
      <w:pPr>
        <w:pStyle w:val="af6"/>
        <w:shd w:val="clear" w:color="auto" w:fill="FFFFFF"/>
        <w:spacing w:beforeLines="100" w:before="240" w:beforeAutospacing="0" w:afterLines="100" w:after="240" w:afterAutospacing="0" w:line="340" w:lineRule="atLeast"/>
        <w:jc w:val="both"/>
        <w:rPr>
          <w:rStyle w:val="af5"/>
          <w:rFonts w:ascii="KaiTi" w:eastAsia="KaiTi" w:hAnsi="KaiTi"/>
          <w:sz w:val="21"/>
        </w:rPr>
      </w:pPr>
      <w:r w:rsidRPr="00427A87">
        <w:rPr>
          <w:rStyle w:val="af5"/>
          <w:rFonts w:ascii="KaiTi" w:eastAsia="KaiTi" w:hAnsi="KaiTi" w:hint="eastAsia"/>
          <w:sz w:val="21"/>
        </w:rPr>
        <w:t>可允许的活动</w:t>
      </w:r>
    </w:p>
    <w:p w:rsidR="00317942" w:rsidRPr="00427A87" w:rsidRDefault="00317942" w:rsidP="00427A87">
      <w:pPr>
        <w:adjustRightInd w:val="0"/>
        <w:spacing w:afterLines="50" w:after="120" w:line="340" w:lineRule="atLeast"/>
        <w:jc w:val="both"/>
        <w:rPr>
          <w:rFonts w:ascii="SimSun" w:hAnsi="SimSun"/>
          <w:iCs/>
          <w:sz w:val="21"/>
          <w:szCs w:val="21"/>
        </w:rPr>
      </w:pPr>
      <w:r w:rsidRPr="0097765B">
        <w:rPr>
          <w:rFonts w:ascii="SimSun" w:hAnsi="SimSun"/>
          <w:sz w:val="21"/>
          <w:szCs w:val="21"/>
          <w:lang w:eastAsia="en-US"/>
        </w:rPr>
        <w:fldChar w:fldCharType="begin"/>
      </w:r>
      <w:r w:rsidRPr="0097765B">
        <w:rPr>
          <w:rFonts w:ascii="SimSun" w:hAnsi="SimSun"/>
          <w:sz w:val="21"/>
          <w:szCs w:val="21"/>
        </w:rPr>
        <w:instrText xml:space="preserve"> AUTONUM  </w:instrText>
      </w:r>
      <w:r w:rsidRPr="0097765B">
        <w:rPr>
          <w:rFonts w:ascii="SimSun" w:hAnsi="SimSun"/>
          <w:sz w:val="21"/>
          <w:szCs w:val="21"/>
          <w:lang w:eastAsia="en-US"/>
        </w:rPr>
        <w:fldChar w:fldCharType="end"/>
      </w:r>
      <w:r w:rsidR="0097765B">
        <w:rPr>
          <w:rFonts w:ascii="SimSun" w:hAnsi="SimSun"/>
          <w:sz w:val="21"/>
          <w:szCs w:val="21"/>
        </w:rPr>
        <w:t>.</w:t>
      </w:r>
      <w:r w:rsidR="0097765B">
        <w:rPr>
          <w:rFonts w:ascii="SimSun" w:hAnsi="SimSun"/>
          <w:sz w:val="21"/>
          <w:szCs w:val="21"/>
        </w:rPr>
        <w:tab/>
      </w:r>
      <w:r w:rsidRPr="0097765B">
        <w:rPr>
          <w:rFonts w:ascii="SimSun" w:hAnsi="SimSun" w:hint="eastAsia"/>
          <w:sz w:val="21"/>
          <w:szCs w:val="21"/>
        </w:rPr>
        <w:t>一些成员国在答复中提供了例外范围相关的如下具体内容。在法国，专利所赋予的权利不应扩展到药物的临时配制和药房根据医疗处方进行的“单位剂量”药物配制</w:t>
      </w:r>
      <w:r w:rsidRPr="0097765B">
        <w:rPr>
          <w:rStyle w:val="af0"/>
          <w:rFonts w:ascii="SimSun" w:hAnsi="SimSun"/>
          <w:sz w:val="21"/>
          <w:szCs w:val="21"/>
          <w:lang w:eastAsia="en-US"/>
        </w:rPr>
        <w:footnoteReference w:id="8"/>
      </w:r>
      <w:r w:rsidR="00427A87">
        <w:rPr>
          <w:rFonts w:ascii="SimSun" w:hAnsi="SimSun" w:hint="eastAsia"/>
          <w:sz w:val="21"/>
          <w:szCs w:val="21"/>
        </w:rPr>
        <w:t>。</w:t>
      </w:r>
      <w:r w:rsidRPr="0097765B">
        <w:rPr>
          <w:rFonts w:ascii="SimSun" w:hAnsi="SimSun" w:hint="eastAsia"/>
          <w:sz w:val="21"/>
          <w:szCs w:val="21"/>
        </w:rPr>
        <w:t>在亚美尼亚和拉脱维亚，如果专利发明被用于药房根据医师或医生的处方“单次”配制药物，那么这种使用就不构成对专利权人专用权的侵犯</w:t>
      </w:r>
      <w:r w:rsidRPr="0097765B">
        <w:rPr>
          <w:rStyle w:val="af0"/>
          <w:rFonts w:ascii="SimSun" w:hAnsi="SimSun"/>
          <w:sz w:val="21"/>
          <w:szCs w:val="21"/>
          <w:lang w:eastAsia="en-US"/>
        </w:rPr>
        <w:footnoteReference w:id="9"/>
      </w:r>
      <w:r w:rsidR="00427A87">
        <w:rPr>
          <w:rFonts w:ascii="SimSun" w:hAnsi="SimSun" w:hint="eastAsia"/>
          <w:sz w:val="21"/>
          <w:szCs w:val="21"/>
        </w:rPr>
        <w:t>。</w:t>
      </w:r>
      <w:r w:rsidRPr="0097765B">
        <w:rPr>
          <w:rFonts w:ascii="SimSun" w:hAnsi="SimSun" w:hint="eastAsia"/>
          <w:sz w:val="21"/>
          <w:szCs w:val="21"/>
        </w:rPr>
        <w:t>类似地，《俄罗斯联邦民法典》第</w:t>
      </w:r>
      <w:r w:rsidRPr="0097765B">
        <w:rPr>
          <w:rFonts w:ascii="SimSun" w:hAnsi="SimSun"/>
          <w:iCs/>
          <w:sz w:val="21"/>
          <w:szCs w:val="21"/>
        </w:rPr>
        <w:t>1359(5)</w:t>
      </w:r>
      <w:proofErr w:type="gramStart"/>
      <w:r w:rsidRPr="0097765B">
        <w:rPr>
          <w:rFonts w:ascii="SimSun" w:hAnsi="SimSun" w:hint="eastAsia"/>
          <w:iCs/>
          <w:sz w:val="21"/>
          <w:szCs w:val="21"/>
        </w:rPr>
        <w:t>条采用</w:t>
      </w:r>
      <w:proofErr w:type="gramEnd"/>
      <w:r w:rsidRPr="0097765B">
        <w:rPr>
          <w:rFonts w:ascii="SimSun" w:hAnsi="SimSun" w:hint="eastAsia"/>
          <w:iCs/>
          <w:sz w:val="21"/>
          <w:szCs w:val="21"/>
        </w:rPr>
        <w:t>“一次性”配制药物这种说法。</w:t>
      </w:r>
      <w:r w:rsidRPr="0097765B">
        <w:rPr>
          <w:rFonts w:ascii="SimSun" w:hAnsi="SimSun" w:hint="eastAsia"/>
          <w:iCs/>
          <w:sz w:val="21"/>
          <w:szCs w:val="21"/>
        </w:rPr>
        <w:lastRenderedPageBreak/>
        <w:t>《阿塞拜疆共和国专利法》第23条规定，药物配制应“偶尔”不侵犯专利权人的专有权。与此不同的是，《泰国专利法》规定，专利权人的权利不可扩展到“医生处方所特指药物的配制[</w:t>
      </w:r>
      <w:r w:rsidR="00427A87">
        <w:rPr>
          <w:rFonts w:ascii="SimSun" w:hAnsi="SimSun" w:hint="eastAsia"/>
          <w:iCs/>
          <w:sz w:val="21"/>
          <w:szCs w:val="21"/>
        </w:rPr>
        <w:t>……</w:t>
      </w:r>
      <w:r w:rsidRPr="0097765B">
        <w:rPr>
          <w:rFonts w:ascii="SimSun" w:hAnsi="SimSun" w:hint="eastAsia"/>
          <w:iCs/>
          <w:sz w:val="21"/>
          <w:szCs w:val="21"/>
        </w:rPr>
        <w:t>]”</w:t>
      </w:r>
      <w:r w:rsidRPr="0097765B">
        <w:rPr>
          <w:rStyle w:val="af0"/>
          <w:rFonts w:ascii="SimSun" w:hAnsi="SimSun"/>
          <w:sz w:val="21"/>
          <w:szCs w:val="21"/>
          <w:lang w:eastAsia="en-US"/>
        </w:rPr>
        <w:footnoteReference w:id="10"/>
      </w:r>
      <w:r w:rsidR="00427A87">
        <w:rPr>
          <w:rFonts w:ascii="SimSun" w:hAnsi="SimSun" w:hint="eastAsia"/>
          <w:iCs/>
          <w:sz w:val="21"/>
          <w:szCs w:val="21"/>
        </w:rPr>
        <w:t>。</w:t>
      </w:r>
    </w:p>
    <w:p w:rsidR="00317942" w:rsidRPr="0097765B" w:rsidRDefault="00317942" w:rsidP="00427A87">
      <w:pPr>
        <w:adjustRightInd w:val="0"/>
        <w:spacing w:afterLines="50" w:after="120" w:line="340" w:lineRule="atLeast"/>
        <w:jc w:val="both"/>
        <w:rPr>
          <w:rFonts w:ascii="SimSun" w:hAnsi="SimSun"/>
          <w:sz w:val="21"/>
          <w:szCs w:val="21"/>
        </w:rPr>
      </w:pPr>
      <w:r w:rsidRPr="0097765B">
        <w:rPr>
          <w:rFonts w:ascii="SimSun" w:hAnsi="SimSun"/>
          <w:sz w:val="21"/>
          <w:szCs w:val="21"/>
        </w:rPr>
        <w:fldChar w:fldCharType="begin"/>
      </w:r>
      <w:r w:rsidRPr="0097765B">
        <w:rPr>
          <w:rFonts w:ascii="SimSun" w:hAnsi="SimSun"/>
          <w:sz w:val="21"/>
          <w:szCs w:val="21"/>
        </w:rPr>
        <w:instrText xml:space="preserve"> AUTONUM  </w:instrText>
      </w:r>
      <w:r w:rsidRPr="0097765B">
        <w:rPr>
          <w:rFonts w:ascii="SimSun" w:hAnsi="SimSun"/>
          <w:sz w:val="21"/>
          <w:szCs w:val="21"/>
        </w:rPr>
        <w:fldChar w:fldCharType="end"/>
      </w:r>
      <w:r w:rsidR="0097765B">
        <w:rPr>
          <w:rFonts w:ascii="SimSun" w:hAnsi="SimSun"/>
          <w:sz w:val="21"/>
          <w:szCs w:val="21"/>
        </w:rPr>
        <w:t>.</w:t>
      </w:r>
      <w:r w:rsidR="0097765B">
        <w:rPr>
          <w:rFonts w:ascii="SimSun" w:hAnsi="SimSun"/>
          <w:sz w:val="21"/>
          <w:szCs w:val="21"/>
        </w:rPr>
        <w:tab/>
      </w:r>
      <w:r w:rsidRPr="0097765B">
        <w:rPr>
          <w:rFonts w:ascii="SimSun" w:hAnsi="SimSun" w:hint="eastAsia"/>
          <w:iCs/>
          <w:sz w:val="21"/>
          <w:szCs w:val="21"/>
        </w:rPr>
        <w:t>在土耳其，药房“不涉及大规模生产”并“仅根据处方”进行的药物配制不应属于专利权范围</w:t>
      </w:r>
      <w:r w:rsidRPr="0097765B">
        <w:rPr>
          <w:rStyle w:val="af0"/>
          <w:rFonts w:ascii="SimSun" w:hAnsi="SimSun"/>
          <w:sz w:val="21"/>
          <w:szCs w:val="21"/>
          <w:lang w:eastAsia="en-US"/>
        </w:rPr>
        <w:footnoteReference w:id="11"/>
      </w:r>
      <w:r w:rsidR="00427A87">
        <w:rPr>
          <w:rFonts w:ascii="SimSun" w:hAnsi="SimSun" w:hint="eastAsia"/>
          <w:iCs/>
          <w:sz w:val="21"/>
          <w:szCs w:val="21"/>
        </w:rPr>
        <w:t>。</w:t>
      </w:r>
      <w:r w:rsidRPr="0097765B">
        <w:rPr>
          <w:rFonts w:ascii="SimSun" w:hAnsi="SimSun" w:hint="eastAsia"/>
          <w:iCs/>
          <w:sz w:val="21"/>
          <w:szCs w:val="21"/>
        </w:rPr>
        <w:t>在意大利，这种例外不适用于“工业模式中生产的活性成分的使用”</w:t>
      </w:r>
      <w:r w:rsidRPr="0097765B">
        <w:rPr>
          <w:rStyle w:val="af0"/>
          <w:rFonts w:ascii="SimSun" w:hAnsi="SimSun"/>
          <w:sz w:val="21"/>
          <w:szCs w:val="21"/>
          <w:lang w:eastAsia="en-US"/>
        </w:rPr>
        <w:footnoteReference w:id="12"/>
      </w:r>
      <w:r w:rsidR="00427A87">
        <w:rPr>
          <w:rFonts w:ascii="SimSun" w:hAnsi="SimSun" w:hint="eastAsia"/>
          <w:iCs/>
          <w:sz w:val="21"/>
          <w:szCs w:val="21"/>
        </w:rPr>
        <w:t>。</w:t>
      </w:r>
      <w:r w:rsidRPr="0097765B">
        <w:rPr>
          <w:rFonts w:ascii="SimSun" w:hAnsi="SimSun" w:hint="eastAsia"/>
          <w:sz w:val="21"/>
          <w:szCs w:val="21"/>
        </w:rPr>
        <w:t>在俄罗斯联邦，“随后用于存储和销售的”药物配制不被认为是单次使用，因此被视为侵犯了专利权人的专有权</w:t>
      </w:r>
      <w:r w:rsidRPr="0097765B">
        <w:rPr>
          <w:rStyle w:val="af0"/>
          <w:rFonts w:ascii="SimSun" w:hAnsi="SimSun"/>
          <w:sz w:val="21"/>
          <w:szCs w:val="21"/>
          <w:lang w:eastAsia="en-US"/>
        </w:rPr>
        <w:footnoteReference w:id="13"/>
      </w:r>
      <w:r w:rsidR="00427A87">
        <w:rPr>
          <w:rFonts w:ascii="SimSun" w:hAnsi="SimSun" w:hint="eastAsia"/>
          <w:sz w:val="21"/>
          <w:szCs w:val="21"/>
        </w:rPr>
        <w:t>。</w:t>
      </w:r>
      <w:r w:rsidRPr="0097765B">
        <w:rPr>
          <w:rFonts w:ascii="SimSun" w:hAnsi="SimSun" w:hint="eastAsia"/>
          <w:sz w:val="21"/>
          <w:szCs w:val="21"/>
        </w:rPr>
        <w:t>塞尔维亚适用法律规定，专利权人的权利不应适用于“将此类药物投放市场”，其解释说明例外“不适用于以库存为目的配制药物，而仅适用于药物是要根据处方治疗患者而执行特殊的医疗指令的情况”</w:t>
      </w:r>
      <w:r w:rsidRPr="0097765B">
        <w:rPr>
          <w:rStyle w:val="af0"/>
          <w:rFonts w:ascii="SimSun" w:hAnsi="SimSun"/>
          <w:iCs/>
          <w:sz w:val="21"/>
          <w:szCs w:val="21"/>
        </w:rPr>
        <w:footnoteReference w:id="14"/>
      </w:r>
      <w:r w:rsidR="00427A87">
        <w:rPr>
          <w:rFonts w:ascii="SimSun" w:hAnsi="SimSun" w:hint="eastAsia"/>
          <w:sz w:val="21"/>
          <w:szCs w:val="21"/>
        </w:rPr>
        <w:t>。</w:t>
      </w:r>
    </w:p>
    <w:p w:rsidR="00317942" w:rsidRPr="00427A87" w:rsidRDefault="00317942" w:rsidP="0097765B">
      <w:pPr>
        <w:pStyle w:val="af6"/>
        <w:shd w:val="clear" w:color="auto" w:fill="FFFFFF"/>
        <w:spacing w:beforeLines="100" w:before="240" w:beforeAutospacing="0" w:afterLines="100" w:after="240" w:afterAutospacing="0" w:line="340" w:lineRule="atLeast"/>
        <w:jc w:val="both"/>
        <w:rPr>
          <w:rStyle w:val="af5"/>
          <w:rFonts w:ascii="KaiTi" w:eastAsia="KaiTi" w:hAnsi="KaiTi"/>
          <w:sz w:val="21"/>
        </w:rPr>
      </w:pPr>
      <w:r w:rsidRPr="00427A87">
        <w:rPr>
          <w:rStyle w:val="af5"/>
          <w:rFonts w:ascii="KaiTi" w:eastAsia="KaiTi" w:hAnsi="KaiTi" w:hint="eastAsia"/>
          <w:sz w:val="21"/>
        </w:rPr>
        <w:t>权</w:t>
      </w:r>
      <w:r w:rsidR="0097765B" w:rsidRPr="00427A87">
        <w:rPr>
          <w:rStyle w:val="af5"/>
          <w:rFonts w:ascii="KaiTi" w:eastAsia="KaiTi" w:hAnsi="KaiTi"/>
          <w:sz w:val="21"/>
        </w:rPr>
        <w:t xml:space="preserve">  </w:t>
      </w:r>
      <w:r w:rsidRPr="00427A87">
        <w:rPr>
          <w:rStyle w:val="af5"/>
          <w:rFonts w:ascii="KaiTi" w:eastAsia="KaiTi" w:hAnsi="KaiTi" w:hint="eastAsia"/>
          <w:sz w:val="21"/>
        </w:rPr>
        <w:t>利</w:t>
      </w:r>
    </w:p>
    <w:p w:rsidR="00317942" w:rsidRPr="0097765B" w:rsidRDefault="00317942" w:rsidP="00427A87">
      <w:pPr>
        <w:adjustRightInd w:val="0"/>
        <w:spacing w:afterLines="50" w:after="120" w:line="340" w:lineRule="atLeast"/>
        <w:jc w:val="both"/>
        <w:rPr>
          <w:rFonts w:ascii="SimSun" w:hAnsi="SimSun"/>
          <w:sz w:val="21"/>
          <w:szCs w:val="21"/>
        </w:rPr>
      </w:pPr>
      <w:r w:rsidRPr="0097765B">
        <w:rPr>
          <w:rFonts w:ascii="SimSun" w:hAnsi="SimSun"/>
          <w:iCs/>
          <w:sz w:val="21"/>
          <w:szCs w:val="21"/>
        </w:rPr>
        <w:fldChar w:fldCharType="begin"/>
      </w:r>
      <w:r w:rsidRPr="0097765B">
        <w:rPr>
          <w:rFonts w:ascii="SimSun" w:hAnsi="SimSun"/>
          <w:iCs/>
          <w:sz w:val="21"/>
          <w:szCs w:val="21"/>
        </w:rPr>
        <w:instrText xml:space="preserve"> AUTONUM  </w:instrText>
      </w:r>
      <w:r w:rsidRPr="0097765B">
        <w:rPr>
          <w:rFonts w:ascii="SimSun" w:hAnsi="SimSun"/>
          <w:iCs/>
          <w:sz w:val="21"/>
          <w:szCs w:val="21"/>
        </w:rPr>
        <w:fldChar w:fldCharType="end"/>
      </w:r>
      <w:r w:rsidR="0097765B">
        <w:rPr>
          <w:rFonts w:ascii="SimSun" w:hAnsi="SimSun"/>
          <w:iCs/>
          <w:sz w:val="21"/>
          <w:szCs w:val="21"/>
        </w:rPr>
        <w:t>.</w:t>
      </w:r>
      <w:r w:rsidR="0097765B">
        <w:rPr>
          <w:rFonts w:ascii="SimSun" w:hAnsi="SimSun"/>
          <w:iCs/>
          <w:sz w:val="21"/>
          <w:szCs w:val="21"/>
        </w:rPr>
        <w:tab/>
      </w:r>
      <w:r w:rsidRPr="0097765B">
        <w:rPr>
          <w:rFonts w:ascii="SimSun" w:hAnsi="SimSun" w:hint="eastAsia"/>
          <w:sz w:val="21"/>
          <w:szCs w:val="21"/>
        </w:rPr>
        <w:t>关于有权要求使用例外的用户类别，应注意以下趋势。大多数成员国在相关法规中都没有明确规定这种身份</w:t>
      </w:r>
      <w:r w:rsidRPr="0097765B">
        <w:rPr>
          <w:rStyle w:val="af0"/>
          <w:rFonts w:ascii="SimSun" w:hAnsi="SimSun"/>
          <w:sz w:val="21"/>
          <w:szCs w:val="21"/>
          <w:lang w:eastAsia="en-US"/>
        </w:rPr>
        <w:footnoteReference w:id="15"/>
      </w:r>
      <w:r w:rsidR="00427A87">
        <w:rPr>
          <w:rFonts w:ascii="SimSun" w:hAnsi="SimSun" w:hint="eastAsia"/>
          <w:sz w:val="21"/>
          <w:szCs w:val="21"/>
        </w:rPr>
        <w:t>。</w:t>
      </w:r>
      <w:r w:rsidRPr="0097765B">
        <w:rPr>
          <w:rFonts w:ascii="SimSun" w:hAnsi="SimSun" w:hint="eastAsia"/>
          <w:sz w:val="21"/>
          <w:szCs w:val="21"/>
        </w:rPr>
        <w:t>但是一些国家做出了有效的说明。大多数答复都指出，例外覆盖了配制此类药物的“药剂师”的活动</w:t>
      </w:r>
      <w:r w:rsidRPr="0097765B">
        <w:rPr>
          <w:rStyle w:val="af0"/>
          <w:rFonts w:ascii="SimSun" w:hAnsi="SimSun"/>
          <w:sz w:val="21"/>
          <w:szCs w:val="21"/>
          <w:lang w:eastAsia="en-US"/>
        </w:rPr>
        <w:footnoteReference w:id="16"/>
      </w:r>
      <w:r w:rsidR="00427A87">
        <w:rPr>
          <w:rFonts w:ascii="SimSun" w:hAnsi="SimSun" w:hint="eastAsia"/>
          <w:sz w:val="21"/>
          <w:szCs w:val="21"/>
        </w:rPr>
        <w:t>。</w:t>
      </w:r>
      <w:r w:rsidRPr="0097765B">
        <w:rPr>
          <w:rFonts w:ascii="SimSun" w:hAnsi="SimSun" w:hint="eastAsia"/>
          <w:sz w:val="21"/>
          <w:szCs w:val="21"/>
        </w:rPr>
        <w:t>而在其他一些成员国的答复中则提到了“药剂师和医生”</w:t>
      </w:r>
      <w:r w:rsidRPr="0097765B">
        <w:rPr>
          <w:rStyle w:val="af0"/>
          <w:rFonts w:ascii="SimSun" w:hAnsi="SimSun"/>
          <w:sz w:val="21"/>
          <w:szCs w:val="21"/>
          <w:lang w:eastAsia="en-US"/>
        </w:rPr>
        <w:footnoteReference w:id="17"/>
      </w:r>
      <w:r w:rsidR="00427A87">
        <w:rPr>
          <w:rFonts w:ascii="SimSun" w:hAnsi="SimSun" w:hint="eastAsia"/>
          <w:sz w:val="21"/>
          <w:szCs w:val="21"/>
        </w:rPr>
        <w:t>。</w:t>
      </w:r>
      <w:r w:rsidRPr="0097765B">
        <w:rPr>
          <w:rFonts w:ascii="SimSun" w:hAnsi="SimSun" w:hint="eastAsia"/>
          <w:sz w:val="21"/>
          <w:szCs w:val="21"/>
        </w:rPr>
        <w:t>在意大利，“药剂师”有权使用这种例外。但是，拉脱维亚的答复中提到了三类专业人员：药剂师、医生和医师。在俄罗斯联邦，除了医师和药剂师，例外还涉及“配制药物的人员”。在葡萄牙的答复中，“任何有权配制这类药物的人员”也列在内</w:t>
      </w:r>
      <w:r w:rsidRPr="0097765B">
        <w:rPr>
          <w:rStyle w:val="af0"/>
          <w:rFonts w:ascii="SimSun" w:hAnsi="SimSun"/>
          <w:sz w:val="21"/>
          <w:szCs w:val="21"/>
          <w:lang w:eastAsia="en-US"/>
        </w:rPr>
        <w:footnoteReference w:id="18"/>
      </w:r>
      <w:r w:rsidR="00427A87">
        <w:rPr>
          <w:rFonts w:ascii="SimSun" w:hAnsi="SimSun" w:hint="eastAsia"/>
          <w:sz w:val="21"/>
          <w:szCs w:val="21"/>
        </w:rPr>
        <w:t>。</w:t>
      </w:r>
    </w:p>
    <w:p w:rsidR="00317942" w:rsidRPr="0097765B" w:rsidRDefault="00317942" w:rsidP="00427A87">
      <w:pPr>
        <w:adjustRightInd w:val="0"/>
        <w:spacing w:afterLines="50" w:after="120" w:line="340" w:lineRule="atLeast"/>
        <w:jc w:val="both"/>
        <w:rPr>
          <w:rFonts w:ascii="SimSun" w:hAnsi="SimSun"/>
          <w:sz w:val="21"/>
          <w:szCs w:val="21"/>
        </w:rPr>
      </w:pPr>
      <w:r w:rsidRPr="0097765B">
        <w:rPr>
          <w:rFonts w:ascii="SimSun" w:hAnsi="SimSun"/>
          <w:sz w:val="21"/>
          <w:szCs w:val="21"/>
          <w:lang w:eastAsia="en-US"/>
        </w:rPr>
        <w:fldChar w:fldCharType="begin"/>
      </w:r>
      <w:r w:rsidRPr="0097765B">
        <w:rPr>
          <w:rFonts w:ascii="SimSun" w:hAnsi="SimSun"/>
          <w:sz w:val="21"/>
          <w:szCs w:val="21"/>
        </w:rPr>
        <w:instrText xml:space="preserve"> AUTONUM  </w:instrText>
      </w:r>
      <w:r w:rsidRPr="0097765B">
        <w:rPr>
          <w:rFonts w:ascii="SimSun" w:hAnsi="SimSun"/>
          <w:sz w:val="21"/>
          <w:szCs w:val="21"/>
          <w:lang w:eastAsia="en-US"/>
        </w:rPr>
        <w:fldChar w:fldCharType="end"/>
      </w:r>
      <w:r w:rsidR="0097765B">
        <w:rPr>
          <w:rFonts w:ascii="SimSun" w:hAnsi="SimSun"/>
          <w:sz w:val="21"/>
          <w:szCs w:val="21"/>
        </w:rPr>
        <w:t>.</w:t>
      </w:r>
      <w:r w:rsidR="0097765B">
        <w:rPr>
          <w:rFonts w:ascii="SimSun" w:hAnsi="SimSun"/>
          <w:sz w:val="21"/>
          <w:szCs w:val="21"/>
        </w:rPr>
        <w:tab/>
      </w:r>
      <w:r w:rsidRPr="0097765B">
        <w:rPr>
          <w:rFonts w:ascii="SimSun" w:hAnsi="SimSun" w:hint="eastAsia"/>
          <w:iCs/>
          <w:sz w:val="21"/>
          <w:szCs w:val="21"/>
        </w:rPr>
        <w:t>《巴西知识产权法》第43条规定，药物配制应由被视为属于例外范围内的“有资质的专业人士”进行</w:t>
      </w:r>
      <w:r w:rsidRPr="0097765B">
        <w:rPr>
          <w:rStyle w:val="af0"/>
          <w:rFonts w:ascii="SimSun" w:hAnsi="SimSun"/>
          <w:sz w:val="21"/>
          <w:szCs w:val="21"/>
          <w:lang w:eastAsia="en-US"/>
        </w:rPr>
        <w:footnoteReference w:id="19"/>
      </w:r>
      <w:r w:rsidR="00427A87">
        <w:rPr>
          <w:rFonts w:ascii="SimSun" w:hAnsi="SimSun" w:hint="eastAsia"/>
          <w:iCs/>
          <w:sz w:val="21"/>
          <w:szCs w:val="21"/>
        </w:rPr>
        <w:t>。</w:t>
      </w:r>
      <w:r w:rsidRPr="0097765B">
        <w:rPr>
          <w:rFonts w:ascii="SimSun" w:hAnsi="SimSun" w:hint="eastAsia"/>
          <w:iCs/>
          <w:sz w:val="21"/>
          <w:szCs w:val="21"/>
        </w:rPr>
        <w:t>同样地，菲律宾法律规定，专利权人无法阻止“医疗专业人员”使用该例外。在泰国，药物应由被视为属于例外范围内的“专业药剂师”或“医疗从业人员”来配制。</w:t>
      </w:r>
    </w:p>
    <w:p w:rsidR="00317942" w:rsidRPr="00427A87" w:rsidRDefault="00317942" w:rsidP="00427A87">
      <w:pPr>
        <w:adjustRightInd w:val="0"/>
        <w:spacing w:afterLines="50" w:after="120" w:line="340" w:lineRule="atLeast"/>
        <w:jc w:val="both"/>
        <w:rPr>
          <w:rFonts w:ascii="SimSun" w:hAnsi="SimSun"/>
          <w:iCs/>
          <w:sz w:val="21"/>
          <w:szCs w:val="21"/>
        </w:rPr>
      </w:pPr>
      <w:r w:rsidRPr="0097765B">
        <w:rPr>
          <w:rFonts w:ascii="SimSun" w:hAnsi="SimSun"/>
          <w:sz w:val="21"/>
          <w:szCs w:val="21"/>
          <w:lang w:eastAsia="en-US"/>
        </w:rPr>
        <w:fldChar w:fldCharType="begin"/>
      </w:r>
      <w:r w:rsidRPr="0097765B">
        <w:rPr>
          <w:rFonts w:ascii="SimSun" w:hAnsi="SimSun"/>
          <w:sz w:val="21"/>
          <w:szCs w:val="21"/>
        </w:rPr>
        <w:instrText xml:space="preserve"> AUTONUM  </w:instrText>
      </w:r>
      <w:r w:rsidRPr="0097765B">
        <w:rPr>
          <w:rFonts w:ascii="SimSun" w:hAnsi="SimSun"/>
          <w:sz w:val="21"/>
          <w:szCs w:val="21"/>
          <w:lang w:eastAsia="en-US"/>
        </w:rPr>
        <w:fldChar w:fldCharType="end"/>
      </w:r>
      <w:r w:rsidR="0097765B">
        <w:rPr>
          <w:rFonts w:ascii="SimSun" w:hAnsi="SimSun"/>
          <w:sz w:val="21"/>
          <w:szCs w:val="21"/>
        </w:rPr>
        <w:t>.</w:t>
      </w:r>
      <w:r w:rsidR="0097765B">
        <w:rPr>
          <w:rFonts w:ascii="SimSun" w:hAnsi="SimSun"/>
          <w:sz w:val="21"/>
          <w:szCs w:val="21"/>
        </w:rPr>
        <w:tab/>
      </w:r>
      <w:r w:rsidRPr="0097765B">
        <w:rPr>
          <w:rFonts w:ascii="SimSun" w:hAnsi="SimSun" w:hint="eastAsia"/>
          <w:iCs/>
          <w:sz w:val="21"/>
          <w:szCs w:val="21"/>
        </w:rPr>
        <w:t>此外，一些国家法律规定，专利的效力不可扩展到根据“医疗处方”进行的药物配制行为，一些成员国的法律则还就能够开出此类处方的人员身份</w:t>
      </w:r>
      <w:proofErr w:type="gramStart"/>
      <w:r w:rsidRPr="0097765B">
        <w:rPr>
          <w:rFonts w:ascii="SimSun" w:hAnsi="SimSun" w:hint="eastAsia"/>
          <w:iCs/>
          <w:sz w:val="21"/>
          <w:szCs w:val="21"/>
        </w:rPr>
        <w:t>作出</w:t>
      </w:r>
      <w:proofErr w:type="gramEnd"/>
      <w:r w:rsidRPr="0097765B">
        <w:rPr>
          <w:rFonts w:ascii="SimSun" w:hAnsi="SimSun" w:hint="eastAsia"/>
          <w:iCs/>
          <w:sz w:val="21"/>
          <w:szCs w:val="21"/>
        </w:rPr>
        <w:t>了具体规定。例如，香港专利法规定，药物配制必须根据“注册医疗从业人员”或</w:t>
      </w:r>
      <w:r w:rsidRPr="00427A87">
        <w:rPr>
          <w:rFonts w:ascii="SimSun" w:hAnsi="SimSun" w:hint="eastAsia"/>
          <w:sz w:val="21"/>
          <w:szCs w:val="21"/>
        </w:rPr>
        <w:t>“注册牙医”</w:t>
      </w:r>
      <w:r w:rsidRPr="0097765B">
        <w:rPr>
          <w:rFonts w:ascii="SimSun" w:hAnsi="SimSun" w:hint="eastAsia"/>
          <w:iCs/>
          <w:sz w:val="21"/>
          <w:szCs w:val="21"/>
        </w:rPr>
        <w:t>所开出的医疗处方</w:t>
      </w:r>
      <w:r w:rsidRPr="0097765B">
        <w:rPr>
          <w:rStyle w:val="af0"/>
          <w:rFonts w:ascii="SimSun" w:hAnsi="SimSun"/>
          <w:iCs/>
          <w:sz w:val="21"/>
          <w:szCs w:val="21"/>
        </w:rPr>
        <w:footnoteReference w:id="20"/>
      </w:r>
      <w:r w:rsidR="00427A87">
        <w:rPr>
          <w:rFonts w:ascii="SimSun" w:hAnsi="SimSun" w:hint="eastAsia"/>
          <w:iCs/>
          <w:sz w:val="21"/>
          <w:szCs w:val="21"/>
        </w:rPr>
        <w:t>。</w:t>
      </w:r>
      <w:r w:rsidRPr="0097765B">
        <w:rPr>
          <w:rFonts w:ascii="SimSun" w:hAnsi="SimSun" w:hint="eastAsia"/>
          <w:iCs/>
          <w:sz w:val="21"/>
          <w:szCs w:val="21"/>
        </w:rPr>
        <w:t>类似地，在日本，药物发明</w:t>
      </w:r>
      <w:r w:rsidRPr="0097765B">
        <w:rPr>
          <w:rFonts w:ascii="SimSun" w:hAnsi="SimSun" w:hint="eastAsia"/>
          <w:iCs/>
          <w:sz w:val="21"/>
          <w:szCs w:val="21"/>
        </w:rPr>
        <w:lastRenderedPageBreak/>
        <w:t>专利权对于根据“医师”或“牙医”所开处方的药物配制行为无效</w:t>
      </w:r>
      <w:r w:rsidRPr="0097765B">
        <w:rPr>
          <w:rStyle w:val="af0"/>
          <w:rFonts w:ascii="SimSun" w:hAnsi="SimSun"/>
          <w:iCs/>
          <w:sz w:val="21"/>
          <w:szCs w:val="21"/>
        </w:rPr>
        <w:footnoteReference w:id="21"/>
      </w:r>
      <w:r w:rsidR="00427A87">
        <w:rPr>
          <w:rFonts w:ascii="SimSun" w:hAnsi="SimSun" w:hint="eastAsia"/>
          <w:iCs/>
          <w:sz w:val="21"/>
          <w:szCs w:val="21"/>
        </w:rPr>
        <w:t>。</w:t>
      </w:r>
      <w:r w:rsidRPr="0097765B">
        <w:rPr>
          <w:rFonts w:ascii="SimSun" w:hAnsi="SimSun" w:hint="eastAsia"/>
          <w:iCs/>
          <w:sz w:val="21"/>
          <w:szCs w:val="21"/>
        </w:rPr>
        <w:t>《联合王国专利法》也规定，处方必须由“注册的医疗或牙医从业人员”开出</w:t>
      </w:r>
      <w:r w:rsidRPr="0097765B">
        <w:rPr>
          <w:rStyle w:val="af0"/>
          <w:rFonts w:ascii="SimSun" w:hAnsi="SimSun"/>
          <w:iCs/>
          <w:sz w:val="21"/>
          <w:szCs w:val="21"/>
        </w:rPr>
        <w:footnoteReference w:id="22"/>
      </w:r>
      <w:r w:rsidR="00427A87">
        <w:rPr>
          <w:rFonts w:ascii="SimSun" w:hAnsi="SimSun" w:hint="eastAsia"/>
          <w:iCs/>
          <w:sz w:val="21"/>
          <w:szCs w:val="21"/>
        </w:rPr>
        <w:t>。</w:t>
      </w:r>
    </w:p>
    <w:p w:rsidR="00317942" w:rsidRPr="0097765B" w:rsidRDefault="00317942" w:rsidP="0097765B">
      <w:pPr>
        <w:pStyle w:val="af6"/>
        <w:shd w:val="clear" w:color="auto" w:fill="FFFFFF"/>
        <w:spacing w:beforeLines="100" w:before="240" w:beforeAutospacing="0" w:afterLines="100" w:after="240" w:afterAutospacing="0" w:line="340" w:lineRule="atLeast"/>
        <w:jc w:val="both"/>
        <w:rPr>
          <w:rStyle w:val="af5"/>
          <w:rFonts w:ascii="KaiTi" w:eastAsia="KaiTi" w:hAnsi="KaiTi"/>
          <w:iCs w:val="0"/>
          <w:sz w:val="21"/>
          <w:szCs w:val="21"/>
          <w:lang w:val="fr-FR"/>
        </w:rPr>
      </w:pPr>
      <w:r w:rsidRPr="0097765B">
        <w:rPr>
          <w:rStyle w:val="af5"/>
          <w:rFonts w:ascii="KaiTi" w:eastAsia="KaiTi" w:hAnsi="KaiTi" w:hint="eastAsia"/>
          <w:iCs w:val="0"/>
          <w:sz w:val="21"/>
          <w:szCs w:val="21"/>
        </w:rPr>
        <w:t>量化信息</w:t>
      </w:r>
    </w:p>
    <w:p w:rsidR="00317942" w:rsidRPr="0097765B" w:rsidRDefault="00317942" w:rsidP="00427A87">
      <w:pPr>
        <w:adjustRightInd w:val="0"/>
        <w:spacing w:afterLines="50" w:after="120" w:line="340" w:lineRule="atLeast"/>
        <w:jc w:val="both"/>
        <w:rPr>
          <w:rFonts w:ascii="SimSun" w:hAnsi="SimSun"/>
          <w:sz w:val="21"/>
          <w:szCs w:val="21"/>
        </w:rPr>
      </w:pPr>
      <w:r w:rsidRPr="0097765B">
        <w:rPr>
          <w:rFonts w:ascii="SimSun" w:hAnsi="SimSun"/>
          <w:sz w:val="21"/>
          <w:szCs w:val="21"/>
          <w:lang w:val="en" w:eastAsia="en-US"/>
        </w:rPr>
        <w:fldChar w:fldCharType="begin"/>
      </w:r>
      <w:r w:rsidRPr="0097765B">
        <w:rPr>
          <w:rFonts w:ascii="SimSun" w:hAnsi="SimSun"/>
          <w:sz w:val="21"/>
          <w:szCs w:val="21"/>
          <w:lang w:val="en"/>
        </w:rPr>
        <w:instrText xml:space="preserve"> AUTONUM  </w:instrText>
      </w:r>
      <w:r w:rsidRPr="0097765B">
        <w:rPr>
          <w:rFonts w:ascii="SimSun" w:hAnsi="SimSun"/>
          <w:sz w:val="21"/>
          <w:szCs w:val="21"/>
          <w:lang w:val="en" w:eastAsia="en-US"/>
        </w:rPr>
        <w:fldChar w:fldCharType="end"/>
      </w:r>
      <w:r w:rsidR="0097765B">
        <w:rPr>
          <w:rFonts w:ascii="SimSun" w:hAnsi="SimSun"/>
          <w:sz w:val="21"/>
          <w:szCs w:val="21"/>
          <w:lang w:val="en"/>
        </w:rPr>
        <w:t>.</w:t>
      </w:r>
      <w:r w:rsidR="0097765B">
        <w:rPr>
          <w:rFonts w:ascii="SimSun" w:hAnsi="SimSun"/>
          <w:sz w:val="21"/>
          <w:szCs w:val="21"/>
          <w:lang w:val="en"/>
        </w:rPr>
        <w:tab/>
      </w:r>
      <w:r w:rsidRPr="0097765B">
        <w:rPr>
          <w:rFonts w:ascii="SimSun" w:hAnsi="SimSun" w:hint="eastAsia"/>
          <w:sz w:val="21"/>
          <w:szCs w:val="21"/>
        </w:rPr>
        <w:t>许多国家的适用法律并未对根据该例外能够配制的药物数量加以明确限制。但是，一些答复强调说，</w:t>
      </w:r>
      <w:proofErr w:type="gramStart"/>
      <w:r w:rsidRPr="0097765B">
        <w:rPr>
          <w:rFonts w:ascii="SimSun" w:hAnsi="SimSun" w:hint="eastAsia"/>
          <w:sz w:val="21"/>
          <w:szCs w:val="21"/>
        </w:rPr>
        <w:t>例外仅</w:t>
      </w:r>
      <w:proofErr w:type="gramEnd"/>
      <w:r w:rsidRPr="0097765B">
        <w:rPr>
          <w:rFonts w:ascii="SimSun" w:hAnsi="SimSun" w:hint="eastAsia"/>
          <w:sz w:val="21"/>
          <w:szCs w:val="21"/>
        </w:rPr>
        <w:t>包括在药房“在个案情况下”</w:t>
      </w:r>
      <w:r w:rsidRPr="0097765B">
        <w:rPr>
          <w:rStyle w:val="af0"/>
          <w:rFonts w:ascii="SimSun" w:hAnsi="SimSun"/>
          <w:sz w:val="21"/>
          <w:szCs w:val="21"/>
          <w:lang w:eastAsia="en-US"/>
        </w:rPr>
        <w:footnoteReference w:id="23"/>
      </w:r>
      <w:r w:rsidRPr="0097765B">
        <w:rPr>
          <w:rFonts w:ascii="SimSun" w:hAnsi="SimSun" w:hint="eastAsia"/>
          <w:sz w:val="21"/>
          <w:szCs w:val="21"/>
        </w:rPr>
        <w:t>“一次性”</w:t>
      </w:r>
      <w:r w:rsidRPr="0097765B">
        <w:rPr>
          <w:rStyle w:val="af0"/>
          <w:rFonts w:ascii="SimSun" w:hAnsi="SimSun"/>
          <w:sz w:val="21"/>
          <w:szCs w:val="21"/>
          <w:lang w:eastAsia="en-US"/>
        </w:rPr>
        <w:footnoteReference w:id="24"/>
      </w:r>
      <w:r w:rsidRPr="0097765B">
        <w:rPr>
          <w:rFonts w:ascii="SimSun" w:hAnsi="SimSun" w:hint="eastAsia"/>
          <w:sz w:val="21"/>
          <w:szCs w:val="21"/>
        </w:rPr>
        <w:t>、“临时”</w:t>
      </w:r>
      <w:r w:rsidRPr="0097765B">
        <w:rPr>
          <w:rStyle w:val="af0"/>
          <w:rFonts w:ascii="SimSun" w:hAnsi="SimSun"/>
          <w:sz w:val="21"/>
          <w:szCs w:val="21"/>
          <w:lang w:eastAsia="en-US"/>
        </w:rPr>
        <w:footnoteReference w:id="25"/>
      </w:r>
      <w:r w:rsidRPr="0097765B">
        <w:rPr>
          <w:rFonts w:ascii="SimSun" w:hAnsi="SimSun" w:hint="eastAsia"/>
          <w:sz w:val="21"/>
          <w:szCs w:val="21"/>
        </w:rPr>
        <w:t>、或“单位”</w:t>
      </w:r>
      <w:r w:rsidRPr="0097765B">
        <w:rPr>
          <w:rStyle w:val="af0"/>
          <w:rFonts w:ascii="SimSun" w:hAnsi="SimSun"/>
          <w:sz w:val="21"/>
          <w:szCs w:val="21"/>
          <w:lang w:eastAsia="en-US"/>
        </w:rPr>
        <w:footnoteReference w:id="26"/>
      </w:r>
      <w:r w:rsidRPr="0097765B">
        <w:rPr>
          <w:rFonts w:ascii="SimSun" w:hAnsi="SimSun" w:hint="eastAsia"/>
          <w:sz w:val="21"/>
          <w:szCs w:val="21"/>
        </w:rPr>
        <w:t>配制。德国在答复中强调，根据其国内法，该规定不涉及针对若干患者进行的大量药物配制。俄罗斯联邦在答复中指出，药物的一次性配制只涉及处方中规定数量。但是，医师对诸多病人所开相同药物的处方的数量没有限制。</w:t>
      </w:r>
    </w:p>
    <w:p w:rsidR="00317942" w:rsidRPr="0097765B" w:rsidRDefault="00317942" w:rsidP="0097765B">
      <w:pPr>
        <w:spacing w:beforeLines="100" w:before="240" w:afterLines="100" w:after="240" w:line="340" w:lineRule="atLeast"/>
        <w:jc w:val="both"/>
        <w:rPr>
          <w:rFonts w:ascii="SimHei" w:eastAsia="SimHei" w:hAnsi="SimHei"/>
          <w:bCs/>
          <w:sz w:val="21"/>
          <w:szCs w:val="21"/>
        </w:rPr>
      </w:pPr>
      <w:r w:rsidRPr="0097765B">
        <w:rPr>
          <w:rFonts w:ascii="SimHei" w:eastAsia="SimHei" w:hAnsi="SimHei" w:hint="eastAsia"/>
          <w:bCs/>
          <w:sz w:val="21"/>
          <w:szCs w:val="21"/>
        </w:rPr>
        <w:t>实施挑战</w:t>
      </w:r>
    </w:p>
    <w:p w:rsidR="00317942" w:rsidRPr="0097765B" w:rsidRDefault="00317942" w:rsidP="00427A87">
      <w:pPr>
        <w:adjustRightInd w:val="0"/>
        <w:spacing w:afterLines="50" w:after="120" w:line="340" w:lineRule="atLeast"/>
        <w:jc w:val="both"/>
        <w:rPr>
          <w:rFonts w:ascii="SimSun" w:hAnsi="SimSun"/>
          <w:sz w:val="21"/>
          <w:szCs w:val="21"/>
        </w:rPr>
      </w:pPr>
      <w:r w:rsidRPr="0097765B">
        <w:rPr>
          <w:rFonts w:ascii="SimSun" w:hAnsi="SimSun"/>
          <w:sz w:val="21"/>
          <w:szCs w:val="21"/>
          <w:lang w:val="en" w:eastAsia="en-US"/>
        </w:rPr>
        <w:fldChar w:fldCharType="begin"/>
      </w:r>
      <w:r w:rsidRPr="0097765B">
        <w:rPr>
          <w:rFonts w:ascii="SimSun" w:hAnsi="SimSun"/>
          <w:sz w:val="21"/>
          <w:szCs w:val="21"/>
          <w:lang w:val="en"/>
        </w:rPr>
        <w:instrText xml:space="preserve"> AUTONUM  </w:instrText>
      </w:r>
      <w:r w:rsidRPr="0097765B">
        <w:rPr>
          <w:rFonts w:ascii="SimSun" w:hAnsi="SimSun"/>
          <w:sz w:val="21"/>
          <w:szCs w:val="21"/>
          <w:lang w:val="en" w:eastAsia="en-US"/>
        </w:rPr>
        <w:fldChar w:fldCharType="end"/>
      </w:r>
      <w:r w:rsidR="0097765B">
        <w:rPr>
          <w:rFonts w:ascii="SimSun" w:hAnsi="SimSun"/>
          <w:sz w:val="21"/>
          <w:szCs w:val="21"/>
          <w:lang w:val="en"/>
        </w:rPr>
        <w:t>.</w:t>
      </w:r>
      <w:r w:rsidR="0097765B">
        <w:rPr>
          <w:rFonts w:ascii="SimSun" w:hAnsi="SimSun"/>
          <w:sz w:val="21"/>
          <w:szCs w:val="21"/>
          <w:lang w:val="en"/>
        </w:rPr>
        <w:tab/>
      </w:r>
      <w:r w:rsidRPr="0097765B">
        <w:rPr>
          <w:rFonts w:ascii="SimSun" w:hAnsi="SimSun" w:hint="eastAsia"/>
          <w:sz w:val="21"/>
          <w:szCs w:val="21"/>
        </w:rPr>
        <w:t>关于例外情形的立法框架是否足以满足所追求目标这一问题，所有成员国的答复都是正面的。在此方面，丹麦、挪威和瑞典指出，该例外并未得到实际应用，因为药房配制药物在这些国家已不再通用。</w:t>
      </w:r>
    </w:p>
    <w:p w:rsidR="00317942" w:rsidRPr="0097765B" w:rsidRDefault="00317942" w:rsidP="00427A87">
      <w:pPr>
        <w:adjustRightInd w:val="0"/>
        <w:spacing w:afterLines="50" w:after="120" w:line="340" w:lineRule="atLeast"/>
        <w:jc w:val="both"/>
        <w:rPr>
          <w:rFonts w:ascii="SimSun" w:hAnsi="SimSun"/>
          <w:b/>
          <w:bCs/>
          <w:sz w:val="21"/>
          <w:szCs w:val="21"/>
        </w:rPr>
      </w:pPr>
      <w:r w:rsidRPr="0097765B">
        <w:rPr>
          <w:rFonts w:ascii="SimSun" w:hAnsi="SimSun"/>
          <w:sz w:val="21"/>
          <w:szCs w:val="21"/>
          <w:lang w:val="en" w:eastAsia="en-US"/>
        </w:rPr>
        <w:fldChar w:fldCharType="begin"/>
      </w:r>
      <w:r w:rsidRPr="0097765B">
        <w:rPr>
          <w:rFonts w:ascii="SimSun" w:hAnsi="SimSun"/>
          <w:sz w:val="21"/>
          <w:szCs w:val="21"/>
          <w:lang w:val="en"/>
        </w:rPr>
        <w:instrText xml:space="preserve"> AUTONUM  </w:instrText>
      </w:r>
      <w:r w:rsidRPr="0097765B">
        <w:rPr>
          <w:rFonts w:ascii="SimSun" w:hAnsi="SimSun"/>
          <w:sz w:val="21"/>
          <w:szCs w:val="21"/>
          <w:lang w:val="en" w:eastAsia="en-US"/>
        </w:rPr>
        <w:fldChar w:fldCharType="end"/>
      </w:r>
      <w:r w:rsidR="0097765B">
        <w:rPr>
          <w:rFonts w:ascii="SimSun" w:hAnsi="SimSun"/>
          <w:sz w:val="21"/>
          <w:szCs w:val="21"/>
          <w:lang w:val="en"/>
        </w:rPr>
        <w:t>.</w:t>
      </w:r>
      <w:r w:rsidR="0097765B">
        <w:rPr>
          <w:rFonts w:ascii="SimSun" w:hAnsi="SimSun"/>
          <w:sz w:val="21"/>
          <w:szCs w:val="21"/>
          <w:lang w:val="en"/>
        </w:rPr>
        <w:tab/>
      </w:r>
      <w:r w:rsidRPr="0097765B">
        <w:rPr>
          <w:rFonts w:ascii="SimSun" w:hAnsi="SimSun" w:hint="eastAsia"/>
          <w:sz w:val="21"/>
          <w:szCs w:val="21"/>
          <w:lang w:val="en"/>
        </w:rPr>
        <w:t>关于该例外的实际实施方面是否</w:t>
      </w:r>
      <w:r w:rsidR="008F242C" w:rsidRPr="0097765B">
        <w:rPr>
          <w:rFonts w:ascii="SimSun" w:hAnsi="SimSun" w:hint="eastAsia"/>
          <w:sz w:val="21"/>
          <w:szCs w:val="21"/>
          <w:lang w:val="en"/>
        </w:rPr>
        <w:t>遇到过</w:t>
      </w:r>
      <w:r w:rsidRPr="0097765B">
        <w:rPr>
          <w:rFonts w:ascii="SimSun" w:hAnsi="SimSun" w:hint="eastAsia"/>
          <w:sz w:val="21"/>
          <w:szCs w:val="21"/>
          <w:lang w:val="en"/>
        </w:rPr>
        <w:t>任何挑战这一问题，所有成员国的答复都是否定的。</w:t>
      </w:r>
    </w:p>
    <w:p w:rsidR="00317942" w:rsidRPr="00D46A48" w:rsidRDefault="00317942" w:rsidP="00D46A48">
      <w:pPr>
        <w:spacing w:afterLines="50" w:after="120" w:line="340" w:lineRule="atLeast"/>
        <w:jc w:val="both"/>
        <w:rPr>
          <w:rFonts w:ascii="SimSun" w:hAnsi="SimSun"/>
          <w:sz w:val="21"/>
          <w:szCs w:val="21"/>
        </w:rPr>
      </w:pPr>
    </w:p>
    <w:p w:rsidR="00317942" w:rsidRPr="0097765B" w:rsidRDefault="00317942" w:rsidP="00F73D2E">
      <w:pPr>
        <w:ind w:left="5534"/>
        <w:rPr>
          <w:rFonts w:ascii="KaiTi" w:eastAsia="KaiTi" w:hAnsi="KaiTi"/>
          <w:sz w:val="21"/>
          <w:szCs w:val="21"/>
        </w:rPr>
      </w:pPr>
      <w:r w:rsidRPr="0097765B">
        <w:rPr>
          <w:rFonts w:ascii="KaiTi" w:eastAsia="KaiTi" w:hAnsi="KaiTi"/>
          <w:sz w:val="21"/>
          <w:szCs w:val="21"/>
        </w:rPr>
        <w:t>[</w:t>
      </w:r>
      <w:r w:rsidRPr="0097765B">
        <w:rPr>
          <w:rFonts w:ascii="KaiTi" w:eastAsia="KaiTi" w:hAnsi="KaiTi" w:hint="eastAsia"/>
          <w:sz w:val="21"/>
          <w:szCs w:val="21"/>
        </w:rPr>
        <w:t>文件完</w:t>
      </w:r>
      <w:r w:rsidRPr="0097765B">
        <w:rPr>
          <w:rFonts w:ascii="KaiTi" w:eastAsia="KaiTi" w:hAnsi="KaiTi"/>
          <w:sz w:val="21"/>
          <w:szCs w:val="21"/>
        </w:rPr>
        <w:t>]</w:t>
      </w:r>
    </w:p>
    <w:sectPr w:rsidR="00317942" w:rsidRPr="0097765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942" w:rsidRDefault="00317942">
      <w:r>
        <w:separator/>
      </w:r>
    </w:p>
  </w:endnote>
  <w:endnote w:type="continuationSeparator" w:id="0">
    <w:p w:rsidR="00317942" w:rsidRDefault="00317942">
      <w:r>
        <w:separator/>
      </w:r>
    </w:p>
    <w:p w:rsidR="00317942" w:rsidRDefault="00317942">
      <w:pPr>
        <w:spacing w:after="60"/>
        <w:rPr>
          <w:sz w:val="17"/>
        </w:rPr>
      </w:pPr>
      <w:r>
        <w:rPr>
          <w:sz w:val="17"/>
        </w:rPr>
        <w:t>[Endnote continued from previous page]</w:t>
      </w:r>
    </w:p>
  </w:endnote>
  <w:endnote w:type="continuationNotice" w:id="1">
    <w:p w:rsidR="00317942" w:rsidRDefault="00317942">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942" w:rsidRDefault="00317942">
      <w:r>
        <w:separator/>
      </w:r>
    </w:p>
  </w:footnote>
  <w:footnote w:type="continuationSeparator" w:id="0">
    <w:p w:rsidR="00317942" w:rsidRDefault="00317942">
      <w:r>
        <w:separator/>
      </w:r>
    </w:p>
    <w:p w:rsidR="00317942" w:rsidRDefault="00317942">
      <w:pPr>
        <w:spacing w:after="60"/>
        <w:rPr>
          <w:sz w:val="17"/>
          <w:szCs w:val="17"/>
        </w:rPr>
      </w:pPr>
      <w:r>
        <w:rPr>
          <w:sz w:val="17"/>
          <w:szCs w:val="17"/>
        </w:rPr>
        <w:t>[Footnote continued from previous page]</w:t>
      </w:r>
    </w:p>
  </w:footnote>
  <w:footnote w:type="continuationNotice" w:id="1">
    <w:p w:rsidR="00317942" w:rsidRDefault="00317942">
      <w:pPr>
        <w:spacing w:before="60"/>
        <w:jc w:val="right"/>
        <w:rPr>
          <w:sz w:val="17"/>
          <w:szCs w:val="17"/>
        </w:rPr>
      </w:pPr>
      <w:r>
        <w:rPr>
          <w:sz w:val="17"/>
          <w:szCs w:val="17"/>
        </w:rPr>
        <w:t>[Footnote continued on next page]</w:t>
      </w:r>
    </w:p>
  </w:footnote>
  <w:footnote w:id="2">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szCs w:val="18"/>
        </w:rPr>
        <w:t>答复还指出，这类例外在偏远地区或发展中国家都是较为有力的。</w:t>
      </w:r>
    </w:p>
  </w:footnote>
  <w:footnote w:id="3">
    <w:p w:rsidR="00317942" w:rsidRPr="0097765B" w:rsidRDefault="00317942" w:rsidP="0097765B">
      <w:pPr>
        <w:spacing w:afterLines="40" w:after="96" w:line="320" w:lineRule="atLeast"/>
        <w:ind w:left="464" w:hangingChars="258" w:hanging="464"/>
        <w:jc w:val="both"/>
        <w:rPr>
          <w:rFonts w:ascii="SimSun" w:hAnsi="SimSun"/>
          <w:sz w:val="18"/>
          <w:szCs w:val="18"/>
        </w:rPr>
      </w:pPr>
      <w:r w:rsidRPr="0097765B">
        <w:rPr>
          <w:rStyle w:val="af0"/>
          <w:rFonts w:ascii="SimSun" w:hAnsi="SimSun"/>
          <w:sz w:val="18"/>
          <w:szCs w:val="18"/>
        </w:rPr>
        <w:footnoteRef/>
      </w:r>
      <w:r w:rsidRPr="0097765B">
        <w:rPr>
          <w:rFonts w:ascii="SimSun" w:hAnsi="SimSun"/>
          <w:sz w:val="18"/>
          <w:szCs w:val="18"/>
        </w:rPr>
        <w:t xml:space="preserve"> </w:t>
      </w:r>
      <w:r w:rsidRPr="0097765B">
        <w:rPr>
          <w:rFonts w:ascii="SimSun" w:hAnsi="SimSun"/>
          <w:sz w:val="18"/>
          <w:szCs w:val="18"/>
        </w:rPr>
        <w:tab/>
      </w:r>
      <w:r w:rsidRPr="0097765B">
        <w:rPr>
          <w:rFonts w:ascii="SimSun" w:hAnsi="SimSun" w:hint="eastAsia"/>
          <w:sz w:val="18"/>
          <w:szCs w:val="18"/>
        </w:rPr>
        <w:t>答复还指出“其解释是，药物本身一般被视为由具有专利许可的药物生产商配制，并由医师或牙医进行合法售卖”。</w:t>
      </w:r>
    </w:p>
  </w:footnote>
  <w:footnote w:id="4">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szCs w:val="18"/>
        </w:rPr>
        <w:t>1989年12月15日签署的与共同体专利相关的《</w:t>
      </w:r>
      <w:r w:rsidRPr="0097765B">
        <w:rPr>
          <w:rFonts w:ascii="SimSun" w:hAnsi="SimSun"/>
          <w:szCs w:val="18"/>
        </w:rPr>
        <w:t>89/695/EEC</w:t>
      </w:r>
      <w:r w:rsidRPr="0097765B">
        <w:rPr>
          <w:rFonts w:ascii="SimSun" w:hAnsi="SimSun" w:hint="eastAsia"/>
          <w:szCs w:val="18"/>
        </w:rPr>
        <w:t>号协议》。</w:t>
      </w:r>
    </w:p>
  </w:footnote>
  <w:footnote w:id="5">
    <w:p w:rsidR="00317942" w:rsidRPr="0097765B" w:rsidRDefault="00317942" w:rsidP="0097765B">
      <w:pPr>
        <w:spacing w:afterLines="40" w:after="96" w:line="320" w:lineRule="atLeast"/>
        <w:ind w:left="464" w:hangingChars="258" w:hanging="464"/>
        <w:jc w:val="both"/>
        <w:rPr>
          <w:rFonts w:ascii="SimSun" w:hAnsi="SimSun"/>
          <w:sz w:val="18"/>
          <w:szCs w:val="18"/>
        </w:rPr>
      </w:pPr>
      <w:r w:rsidRPr="0097765B">
        <w:rPr>
          <w:rStyle w:val="af0"/>
          <w:rFonts w:ascii="SimSun" w:hAnsi="SimSun"/>
          <w:sz w:val="18"/>
          <w:szCs w:val="18"/>
        </w:rPr>
        <w:footnoteRef/>
      </w:r>
      <w:r w:rsidRPr="0097765B">
        <w:rPr>
          <w:rFonts w:ascii="SimSun" w:hAnsi="SimSun"/>
          <w:sz w:val="18"/>
          <w:szCs w:val="18"/>
        </w:rPr>
        <w:t xml:space="preserve"> </w:t>
      </w:r>
      <w:r w:rsidRPr="0097765B">
        <w:rPr>
          <w:rFonts w:ascii="SimSun" w:hAnsi="SimSun"/>
          <w:sz w:val="18"/>
          <w:szCs w:val="18"/>
        </w:rPr>
        <w:tab/>
      </w:r>
      <w:r w:rsidRPr="0097765B">
        <w:rPr>
          <w:rFonts w:ascii="SimSun" w:hAnsi="SimSun" w:hint="eastAsia"/>
          <w:iCs/>
          <w:sz w:val="18"/>
          <w:szCs w:val="18"/>
        </w:rPr>
        <w:t>38个成员国和1家地区专利局针对此问题有具体的法律规定。但是，由于越南针对药房配制药物的行为并没有具体的规定，因此此类行为被视为属于非商业使用方面的例外。类似地，印度尼西亚的答复意见表明，其适用法律并未规定此类例外，但其提到了出于公共卫生原因的政府使用例外。在中国，药物处方和根据这些处方进行的配制被视为不具有工业实用性，因此不可授予专利。此外，坦桑尼亚联合共和国的答复中提到了不属于</w:t>
      </w:r>
      <w:proofErr w:type="gramStart"/>
      <w:r w:rsidRPr="0097765B">
        <w:rPr>
          <w:rFonts w:ascii="SimSun" w:hAnsi="SimSun" w:hint="eastAsia"/>
          <w:iCs/>
          <w:sz w:val="18"/>
          <w:szCs w:val="18"/>
        </w:rPr>
        <w:t>可专利</w:t>
      </w:r>
      <w:proofErr w:type="gramEnd"/>
      <w:r w:rsidRPr="0097765B">
        <w:rPr>
          <w:rFonts w:ascii="SimSun" w:hAnsi="SimSun" w:hint="eastAsia"/>
          <w:iCs/>
          <w:sz w:val="18"/>
          <w:szCs w:val="18"/>
        </w:rPr>
        <w:t>性主题的治疗方法。</w:t>
      </w:r>
    </w:p>
  </w:footnote>
  <w:footnote w:id="6">
    <w:p w:rsidR="00317942" w:rsidRPr="00DF1584" w:rsidRDefault="00317942" w:rsidP="00DF1584">
      <w:pPr>
        <w:tabs>
          <w:tab w:val="left" w:pos="480"/>
        </w:tabs>
        <w:spacing w:afterLines="40" w:after="96" w:line="320" w:lineRule="atLeast"/>
        <w:ind w:left="480" w:hangingChars="218" w:hanging="480"/>
        <w:jc w:val="both"/>
        <w:rPr>
          <w:rFonts w:ascii="SimSun" w:hAnsi="SimSun"/>
          <w:iCs/>
          <w:sz w:val="18"/>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bookmarkStart w:id="2" w:name="_GoBack"/>
      <w:bookmarkEnd w:id="2"/>
      <w:r w:rsidRPr="00DF1584">
        <w:rPr>
          <w:rFonts w:ascii="SimSun" w:hAnsi="SimSun" w:hint="eastAsia"/>
          <w:iCs/>
          <w:sz w:val="18"/>
          <w:szCs w:val="18"/>
        </w:rPr>
        <w:t>参见《阿尔巴尼亚工业产权法第9947号》第38条、《塞浦路斯专利法》第</w:t>
      </w:r>
      <w:r w:rsidRPr="00DF1584">
        <w:rPr>
          <w:rFonts w:ascii="SimSun" w:hAnsi="SimSun"/>
          <w:iCs/>
          <w:sz w:val="18"/>
          <w:szCs w:val="18"/>
        </w:rPr>
        <w:t>27(3)(iv)</w:t>
      </w:r>
      <w:r w:rsidRPr="00DF1584">
        <w:rPr>
          <w:rFonts w:ascii="SimSun" w:hAnsi="SimSun" w:hint="eastAsia"/>
          <w:iCs/>
          <w:sz w:val="18"/>
          <w:szCs w:val="18"/>
        </w:rPr>
        <w:t>条、《法国知识产权法典》第</w:t>
      </w:r>
      <w:r w:rsidRPr="00DF1584">
        <w:rPr>
          <w:rFonts w:ascii="SimSun" w:hAnsi="SimSun"/>
          <w:iCs/>
          <w:sz w:val="18"/>
          <w:szCs w:val="18"/>
        </w:rPr>
        <w:t>L613-5</w:t>
      </w:r>
      <w:r w:rsidRPr="00DF1584">
        <w:rPr>
          <w:rFonts w:ascii="SimSun" w:hAnsi="SimSun" w:hint="eastAsia"/>
          <w:iCs/>
          <w:sz w:val="18"/>
          <w:szCs w:val="18"/>
        </w:rPr>
        <w:t>条、《德国专利法》第11部分第3条、《中国香港专利条例》</w:t>
      </w:r>
      <w:r w:rsidR="004F5803" w:rsidRPr="00DF1584">
        <w:rPr>
          <w:rFonts w:ascii="SimSun" w:hAnsi="SimSun" w:hint="eastAsia"/>
          <w:iCs/>
          <w:sz w:val="18"/>
          <w:szCs w:val="18"/>
        </w:rPr>
        <w:t>(</w:t>
      </w:r>
      <w:r w:rsidRPr="00DF1584">
        <w:rPr>
          <w:rFonts w:ascii="SimSun" w:hAnsi="SimSun" w:hint="eastAsia"/>
          <w:iCs/>
          <w:sz w:val="18"/>
          <w:szCs w:val="18"/>
        </w:rPr>
        <w:t>第514</w:t>
      </w:r>
      <w:r w:rsidR="004F5803" w:rsidRPr="00DF1584">
        <w:rPr>
          <w:rFonts w:ascii="SimSun" w:hAnsi="SimSun" w:hint="eastAsia"/>
          <w:iCs/>
          <w:sz w:val="18"/>
          <w:szCs w:val="18"/>
        </w:rPr>
        <w:t>章)</w:t>
      </w:r>
      <w:r w:rsidRPr="00DF1584">
        <w:rPr>
          <w:rFonts w:ascii="SimSun" w:hAnsi="SimSun" w:hint="eastAsia"/>
          <w:iCs/>
          <w:sz w:val="18"/>
          <w:szCs w:val="18"/>
        </w:rPr>
        <w:t>第75(c)条、《摩洛哥第17-97号工业产权保护法》第55条、《波兰工业产权法》</w:t>
      </w:r>
      <w:r w:rsidR="004F5803" w:rsidRPr="00DF1584">
        <w:rPr>
          <w:rFonts w:ascii="SimSun" w:hAnsi="SimSun" w:hint="eastAsia"/>
          <w:iCs/>
          <w:sz w:val="18"/>
          <w:szCs w:val="18"/>
        </w:rPr>
        <w:t>第</w:t>
      </w:r>
      <w:r w:rsidRPr="00DF1584">
        <w:rPr>
          <w:rFonts w:ascii="SimSun" w:hAnsi="SimSun"/>
          <w:iCs/>
          <w:sz w:val="18"/>
          <w:szCs w:val="18"/>
        </w:rPr>
        <w:t>69(1)(v)</w:t>
      </w:r>
      <w:r w:rsidRPr="00DF1584">
        <w:rPr>
          <w:rFonts w:ascii="SimSun" w:hAnsi="SimSun" w:hint="eastAsia"/>
          <w:iCs/>
          <w:sz w:val="18"/>
          <w:szCs w:val="18"/>
        </w:rPr>
        <w:t>条、《摩尔多瓦共和国第</w:t>
      </w:r>
      <w:r w:rsidRPr="00DF1584">
        <w:rPr>
          <w:rFonts w:ascii="SimSun" w:hAnsi="SimSun"/>
          <w:iCs/>
          <w:sz w:val="18"/>
          <w:szCs w:val="18"/>
        </w:rPr>
        <w:t>50/2008</w:t>
      </w:r>
      <w:r w:rsidRPr="00DF1584">
        <w:rPr>
          <w:rFonts w:ascii="SimSun" w:hAnsi="SimSun" w:hint="eastAsia"/>
          <w:iCs/>
          <w:sz w:val="18"/>
          <w:szCs w:val="18"/>
        </w:rPr>
        <w:t>号发明保护法》第22条、《西班牙专利法》第</w:t>
      </w:r>
      <w:r w:rsidRPr="00DF1584">
        <w:rPr>
          <w:rFonts w:ascii="SimSun" w:hAnsi="SimSun"/>
          <w:iCs/>
          <w:sz w:val="18"/>
          <w:szCs w:val="18"/>
        </w:rPr>
        <w:t>52.1(c)</w:t>
      </w:r>
      <w:r w:rsidRPr="00DF1584">
        <w:rPr>
          <w:rFonts w:ascii="SimSun" w:hAnsi="SimSun" w:hint="eastAsia"/>
          <w:iCs/>
          <w:sz w:val="18"/>
          <w:szCs w:val="18"/>
        </w:rPr>
        <w:t>条、《联合王国专利法》第</w:t>
      </w:r>
      <w:r w:rsidRPr="00DF1584">
        <w:rPr>
          <w:rFonts w:ascii="SimSun" w:hAnsi="SimSun"/>
          <w:iCs/>
          <w:sz w:val="18"/>
          <w:szCs w:val="18"/>
        </w:rPr>
        <w:t>60(5)(c)</w:t>
      </w:r>
      <w:r w:rsidRPr="00DF1584">
        <w:rPr>
          <w:rFonts w:ascii="SimSun" w:hAnsi="SimSun" w:hint="eastAsia"/>
          <w:iCs/>
          <w:sz w:val="18"/>
          <w:szCs w:val="18"/>
        </w:rPr>
        <w:t>条、《欧亚专利公约专利条例》第19条。</w:t>
      </w:r>
    </w:p>
  </w:footnote>
  <w:footnote w:id="7">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szCs w:val="18"/>
        </w:rPr>
        <w:t>例如，参见《波斯尼亚和黑塞哥维那专利法》第73</w:t>
      </w:r>
      <w:r w:rsidRPr="0097765B">
        <w:rPr>
          <w:rFonts w:ascii="SimSun" w:hAnsi="SimSun" w:hint="eastAsia"/>
          <w:szCs w:val="18"/>
        </w:rPr>
        <w:t>条、《克罗地亚专利法》第63(3)条、《捷克共和国专利法》第18(c)条、《芬兰专利法》第3(3)5</w:t>
      </w:r>
      <w:r w:rsidR="004F5803">
        <w:rPr>
          <w:rFonts w:ascii="SimSun" w:hAnsi="SimSun" w:hint="eastAsia"/>
          <w:szCs w:val="18"/>
        </w:rPr>
        <w:t>条</w:t>
      </w:r>
      <w:r w:rsidRPr="0097765B">
        <w:rPr>
          <w:rFonts w:ascii="SimSun" w:hAnsi="SimSun" w:hint="eastAsia"/>
          <w:szCs w:val="18"/>
        </w:rPr>
        <w:t>、《法国知识产权法典》第</w:t>
      </w:r>
      <w:r w:rsidRPr="0097765B">
        <w:rPr>
          <w:rFonts w:ascii="SimSun" w:hAnsi="SimSun"/>
          <w:iCs/>
          <w:szCs w:val="18"/>
        </w:rPr>
        <w:t>L613-5</w:t>
      </w:r>
      <w:r w:rsidRPr="0097765B">
        <w:rPr>
          <w:rFonts w:ascii="SimSun" w:hAnsi="SimSun" w:hint="eastAsia"/>
          <w:iCs/>
          <w:szCs w:val="18"/>
        </w:rPr>
        <w:t>条、《德国专利法》第11(3)条、以及</w:t>
      </w:r>
      <w:r w:rsidR="004F5803" w:rsidRPr="0097765B">
        <w:rPr>
          <w:rFonts w:ascii="SimSun" w:hAnsi="SimSun" w:hint="eastAsia"/>
          <w:iCs/>
          <w:szCs w:val="18"/>
        </w:rPr>
        <w:t>1995年</w:t>
      </w:r>
      <w:r w:rsidRPr="0097765B">
        <w:rPr>
          <w:rFonts w:ascii="SimSun" w:hAnsi="SimSun" w:hint="eastAsia"/>
          <w:iCs/>
          <w:szCs w:val="18"/>
        </w:rPr>
        <w:t>匈牙利第XXXIII号</w:t>
      </w:r>
      <w:r w:rsidR="004F5803" w:rsidRPr="0097765B">
        <w:rPr>
          <w:rFonts w:ascii="SimSun" w:hAnsi="SimSun" w:hint="eastAsia"/>
          <w:iCs/>
          <w:szCs w:val="18"/>
        </w:rPr>
        <w:t>《</w:t>
      </w:r>
      <w:r w:rsidRPr="0097765B">
        <w:rPr>
          <w:rFonts w:ascii="SimSun" w:hAnsi="SimSun" w:hint="eastAsia"/>
          <w:iCs/>
          <w:szCs w:val="18"/>
        </w:rPr>
        <w:t>专利发明保护法》第19条。</w:t>
      </w:r>
    </w:p>
  </w:footnote>
  <w:footnote w:id="8">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szCs w:val="18"/>
        </w:rPr>
        <w:t>《法国知识产权法典》第</w:t>
      </w:r>
      <w:r w:rsidRPr="0097765B">
        <w:rPr>
          <w:rFonts w:ascii="SimSun" w:hAnsi="SimSun"/>
          <w:iCs/>
          <w:szCs w:val="18"/>
        </w:rPr>
        <w:t>L613-5</w:t>
      </w:r>
      <w:r w:rsidRPr="0097765B">
        <w:rPr>
          <w:rFonts w:ascii="SimSun" w:hAnsi="SimSun" w:hint="eastAsia"/>
          <w:iCs/>
          <w:szCs w:val="18"/>
        </w:rPr>
        <w:t>条。</w:t>
      </w:r>
    </w:p>
  </w:footnote>
  <w:footnote w:id="9">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szCs w:val="18"/>
        </w:rPr>
        <w:t>《亚美尼亚发明、实用新型和工业品外观设计法》第</w:t>
      </w:r>
      <w:r w:rsidRPr="0097765B">
        <w:rPr>
          <w:rFonts w:ascii="SimSun" w:hAnsi="SimSun"/>
          <w:iCs/>
          <w:szCs w:val="18"/>
        </w:rPr>
        <w:t>17(3)</w:t>
      </w:r>
      <w:r w:rsidRPr="0097765B">
        <w:rPr>
          <w:rFonts w:ascii="SimSun" w:hAnsi="SimSun" w:hint="eastAsia"/>
          <w:iCs/>
          <w:szCs w:val="18"/>
        </w:rPr>
        <w:t>条以及《拉脱维亚专利法》第</w:t>
      </w:r>
      <w:r w:rsidRPr="0097765B">
        <w:rPr>
          <w:rFonts w:ascii="SimSun" w:hAnsi="SimSun"/>
          <w:iCs/>
          <w:szCs w:val="18"/>
        </w:rPr>
        <w:t>20.4</w:t>
      </w:r>
      <w:r w:rsidRPr="0097765B">
        <w:rPr>
          <w:rFonts w:ascii="SimSun" w:hAnsi="SimSun" w:hint="eastAsia"/>
          <w:iCs/>
          <w:szCs w:val="18"/>
        </w:rPr>
        <w:t>条。</w:t>
      </w:r>
    </w:p>
  </w:footnote>
  <w:footnote w:id="10">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szCs w:val="18"/>
        </w:rPr>
        <w:t>《泰国专利法》第</w:t>
      </w:r>
      <w:r w:rsidRPr="0097765B">
        <w:rPr>
          <w:rFonts w:ascii="SimSun" w:hAnsi="SimSun"/>
          <w:iCs/>
          <w:szCs w:val="18"/>
        </w:rPr>
        <w:t>36</w:t>
      </w:r>
      <w:r w:rsidRPr="0097765B">
        <w:rPr>
          <w:rFonts w:ascii="SimSun" w:hAnsi="SimSun" w:hint="eastAsia"/>
          <w:iCs/>
          <w:szCs w:val="18"/>
        </w:rPr>
        <w:t>条。</w:t>
      </w:r>
    </w:p>
  </w:footnote>
  <w:footnote w:id="11">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iCs/>
          <w:szCs w:val="18"/>
        </w:rPr>
        <w:t>《土耳其专利法》第</w:t>
      </w:r>
      <w:r w:rsidRPr="0097765B">
        <w:rPr>
          <w:rFonts w:ascii="SimSun" w:hAnsi="SimSun"/>
          <w:iCs/>
          <w:szCs w:val="18"/>
        </w:rPr>
        <w:t>75(c)</w:t>
      </w:r>
      <w:r w:rsidRPr="0097765B">
        <w:rPr>
          <w:rFonts w:ascii="SimSun" w:hAnsi="SimSun" w:hint="eastAsia"/>
          <w:iCs/>
          <w:szCs w:val="18"/>
        </w:rPr>
        <w:t>条。</w:t>
      </w:r>
    </w:p>
  </w:footnote>
  <w:footnote w:id="12">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szCs w:val="18"/>
        </w:rPr>
        <w:t>《意大利知识产权法典》第</w:t>
      </w:r>
      <w:r w:rsidRPr="0097765B">
        <w:rPr>
          <w:rFonts w:ascii="SimSun" w:hAnsi="SimSun"/>
          <w:iCs/>
          <w:szCs w:val="18"/>
        </w:rPr>
        <w:t>68.1(c)</w:t>
      </w:r>
      <w:r w:rsidRPr="0097765B">
        <w:rPr>
          <w:rFonts w:ascii="SimSun" w:hAnsi="SimSun" w:hint="eastAsia"/>
          <w:iCs/>
          <w:szCs w:val="18"/>
        </w:rPr>
        <w:t>条。</w:t>
      </w:r>
    </w:p>
  </w:footnote>
  <w:footnote w:id="13">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iCs/>
          <w:szCs w:val="18"/>
        </w:rPr>
        <w:t>《俄罗斯联邦民法典》第</w:t>
      </w:r>
      <w:r w:rsidRPr="0097765B">
        <w:rPr>
          <w:rFonts w:ascii="SimSun" w:hAnsi="SimSun"/>
          <w:iCs/>
          <w:szCs w:val="18"/>
        </w:rPr>
        <w:t>1359(5)</w:t>
      </w:r>
      <w:r w:rsidRPr="0097765B">
        <w:rPr>
          <w:rFonts w:ascii="SimSun" w:hAnsi="SimSun" w:hint="eastAsia"/>
          <w:iCs/>
          <w:szCs w:val="18"/>
        </w:rPr>
        <w:t>条。</w:t>
      </w:r>
    </w:p>
  </w:footnote>
  <w:footnote w:id="14">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iCs/>
          <w:szCs w:val="18"/>
        </w:rPr>
        <w:t>《塞尔维亚专利法》第</w:t>
      </w:r>
      <w:r w:rsidRPr="0097765B">
        <w:rPr>
          <w:rFonts w:ascii="SimSun" w:hAnsi="SimSun"/>
          <w:iCs/>
          <w:szCs w:val="18"/>
        </w:rPr>
        <w:t>21</w:t>
      </w:r>
      <w:r w:rsidRPr="0097765B">
        <w:rPr>
          <w:rFonts w:ascii="SimSun" w:hAnsi="SimSun" w:hint="eastAsia"/>
          <w:iCs/>
          <w:szCs w:val="18"/>
        </w:rPr>
        <w:t>条第</w:t>
      </w:r>
      <w:r w:rsidRPr="0097765B">
        <w:rPr>
          <w:rFonts w:ascii="SimSun" w:hAnsi="SimSun"/>
          <w:iCs/>
          <w:szCs w:val="18"/>
        </w:rPr>
        <w:t>3</w:t>
      </w:r>
      <w:r w:rsidRPr="0097765B">
        <w:rPr>
          <w:rFonts w:ascii="SimSun" w:hAnsi="SimSun" w:hint="eastAsia"/>
          <w:iCs/>
          <w:szCs w:val="18"/>
        </w:rPr>
        <w:t>款。</w:t>
      </w:r>
    </w:p>
  </w:footnote>
  <w:footnote w:id="15">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szCs w:val="18"/>
        </w:rPr>
        <w:t>许多国家的相关法律中并未明确这种权利，但这类可允许的行为仍可发生(如药房、制药实验室)。</w:t>
      </w:r>
    </w:p>
  </w:footnote>
  <w:footnote w:id="16">
    <w:p w:rsidR="00317942" w:rsidRPr="0097765B" w:rsidRDefault="00317942" w:rsidP="0097765B">
      <w:pPr>
        <w:shd w:val="clear" w:color="auto" w:fill="FFFFFF"/>
        <w:spacing w:afterLines="40" w:after="96" w:line="320" w:lineRule="atLeast"/>
        <w:ind w:left="464" w:hangingChars="258" w:hanging="464"/>
        <w:jc w:val="both"/>
        <w:rPr>
          <w:rFonts w:ascii="SimSun" w:hAnsi="SimSun"/>
          <w:color w:val="333333"/>
          <w:sz w:val="18"/>
          <w:szCs w:val="18"/>
          <w:lang w:val="en"/>
        </w:rPr>
      </w:pPr>
      <w:r w:rsidRPr="0097765B">
        <w:rPr>
          <w:rStyle w:val="af0"/>
          <w:rFonts w:ascii="SimSun" w:hAnsi="SimSun"/>
          <w:sz w:val="18"/>
          <w:szCs w:val="18"/>
        </w:rPr>
        <w:footnoteRef/>
      </w:r>
      <w:r w:rsidRPr="0097765B">
        <w:rPr>
          <w:rFonts w:ascii="SimSun" w:hAnsi="SimSun"/>
          <w:sz w:val="18"/>
          <w:szCs w:val="18"/>
        </w:rPr>
        <w:t xml:space="preserve"> </w:t>
      </w:r>
      <w:r w:rsidRPr="0097765B">
        <w:rPr>
          <w:rFonts w:ascii="SimSun" w:hAnsi="SimSun"/>
          <w:sz w:val="18"/>
          <w:szCs w:val="18"/>
        </w:rPr>
        <w:tab/>
      </w:r>
      <w:r w:rsidRPr="0097765B">
        <w:rPr>
          <w:rFonts w:ascii="SimSun" w:hAnsi="SimSun" w:hint="eastAsia"/>
          <w:sz w:val="18"/>
          <w:szCs w:val="18"/>
        </w:rPr>
        <w:t>在挪威，其理解是例外所包括的“经授权的”药房人员。但是瑞典在答复意见中提到了“药房人员”。</w:t>
      </w:r>
    </w:p>
  </w:footnote>
  <w:footnote w:id="17">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szCs w:val="18"/>
        </w:rPr>
        <w:t>例如，在法国、德国和塞浦路斯。在泰国，提到了“专业药剂师或医疗从业人员”</w:t>
      </w:r>
      <w:r w:rsidRPr="0097765B">
        <w:rPr>
          <w:rFonts w:ascii="SimSun" w:hAnsi="SimSun"/>
          <w:szCs w:val="18"/>
        </w:rPr>
        <w:t>(</w:t>
      </w:r>
      <w:r w:rsidRPr="0097765B">
        <w:rPr>
          <w:rFonts w:ascii="SimSun" w:hAnsi="SimSun" w:hint="eastAsia"/>
          <w:szCs w:val="18"/>
        </w:rPr>
        <w:t>《泰国专利法》第</w:t>
      </w:r>
      <w:r w:rsidRPr="0097765B">
        <w:rPr>
          <w:rFonts w:ascii="SimSun" w:hAnsi="SimSun"/>
          <w:iCs/>
          <w:szCs w:val="18"/>
        </w:rPr>
        <w:t>36(3)</w:t>
      </w:r>
      <w:r w:rsidRPr="0097765B">
        <w:rPr>
          <w:rFonts w:ascii="SimSun" w:hAnsi="SimSun" w:hint="eastAsia"/>
          <w:iCs/>
          <w:szCs w:val="18"/>
        </w:rPr>
        <w:t>条</w:t>
      </w:r>
      <w:r w:rsidRPr="0097765B">
        <w:rPr>
          <w:rFonts w:ascii="SimSun" w:hAnsi="SimSun"/>
          <w:szCs w:val="18"/>
        </w:rPr>
        <w:t>)</w:t>
      </w:r>
      <w:r w:rsidRPr="0097765B">
        <w:rPr>
          <w:rFonts w:ascii="SimSun" w:hAnsi="SimSun" w:hint="eastAsia"/>
          <w:szCs w:val="18"/>
        </w:rPr>
        <w:t>。</w:t>
      </w:r>
    </w:p>
  </w:footnote>
  <w:footnote w:id="18">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szCs w:val="18"/>
        </w:rPr>
        <w:t>《葡萄牙工业产权法典》第</w:t>
      </w:r>
      <w:r w:rsidRPr="0097765B">
        <w:rPr>
          <w:rFonts w:ascii="SimSun" w:hAnsi="SimSun"/>
          <w:szCs w:val="18"/>
        </w:rPr>
        <w:t>102</w:t>
      </w:r>
      <w:r w:rsidRPr="0097765B">
        <w:rPr>
          <w:rFonts w:ascii="SimSun" w:hAnsi="SimSun" w:hint="eastAsia"/>
          <w:szCs w:val="18"/>
        </w:rPr>
        <w:t>条。</w:t>
      </w:r>
    </w:p>
  </w:footnote>
  <w:footnote w:id="19">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szCs w:val="18"/>
        </w:rPr>
        <w:t>2006年5月14日巴西第</w:t>
      </w:r>
      <w:r w:rsidRPr="0097765B">
        <w:rPr>
          <w:rFonts w:ascii="SimSun" w:hAnsi="SimSun"/>
          <w:szCs w:val="18"/>
        </w:rPr>
        <w:t>9.279</w:t>
      </w:r>
      <w:r w:rsidRPr="0097765B">
        <w:rPr>
          <w:rFonts w:ascii="SimSun" w:hAnsi="SimSun" w:hint="eastAsia"/>
          <w:szCs w:val="18"/>
        </w:rPr>
        <w:t>号法令</w:t>
      </w:r>
      <w:r w:rsidRPr="0097765B">
        <w:rPr>
          <w:rFonts w:ascii="SimSun" w:hAnsi="SimSun"/>
          <w:szCs w:val="18"/>
        </w:rPr>
        <w:t>(</w:t>
      </w:r>
      <w:r w:rsidRPr="0097765B">
        <w:rPr>
          <w:rFonts w:ascii="SimSun" w:hAnsi="SimSun" w:hint="eastAsia"/>
          <w:szCs w:val="18"/>
        </w:rPr>
        <w:t>《工业产权法》)</w:t>
      </w:r>
    </w:p>
  </w:footnote>
  <w:footnote w:id="20">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szCs w:val="18"/>
        </w:rPr>
        <w:t>《中国香港专利条例》第</w:t>
      </w:r>
      <w:r w:rsidRPr="0097765B">
        <w:rPr>
          <w:rFonts w:ascii="SimSun" w:hAnsi="SimSun"/>
          <w:szCs w:val="18"/>
        </w:rPr>
        <w:t>75(c)</w:t>
      </w:r>
      <w:r w:rsidRPr="0097765B">
        <w:rPr>
          <w:rFonts w:ascii="SimSun" w:hAnsi="SimSun" w:hint="eastAsia"/>
          <w:szCs w:val="18"/>
        </w:rPr>
        <w:t>条。</w:t>
      </w:r>
    </w:p>
  </w:footnote>
  <w:footnote w:id="21">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iCs/>
          <w:szCs w:val="18"/>
        </w:rPr>
        <w:t>《日本专利法》第</w:t>
      </w:r>
      <w:r w:rsidRPr="0097765B">
        <w:rPr>
          <w:rFonts w:ascii="SimSun" w:hAnsi="SimSun"/>
          <w:iCs/>
          <w:szCs w:val="18"/>
        </w:rPr>
        <w:t>69(3)</w:t>
      </w:r>
      <w:r w:rsidRPr="0097765B">
        <w:rPr>
          <w:rFonts w:ascii="SimSun" w:hAnsi="SimSun" w:hint="eastAsia"/>
          <w:iCs/>
          <w:szCs w:val="18"/>
        </w:rPr>
        <w:t>条。</w:t>
      </w:r>
    </w:p>
  </w:footnote>
  <w:footnote w:id="22">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iCs/>
          <w:szCs w:val="18"/>
        </w:rPr>
        <w:t>《联合王国专利法》第</w:t>
      </w:r>
      <w:r w:rsidRPr="0097765B">
        <w:rPr>
          <w:rFonts w:ascii="SimSun" w:hAnsi="SimSun"/>
          <w:iCs/>
          <w:szCs w:val="18"/>
        </w:rPr>
        <w:t>60(5)(c)</w:t>
      </w:r>
      <w:r w:rsidRPr="0097765B">
        <w:rPr>
          <w:rFonts w:ascii="SimSun" w:hAnsi="SimSun" w:hint="eastAsia"/>
          <w:iCs/>
          <w:szCs w:val="18"/>
        </w:rPr>
        <w:t>条。</w:t>
      </w:r>
    </w:p>
  </w:footnote>
  <w:footnote w:id="23">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szCs w:val="18"/>
        </w:rPr>
        <w:t>见芬兰、匈牙利、意大利和塞尔维亚的答复。</w:t>
      </w:r>
    </w:p>
  </w:footnote>
  <w:footnote w:id="24">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szCs w:val="18"/>
        </w:rPr>
        <w:t>见俄罗斯联邦和摩尔多瓦共和国的答复。</w:t>
      </w:r>
    </w:p>
  </w:footnote>
  <w:footnote w:id="25">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szCs w:val="18"/>
        </w:rPr>
        <w:t>见法国、瑞典和EAPO的答复。</w:t>
      </w:r>
    </w:p>
  </w:footnote>
  <w:footnote w:id="26">
    <w:p w:rsidR="00317942" w:rsidRPr="0097765B" w:rsidRDefault="00317942" w:rsidP="0097765B">
      <w:pPr>
        <w:pStyle w:val="aa"/>
        <w:spacing w:afterLines="40" w:after="96" w:line="320" w:lineRule="atLeast"/>
        <w:ind w:left="464" w:hangingChars="258" w:hanging="464"/>
        <w:jc w:val="both"/>
        <w:rPr>
          <w:rFonts w:ascii="SimSun" w:hAnsi="SimSun"/>
          <w:szCs w:val="18"/>
        </w:rPr>
      </w:pPr>
      <w:r w:rsidRPr="0097765B">
        <w:rPr>
          <w:rStyle w:val="af0"/>
          <w:rFonts w:ascii="SimSun" w:hAnsi="SimSun"/>
          <w:szCs w:val="18"/>
        </w:rPr>
        <w:footnoteRef/>
      </w:r>
      <w:r w:rsidRPr="0097765B">
        <w:rPr>
          <w:rFonts w:ascii="SimSun" w:hAnsi="SimSun"/>
          <w:szCs w:val="18"/>
        </w:rPr>
        <w:t xml:space="preserve"> </w:t>
      </w:r>
      <w:r w:rsidRPr="0097765B">
        <w:rPr>
          <w:rFonts w:ascii="SimSun" w:hAnsi="SimSun"/>
          <w:szCs w:val="18"/>
        </w:rPr>
        <w:tab/>
      </w:r>
      <w:r w:rsidRPr="0097765B">
        <w:rPr>
          <w:rFonts w:ascii="SimSun" w:hAnsi="SimSun" w:hint="eastAsia"/>
          <w:szCs w:val="18"/>
        </w:rPr>
        <w:t>见法国的答复。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942" w:rsidRPr="008406A4" w:rsidRDefault="00317942">
    <w:pPr>
      <w:jc w:val="right"/>
      <w:rPr>
        <w:rFonts w:ascii="SimSun" w:hAnsi="SimSun"/>
        <w:sz w:val="21"/>
        <w:szCs w:val="21"/>
      </w:rPr>
    </w:pPr>
    <w:bookmarkStart w:id="3" w:name="Code2"/>
    <w:bookmarkEnd w:id="3"/>
    <w:r w:rsidRPr="008406A4">
      <w:rPr>
        <w:rFonts w:ascii="SimSun" w:hAnsi="SimSun"/>
        <w:sz w:val="21"/>
        <w:szCs w:val="21"/>
      </w:rPr>
      <w:t>SCP/20/5</w:t>
    </w:r>
  </w:p>
  <w:p w:rsidR="00317942" w:rsidRDefault="008406A4" w:rsidP="008406A4">
    <w:pPr>
      <w:wordWrap w:val="0"/>
      <w:jc w:val="right"/>
      <w:rPr>
        <w:rFonts w:ascii="SimSun" w:hAnsi="SimSun"/>
        <w:sz w:val="21"/>
        <w:szCs w:val="21"/>
      </w:rPr>
    </w:pPr>
    <w:r>
      <w:rPr>
        <w:rFonts w:ascii="SimSun" w:hAnsi="SimSun" w:hint="eastAsia"/>
        <w:sz w:val="21"/>
        <w:szCs w:val="21"/>
      </w:rPr>
      <w:t>第</w:t>
    </w:r>
    <w:r w:rsidR="00317942" w:rsidRPr="008406A4">
      <w:rPr>
        <w:rFonts w:ascii="SimSun" w:hAnsi="SimSun"/>
        <w:sz w:val="21"/>
        <w:szCs w:val="21"/>
      </w:rPr>
      <w:t xml:space="preserve"> </w:t>
    </w:r>
    <w:r w:rsidR="00317942" w:rsidRPr="008406A4">
      <w:rPr>
        <w:rFonts w:ascii="SimSun" w:hAnsi="SimSun"/>
        <w:sz w:val="21"/>
        <w:szCs w:val="21"/>
      </w:rPr>
      <w:fldChar w:fldCharType="begin"/>
    </w:r>
    <w:r w:rsidR="00317942" w:rsidRPr="008406A4">
      <w:rPr>
        <w:rFonts w:ascii="SimSun" w:hAnsi="SimSun"/>
        <w:sz w:val="21"/>
        <w:szCs w:val="21"/>
      </w:rPr>
      <w:instrText xml:space="preserve"> PAGE  \* MERGEFORMAT </w:instrText>
    </w:r>
    <w:r w:rsidR="00317942" w:rsidRPr="008406A4">
      <w:rPr>
        <w:rFonts w:ascii="SimSun" w:hAnsi="SimSun"/>
        <w:sz w:val="21"/>
        <w:szCs w:val="21"/>
      </w:rPr>
      <w:fldChar w:fldCharType="separate"/>
    </w:r>
    <w:r w:rsidR="00DF1584">
      <w:rPr>
        <w:rFonts w:ascii="SimSun" w:hAnsi="SimSun"/>
        <w:noProof/>
        <w:sz w:val="21"/>
        <w:szCs w:val="21"/>
      </w:rPr>
      <w:t>3</w:t>
    </w:r>
    <w:r w:rsidR="00317942" w:rsidRPr="008406A4">
      <w:rPr>
        <w:rFonts w:ascii="SimSun" w:hAnsi="SimSun"/>
        <w:sz w:val="21"/>
        <w:szCs w:val="21"/>
      </w:rPr>
      <w:fldChar w:fldCharType="end"/>
    </w:r>
    <w:r>
      <w:rPr>
        <w:rFonts w:ascii="SimSun" w:hAnsi="SimSun" w:hint="eastAsia"/>
        <w:sz w:val="21"/>
        <w:szCs w:val="21"/>
      </w:rPr>
      <w:t xml:space="preserve"> 页</w:t>
    </w:r>
  </w:p>
  <w:p w:rsidR="008406A4" w:rsidRPr="008406A4" w:rsidRDefault="008406A4" w:rsidP="008406A4">
    <w:pPr>
      <w:jc w:val="right"/>
      <w:rPr>
        <w:rFonts w:ascii="SimSun" w:hAnsi="SimSun"/>
        <w:sz w:val="21"/>
        <w:szCs w:val="21"/>
      </w:rPr>
    </w:pPr>
  </w:p>
  <w:p w:rsidR="00317942" w:rsidRDefault="0031794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C75263"/>
    <w:multiLevelType w:val="hybridMultilevel"/>
    <w:tmpl w:val="C85ADB98"/>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1C6B59"/>
    <w:multiLevelType w:val="hybridMultilevel"/>
    <w:tmpl w:val="0FACB65E"/>
    <w:lvl w:ilvl="0" w:tplc="B5F272C2">
      <w:start w:val="5"/>
      <w:numFmt w:val="bullet"/>
      <w:lvlText w:val=""/>
      <w:lvlJc w:val="left"/>
      <w:pPr>
        <w:tabs>
          <w:tab w:val="num" w:pos="924"/>
        </w:tabs>
        <w:ind w:left="924" w:hanging="360"/>
      </w:pPr>
      <w:rPr>
        <w:rFonts w:ascii="Symbol" w:eastAsia="SimSun"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266789"/>
    <w:multiLevelType w:val="hybridMultilevel"/>
    <w:tmpl w:val="680E821C"/>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9B3F88"/>
    <w:multiLevelType w:val="hybridMultilevel"/>
    <w:tmpl w:val="C04C9828"/>
    <w:lvl w:ilvl="0" w:tplc="DFF2C7F6">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169A4CC2"/>
    <w:multiLevelType w:val="hybridMultilevel"/>
    <w:tmpl w:val="087CD214"/>
    <w:lvl w:ilvl="0" w:tplc="0E7C2BC0">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E14E67"/>
    <w:multiLevelType w:val="hybridMultilevel"/>
    <w:tmpl w:val="F606E098"/>
    <w:lvl w:ilvl="0" w:tplc="B5F272C2">
      <w:start w:val="5"/>
      <w:numFmt w:val="bullet"/>
      <w:lvlText w:val=""/>
      <w:lvlJc w:val="left"/>
      <w:pPr>
        <w:tabs>
          <w:tab w:val="num" w:pos="720"/>
        </w:tabs>
        <w:ind w:left="720" w:hanging="360"/>
      </w:pPr>
      <w:rPr>
        <w:rFonts w:ascii="Symbol" w:eastAsia="SimSun"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064689"/>
    <w:multiLevelType w:val="hybridMultilevel"/>
    <w:tmpl w:val="5E9E2AF6"/>
    <w:lvl w:ilvl="0" w:tplc="0E7881F2">
      <w:start w:val="1"/>
      <w:numFmt w:val="lowerRoman"/>
      <w:lvlText w:val="(%1)"/>
      <w:lvlJc w:val="right"/>
      <w:pPr>
        <w:tabs>
          <w:tab w:val="num" w:pos="2165"/>
        </w:tabs>
        <w:ind w:left="2165" w:hanging="180"/>
      </w:pPr>
      <w:rPr>
        <w:rFonts w:hint="default"/>
      </w:rPr>
    </w:lvl>
    <w:lvl w:ilvl="1" w:tplc="0E7881F2">
      <w:start w:val="1"/>
      <w:numFmt w:val="lowerRoman"/>
      <w:lvlText w:val="(%2)"/>
      <w:lvlJc w:val="right"/>
      <w:pPr>
        <w:tabs>
          <w:tab w:val="num" w:pos="2165"/>
        </w:tabs>
        <w:ind w:left="2165" w:hanging="180"/>
      </w:pPr>
      <w:rPr>
        <w:rFonts w:hint="default"/>
      </w:rPr>
    </w:lvl>
    <w:lvl w:ilvl="2" w:tplc="0409001B" w:tentative="1">
      <w:start w:val="1"/>
      <w:numFmt w:val="lowerRoman"/>
      <w:lvlText w:val="%3."/>
      <w:lvlJc w:val="right"/>
      <w:pPr>
        <w:tabs>
          <w:tab w:val="num" w:pos="3321"/>
        </w:tabs>
        <w:ind w:left="3321" w:hanging="180"/>
      </w:pPr>
    </w:lvl>
    <w:lvl w:ilvl="3" w:tplc="0409000F" w:tentative="1">
      <w:start w:val="1"/>
      <w:numFmt w:val="decimal"/>
      <w:lvlText w:val="%4."/>
      <w:lvlJc w:val="left"/>
      <w:pPr>
        <w:tabs>
          <w:tab w:val="num" w:pos="4041"/>
        </w:tabs>
        <w:ind w:left="4041" w:hanging="360"/>
      </w:pPr>
    </w:lvl>
    <w:lvl w:ilvl="4" w:tplc="04090019" w:tentative="1">
      <w:start w:val="1"/>
      <w:numFmt w:val="lowerLetter"/>
      <w:lvlText w:val="%5."/>
      <w:lvlJc w:val="left"/>
      <w:pPr>
        <w:tabs>
          <w:tab w:val="num" w:pos="4761"/>
        </w:tabs>
        <w:ind w:left="4761" w:hanging="360"/>
      </w:pPr>
    </w:lvl>
    <w:lvl w:ilvl="5" w:tplc="0409001B" w:tentative="1">
      <w:start w:val="1"/>
      <w:numFmt w:val="lowerRoman"/>
      <w:lvlText w:val="%6."/>
      <w:lvlJc w:val="right"/>
      <w:pPr>
        <w:tabs>
          <w:tab w:val="num" w:pos="5481"/>
        </w:tabs>
        <w:ind w:left="5481" w:hanging="180"/>
      </w:pPr>
    </w:lvl>
    <w:lvl w:ilvl="6" w:tplc="0409000F" w:tentative="1">
      <w:start w:val="1"/>
      <w:numFmt w:val="decimal"/>
      <w:lvlText w:val="%7."/>
      <w:lvlJc w:val="left"/>
      <w:pPr>
        <w:tabs>
          <w:tab w:val="num" w:pos="6201"/>
        </w:tabs>
        <w:ind w:left="6201" w:hanging="360"/>
      </w:pPr>
    </w:lvl>
    <w:lvl w:ilvl="7" w:tplc="04090019" w:tentative="1">
      <w:start w:val="1"/>
      <w:numFmt w:val="lowerLetter"/>
      <w:lvlText w:val="%8."/>
      <w:lvlJc w:val="left"/>
      <w:pPr>
        <w:tabs>
          <w:tab w:val="num" w:pos="6921"/>
        </w:tabs>
        <w:ind w:left="6921" w:hanging="360"/>
      </w:pPr>
    </w:lvl>
    <w:lvl w:ilvl="8" w:tplc="0409001B" w:tentative="1">
      <w:start w:val="1"/>
      <w:numFmt w:val="lowerRoman"/>
      <w:lvlText w:val="%9."/>
      <w:lvlJc w:val="right"/>
      <w:pPr>
        <w:tabs>
          <w:tab w:val="num" w:pos="7641"/>
        </w:tabs>
        <w:ind w:left="7641"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D12EDE"/>
    <w:multiLevelType w:val="hybridMultilevel"/>
    <w:tmpl w:val="654A2A1C"/>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1A2CFC"/>
    <w:multiLevelType w:val="hybridMultilevel"/>
    <w:tmpl w:val="E1DEBAFA"/>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B26984"/>
    <w:multiLevelType w:val="hybridMultilevel"/>
    <w:tmpl w:val="155CB014"/>
    <w:lvl w:ilvl="0" w:tplc="FA4256B6">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38699E"/>
    <w:multiLevelType w:val="hybridMultilevel"/>
    <w:tmpl w:val="1AE0622C"/>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061"/>
        </w:tabs>
        <w:ind w:left="2061" w:hanging="360"/>
      </w:pPr>
      <w:rPr>
        <w:rFonts w:ascii="Courier New" w:hAnsi="Courier New" w:cs="Courier New" w:hint="default"/>
      </w:rPr>
    </w:lvl>
    <w:lvl w:ilvl="2" w:tplc="04090005">
      <w:start w:val="1"/>
      <w:numFmt w:val="bullet"/>
      <w:lvlText w:val=""/>
      <w:lvlJc w:val="left"/>
      <w:pPr>
        <w:tabs>
          <w:tab w:val="num" w:pos="2781"/>
        </w:tabs>
        <w:ind w:left="2781" w:hanging="360"/>
      </w:pPr>
      <w:rPr>
        <w:rFonts w:ascii="Wingdings" w:hAnsi="Wingdings" w:hint="default"/>
      </w:rPr>
    </w:lvl>
    <w:lvl w:ilvl="3" w:tplc="04090001">
      <w:start w:val="1"/>
      <w:numFmt w:val="bullet"/>
      <w:lvlText w:val=""/>
      <w:lvlJc w:val="left"/>
      <w:pPr>
        <w:tabs>
          <w:tab w:val="num" w:pos="3501"/>
        </w:tabs>
        <w:ind w:left="3501" w:hanging="360"/>
      </w:pPr>
      <w:rPr>
        <w:rFonts w:ascii="Symbol" w:hAnsi="Symbol" w:hint="default"/>
      </w:rPr>
    </w:lvl>
    <w:lvl w:ilvl="4" w:tplc="04090003">
      <w:start w:val="1"/>
      <w:numFmt w:val="bullet"/>
      <w:lvlText w:val="o"/>
      <w:lvlJc w:val="left"/>
      <w:pPr>
        <w:tabs>
          <w:tab w:val="num" w:pos="4221"/>
        </w:tabs>
        <w:ind w:left="4221" w:hanging="360"/>
      </w:pPr>
      <w:rPr>
        <w:rFonts w:ascii="Courier New" w:hAnsi="Courier New" w:cs="Courier New" w:hint="default"/>
      </w:rPr>
    </w:lvl>
    <w:lvl w:ilvl="5" w:tplc="04090005" w:tentative="1">
      <w:start w:val="1"/>
      <w:numFmt w:val="bullet"/>
      <w:lvlText w:val=""/>
      <w:lvlJc w:val="left"/>
      <w:pPr>
        <w:tabs>
          <w:tab w:val="num" w:pos="4941"/>
        </w:tabs>
        <w:ind w:left="4941" w:hanging="360"/>
      </w:pPr>
      <w:rPr>
        <w:rFonts w:ascii="Wingdings" w:hAnsi="Wingdings" w:hint="default"/>
      </w:rPr>
    </w:lvl>
    <w:lvl w:ilvl="6" w:tplc="04090001" w:tentative="1">
      <w:start w:val="1"/>
      <w:numFmt w:val="bullet"/>
      <w:lvlText w:val=""/>
      <w:lvlJc w:val="left"/>
      <w:pPr>
        <w:tabs>
          <w:tab w:val="num" w:pos="5661"/>
        </w:tabs>
        <w:ind w:left="5661" w:hanging="360"/>
      </w:pPr>
      <w:rPr>
        <w:rFonts w:ascii="Symbol" w:hAnsi="Symbol" w:hint="default"/>
      </w:rPr>
    </w:lvl>
    <w:lvl w:ilvl="7" w:tplc="04090003" w:tentative="1">
      <w:start w:val="1"/>
      <w:numFmt w:val="bullet"/>
      <w:lvlText w:val="o"/>
      <w:lvlJc w:val="left"/>
      <w:pPr>
        <w:tabs>
          <w:tab w:val="num" w:pos="6381"/>
        </w:tabs>
        <w:ind w:left="6381" w:hanging="360"/>
      </w:pPr>
      <w:rPr>
        <w:rFonts w:ascii="Courier New" w:hAnsi="Courier New" w:cs="Courier New" w:hint="default"/>
      </w:rPr>
    </w:lvl>
    <w:lvl w:ilvl="8" w:tplc="04090005" w:tentative="1">
      <w:start w:val="1"/>
      <w:numFmt w:val="bullet"/>
      <w:lvlText w:val=""/>
      <w:lvlJc w:val="left"/>
      <w:pPr>
        <w:tabs>
          <w:tab w:val="num" w:pos="7101"/>
        </w:tabs>
        <w:ind w:left="7101" w:hanging="360"/>
      </w:pPr>
      <w:rPr>
        <w:rFonts w:ascii="Wingdings" w:hAnsi="Wingdings" w:hint="default"/>
      </w:rPr>
    </w:lvl>
  </w:abstractNum>
  <w:abstractNum w:abstractNumId="15">
    <w:nsid w:val="3A1735E4"/>
    <w:multiLevelType w:val="hybridMultilevel"/>
    <w:tmpl w:val="77C64ED0"/>
    <w:lvl w:ilvl="0" w:tplc="0E7C2BC0">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6">
    <w:nsid w:val="3BCF3A47"/>
    <w:multiLevelType w:val="hybridMultilevel"/>
    <w:tmpl w:val="FDAE9856"/>
    <w:lvl w:ilvl="0" w:tplc="DFF2C7F6">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9F2C03"/>
    <w:multiLevelType w:val="hybridMultilevel"/>
    <w:tmpl w:val="3EA818AE"/>
    <w:lvl w:ilvl="0" w:tplc="0E7C2BC0">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60E37BB"/>
    <w:multiLevelType w:val="hybridMultilevel"/>
    <w:tmpl w:val="7D20CB00"/>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A4531D"/>
    <w:multiLevelType w:val="hybridMultilevel"/>
    <w:tmpl w:val="95100CF2"/>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3731D4"/>
    <w:multiLevelType w:val="hybridMultilevel"/>
    <w:tmpl w:val="7D8CFFD2"/>
    <w:lvl w:ilvl="0" w:tplc="B5F272C2">
      <w:start w:val="5"/>
      <w:numFmt w:val="bullet"/>
      <w:lvlText w:val=""/>
      <w:lvlJc w:val="left"/>
      <w:pPr>
        <w:tabs>
          <w:tab w:val="num" w:pos="924"/>
        </w:tabs>
        <w:ind w:left="924" w:hanging="360"/>
      </w:pPr>
      <w:rPr>
        <w:rFonts w:ascii="Symbol" w:eastAsia="SimSun"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7A398A"/>
    <w:multiLevelType w:val="hybridMultilevel"/>
    <w:tmpl w:val="F9164FC2"/>
    <w:lvl w:ilvl="0" w:tplc="938851B4">
      <w:numFmt w:val="bullet"/>
      <w:lvlText w:val="-"/>
      <w:lvlJc w:val="left"/>
      <w:pPr>
        <w:tabs>
          <w:tab w:val="num" w:pos="930"/>
        </w:tabs>
        <w:ind w:left="930" w:hanging="57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DC7DD7"/>
    <w:multiLevelType w:val="hybridMultilevel"/>
    <w:tmpl w:val="084815AC"/>
    <w:lvl w:ilvl="0" w:tplc="B5F272C2">
      <w:start w:val="5"/>
      <w:numFmt w:val="bullet"/>
      <w:lvlText w:val=""/>
      <w:lvlJc w:val="left"/>
      <w:pPr>
        <w:tabs>
          <w:tab w:val="num" w:pos="1491"/>
        </w:tabs>
        <w:ind w:left="1491" w:hanging="360"/>
      </w:pPr>
      <w:rPr>
        <w:rFonts w:ascii="Symbol" w:eastAsia="SimSun" w:hAnsi="Symbol" w:hint="default"/>
        <w:sz w:val="22"/>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nsid w:val="5A1236B8"/>
    <w:multiLevelType w:val="hybridMultilevel"/>
    <w:tmpl w:val="DA907A22"/>
    <w:lvl w:ilvl="0" w:tplc="0E7C2BC0">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4DA3D22"/>
    <w:multiLevelType w:val="hybridMultilevel"/>
    <w:tmpl w:val="2DFEF74C"/>
    <w:lvl w:ilvl="0" w:tplc="EC02C578">
      <w:numFmt w:val="bullet"/>
      <w:lvlText w:val="-"/>
      <w:lvlJc w:val="left"/>
      <w:pPr>
        <w:tabs>
          <w:tab w:val="num" w:pos="1167"/>
        </w:tabs>
        <w:ind w:left="1167" w:hanging="600"/>
      </w:pPr>
      <w:rPr>
        <w:rFonts w:ascii="Arial" w:eastAsia="MS Mincho"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7">
    <w:nsid w:val="66EB19DC"/>
    <w:multiLevelType w:val="hybridMultilevel"/>
    <w:tmpl w:val="6A549A1E"/>
    <w:lvl w:ilvl="0" w:tplc="0E7C2BC0">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D03153"/>
    <w:multiLevelType w:val="hybridMultilevel"/>
    <w:tmpl w:val="40B61242"/>
    <w:lvl w:ilvl="0" w:tplc="443647EA">
      <w:start w:val="9"/>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9">
    <w:nsid w:val="6CEA097D"/>
    <w:multiLevelType w:val="hybridMultilevel"/>
    <w:tmpl w:val="51CC5704"/>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404F4C"/>
    <w:multiLevelType w:val="hybridMultilevel"/>
    <w:tmpl w:val="B8D2CC9E"/>
    <w:lvl w:ilvl="0" w:tplc="B01E02EE">
      <w:numFmt w:val="bullet"/>
      <w:lvlText w:val="-"/>
      <w:lvlJc w:val="left"/>
      <w:pPr>
        <w:tabs>
          <w:tab w:val="num" w:pos="1143"/>
        </w:tabs>
        <w:ind w:left="1143" w:hanging="576"/>
      </w:pPr>
      <w:rPr>
        <w:rFonts w:ascii="Arial" w:eastAsia="MS Mincho"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1">
    <w:nsid w:val="7439118E"/>
    <w:multiLevelType w:val="hybridMultilevel"/>
    <w:tmpl w:val="73424EC6"/>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A707CAF"/>
    <w:multiLevelType w:val="multilevel"/>
    <w:tmpl w:val="F9164FC2"/>
    <w:lvl w:ilvl="0">
      <w:numFmt w:val="bullet"/>
      <w:lvlText w:val="-"/>
      <w:lvlJc w:val="left"/>
      <w:pPr>
        <w:tabs>
          <w:tab w:val="num" w:pos="930"/>
        </w:tabs>
        <w:ind w:left="930" w:hanging="570"/>
      </w:pPr>
      <w:rPr>
        <w:rFonts w:ascii="Arial" w:eastAsia="SimSu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B9F53C0"/>
    <w:multiLevelType w:val="hybridMultilevel"/>
    <w:tmpl w:val="4B8457B2"/>
    <w:lvl w:ilvl="0" w:tplc="0E7C2BC0">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C255E21"/>
    <w:multiLevelType w:val="hybridMultilevel"/>
    <w:tmpl w:val="DDFEF4C8"/>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0"/>
  </w:num>
  <w:num w:numId="4">
    <w:abstractNumId w:val="20"/>
  </w:num>
  <w:num w:numId="5">
    <w:abstractNumId w:val="2"/>
  </w:num>
  <w:num w:numId="6">
    <w:abstractNumId w:val="10"/>
  </w:num>
  <w:num w:numId="7">
    <w:abstractNumId w:val="15"/>
  </w:num>
  <w:num w:numId="8">
    <w:abstractNumId w:val="9"/>
  </w:num>
  <w:num w:numId="9">
    <w:abstractNumId w:val="12"/>
  </w:num>
  <w:num w:numId="10">
    <w:abstractNumId w:val="33"/>
  </w:num>
  <w:num w:numId="11">
    <w:abstractNumId w:val="19"/>
  </w:num>
  <w:num w:numId="12">
    <w:abstractNumId w:val="17"/>
  </w:num>
  <w:num w:numId="13">
    <w:abstractNumId w:val="34"/>
  </w:num>
  <w:num w:numId="14">
    <w:abstractNumId w:val="4"/>
  </w:num>
  <w:num w:numId="15">
    <w:abstractNumId w:val="1"/>
  </w:num>
  <w:num w:numId="16">
    <w:abstractNumId w:val="6"/>
  </w:num>
  <w:num w:numId="17">
    <w:abstractNumId w:val="27"/>
  </w:num>
  <w:num w:numId="18">
    <w:abstractNumId w:val="31"/>
  </w:num>
  <w:num w:numId="19">
    <w:abstractNumId w:val="14"/>
  </w:num>
  <w:num w:numId="20">
    <w:abstractNumId w:val="21"/>
  </w:num>
  <w:num w:numId="21">
    <w:abstractNumId w:val="25"/>
  </w:num>
  <w:num w:numId="22">
    <w:abstractNumId w:val="11"/>
  </w:num>
  <w:num w:numId="23">
    <w:abstractNumId w:val="29"/>
  </w:num>
  <w:num w:numId="24">
    <w:abstractNumId w:val="5"/>
  </w:num>
  <w:num w:numId="25">
    <w:abstractNumId w:val="28"/>
  </w:num>
  <w:num w:numId="26">
    <w:abstractNumId w:val="16"/>
  </w:num>
  <w:num w:numId="27">
    <w:abstractNumId w:val="30"/>
  </w:num>
  <w:num w:numId="28">
    <w:abstractNumId w:val="3"/>
  </w:num>
  <w:num w:numId="29">
    <w:abstractNumId w:val="23"/>
  </w:num>
  <w:num w:numId="30">
    <w:abstractNumId w:val="32"/>
  </w:num>
  <w:num w:numId="31">
    <w:abstractNumId w:val="8"/>
  </w:num>
  <w:num w:numId="32">
    <w:abstractNumId w:val="24"/>
  </w:num>
  <w:num w:numId="33">
    <w:abstractNumId w:val="26"/>
  </w:num>
  <w:num w:numId="34">
    <w:abstractNumId w:val="2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42C"/>
    <w:rsid w:val="002D0FA4"/>
    <w:rsid w:val="00317942"/>
    <w:rsid w:val="00427A87"/>
    <w:rsid w:val="004F5803"/>
    <w:rsid w:val="005508E3"/>
    <w:rsid w:val="007A0744"/>
    <w:rsid w:val="008406A4"/>
    <w:rsid w:val="008F242C"/>
    <w:rsid w:val="0097765B"/>
    <w:rsid w:val="00A8532E"/>
    <w:rsid w:val="00BE7463"/>
    <w:rsid w:val="00D0626F"/>
    <w:rsid w:val="00D46A48"/>
    <w:rsid w:val="00DF1584"/>
    <w:rsid w:val="00EC2D77"/>
    <w:rsid w:val="00F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paragraph" w:styleId="5">
    <w:name w:val="heading 5"/>
    <w:basedOn w:val="a0"/>
    <w:next w:val="a0"/>
    <w:qFormat/>
    <w:pPr>
      <w:spacing w:after="120" w:line="260" w:lineRule="atLeast"/>
      <w:ind w:left="1021"/>
      <w:contextualSpacing/>
      <w:outlineLvl w:val="4"/>
    </w:pPr>
    <w:rPr>
      <w:rFonts w:eastAsia="Times New Roman" w:cs="Times New Roman"/>
      <w:sz w:val="20"/>
      <w:lang w:eastAsia="en-US"/>
    </w:rPr>
  </w:style>
  <w:style w:type="paragraph" w:styleId="6">
    <w:name w:val="heading 6"/>
    <w:basedOn w:val="a0"/>
    <w:next w:val="a0"/>
    <w:qFormat/>
    <w:pPr>
      <w:spacing w:after="120" w:line="260" w:lineRule="atLeast"/>
      <w:ind w:left="1021"/>
      <w:contextualSpacing/>
      <w:outlineLvl w:val="5"/>
    </w:pPr>
    <w:rPr>
      <w:rFonts w:eastAsia="Times New Roman" w:cs="Times New Roman"/>
      <w:sz w:val="20"/>
      <w:lang w:eastAsia="en-US"/>
    </w:rPr>
  </w:style>
  <w:style w:type="paragraph" w:styleId="9">
    <w:name w:val="heading 9"/>
    <w:basedOn w:val="a0"/>
    <w:next w:val="a0"/>
    <w:qFormat/>
    <w:pPr>
      <w:spacing w:before="240" w:after="60" w:line="260" w:lineRule="atLeast"/>
      <w:ind w:left="1021"/>
      <w:contextualSpacing/>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pPr>
      <w:ind w:left="5534"/>
    </w:pPr>
  </w:style>
  <w:style w:type="paragraph" w:styleId="a4">
    <w:name w:val="Body Text"/>
    <w:basedOn w:val="a0"/>
    <w:semiHidden/>
    <w:pPr>
      <w:spacing w:after="220"/>
    </w:pPr>
  </w:style>
  <w:style w:type="paragraph" w:styleId="a5">
    <w:name w:val="caption"/>
    <w:basedOn w:val="a0"/>
    <w:next w:val="a0"/>
    <w:qFormat/>
    <w:rPr>
      <w:b/>
      <w:bCs/>
      <w:sz w:val="18"/>
    </w:rPr>
  </w:style>
  <w:style w:type="paragraph" w:styleId="a6">
    <w:name w:val="annotation text"/>
    <w:basedOn w:val="a0"/>
    <w:semiHidden/>
    <w:rPr>
      <w:sz w:val="18"/>
    </w:rPr>
  </w:style>
  <w:style w:type="paragraph" w:styleId="a7">
    <w:name w:val="endnote text"/>
    <w:basedOn w:val="a0"/>
    <w:semiHidden/>
    <w:rPr>
      <w:sz w:val="18"/>
    </w:rPr>
  </w:style>
  <w:style w:type="paragraph" w:styleId="a8">
    <w:name w:val="footer"/>
    <w:basedOn w:val="a0"/>
    <w:semiHidden/>
    <w:pPr>
      <w:tabs>
        <w:tab w:val="center" w:pos="4320"/>
        <w:tab w:val="right" w:pos="8640"/>
      </w:tabs>
    </w:pPr>
  </w:style>
  <w:style w:type="paragraph" w:styleId="a9">
    <w:name w:val="Balloon Text"/>
    <w:basedOn w:val="a0"/>
    <w:semiHidden/>
    <w:rPr>
      <w:rFonts w:ascii="Tahoma" w:hAnsi="Tahoma" w:cs="Tahoma"/>
      <w:sz w:val="16"/>
      <w:szCs w:val="16"/>
    </w:rPr>
  </w:style>
  <w:style w:type="paragraph" w:styleId="aa">
    <w:name w:val="footnote text"/>
    <w:basedOn w:val="a0"/>
    <w:semiHidden/>
    <w:rPr>
      <w:sz w:val="18"/>
    </w:rPr>
  </w:style>
  <w:style w:type="paragraph" w:styleId="ab">
    <w:name w:val="header"/>
    <w:basedOn w:val="a0"/>
    <w:semiHidden/>
    <w:pPr>
      <w:tabs>
        <w:tab w:val="center" w:pos="4536"/>
        <w:tab w:val="right" w:pos="9072"/>
      </w:tabs>
    </w:pPr>
  </w:style>
  <w:style w:type="paragraph" w:styleId="a">
    <w:name w:val="List Number"/>
    <w:basedOn w:val="a0"/>
    <w:semiHidden/>
    <w:pPr>
      <w:numPr>
        <w:numId w:val="4"/>
      </w:numPr>
    </w:pPr>
  </w:style>
  <w:style w:type="paragraph" w:customStyle="1" w:styleId="ONUME">
    <w:name w:val="ONUM E"/>
    <w:basedOn w:val="a4"/>
    <w:pPr>
      <w:numPr>
        <w:numId w:val="5"/>
      </w:numPr>
    </w:pPr>
  </w:style>
  <w:style w:type="paragraph" w:customStyle="1" w:styleId="ONUMFS">
    <w:name w:val="ONUM FS"/>
    <w:basedOn w:val="a4"/>
    <w:pPr>
      <w:numPr>
        <w:numId w:val="6"/>
      </w:numPr>
    </w:pPr>
  </w:style>
  <w:style w:type="paragraph" w:styleId="ac">
    <w:name w:val="Salutation"/>
    <w:basedOn w:val="a0"/>
    <w:next w:val="a0"/>
    <w:semiHidden/>
  </w:style>
  <w:style w:type="paragraph" w:styleId="ad">
    <w:name w:val="Signature"/>
    <w:basedOn w:val="a0"/>
    <w:semiHidden/>
    <w:pPr>
      <w:ind w:left="5250"/>
    </w:pPr>
  </w:style>
  <w:style w:type="paragraph" w:styleId="ae">
    <w:name w:val="Body Text Indent"/>
    <w:basedOn w:val="a0"/>
    <w:semiHidden/>
    <w:pPr>
      <w:spacing w:after="120" w:line="260" w:lineRule="atLeast"/>
      <w:ind w:left="567"/>
      <w:contextualSpacing/>
    </w:pPr>
    <w:rPr>
      <w:rFonts w:eastAsia="Times New Roman" w:cs="Times New Roman"/>
      <w:sz w:val="20"/>
      <w:lang w:eastAsia="en-US"/>
    </w:rPr>
  </w:style>
  <w:style w:type="paragraph" w:styleId="af">
    <w:name w:val="Closing"/>
    <w:basedOn w:val="a0"/>
    <w:semiHidden/>
    <w:pPr>
      <w:spacing w:after="120" w:line="260" w:lineRule="atLeast"/>
      <w:ind w:left="4536"/>
      <w:contextualSpacing/>
      <w:jc w:val="center"/>
    </w:pPr>
    <w:rPr>
      <w:rFonts w:eastAsia="Times New Roman" w:cs="Times New Roman"/>
      <w:sz w:val="20"/>
      <w:lang w:eastAsia="en-US"/>
    </w:rPr>
  </w:style>
  <w:style w:type="paragraph" w:customStyle="1" w:styleId="Committee">
    <w:name w:val="Committee"/>
    <w:basedOn w:val="a0"/>
    <w:semiHidden/>
    <w:pPr>
      <w:spacing w:after="300" w:line="260" w:lineRule="atLeast"/>
      <w:ind w:left="1021"/>
      <w:contextualSpacing/>
      <w:jc w:val="center"/>
    </w:pPr>
    <w:rPr>
      <w:rFonts w:eastAsia="Times New Roman" w:cs="Times New Roman"/>
      <w:b/>
      <w:caps/>
      <w:kern w:val="28"/>
      <w:sz w:val="30"/>
      <w:lang w:eastAsia="en-US"/>
    </w:rPr>
  </w:style>
  <w:style w:type="paragraph" w:customStyle="1" w:styleId="DecisionInvitingPara">
    <w:name w:val="Decision Inviting Para."/>
    <w:basedOn w:val="a0"/>
    <w:pPr>
      <w:spacing w:after="120" w:line="260" w:lineRule="atLeast"/>
      <w:ind w:left="5534"/>
      <w:contextualSpacing/>
    </w:pPr>
    <w:rPr>
      <w:rFonts w:eastAsia="Times New Roman" w:cs="Times New Roman"/>
      <w:i/>
      <w:sz w:val="20"/>
      <w:lang w:eastAsia="en-US"/>
    </w:rPr>
  </w:style>
  <w:style w:type="paragraph" w:customStyle="1" w:styleId="PlaceAndDate">
    <w:name w:val="PlaceAndDate"/>
    <w:basedOn w:val="Session"/>
    <w:semiHidden/>
  </w:style>
  <w:style w:type="paragraph" w:customStyle="1" w:styleId="Session">
    <w:name w:val="Session"/>
    <w:basedOn w:val="a0"/>
    <w:semiHidden/>
    <w:pPr>
      <w:spacing w:before="60" w:after="120" w:line="260" w:lineRule="atLeast"/>
      <w:ind w:left="1021"/>
      <w:contextualSpacing/>
      <w:jc w:val="center"/>
    </w:pPr>
    <w:rPr>
      <w:rFonts w:eastAsia="Times New Roman" w:cs="Times New Roman"/>
      <w:b/>
      <w:sz w:val="30"/>
      <w:lang w:eastAsia="en-US"/>
    </w:rPr>
  </w:style>
  <w:style w:type="paragraph" w:customStyle="1" w:styleId="Endofdocument">
    <w:name w:val="End of document"/>
    <w:basedOn w:val="a0"/>
    <w:pPr>
      <w:spacing w:after="120" w:line="260" w:lineRule="atLeast"/>
      <w:ind w:left="5534"/>
      <w:contextualSpacing/>
    </w:pPr>
    <w:rPr>
      <w:rFonts w:eastAsia="Times New Roman" w:cs="Times New Roman"/>
      <w:sz w:val="20"/>
      <w:lang w:eastAsia="en-US"/>
    </w:rPr>
  </w:style>
  <w:style w:type="character" w:styleId="af0">
    <w:name w:val="footnote reference"/>
    <w:semiHidden/>
    <w:rPr>
      <w:vertAlign w:val="superscript"/>
    </w:rPr>
  </w:style>
  <w:style w:type="paragraph" w:styleId="af1">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a0"/>
    <w:semiHidden/>
    <w:pPr>
      <w:spacing w:after="600" w:line="260" w:lineRule="atLeast"/>
      <w:ind w:left="-992" w:right="-992"/>
      <w:contextualSpacing/>
      <w:jc w:val="center"/>
    </w:pPr>
    <w:rPr>
      <w:rFonts w:eastAsia="Times New Roman" w:cs="Times New Roman"/>
      <w:b/>
      <w:caps/>
      <w:kern w:val="26"/>
      <w:sz w:val="26"/>
      <w:lang w:eastAsia="en-US"/>
    </w:rPr>
  </w:style>
  <w:style w:type="paragraph" w:customStyle="1" w:styleId="preparedby">
    <w:name w:val="prepared by"/>
    <w:basedOn w:val="a0"/>
    <w:next w:val="a0"/>
    <w:pPr>
      <w:spacing w:before="120" w:after="480" w:line="260" w:lineRule="atLeast"/>
      <w:ind w:left="1021"/>
      <w:contextualSpacing/>
    </w:pPr>
    <w:rPr>
      <w:rFonts w:eastAsia="Times New Roman" w:cs="Times New Roman"/>
      <w:i/>
      <w:sz w:val="20"/>
      <w:lang w:eastAsia="en-US"/>
    </w:rPr>
  </w:style>
  <w:style w:type="paragraph" w:styleId="af2">
    <w:name w:val="Title"/>
    <w:basedOn w:val="a0"/>
    <w:qFormat/>
    <w:pPr>
      <w:spacing w:after="300" w:line="260" w:lineRule="atLeast"/>
      <w:ind w:left="1021"/>
      <w:contextualSpacing/>
      <w:jc w:val="center"/>
    </w:pPr>
    <w:rPr>
      <w:rFonts w:eastAsia="Times New Roman" w:cs="Times New Roman"/>
      <w:b/>
      <w:caps/>
      <w:kern w:val="28"/>
      <w:sz w:val="30"/>
      <w:lang w:eastAsia="en-US"/>
    </w:rPr>
  </w:style>
  <w:style w:type="paragraph" w:customStyle="1" w:styleId="Documenttitle">
    <w:name w:val="Document title"/>
    <w:basedOn w:val="a0"/>
    <w:next w:val="preparedby"/>
    <w:pPr>
      <w:spacing w:before="840" w:line="336" w:lineRule="exact"/>
      <w:ind w:left="1021"/>
      <w:contextualSpacing/>
    </w:pPr>
    <w:rPr>
      <w:rFonts w:eastAsia="Times New Roman" w:cs="Times New Roman"/>
      <w:sz w:val="24"/>
      <w:lang w:eastAsia="en-US"/>
    </w:rPr>
  </w:style>
  <w:style w:type="paragraph" w:styleId="90">
    <w:name w:val="toc 9"/>
    <w:basedOn w:val="a0"/>
    <w:next w:val="a0"/>
    <w:semiHidden/>
    <w:pPr>
      <w:tabs>
        <w:tab w:val="right" w:leader="dot" w:pos="9071"/>
      </w:tabs>
      <w:spacing w:after="120" w:line="260" w:lineRule="atLeast"/>
      <w:ind w:left="1920"/>
      <w:contextualSpacing/>
    </w:pPr>
    <w:rPr>
      <w:rFonts w:eastAsia="Times New Roman" w:cs="Times New Roman"/>
      <w:sz w:val="20"/>
      <w:lang w:eastAsia="en-US"/>
    </w:rPr>
  </w:style>
  <w:style w:type="paragraph" w:customStyle="1" w:styleId="MeetinglanguageDate">
    <w:name w:val="Meeting language &amp; Date"/>
    <w:basedOn w:val="a0"/>
    <w:next w:val="Meetingtitle"/>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a0"/>
    <w:next w:val="Sessiontitle"/>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Documenttitle"/>
    <w:pPr>
      <w:spacing w:before="0"/>
      <w:contextualSpacing w:val="0"/>
    </w:pPr>
  </w:style>
  <w:style w:type="paragraph" w:customStyle="1" w:styleId="Language">
    <w:name w:val="Language"/>
    <w:basedOn w:val="a0"/>
    <w:next w:val="a0"/>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a0"/>
    <w:semiHidden/>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rPr>
      <w:rFonts w:ascii="Arial"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a0"/>
    <w:semiHidden/>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rPr>
      <w:rFonts w:ascii="Arial" w:hAnsi="Arial"/>
      <w:caps/>
      <w:sz w:val="16"/>
      <w:lang w:val="en-US" w:eastAsia="en-US" w:bidi="ar-SA"/>
    </w:rPr>
  </w:style>
  <w:style w:type="paragraph" w:customStyle="1" w:styleId="TESTorganisation">
    <w:name w:val="TESTorganisation"/>
    <w:basedOn w:val="TESTintellectualproperty"/>
    <w:next w:val="MeetingCode"/>
    <w:semiHidden/>
  </w:style>
  <w:style w:type="paragraph" w:customStyle="1" w:styleId="MeetingCode">
    <w:name w:val="Meeting Code"/>
    <w:basedOn w:val="MeetinglanguageDate"/>
    <w:pPr>
      <w:spacing w:before="1800" w:after="0"/>
    </w:pPr>
  </w:style>
  <w:style w:type="character" w:customStyle="1" w:styleId="TESTorganisationChar">
    <w:name w:val="TESTorganisation Char"/>
    <w:basedOn w:val="TESTintellectualpropertyChar"/>
    <w:rPr>
      <w:rFonts w:ascii="Arial" w:hAnsi="Arial"/>
      <w:caps/>
      <w:sz w:val="16"/>
      <w:lang w:val="en-US" w:eastAsia="en-US" w:bidi="ar-SA"/>
    </w:rPr>
  </w:style>
  <w:style w:type="paragraph" w:customStyle="1" w:styleId="TestIWIPO">
    <w:name w:val="Test I WIPO"/>
    <w:basedOn w:val="TESTwiposouslogo"/>
    <w:semiHidden/>
    <w:pPr>
      <w:ind w:right="4763"/>
    </w:pPr>
    <w:rPr>
      <w:sz w:val="28"/>
      <w:szCs w:val="28"/>
    </w:rPr>
  </w:style>
  <w:style w:type="character" w:customStyle="1" w:styleId="TestIWIPOChar">
    <w:name w:val="Test I WIPO Char"/>
    <w:rPr>
      <w:rFonts w:ascii="Arial" w:hAnsi="Arial"/>
      <w:b/>
      <w:w w:val="150"/>
      <w:sz w:val="28"/>
      <w:szCs w:val="28"/>
      <w:lang w:val="fr-FR" w:eastAsia="en-US" w:bidi="ar-SA"/>
    </w:rPr>
  </w:style>
  <w:style w:type="paragraph" w:customStyle="1" w:styleId="TESTIintellectual">
    <w:name w:val="TEST I intellectual"/>
    <w:basedOn w:val="TESTintellectualproperty"/>
    <w:semiHidden/>
    <w:rPr>
      <w:rFonts w:ascii="Arial Black" w:hAnsi="Arial Black"/>
      <w:b/>
      <w:sz w:val="20"/>
    </w:rPr>
  </w:style>
  <w:style w:type="character" w:customStyle="1" w:styleId="TESTIintellectualChar">
    <w:name w:val="TEST I intellectual Char"/>
    <w:rPr>
      <w:rFonts w:ascii="Arial Black" w:hAnsi="Arial Black"/>
      <w:b/>
      <w:caps/>
      <w:sz w:val="16"/>
      <w:lang w:val="en-US" w:eastAsia="en-US" w:bidi="ar-SA"/>
    </w:rPr>
  </w:style>
  <w:style w:type="paragraph" w:customStyle="1" w:styleId="TESTIorganisation">
    <w:name w:val="TEST I organisation"/>
    <w:basedOn w:val="TESTorganisation"/>
    <w:semiHidden/>
    <w:rPr>
      <w:b/>
      <w:sz w:val="20"/>
    </w:rPr>
  </w:style>
  <w:style w:type="character" w:customStyle="1" w:styleId="TESTIorganisationChar">
    <w:name w:val="TEST I organisation Char"/>
    <w:rPr>
      <w:rFonts w:ascii="Arial" w:hAnsi="Arial"/>
      <w:b/>
      <w:caps/>
      <w:sz w:val="16"/>
      <w:lang w:val="en-US" w:eastAsia="en-US" w:bidi="ar-SA"/>
    </w:rPr>
  </w:style>
  <w:style w:type="character" w:styleId="af3">
    <w:name w:val="page number"/>
    <w:basedOn w:val="a1"/>
    <w:semiHidden/>
  </w:style>
  <w:style w:type="paragraph" w:customStyle="1" w:styleId="Assembly">
    <w:name w:val="Assembly"/>
    <w:basedOn w:val="Meetingtitle"/>
    <w:next w:val="Sessiontitle"/>
    <w:pPr>
      <w:spacing w:before="480"/>
      <w:contextualSpacing/>
    </w:pPr>
  </w:style>
  <w:style w:type="paragraph" w:customStyle="1" w:styleId="Meetingdateplace">
    <w:name w:val="Meeting date &amp; place"/>
    <w:basedOn w:val="Sessiontitle"/>
    <w:next w:val="Documenttitle"/>
    <w:pPr>
      <w:spacing w:before="0"/>
      <w:contextualSpacing w:val="0"/>
    </w:pPr>
  </w:style>
  <w:style w:type="character" w:styleId="af4">
    <w:name w:val="Hyperlink"/>
    <w:semiHidden/>
    <w:rPr>
      <w:color w:val="0000FF"/>
      <w:u w:val="single"/>
    </w:rPr>
  </w:style>
  <w:style w:type="paragraph" w:customStyle="1" w:styleId="CharCharCharChar">
    <w:name w:val="Char Char Char Char"/>
    <w:basedOn w:val="a0"/>
    <w:pPr>
      <w:spacing w:after="160" w:line="240" w:lineRule="exact"/>
    </w:pPr>
    <w:rPr>
      <w:rFonts w:ascii="Verdana" w:eastAsia="Times New Roman" w:hAnsi="Verdana" w:cs="Times New Roman"/>
      <w:sz w:val="20"/>
      <w:lang w:val="en-GB" w:eastAsia="en-US"/>
    </w:rPr>
  </w:style>
  <w:style w:type="paragraph" w:customStyle="1" w:styleId="CarCar">
    <w:name w:val="Car Car"/>
    <w:basedOn w:val="a0"/>
    <w:pPr>
      <w:spacing w:after="160" w:line="240" w:lineRule="exact"/>
    </w:pPr>
    <w:rPr>
      <w:rFonts w:ascii="Verdana" w:eastAsia="Times New Roman" w:hAnsi="Verdana" w:cs="Times New Roman"/>
      <w:sz w:val="20"/>
      <w:lang w:val="en-GB" w:eastAsia="en-US"/>
    </w:rPr>
  </w:style>
  <w:style w:type="character" w:styleId="af5">
    <w:name w:val="Emphasis"/>
    <w:qFormat/>
    <w:rPr>
      <w:i/>
      <w:iCs/>
    </w:rPr>
  </w:style>
  <w:style w:type="paragraph" w:styleId="af6">
    <w:name w:val="Normal (Web)"/>
    <w:basedOn w:val="a0"/>
    <w:semiHidden/>
    <w:pPr>
      <w:spacing w:before="100" w:beforeAutospacing="1" w:after="100" w:afterAutospacing="1"/>
    </w:pPr>
    <w:rPr>
      <w:rFonts w:ascii="Times New Roman" w:hAnsi="Times New Roman" w:cs="Times New Roman"/>
      <w:sz w:val="24"/>
      <w:szCs w:val="24"/>
    </w:rPr>
  </w:style>
  <w:style w:type="paragraph" w:customStyle="1" w:styleId="msonormalcxspmiddle">
    <w:name w:val="msonormalcxspmiddle"/>
    <w:basedOn w:val="a0"/>
    <w:pPr>
      <w:spacing w:before="100" w:beforeAutospacing="1" w:after="100" w:afterAutospacing="1"/>
    </w:pPr>
    <w:rPr>
      <w:rFonts w:eastAsia="MS Mincho"/>
      <w:sz w:val="18"/>
      <w:szCs w:val="18"/>
      <w:lang w:eastAsia="ja-JP"/>
    </w:rPr>
  </w:style>
  <w:style w:type="paragraph" w:customStyle="1" w:styleId="Char">
    <w:name w:val="Char 字元 字元"/>
    <w:basedOn w:val="a0"/>
    <w:pPr>
      <w:spacing w:after="160" w:line="240" w:lineRule="exact"/>
    </w:pPr>
    <w:rPr>
      <w:rFonts w:ascii="Verdana" w:eastAsia="PMingLiU" w:hAnsi="Verdana" w:cs="Times New Roman"/>
      <w:sz w:val="20"/>
      <w:lang w:eastAsia="en-US"/>
    </w:rPr>
  </w:style>
  <w:style w:type="character" w:styleId="af7">
    <w:name w:val="Strong"/>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paragraph" w:styleId="5">
    <w:name w:val="heading 5"/>
    <w:basedOn w:val="a0"/>
    <w:next w:val="a0"/>
    <w:qFormat/>
    <w:pPr>
      <w:spacing w:after="120" w:line="260" w:lineRule="atLeast"/>
      <w:ind w:left="1021"/>
      <w:contextualSpacing/>
      <w:outlineLvl w:val="4"/>
    </w:pPr>
    <w:rPr>
      <w:rFonts w:eastAsia="Times New Roman" w:cs="Times New Roman"/>
      <w:sz w:val="20"/>
      <w:lang w:eastAsia="en-US"/>
    </w:rPr>
  </w:style>
  <w:style w:type="paragraph" w:styleId="6">
    <w:name w:val="heading 6"/>
    <w:basedOn w:val="a0"/>
    <w:next w:val="a0"/>
    <w:qFormat/>
    <w:pPr>
      <w:spacing w:after="120" w:line="260" w:lineRule="atLeast"/>
      <w:ind w:left="1021"/>
      <w:contextualSpacing/>
      <w:outlineLvl w:val="5"/>
    </w:pPr>
    <w:rPr>
      <w:rFonts w:eastAsia="Times New Roman" w:cs="Times New Roman"/>
      <w:sz w:val="20"/>
      <w:lang w:eastAsia="en-US"/>
    </w:rPr>
  </w:style>
  <w:style w:type="paragraph" w:styleId="9">
    <w:name w:val="heading 9"/>
    <w:basedOn w:val="a0"/>
    <w:next w:val="a0"/>
    <w:qFormat/>
    <w:pPr>
      <w:spacing w:before="240" w:after="60" w:line="260" w:lineRule="atLeast"/>
      <w:ind w:left="1021"/>
      <w:contextualSpacing/>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pPr>
      <w:ind w:left="5534"/>
    </w:pPr>
  </w:style>
  <w:style w:type="paragraph" w:styleId="a4">
    <w:name w:val="Body Text"/>
    <w:basedOn w:val="a0"/>
    <w:semiHidden/>
    <w:pPr>
      <w:spacing w:after="220"/>
    </w:pPr>
  </w:style>
  <w:style w:type="paragraph" w:styleId="a5">
    <w:name w:val="caption"/>
    <w:basedOn w:val="a0"/>
    <w:next w:val="a0"/>
    <w:qFormat/>
    <w:rPr>
      <w:b/>
      <w:bCs/>
      <w:sz w:val="18"/>
    </w:rPr>
  </w:style>
  <w:style w:type="paragraph" w:styleId="a6">
    <w:name w:val="annotation text"/>
    <w:basedOn w:val="a0"/>
    <w:semiHidden/>
    <w:rPr>
      <w:sz w:val="18"/>
    </w:rPr>
  </w:style>
  <w:style w:type="paragraph" w:styleId="a7">
    <w:name w:val="endnote text"/>
    <w:basedOn w:val="a0"/>
    <w:semiHidden/>
    <w:rPr>
      <w:sz w:val="18"/>
    </w:rPr>
  </w:style>
  <w:style w:type="paragraph" w:styleId="a8">
    <w:name w:val="footer"/>
    <w:basedOn w:val="a0"/>
    <w:semiHidden/>
    <w:pPr>
      <w:tabs>
        <w:tab w:val="center" w:pos="4320"/>
        <w:tab w:val="right" w:pos="8640"/>
      </w:tabs>
    </w:pPr>
  </w:style>
  <w:style w:type="paragraph" w:styleId="a9">
    <w:name w:val="Balloon Text"/>
    <w:basedOn w:val="a0"/>
    <w:semiHidden/>
    <w:rPr>
      <w:rFonts w:ascii="Tahoma" w:hAnsi="Tahoma" w:cs="Tahoma"/>
      <w:sz w:val="16"/>
      <w:szCs w:val="16"/>
    </w:rPr>
  </w:style>
  <w:style w:type="paragraph" w:styleId="aa">
    <w:name w:val="footnote text"/>
    <w:basedOn w:val="a0"/>
    <w:semiHidden/>
    <w:rPr>
      <w:sz w:val="18"/>
    </w:rPr>
  </w:style>
  <w:style w:type="paragraph" w:styleId="ab">
    <w:name w:val="header"/>
    <w:basedOn w:val="a0"/>
    <w:semiHidden/>
    <w:pPr>
      <w:tabs>
        <w:tab w:val="center" w:pos="4536"/>
        <w:tab w:val="right" w:pos="9072"/>
      </w:tabs>
    </w:pPr>
  </w:style>
  <w:style w:type="paragraph" w:styleId="a">
    <w:name w:val="List Number"/>
    <w:basedOn w:val="a0"/>
    <w:semiHidden/>
    <w:pPr>
      <w:numPr>
        <w:numId w:val="4"/>
      </w:numPr>
    </w:pPr>
  </w:style>
  <w:style w:type="paragraph" w:customStyle="1" w:styleId="ONUME">
    <w:name w:val="ONUM E"/>
    <w:basedOn w:val="a4"/>
    <w:pPr>
      <w:numPr>
        <w:numId w:val="5"/>
      </w:numPr>
    </w:pPr>
  </w:style>
  <w:style w:type="paragraph" w:customStyle="1" w:styleId="ONUMFS">
    <w:name w:val="ONUM FS"/>
    <w:basedOn w:val="a4"/>
    <w:pPr>
      <w:numPr>
        <w:numId w:val="6"/>
      </w:numPr>
    </w:pPr>
  </w:style>
  <w:style w:type="paragraph" w:styleId="ac">
    <w:name w:val="Salutation"/>
    <w:basedOn w:val="a0"/>
    <w:next w:val="a0"/>
    <w:semiHidden/>
  </w:style>
  <w:style w:type="paragraph" w:styleId="ad">
    <w:name w:val="Signature"/>
    <w:basedOn w:val="a0"/>
    <w:semiHidden/>
    <w:pPr>
      <w:ind w:left="5250"/>
    </w:pPr>
  </w:style>
  <w:style w:type="paragraph" w:styleId="ae">
    <w:name w:val="Body Text Indent"/>
    <w:basedOn w:val="a0"/>
    <w:semiHidden/>
    <w:pPr>
      <w:spacing w:after="120" w:line="260" w:lineRule="atLeast"/>
      <w:ind w:left="567"/>
      <w:contextualSpacing/>
    </w:pPr>
    <w:rPr>
      <w:rFonts w:eastAsia="Times New Roman" w:cs="Times New Roman"/>
      <w:sz w:val="20"/>
      <w:lang w:eastAsia="en-US"/>
    </w:rPr>
  </w:style>
  <w:style w:type="paragraph" w:styleId="af">
    <w:name w:val="Closing"/>
    <w:basedOn w:val="a0"/>
    <w:semiHidden/>
    <w:pPr>
      <w:spacing w:after="120" w:line="260" w:lineRule="atLeast"/>
      <w:ind w:left="4536"/>
      <w:contextualSpacing/>
      <w:jc w:val="center"/>
    </w:pPr>
    <w:rPr>
      <w:rFonts w:eastAsia="Times New Roman" w:cs="Times New Roman"/>
      <w:sz w:val="20"/>
      <w:lang w:eastAsia="en-US"/>
    </w:rPr>
  </w:style>
  <w:style w:type="paragraph" w:customStyle="1" w:styleId="Committee">
    <w:name w:val="Committee"/>
    <w:basedOn w:val="a0"/>
    <w:semiHidden/>
    <w:pPr>
      <w:spacing w:after="300" w:line="260" w:lineRule="atLeast"/>
      <w:ind w:left="1021"/>
      <w:contextualSpacing/>
      <w:jc w:val="center"/>
    </w:pPr>
    <w:rPr>
      <w:rFonts w:eastAsia="Times New Roman" w:cs="Times New Roman"/>
      <w:b/>
      <w:caps/>
      <w:kern w:val="28"/>
      <w:sz w:val="30"/>
      <w:lang w:eastAsia="en-US"/>
    </w:rPr>
  </w:style>
  <w:style w:type="paragraph" w:customStyle="1" w:styleId="DecisionInvitingPara">
    <w:name w:val="Decision Inviting Para."/>
    <w:basedOn w:val="a0"/>
    <w:pPr>
      <w:spacing w:after="120" w:line="260" w:lineRule="atLeast"/>
      <w:ind w:left="5534"/>
      <w:contextualSpacing/>
    </w:pPr>
    <w:rPr>
      <w:rFonts w:eastAsia="Times New Roman" w:cs="Times New Roman"/>
      <w:i/>
      <w:sz w:val="20"/>
      <w:lang w:eastAsia="en-US"/>
    </w:rPr>
  </w:style>
  <w:style w:type="paragraph" w:customStyle="1" w:styleId="PlaceAndDate">
    <w:name w:val="PlaceAndDate"/>
    <w:basedOn w:val="Session"/>
    <w:semiHidden/>
  </w:style>
  <w:style w:type="paragraph" w:customStyle="1" w:styleId="Session">
    <w:name w:val="Session"/>
    <w:basedOn w:val="a0"/>
    <w:semiHidden/>
    <w:pPr>
      <w:spacing w:before="60" w:after="120" w:line="260" w:lineRule="atLeast"/>
      <w:ind w:left="1021"/>
      <w:contextualSpacing/>
      <w:jc w:val="center"/>
    </w:pPr>
    <w:rPr>
      <w:rFonts w:eastAsia="Times New Roman" w:cs="Times New Roman"/>
      <w:b/>
      <w:sz w:val="30"/>
      <w:lang w:eastAsia="en-US"/>
    </w:rPr>
  </w:style>
  <w:style w:type="paragraph" w:customStyle="1" w:styleId="Endofdocument">
    <w:name w:val="End of document"/>
    <w:basedOn w:val="a0"/>
    <w:pPr>
      <w:spacing w:after="120" w:line="260" w:lineRule="atLeast"/>
      <w:ind w:left="5534"/>
      <w:contextualSpacing/>
    </w:pPr>
    <w:rPr>
      <w:rFonts w:eastAsia="Times New Roman" w:cs="Times New Roman"/>
      <w:sz w:val="20"/>
      <w:lang w:eastAsia="en-US"/>
    </w:rPr>
  </w:style>
  <w:style w:type="character" w:styleId="af0">
    <w:name w:val="footnote reference"/>
    <w:semiHidden/>
    <w:rPr>
      <w:vertAlign w:val="superscript"/>
    </w:rPr>
  </w:style>
  <w:style w:type="paragraph" w:styleId="af1">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a0"/>
    <w:semiHidden/>
    <w:pPr>
      <w:spacing w:after="600" w:line="260" w:lineRule="atLeast"/>
      <w:ind w:left="-992" w:right="-992"/>
      <w:contextualSpacing/>
      <w:jc w:val="center"/>
    </w:pPr>
    <w:rPr>
      <w:rFonts w:eastAsia="Times New Roman" w:cs="Times New Roman"/>
      <w:b/>
      <w:caps/>
      <w:kern w:val="26"/>
      <w:sz w:val="26"/>
      <w:lang w:eastAsia="en-US"/>
    </w:rPr>
  </w:style>
  <w:style w:type="paragraph" w:customStyle="1" w:styleId="preparedby">
    <w:name w:val="prepared by"/>
    <w:basedOn w:val="a0"/>
    <w:next w:val="a0"/>
    <w:pPr>
      <w:spacing w:before="120" w:after="480" w:line="260" w:lineRule="atLeast"/>
      <w:ind w:left="1021"/>
      <w:contextualSpacing/>
    </w:pPr>
    <w:rPr>
      <w:rFonts w:eastAsia="Times New Roman" w:cs="Times New Roman"/>
      <w:i/>
      <w:sz w:val="20"/>
      <w:lang w:eastAsia="en-US"/>
    </w:rPr>
  </w:style>
  <w:style w:type="paragraph" w:styleId="af2">
    <w:name w:val="Title"/>
    <w:basedOn w:val="a0"/>
    <w:qFormat/>
    <w:pPr>
      <w:spacing w:after="300" w:line="260" w:lineRule="atLeast"/>
      <w:ind w:left="1021"/>
      <w:contextualSpacing/>
      <w:jc w:val="center"/>
    </w:pPr>
    <w:rPr>
      <w:rFonts w:eastAsia="Times New Roman" w:cs="Times New Roman"/>
      <w:b/>
      <w:caps/>
      <w:kern w:val="28"/>
      <w:sz w:val="30"/>
      <w:lang w:eastAsia="en-US"/>
    </w:rPr>
  </w:style>
  <w:style w:type="paragraph" w:customStyle="1" w:styleId="Documenttitle">
    <w:name w:val="Document title"/>
    <w:basedOn w:val="a0"/>
    <w:next w:val="preparedby"/>
    <w:pPr>
      <w:spacing w:before="840" w:line="336" w:lineRule="exact"/>
      <w:ind w:left="1021"/>
      <w:contextualSpacing/>
    </w:pPr>
    <w:rPr>
      <w:rFonts w:eastAsia="Times New Roman" w:cs="Times New Roman"/>
      <w:sz w:val="24"/>
      <w:lang w:eastAsia="en-US"/>
    </w:rPr>
  </w:style>
  <w:style w:type="paragraph" w:styleId="90">
    <w:name w:val="toc 9"/>
    <w:basedOn w:val="a0"/>
    <w:next w:val="a0"/>
    <w:semiHidden/>
    <w:pPr>
      <w:tabs>
        <w:tab w:val="right" w:leader="dot" w:pos="9071"/>
      </w:tabs>
      <w:spacing w:after="120" w:line="260" w:lineRule="atLeast"/>
      <w:ind w:left="1920"/>
      <w:contextualSpacing/>
    </w:pPr>
    <w:rPr>
      <w:rFonts w:eastAsia="Times New Roman" w:cs="Times New Roman"/>
      <w:sz w:val="20"/>
      <w:lang w:eastAsia="en-US"/>
    </w:rPr>
  </w:style>
  <w:style w:type="paragraph" w:customStyle="1" w:styleId="MeetinglanguageDate">
    <w:name w:val="Meeting language &amp; Date"/>
    <w:basedOn w:val="a0"/>
    <w:next w:val="Meetingtitle"/>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a0"/>
    <w:next w:val="Sessiontitle"/>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Documenttitle"/>
    <w:pPr>
      <w:spacing w:before="0"/>
      <w:contextualSpacing w:val="0"/>
    </w:pPr>
  </w:style>
  <w:style w:type="paragraph" w:customStyle="1" w:styleId="Language">
    <w:name w:val="Language"/>
    <w:basedOn w:val="a0"/>
    <w:next w:val="a0"/>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a0"/>
    <w:semiHidden/>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rPr>
      <w:rFonts w:ascii="Arial"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a0"/>
    <w:semiHidden/>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rPr>
      <w:rFonts w:ascii="Arial" w:hAnsi="Arial"/>
      <w:caps/>
      <w:sz w:val="16"/>
      <w:lang w:val="en-US" w:eastAsia="en-US" w:bidi="ar-SA"/>
    </w:rPr>
  </w:style>
  <w:style w:type="paragraph" w:customStyle="1" w:styleId="TESTorganisation">
    <w:name w:val="TESTorganisation"/>
    <w:basedOn w:val="TESTintellectualproperty"/>
    <w:next w:val="MeetingCode"/>
    <w:semiHidden/>
  </w:style>
  <w:style w:type="paragraph" w:customStyle="1" w:styleId="MeetingCode">
    <w:name w:val="Meeting Code"/>
    <w:basedOn w:val="MeetinglanguageDate"/>
    <w:pPr>
      <w:spacing w:before="1800" w:after="0"/>
    </w:pPr>
  </w:style>
  <w:style w:type="character" w:customStyle="1" w:styleId="TESTorganisationChar">
    <w:name w:val="TESTorganisation Char"/>
    <w:basedOn w:val="TESTintellectualpropertyChar"/>
    <w:rPr>
      <w:rFonts w:ascii="Arial" w:hAnsi="Arial"/>
      <w:caps/>
      <w:sz w:val="16"/>
      <w:lang w:val="en-US" w:eastAsia="en-US" w:bidi="ar-SA"/>
    </w:rPr>
  </w:style>
  <w:style w:type="paragraph" w:customStyle="1" w:styleId="TestIWIPO">
    <w:name w:val="Test I WIPO"/>
    <w:basedOn w:val="TESTwiposouslogo"/>
    <w:semiHidden/>
    <w:pPr>
      <w:ind w:right="4763"/>
    </w:pPr>
    <w:rPr>
      <w:sz w:val="28"/>
      <w:szCs w:val="28"/>
    </w:rPr>
  </w:style>
  <w:style w:type="character" w:customStyle="1" w:styleId="TestIWIPOChar">
    <w:name w:val="Test I WIPO Char"/>
    <w:rPr>
      <w:rFonts w:ascii="Arial" w:hAnsi="Arial"/>
      <w:b/>
      <w:w w:val="150"/>
      <w:sz w:val="28"/>
      <w:szCs w:val="28"/>
      <w:lang w:val="fr-FR" w:eastAsia="en-US" w:bidi="ar-SA"/>
    </w:rPr>
  </w:style>
  <w:style w:type="paragraph" w:customStyle="1" w:styleId="TESTIintellectual">
    <w:name w:val="TEST I intellectual"/>
    <w:basedOn w:val="TESTintellectualproperty"/>
    <w:semiHidden/>
    <w:rPr>
      <w:rFonts w:ascii="Arial Black" w:hAnsi="Arial Black"/>
      <w:b/>
      <w:sz w:val="20"/>
    </w:rPr>
  </w:style>
  <w:style w:type="character" w:customStyle="1" w:styleId="TESTIintellectualChar">
    <w:name w:val="TEST I intellectual Char"/>
    <w:rPr>
      <w:rFonts w:ascii="Arial Black" w:hAnsi="Arial Black"/>
      <w:b/>
      <w:caps/>
      <w:sz w:val="16"/>
      <w:lang w:val="en-US" w:eastAsia="en-US" w:bidi="ar-SA"/>
    </w:rPr>
  </w:style>
  <w:style w:type="paragraph" w:customStyle="1" w:styleId="TESTIorganisation">
    <w:name w:val="TEST I organisation"/>
    <w:basedOn w:val="TESTorganisation"/>
    <w:semiHidden/>
    <w:rPr>
      <w:b/>
      <w:sz w:val="20"/>
    </w:rPr>
  </w:style>
  <w:style w:type="character" w:customStyle="1" w:styleId="TESTIorganisationChar">
    <w:name w:val="TEST I organisation Char"/>
    <w:rPr>
      <w:rFonts w:ascii="Arial" w:hAnsi="Arial"/>
      <w:b/>
      <w:caps/>
      <w:sz w:val="16"/>
      <w:lang w:val="en-US" w:eastAsia="en-US" w:bidi="ar-SA"/>
    </w:rPr>
  </w:style>
  <w:style w:type="character" w:styleId="af3">
    <w:name w:val="page number"/>
    <w:basedOn w:val="a1"/>
    <w:semiHidden/>
  </w:style>
  <w:style w:type="paragraph" w:customStyle="1" w:styleId="Assembly">
    <w:name w:val="Assembly"/>
    <w:basedOn w:val="Meetingtitle"/>
    <w:next w:val="Sessiontitle"/>
    <w:pPr>
      <w:spacing w:before="480"/>
      <w:contextualSpacing/>
    </w:pPr>
  </w:style>
  <w:style w:type="paragraph" w:customStyle="1" w:styleId="Meetingdateplace">
    <w:name w:val="Meeting date &amp; place"/>
    <w:basedOn w:val="Sessiontitle"/>
    <w:next w:val="Documenttitle"/>
    <w:pPr>
      <w:spacing w:before="0"/>
      <w:contextualSpacing w:val="0"/>
    </w:pPr>
  </w:style>
  <w:style w:type="character" w:styleId="af4">
    <w:name w:val="Hyperlink"/>
    <w:semiHidden/>
    <w:rPr>
      <w:color w:val="0000FF"/>
      <w:u w:val="single"/>
    </w:rPr>
  </w:style>
  <w:style w:type="paragraph" w:customStyle="1" w:styleId="CharCharCharChar">
    <w:name w:val="Char Char Char Char"/>
    <w:basedOn w:val="a0"/>
    <w:pPr>
      <w:spacing w:after="160" w:line="240" w:lineRule="exact"/>
    </w:pPr>
    <w:rPr>
      <w:rFonts w:ascii="Verdana" w:eastAsia="Times New Roman" w:hAnsi="Verdana" w:cs="Times New Roman"/>
      <w:sz w:val="20"/>
      <w:lang w:val="en-GB" w:eastAsia="en-US"/>
    </w:rPr>
  </w:style>
  <w:style w:type="paragraph" w:customStyle="1" w:styleId="CarCar">
    <w:name w:val="Car Car"/>
    <w:basedOn w:val="a0"/>
    <w:pPr>
      <w:spacing w:after="160" w:line="240" w:lineRule="exact"/>
    </w:pPr>
    <w:rPr>
      <w:rFonts w:ascii="Verdana" w:eastAsia="Times New Roman" w:hAnsi="Verdana" w:cs="Times New Roman"/>
      <w:sz w:val="20"/>
      <w:lang w:val="en-GB" w:eastAsia="en-US"/>
    </w:rPr>
  </w:style>
  <w:style w:type="character" w:styleId="af5">
    <w:name w:val="Emphasis"/>
    <w:qFormat/>
    <w:rPr>
      <w:i/>
      <w:iCs/>
    </w:rPr>
  </w:style>
  <w:style w:type="paragraph" w:styleId="af6">
    <w:name w:val="Normal (Web)"/>
    <w:basedOn w:val="a0"/>
    <w:semiHidden/>
    <w:pPr>
      <w:spacing w:before="100" w:beforeAutospacing="1" w:after="100" w:afterAutospacing="1"/>
    </w:pPr>
    <w:rPr>
      <w:rFonts w:ascii="Times New Roman" w:hAnsi="Times New Roman" w:cs="Times New Roman"/>
      <w:sz w:val="24"/>
      <w:szCs w:val="24"/>
    </w:rPr>
  </w:style>
  <w:style w:type="paragraph" w:customStyle="1" w:styleId="msonormalcxspmiddle">
    <w:name w:val="msonormalcxspmiddle"/>
    <w:basedOn w:val="a0"/>
    <w:pPr>
      <w:spacing w:before="100" w:beforeAutospacing="1" w:after="100" w:afterAutospacing="1"/>
    </w:pPr>
    <w:rPr>
      <w:rFonts w:eastAsia="MS Mincho"/>
      <w:sz w:val="18"/>
      <w:szCs w:val="18"/>
      <w:lang w:eastAsia="ja-JP"/>
    </w:rPr>
  </w:style>
  <w:style w:type="paragraph" w:customStyle="1" w:styleId="Char">
    <w:name w:val="Char 字元 字元"/>
    <w:basedOn w:val="a0"/>
    <w:pPr>
      <w:spacing w:after="160" w:line="240" w:lineRule="exact"/>
    </w:pPr>
    <w:rPr>
      <w:rFonts w:ascii="Verdana" w:eastAsia="PMingLiU" w:hAnsi="Verdana" w:cs="Times New Roman"/>
      <w:sz w:val="20"/>
      <w:lang w:eastAsia="en-US"/>
    </w:rPr>
  </w:style>
  <w:style w:type="character" w:styleId="af7">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618</Words>
  <Characters>3529</Characters>
  <Application>Microsoft Office Word</Application>
  <DocSecurity>0</DocSecurity>
  <Lines>29</Lines>
  <Paragraphs>8</Paragraphs>
  <ScaleCrop>false</ScaleCrop>
  <HeadingPairs>
    <vt:vector size="2" baseType="variant">
      <vt:variant>
        <vt:lpstr>题目</vt:lpstr>
      </vt:variant>
      <vt:variant>
        <vt:i4>1</vt:i4>
      </vt:variant>
    </vt:vector>
  </HeadingPairs>
  <TitlesOfParts>
    <vt:vector size="1" baseType="lpstr">
      <vt:lpstr>SCP/18/3</vt:lpstr>
    </vt:vector>
  </TitlesOfParts>
  <Company>WIPO</Company>
  <LinksUpToDate>false</LinksUpToDate>
  <CharactersWithSpaces>4139</CharactersWithSpaces>
  <SharedDoc>false</SharedDoc>
  <HLinks>
    <vt:vector size="6" baseType="variant">
      <vt:variant>
        <vt:i4>4128887</vt:i4>
      </vt:variant>
      <vt:variant>
        <vt:i4>6</vt:i4>
      </vt:variant>
      <vt:variant>
        <vt:i4>0</vt:i4>
      </vt:variant>
      <vt:variant>
        <vt:i4>5</vt:i4>
      </vt:variant>
      <vt:variant>
        <vt:lpwstr>http://www.wipo.int/scp/en/exceptions/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SCP/18/3</dc:title>
  <dc:subject>Overview of the Responses to the Questionnaire on Exceptions and Limitations to Patent Rights</dc:subject>
  <dc:creator>Document prepared by the Secretariat</dc:creator>
  <cp:lastModifiedBy>WANG Dongying</cp:lastModifiedBy>
  <cp:revision>5</cp:revision>
  <cp:lastPrinted>2013-11-15T10:44:00Z</cp:lastPrinted>
  <dcterms:created xsi:type="dcterms:W3CDTF">2013-11-15T10:21:00Z</dcterms:created>
  <dcterms:modified xsi:type="dcterms:W3CDTF">2013-11-15T10:46:00Z</dcterms:modified>
</cp:coreProperties>
</file>