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57160F" w:rsidP="009B3EC5">
            <w:pPr>
              <w:pStyle w:val="DocumentCodeAR"/>
              <w:bidi/>
              <w:rPr>
                <w:rtl/>
              </w:rPr>
            </w:pPr>
            <w:r>
              <w:t>PCT/CTC/30</w:t>
            </w:r>
            <w:r w:rsidRPr="00B6101C">
              <w:t>/</w:t>
            </w:r>
            <w:r w:rsidR="009B3EC5">
              <w:t>6</w:t>
            </w:r>
          </w:p>
        </w:tc>
      </w:tr>
      <w:tr w:rsidR="001667B6" w:rsidTr="00BF164F">
        <w:tc>
          <w:tcPr>
            <w:tcW w:w="9571" w:type="dxa"/>
            <w:gridSpan w:val="3"/>
          </w:tcPr>
          <w:p w:rsidR="001667B6" w:rsidRPr="00B6101C" w:rsidRDefault="00B6101C" w:rsidP="00C80F23">
            <w:pPr>
              <w:pStyle w:val="DocumentLanguageAR"/>
              <w:bidi/>
              <w:rPr>
                <w:rtl/>
              </w:rPr>
            </w:pPr>
            <w:r w:rsidRPr="00B6101C">
              <w:rPr>
                <w:rFonts w:hint="cs"/>
                <w:rtl/>
              </w:rPr>
              <w:t xml:space="preserve">الأصل: </w:t>
            </w:r>
            <w:proofErr w:type="gramStart"/>
            <w:r w:rsidR="00C80F23">
              <w:rPr>
                <w:rFonts w:hint="cs"/>
                <w:rtl/>
              </w:rPr>
              <w:t>بالإنكليزية</w:t>
            </w:r>
            <w:proofErr w:type="gramEnd"/>
          </w:p>
        </w:tc>
      </w:tr>
      <w:tr w:rsidR="001667B6" w:rsidTr="00BF164F">
        <w:tc>
          <w:tcPr>
            <w:tcW w:w="9571" w:type="dxa"/>
            <w:gridSpan w:val="3"/>
          </w:tcPr>
          <w:p w:rsidR="001667B6" w:rsidRPr="00B6101C" w:rsidRDefault="00B6101C" w:rsidP="009B3EC5">
            <w:pPr>
              <w:pStyle w:val="DocumentDateAR"/>
              <w:bidi/>
              <w:rPr>
                <w:rtl/>
              </w:rPr>
            </w:pPr>
            <w:r w:rsidRPr="00B6101C">
              <w:rPr>
                <w:rFonts w:hint="cs"/>
                <w:rtl/>
              </w:rPr>
              <w:t xml:space="preserve">التاريخ: </w:t>
            </w:r>
            <w:r w:rsidR="009B3EC5">
              <w:rPr>
                <w:rFonts w:hint="cs"/>
                <w:rtl/>
                <w:lang w:bidi="ar-EG"/>
              </w:rPr>
              <w:t>16 مارس</w:t>
            </w:r>
            <w:r w:rsidRPr="00B6101C">
              <w:rPr>
                <w:rFonts w:hint="cs"/>
                <w:rtl/>
              </w:rPr>
              <w:t xml:space="preserve"> </w:t>
            </w:r>
            <w:r w:rsidR="008D5779">
              <w:rPr>
                <w:rFonts w:hint="cs"/>
                <w:rtl/>
              </w:rPr>
              <w:t>201</w:t>
            </w:r>
            <w:r w:rsidR="00240911">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57160F" w:rsidRDefault="0057160F" w:rsidP="0057160F">
      <w:pPr>
        <w:pStyle w:val="MeetingTitleAR"/>
        <w:bidi/>
        <w:ind w:right="550"/>
        <w:rPr>
          <w:rtl/>
        </w:rPr>
      </w:pPr>
      <w:r>
        <w:rPr>
          <w:rFonts w:hint="cs"/>
          <w:rtl/>
        </w:rPr>
        <w:t>معاهدة التعاون بشأن البراءات</w:t>
      </w:r>
    </w:p>
    <w:p w:rsidR="0057160F" w:rsidRPr="00AB54AE" w:rsidRDefault="0057160F" w:rsidP="0057160F">
      <w:pPr>
        <w:pStyle w:val="MeetingTitleAR"/>
        <w:bidi/>
        <w:ind w:right="550"/>
        <w:rPr>
          <w:rtl/>
        </w:rPr>
      </w:pPr>
      <w:proofErr w:type="gramStart"/>
      <w:r>
        <w:rPr>
          <w:rFonts w:hint="cs"/>
          <w:rtl/>
        </w:rPr>
        <w:t>لجنة</w:t>
      </w:r>
      <w:proofErr w:type="gramEnd"/>
      <w:r>
        <w:rPr>
          <w:rFonts w:hint="cs"/>
          <w:rtl/>
        </w:rPr>
        <w:t xml:space="preserve"> التعاون التقني</w:t>
      </w:r>
    </w:p>
    <w:p w:rsidR="0057160F" w:rsidRDefault="0057160F" w:rsidP="0057160F">
      <w:pPr>
        <w:bidi/>
        <w:spacing w:line="360" w:lineRule="exact"/>
        <w:rPr>
          <w:rFonts w:ascii="Arabic Typesetting" w:hAnsi="Arabic Typesetting" w:cs="Arabic Typesetting"/>
          <w:sz w:val="36"/>
          <w:szCs w:val="36"/>
          <w:rtl/>
        </w:rPr>
      </w:pPr>
    </w:p>
    <w:p w:rsidR="0057160F" w:rsidRPr="00783D11" w:rsidRDefault="0057160F" w:rsidP="0057160F">
      <w:pPr>
        <w:pStyle w:val="MeetingSessionAR"/>
        <w:bidi/>
        <w:rPr>
          <w:rFonts w:ascii="Cambria Math" w:hAnsi="Cambria Math"/>
          <w:rtl/>
        </w:rPr>
      </w:pPr>
      <w:proofErr w:type="gramStart"/>
      <w:r w:rsidRPr="00783D11">
        <w:rPr>
          <w:rFonts w:ascii="Cambria Math" w:hAnsi="Cambria Math"/>
          <w:rtl/>
        </w:rPr>
        <w:t>الدورة</w:t>
      </w:r>
      <w:proofErr w:type="gramEnd"/>
      <w:r w:rsidRPr="00783D11">
        <w:rPr>
          <w:rFonts w:ascii="Cambria Math" w:hAnsi="Cambria Math"/>
          <w:rtl/>
        </w:rPr>
        <w:t xml:space="preserve"> </w:t>
      </w:r>
      <w:r>
        <w:rPr>
          <w:rFonts w:ascii="Cambria Math" w:hAnsi="Cambria Math" w:hint="cs"/>
          <w:rtl/>
        </w:rPr>
        <w:t>الثلاثون</w:t>
      </w:r>
    </w:p>
    <w:p w:rsidR="0057160F" w:rsidRPr="00D61541" w:rsidRDefault="0057160F" w:rsidP="0057160F">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Pr>
          <w:rFonts w:hint="cs"/>
          <w:rtl/>
        </w:rPr>
        <w:t>8 إلى 12 مايو 2017</w:t>
      </w:r>
    </w:p>
    <w:p w:rsidR="0057160F" w:rsidRDefault="0057160F" w:rsidP="0057160F">
      <w:pPr>
        <w:bidi/>
        <w:spacing w:line="360" w:lineRule="exact"/>
        <w:rPr>
          <w:rFonts w:ascii="Arabic Typesetting" w:hAnsi="Arabic Typesetting" w:cs="Arabic Typesetting"/>
          <w:sz w:val="36"/>
          <w:szCs w:val="36"/>
          <w:rtl/>
        </w:rPr>
      </w:pPr>
    </w:p>
    <w:p w:rsidR="0057160F" w:rsidRDefault="0057160F" w:rsidP="0057160F">
      <w:pPr>
        <w:bidi/>
        <w:spacing w:line="360" w:lineRule="exact"/>
        <w:rPr>
          <w:rFonts w:ascii="Arabic Typesetting" w:hAnsi="Arabic Typesetting" w:cs="Arabic Typesetting"/>
          <w:sz w:val="36"/>
          <w:szCs w:val="36"/>
          <w:rtl/>
        </w:rPr>
      </w:pPr>
    </w:p>
    <w:p w:rsidR="0057160F" w:rsidRPr="00D61541" w:rsidRDefault="00C80F23" w:rsidP="00931D23">
      <w:pPr>
        <w:pStyle w:val="DocumentTitleAR"/>
        <w:bidi/>
        <w:rPr>
          <w:rtl/>
        </w:rPr>
      </w:pPr>
      <w:r>
        <w:rPr>
          <w:rFonts w:hint="cs"/>
          <w:rtl/>
        </w:rPr>
        <w:t xml:space="preserve">تمديد تعيين </w:t>
      </w:r>
      <w:r w:rsidR="00931D23">
        <w:rPr>
          <w:rFonts w:hint="cs"/>
          <w:rtl/>
        </w:rPr>
        <w:t>المكتب الكندي للملكية الفكرية</w:t>
      </w:r>
      <w:r>
        <w:rPr>
          <w:rFonts w:hint="cs"/>
          <w:rtl/>
        </w:rPr>
        <w:t xml:space="preserve"> كإدارة للبحث الدولي وإدارة للفحص التمهيدي الدولي بناء على معاهدة التعاون بشأن البراءات</w:t>
      </w:r>
    </w:p>
    <w:p w:rsidR="0057160F" w:rsidRPr="00D61541" w:rsidRDefault="00C80F23" w:rsidP="0057160F">
      <w:pPr>
        <w:pStyle w:val="PreparedbyAR"/>
        <w:bidi/>
        <w:rPr>
          <w:rtl/>
        </w:rPr>
      </w:pPr>
      <w:proofErr w:type="gramStart"/>
      <w:r>
        <w:rPr>
          <w:rFonts w:hint="cs"/>
          <w:rtl/>
        </w:rPr>
        <w:t>وثيقة</w:t>
      </w:r>
      <w:proofErr w:type="gramEnd"/>
      <w:r>
        <w:rPr>
          <w:rFonts w:hint="cs"/>
          <w:rtl/>
        </w:rPr>
        <w:t xml:space="preserve"> </w:t>
      </w:r>
      <w:r w:rsidR="0057160F" w:rsidRPr="00D61541">
        <w:rPr>
          <w:rFonts w:hint="cs"/>
          <w:rtl/>
        </w:rPr>
        <w:t xml:space="preserve">من </w:t>
      </w:r>
      <w:r w:rsidR="0057160F" w:rsidRPr="00931859">
        <w:rPr>
          <w:rFonts w:hint="cs"/>
          <w:rtl/>
        </w:rPr>
        <w:t>إعداد</w:t>
      </w:r>
      <w:r>
        <w:rPr>
          <w:rFonts w:hint="cs"/>
          <w:rtl/>
        </w:rPr>
        <w:t xml:space="preserve"> المكتب الدولي</w:t>
      </w:r>
    </w:p>
    <w:p w:rsidR="005B6E8A" w:rsidRDefault="00C80F23" w:rsidP="00696574">
      <w:pPr>
        <w:pStyle w:val="NumberedParaAR"/>
      </w:pPr>
      <w:r>
        <w:rPr>
          <w:rFonts w:hint="cs"/>
          <w:rtl/>
        </w:rPr>
        <w:t>عينت جمعية معاهدة التعاون بشأن البراءات (جمعية البراءات) كل الإدارات الدولية الحالية لمدة تنتهي في 31</w:t>
      </w:r>
      <w:r w:rsidR="00696574">
        <w:rPr>
          <w:rFonts w:hint="eastAsia"/>
          <w:rtl/>
        </w:rPr>
        <w:t> </w:t>
      </w:r>
      <w:r>
        <w:rPr>
          <w:rFonts w:hint="cs"/>
          <w:rtl/>
        </w:rPr>
        <w:t>ديسمبر</w:t>
      </w:r>
      <w:r>
        <w:rPr>
          <w:rFonts w:hint="eastAsia"/>
          <w:rtl/>
        </w:rPr>
        <w:t> </w:t>
      </w:r>
      <w:r>
        <w:rPr>
          <w:rFonts w:hint="cs"/>
          <w:rtl/>
        </w:rPr>
        <w:t>2017. إذن س</w:t>
      </w:r>
      <w:r w:rsidR="00931D23">
        <w:rPr>
          <w:rFonts w:hint="cs"/>
          <w:rtl/>
        </w:rPr>
        <w:t>ي</w:t>
      </w:r>
      <w:r>
        <w:rPr>
          <w:rFonts w:hint="cs"/>
          <w:rtl/>
        </w:rPr>
        <w:t xml:space="preserve">تعيّن على جمعية البراءات في 2017 أن تبت في تمديد التعيين لكل إدارة من الإدارات الدولية الحالية التي تلتمس تمديد تعيينها، بعد استشارة هذه اللجنة (انظر المادتين 16(3)(ه) و32 (3) من معاهدة البراءات). </w:t>
      </w:r>
      <w:r w:rsidR="00C85B60">
        <w:rPr>
          <w:rFonts w:hint="cs"/>
          <w:rtl/>
        </w:rPr>
        <w:t>و</w:t>
      </w:r>
      <w:r>
        <w:rPr>
          <w:rFonts w:hint="cs"/>
          <w:rtl/>
        </w:rPr>
        <w:t>ترد في الوثيقة </w:t>
      </w:r>
      <w:r w:rsidRPr="00C80F23">
        <w:t>PCT/CTC/30/INF/1</w:t>
      </w:r>
      <w:r>
        <w:rPr>
          <w:rFonts w:hint="cs"/>
          <w:rtl/>
          <w:lang w:bidi="ar-EG"/>
        </w:rPr>
        <w:t xml:space="preserve"> معلومات عن هذا الإجراء ودور اللجنة فيه.</w:t>
      </w:r>
    </w:p>
    <w:p w:rsidR="00C80F23" w:rsidRDefault="00C80F23" w:rsidP="00C85B60">
      <w:pPr>
        <w:pStyle w:val="NumberedParaAR"/>
        <w:rPr>
          <w:rtl/>
        </w:rPr>
      </w:pPr>
      <w:r>
        <w:rPr>
          <w:rFonts w:hint="cs"/>
          <w:rtl/>
          <w:lang w:bidi="ar-EG"/>
        </w:rPr>
        <w:t xml:space="preserve">وفي </w:t>
      </w:r>
      <w:r w:rsidR="00C85B60">
        <w:rPr>
          <w:rFonts w:hint="cs"/>
          <w:rtl/>
          <w:lang w:bidi="ar-EG"/>
        </w:rPr>
        <w:t>8</w:t>
      </w:r>
      <w:r>
        <w:rPr>
          <w:rFonts w:hint="cs"/>
          <w:rtl/>
          <w:lang w:bidi="ar-EG"/>
        </w:rPr>
        <w:t xml:space="preserve"> مارس 2017، تقدم </w:t>
      </w:r>
      <w:r w:rsidR="00931D23">
        <w:rPr>
          <w:rFonts w:hint="cs"/>
          <w:rtl/>
          <w:lang w:bidi="ar-EG"/>
        </w:rPr>
        <w:t>المكتب الكندي للملكية الفكرية بطلبه</w:t>
      </w:r>
      <w:r>
        <w:rPr>
          <w:rFonts w:hint="cs"/>
          <w:rtl/>
          <w:lang w:bidi="ar-EG"/>
        </w:rPr>
        <w:t xml:space="preserve"> لتمديد تعيينه </w:t>
      </w:r>
      <w:r w:rsidRPr="00C80F23">
        <w:rPr>
          <w:rtl/>
          <w:lang w:bidi="ar-EG"/>
        </w:rPr>
        <w:t xml:space="preserve">كإدارة للبحث الدولي وإدارة للفحص التمهيدي الدولي بناء على </w:t>
      </w:r>
      <w:r>
        <w:rPr>
          <w:rFonts w:hint="cs"/>
          <w:rtl/>
          <w:lang w:bidi="ar-EG"/>
        </w:rPr>
        <w:t>معاهدة</w:t>
      </w:r>
      <w:r w:rsidRPr="00C80F23">
        <w:rPr>
          <w:rtl/>
          <w:lang w:bidi="ar-EG"/>
        </w:rPr>
        <w:t xml:space="preserve"> التعاون بشأن البراءات</w:t>
      </w:r>
      <w:r>
        <w:rPr>
          <w:rFonts w:hint="cs"/>
          <w:rtl/>
          <w:lang w:bidi="ar-EG"/>
        </w:rPr>
        <w:t>. ويرد الطلب في مرفق هذه الوثيقة.</w:t>
      </w:r>
    </w:p>
    <w:p w:rsidR="005B6E8A" w:rsidRDefault="00AA2810" w:rsidP="00A50083">
      <w:pPr>
        <w:pStyle w:val="DecisionParaAR"/>
        <w:rPr>
          <w:rtl/>
        </w:rPr>
      </w:pPr>
      <w:r>
        <w:rPr>
          <w:rFonts w:hint="cs"/>
          <w:rtl/>
        </w:rPr>
        <w:t xml:space="preserve">إن اللجنة مدعوة إلى إسداء مشورتها في هذا </w:t>
      </w:r>
      <w:r w:rsidR="00A50083">
        <w:rPr>
          <w:rFonts w:hint="cs"/>
          <w:rtl/>
        </w:rPr>
        <w:t>الأمر</w:t>
      </w:r>
      <w:r>
        <w:rPr>
          <w:rFonts w:hint="cs"/>
          <w:rtl/>
        </w:rPr>
        <w:t>.</w:t>
      </w:r>
    </w:p>
    <w:p w:rsidR="005B6E8A" w:rsidRDefault="00AA2810" w:rsidP="00AA2810">
      <w:pPr>
        <w:pStyle w:val="EndofDocumentAR"/>
        <w:rPr>
          <w:rtl/>
        </w:rPr>
      </w:pPr>
      <w:r>
        <w:rPr>
          <w:rFonts w:hint="cs"/>
          <w:rtl/>
        </w:rPr>
        <w:t xml:space="preserve">[يلي ذلك </w:t>
      </w:r>
      <w:proofErr w:type="gramStart"/>
      <w:r>
        <w:rPr>
          <w:rFonts w:hint="cs"/>
          <w:rtl/>
        </w:rPr>
        <w:t>المرفق</w:t>
      </w:r>
      <w:proofErr w:type="gramEnd"/>
      <w:r>
        <w:rPr>
          <w:rFonts w:hint="cs"/>
          <w:rtl/>
        </w:rPr>
        <w:t>]</w:t>
      </w:r>
    </w:p>
    <w:p w:rsidR="005B6E8A" w:rsidRDefault="005B6E8A" w:rsidP="005B6E8A">
      <w:pPr>
        <w:pStyle w:val="NormalParaAR"/>
      </w:pPr>
    </w:p>
    <w:p w:rsidR="00DB1BAA" w:rsidRDefault="00DB1BAA" w:rsidP="005B6E8A">
      <w:pPr>
        <w:pStyle w:val="NormalParaAR"/>
        <w:rPr>
          <w:rtl/>
        </w:rPr>
        <w:sectPr w:rsidR="00DB1BAA" w:rsidSect="00EB7752">
          <w:headerReference w:type="default" r:id="rId10"/>
          <w:pgSz w:w="11907" w:h="16840" w:code="9"/>
          <w:pgMar w:top="567" w:right="1418" w:bottom="1418" w:left="1134" w:header="510" w:footer="1021" w:gutter="0"/>
          <w:cols w:space="720"/>
          <w:titlePg/>
          <w:docGrid w:linePitch="299"/>
        </w:sectPr>
      </w:pPr>
    </w:p>
    <w:p w:rsidR="0085052E" w:rsidRDefault="00356753" w:rsidP="00C85B60">
      <w:pPr>
        <w:pStyle w:val="Heading2"/>
        <w:jc w:val="center"/>
        <w:rPr>
          <w:rtl/>
        </w:rPr>
      </w:pPr>
      <w:r>
        <w:rPr>
          <w:rFonts w:hint="cs"/>
          <w:rtl/>
        </w:rPr>
        <w:lastRenderedPageBreak/>
        <w:t xml:space="preserve">طلب </w:t>
      </w:r>
      <w:r w:rsidR="00931D23">
        <w:rPr>
          <w:rFonts w:hint="cs"/>
          <w:rtl/>
        </w:rPr>
        <w:t>المكتب الكندي للملكية الفكرية</w:t>
      </w:r>
      <w:r>
        <w:rPr>
          <w:rFonts w:hint="cs"/>
          <w:rtl/>
        </w:rPr>
        <w:t xml:space="preserve"> لتمديد تعيينه </w:t>
      </w:r>
      <w:r w:rsidRPr="00356753">
        <w:rPr>
          <w:rtl/>
        </w:rPr>
        <w:t>كإدارة للبحث الدولي وإدارة للفحص التمهيدي الدولي بناء على معاهدة التعاون بشأن</w:t>
      </w:r>
      <w:r>
        <w:rPr>
          <w:rFonts w:hint="cs"/>
          <w:rtl/>
        </w:rPr>
        <w:t> </w:t>
      </w:r>
      <w:r w:rsidRPr="00356753">
        <w:rPr>
          <w:rtl/>
        </w:rPr>
        <w:t>البراءات</w:t>
      </w:r>
    </w:p>
    <w:p w:rsidR="00DB436A" w:rsidRPr="00DB436A" w:rsidRDefault="00DB436A" w:rsidP="00DB436A">
      <w:pPr>
        <w:pStyle w:val="SectionHeading"/>
        <w:bidi/>
        <w:ind w:left="-1"/>
        <w:rPr>
          <w:rFonts w:ascii="Arabic Typesetting" w:hAnsi="Arabic Typesetting" w:cs="Arabic Typesetting"/>
          <w:sz w:val="40"/>
          <w:szCs w:val="40"/>
        </w:rPr>
      </w:pPr>
      <w:r w:rsidRPr="00DB436A">
        <w:rPr>
          <w:rFonts w:ascii="Arabic Typesetting" w:hAnsi="Arabic Typesetting" w:cs="Arabic Typesetting" w:hint="cs"/>
          <w:sz w:val="36"/>
          <w:szCs w:val="36"/>
          <w:rtl/>
        </w:rPr>
        <w:t xml:space="preserve">1 - </w:t>
      </w:r>
      <w:proofErr w:type="gramStart"/>
      <w:r w:rsidRPr="00DB436A">
        <w:rPr>
          <w:rFonts w:ascii="Arabic Typesetting" w:hAnsi="Arabic Typesetting" w:cs="Arabic Typesetting"/>
          <w:sz w:val="40"/>
          <w:szCs w:val="40"/>
          <w:rtl/>
        </w:rPr>
        <w:t>معلومات</w:t>
      </w:r>
      <w:proofErr w:type="gramEnd"/>
      <w:r w:rsidRPr="00DB436A">
        <w:rPr>
          <w:rFonts w:ascii="Arabic Typesetting" w:hAnsi="Arabic Typesetting" w:cs="Arabic Typesetting"/>
          <w:sz w:val="40"/>
          <w:szCs w:val="40"/>
          <w:rtl/>
        </w:rPr>
        <w:t xml:space="preserve"> عامة</w:t>
      </w:r>
    </w:p>
    <w:p w:rsidR="0085052E" w:rsidRPr="00C85B60" w:rsidRDefault="00C85B60" w:rsidP="00DB436A">
      <w:pPr>
        <w:pStyle w:val="NormalParaAR"/>
        <w:keepNext/>
        <w:ind w:left="-1"/>
        <w:rPr>
          <w:b/>
          <w:bCs/>
          <w:lang w:val="fr-CH"/>
        </w:rPr>
      </w:pPr>
      <w:r w:rsidRPr="00C85B60">
        <w:rPr>
          <w:rFonts w:hint="cs"/>
          <w:b/>
          <w:bCs/>
          <w:rtl/>
          <w:lang w:val="fr-CH"/>
        </w:rPr>
        <w:t>أ.</w:t>
      </w:r>
      <w:r w:rsidRPr="00C85B60">
        <w:rPr>
          <w:b/>
          <w:bCs/>
          <w:rtl/>
          <w:lang w:val="fr-CH"/>
        </w:rPr>
        <w:tab/>
      </w:r>
      <w:r w:rsidR="00330EF6">
        <w:rPr>
          <w:rFonts w:hint="cs"/>
          <w:b/>
          <w:bCs/>
          <w:rtl/>
          <w:lang w:val="fr-CH"/>
        </w:rPr>
        <w:t>اسم المكتب الوطني والمسؤولين فيه</w:t>
      </w:r>
      <w:r w:rsidR="0085052E" w:rsidRPr="00C85B60">
        <w:rPr>
          <w:rFonts w:hint="cs"/>
          <w:b/>
          <w:bCs/>
          <w:rtl/>
          <w:lang w:val="fr-CH"/>
        </w:rPr>
        <w:t>:</w:t>
      </w:r>
    </w:p>
    <w:p w:rsidR="0085052E" w:rsidRPr="00C85B60" w:rsidRDefault="00C85B60" w:rsidP="00DB436A">
      <w:pPr>
        <w:pStyle w:val="NormalParaAR"/>
        <w:keepNext/>
        <w:ind w:left="-1"/>
        <w:rPr>
          <w:b/>
          <w:bCs/>
          <w:lang w:val="fr-CH"/>
        </w:rPr>
      </w:pPr>
      <w:r w:rsidRPr="00C85B60">
        <w:rPr>
          <w:rFonts w:hint="cs"/>
          <w:b/>
          <w:bCs/>
          <w:rtl/>
          <w:lang w:val="fr-CH"/>
        </w:rPr>
        <w:t>"1"</w:t>
      </w:r>
      <w:r w:rsidRPr="00C85B60">
        <w:rPr>
          <w:b/>
          <w:bCs/>
          <w:rtl/>
          <w:lang w:val="fr-CH"/>
        </w:rPr>
        <w:tab/>
      </w:r>
      <w:r w:rsidR="0085052E" w:rsidRPr="00C85B60">
        <w:rPr>
          <w:rFonts w:hint="cs"/>
          <w:b/>
          <w:bCs/>
          <w:rtl/>
          <w:lang w:val="fr-CH"/>
        </w:rPr>
        <w:t>الاسم:</w:t>
      </w:r>
    </w:p>
    <w:p w:rsidR="0085052E" w:rsidRDefault="00330EF6" w:rsidP="00937A65">
      <w:pPr>
        <w:pStyle w:val="NormalParaAR"/>
        <w:ind w:left="1080"/>
        <w:rPr>
          <w:rtl/>
          <w:lang w:val="fr-CH"/>
        </w:rPr>
      </w:pPr>
      <w:r>
        <w:rPr>
          <w:rFonts w:hint="cs"/>
          <w:rtl/>
          <w:lang w:val="fr-CH"/>
        </w:rPr>
        <w:t>المكتب الكندي للملكية الفكرية، و</w:t>
      </w:r>
      <w:r w:rsidR="0085052E" w:rsidRPr="0085052E">
        <w:rPr>
          <w:rtl/>
          <w:lang w:val="fr-CH"/>
        </w:rPr>
        <w:t xml:space="preserve">كالة </w:t>
      </w:r>
      <w:r w:rsidR="00937A65">
        <w:rPr>
          <w:rFonts w:hint="cs"/>
          <w:rtl/>
          <w:lang w:val="fr-CH"/>
        </w:rPr>
        <w:t>عمل</w:t>
      </w:r>
      <w:r w:rsidR="0085052E" w:rsidRPr="0085052E">
        <w:rPr>
          <w:rtl/>
          <w:lang w:val="fr-CH"/>
        </w:rPr>
        <w:t xml:space="preserve"> خاصة</w:t>
      </w:r>
      <w:r w:rsidR="00207D3C">
        <w:rPr>
          <w:rFonts w:hint="cs"/>
          <w:rtl/>
          <w:lang w:val="fr-CH"/>
        </w:rPr>
        <w:t xml:space="preserve"> للابتكار</w:t>
      </w:r>
    </w:p>
    <w:p w:rsidR="00207D3C" w:rsidRDefault="00207D3C" w:rsidP="00207D3C">
      <w:pPr>
        <w:pStyle w:val="NormalParaAR"/>
        <w:ind w:left="1080"/>
        <w:rPr>
          <w:rtl/>
          <w:lang w:val="fr-CH"/>
        </w:rPr>
      </w:pPr>
      <w:r>
        <w:rPr>
          <w:rFonts w:hint="cs"/>
          <w:rtl/>
          <w:lang w:val="fr-CH"/>
        </w:rPr>
        <w:t xml:space="preserve">والعلوم </w:t>
      </w:r>
      <w:proofErr w:type="gramStart"/>
      <w:r>
        <w:rPr>
          <w:rFonts w:hint="cs"/>
          <w:rtl/>
          <w:lang w:val="fr-CH"/>
        </w:rPr>
        <w:t>والتنمية</w:t>
      </w:r>
      <w:proofErr w:type="gramEnd"/>
      <w:r>
        <w:rPr>
          <w:rFonts w:hint="cs"/>
          <w:rtl/>
          <w:lang w:val="fr-CH"/>
        </w:rPr>
        <w:t xml:space="preserve"> الاقتصادية، كندا</w:t>
      </w:r>
    </w:p>
    <w:p w:rsidR="00207D3C" w:rsidRDefault="00207D3C" w:rsidP="00207D3C">
      <w:pPr>
        <w:pStyle w:val="NormalParaAR"/>
        <w:ind w:left="1080"/>
        <w:rPr>
          <w:rtl/>
          <w:lang w:val="fr-CH"/>
        </w:rPr>
      </w:pPr>
      <w:r>
        <w:rPr>
          <w:rFonts w:hint="cs"/>
          <w:rtl/>
          <w:lang w:val="fr-CH"/>
        </w:rPr>
        <w:t>حكومة كندا</w:t>
      </w:r>
    </w:p>
    <w:p w:rsidR="00207D3C" w:rsidRPr="00330EF6" w:rsidRDefault="00330EF6" w:rsidP="00DB436A">
      <w:pPr>
        <w:pStyle w:val="NormalParaAR"/>
        <w:keepNext/>
        <w:ind w:left="-1"/>
        <w:rPr>
          <w:b/>
          <w:bCs/>
          <w:lang w:val="fr-CH"/>
        </w:rPr>
      </w:pPr>
      <w:r>
        <w:rPr>
          <w:rFonts w:hint="cs"/>
          <w:b/>
          <w:bCs/>
          <w:rtl/>
          <w:lang w:val="fr-CH"/>
        </w:rPr>
        <w:t>"2"</w:t>
      </w:r>
      <w:r>
        <w:rPr>
          <w:b/>
          <w:bCs/>
          <w:rtl/>
          <w:lang w:val="fr-CH"/>
        </w:rPr>
        <w:tab/>
      </w:r>
      <w:r w:rsidR="00207D3C" w:rsidRPr="00330EF6">
        <w:rPr>
          <w:rFonts w:hint="cs"/>
          <w:b/>
          <w:bCs/>
          <w:rtl/>
          <w:lang w:val="fr-CH"/>
        </w:rPr>
        <w:t>معلوما</w:t>
      </w:r>
      <w:r>
        <w:rPr>
          <w:rFonts w:hint="cs"/>
          <w:b/>
          <w:bCs/>
          <w:rtl/>
          <w:lang w:val="fr-CH"/>
        </w:rPr>
        <w:t xml:space="preserve">ت الاتصال فيما يخص </w:t>
      </w:r>
      <w:proofErr w:type="gramStart"/>
      <w:r w:rsidR="00207D3C" w:rsidRPr="00330EF6">
        <w:rPr>
          <w:rFonts w:hint="cs"/>
          <w:b/>
          <w:bCs/>
          <w:rtl/>
          <w:lang w:val="fr-CH"/>
        </w:rPr>
        <w:t>محتوى</w:t>
      </w:r>
      <w:proofErr w:type="gramEnd"/>
      <w:r w:rsidR="00207D3C" w:rsidRPr="00330EF6">
        <w:rPr>
          <w:rFonts w:hint="cs"/>
          <w:b/>
          <w:bCs/>
          <w:rtl/>
          <w:lang w:val="fr-CH"/>
        </w:rPr>
        <w:t xml:space="preserve"> هذا التقرير:</w:t>
      </w:r>
    </w:p>
    <w:p w:rsidR="00207D3C" w:rsidRDefault="001168FC" w:rsidP="00207D3C">
      <w:pPr>
        <w:pStyle w:val="NormalParaAR"/>
        <w:ind w:left="1080"/>
        <w:rPr>
          <w:rtl/>
          <w:lang w:val="fr-CH"/>
        </w:rPr>
      </w:pPr>
      <w:r>
        <w:rPr>
          <w:rFonts w:hint="cs"/>
          <w:rtl/>
          <w:lang w:val="fr-CH"/>
        </w:rPr>
        <w:t xml:space="preserve">إلين أ. </w:t>
      </w:r>
      <w:proofErr w:type="spellStart"/>
      <w:r>
        <w:rPr>
          <w:rFonts w:hint="cs"/>
          <w:rtl/>
          <w:lang w:val="fr-CH"/>
        </w:rPr>
        <w:t>هيلير</w:t>
      </w:r>
      <w:proofErr w:type="spellEnd"/>
      <w:r w:rsidR="00330EF6">
        <w:rPr>
          <w:rFonts w:hint="cs"/>
          <w:rtl/>
          <w:lang w:val="fr-CH"/>
        </w:rPr>
        <w:t>، مهندسة</w:t>
      </w:r>
    </w:p>
    <w:p w:rsidR="00207D3C" w:rsidRDefault="00330EF6" w:rsidP="00207D3C">
      <w:pPr>
        <w:pStyle w:val="NormalParaAR"/>
        <w:ind w:left="1080"/>
        <w:rPr>
          <w:rtl/>
          <w:lang w:val="fr-CH"/>
        </w:rPr>
      </w:pPr>
      <w:r>
        <w:rPr>
          <w:rFonts w:hint="cs"/>
          <w:rtl/>
          <w:lang w:val="fr-CH"/>
        </w:rPr>
        <w:t xml:space="preserve">مديرة </w:t>
      </w:r>
      <w:r w:rsidR="00207D3C">
        <w:rPr>
          <w:rFonts w:hint="cs"/>
          <w:rtl/>
          <w:lang w:val="fr-CH"/>
        </w:rPr>
        <w:t xml:space="preserve">برنامج </w:t>
      </w:r>
      <w:r w:rsidR="00207D3C">
        <w:rPr>
          <w:rtl/>
          <w:lang w:val="fr-CH"/>
        </w:rPr>
        <w:t>–</w:t>
      </w:r>
      <w:r w:rsidR="00207D3C">
        <w:rPr>
          <w:rFonts w:hint="cs"/>
          <w:rtl/>
          <w:lang w:val="fr-CH"/>
        </w:rPr>
        <w:t xml:space="preserve"> على المستوى الدولي (معاهدة التعاون بشأن البراءات </w:t>
      </w:r>
      <w:r w:rsidR="00207D3C">
        <w:rPr>
          <w:rtl/>
          <w:lang w:val="fr-CH"/>
        </w:rPr>
        <w:t>–</w:t>
      </w:r>
      <w:r w:rsidR="00207D3C">
        <w:rPr>
          <w:rFonts w:hint="cs"/>
          <w:rtl/>
          <w:lang w:val="fr-CH"/>
        </w:rPr>
        <w:t xml:space="preserve"> المسار السريع لمعالجة البراءات)</w:t>
      </w:r>
    </w:p>
    <w:p w:rsidR="00207D3C" w:rsidRPr="00330EF6" w:rsidRDefault="00C22F8A" w:rsidP="00207D3C">
      <w:pPr>
        <w:pStyle w:val="NormalParaAR"/>
        <w:ind w:left="1080"/>
        <w:rPr>
          <w:u w:val="single"/>
        </w:rPr>
      </w:pPr>
      <w:hyperlink r:id="rId11" w:history="1">
        <w:r w:rsidR="00207D3C" w:rsidRPr="00330EF6">
          <w:rPr>
            <w:rStyle w:val="Hyperlink"/>
            <w:color w:val="auto"/>
          </w:rPr>
          <w:t>Elaine.hellyer@canada.ca</w:t>
        </w:r>
      </w:hyperlink>
    </w:p>
    <w:p w:rsidR="00207D3C" w:rsidRDefault="001840B0" w:rsidP="00207D3C">
      <w:pPr>
        <w:pStyle w:val="NormalParaAR"/>
        <w:ind w:left="1080"/>
        <w:rPr>
          <w:lang w:bidi="ar-EG"/>
        </w:rPr>
      </w:pPr>
      <w:r>
        <w:rPr>
          <w:rFonts w:hint="cs"/>
          <w:rtl/>
          <w:lang w:bidi="ar-EG"/>
        </w:rPr>
        <w:t>ال</w:t>
      </w:r>
      <w:r w:rsidR="00207D3C">
        <w:rPr>
          <w:rFonts w:hint="cs"/>
          <w:rtl/>
          <w:lang w:bidi="ar-EG"/>
        </w:rPr>
        <w:t xml:space="preserve">هاتف: </w:t>
      </w:r>
      <w:r w:rsidR="00207D3C">
        <w:rPr>
          <w:lang w:bidi="ar-EG"/>
        </w:rPr>
        <w:t>819-635-7725</w:t>
      </w:r>
    </w:p>
    <w:p w:rsidR="00207D3C" w:rsidRDefault="0012410B" w:rsidP="00207D3C">
      <w:pPr>
        <w:pStyle w:val="NormalParaAR"/>
        <w:ind w:left="1080"/>
        <w:rPr>
          <w:lang w:bidi="ar-EG"/>
        </w:rPr>
      </w:pPr>
      <w:r>
        <w:rPr>
          <w:rFonts w:hint="cs"/>
          <w:rtl/>
          <w:lang w:bidi="ar-EG"/>
        </w:rPr>
        <w:t>المبرقة الكاتبة</w:t>
      </w:r>
      <w:r w:rsidR="00207D3C">
        <w:rPr>
          <w:rFonts w:hint="cs"/>
          <w:rtl/>
          <w:lang w:bidi="ar-EG"/>
        </w:rPr>
        <w:t xml:space="preserve">: </w:t>
      </w:r>
      <w:r w:rsidR="00207D3C">
        <w:rPr>
          <w:lang w:bidi="ar-EG"/>
        </w:rPr>
        <w:t>1-866-694-8389</w:t>
      </w:r>
    </w:p>
    <w:p w:rsidR="00207D3C" w:rsidRPr="0015525E" w:rsidRDefault="007E402B" w:rsidP="00DB436A">
      <w:pPr>
        <w:pStyle w:val="NormalParaAR"/>
        <w:keepNext/>
        <w:ind w:left="-1"/>
        <w:rPr>
          <w:b/>
          <w:bCs/>
          <w:rtl/>
          <w:lang w:val="fr-CH"/>
        </w:rPr>
      </w:pPr>
      <w:r>
        <w:rPr>
          <w:rFonts w:hint="cs"/>
          <w:b/>
          <w:bCs/>
          <w:rtl/>
          <w:lang w:val="fr-CH"/>
        </w:rPr>
        <w:t>ب.</w:t>
      </w:r>
      <w:r>
        <w:rPr>
          <w:b/>
          <w:bCs/>
          <w:rtl/>
          <w:lang w:val="fr-CH"/>
        </w:rPr>
        <w:tab/>
      </w:r>
      <w:r w:rsidR="00207D3C" w:rsidRPr="0015525E">
        <w:rPr>
          <w:rFonts w:hint="cs"/>
          <w:b/>
          <w:bCs/>
          <w:rtl/>
          <w:lang w:val="fr-CH"/>
        </w:rPr>
        <w:t>تاريخ استلام المدير العام طلب التعيين: 8 مارس 2017</w:t>
      </w:r>
    </w:p>
    <w:p w:rsidR="00207D3C" w:rsidRPr="0015525E" w:rsidRDefault="007E402B" w:rsidP="00DB436A">
      <w:pPr>
        <w:pStyle w:val="NormalParaAR"/>
        <w:keepNext/>
        <w:ind w:left="-1"/>
        <w:rPr>
          <w:b/>
          <w:bCs/>
          <w:rtl/>
          <w:lang w:val="fr-CH"/>
        </w:rPr>
      </w:pPr>
      <w:r>
        <w:rPr>
          <w:rFonts w:hint="cs"/>
          <w:b/>
          <w:bCs/>
          <w:rtl/>
          <w:lang w:val="fr-CH"/>
        </w:rPr>
        <w:t>ج.</w:t>
      </w:r>
      <w:r>
        <w:rPr>
          <w:b/>
          <w:bCs/>
          <w:rtl/>
          <w:lang w:val="fr-CH"/>
        </w:rPr>
        <w:tab/>
      </w:r>
      <w:r w:rsidR="00207D3C" w:rsidRPr="0015525E">
        <w:rPr>
          <w:rFonts w:hint="cs"/>
          <w:b/>
          <w:bCs/>
          <w:rtl/>
          <w:lang w:val="fr-CH"/>
        </w:rPr>
        <w:t xml:space="preserve"> دورة الجمعية التي </w:t>
      </w:r>
      <w:r w:rsidR="0015525E">
        <w:rPr>
          <w:rFonts w:hint="cs"/>
          <w:b/>
          <w:bCs/>
          <w:rtl/>
          <w:lang w:val="fr-CH"/>
        </w:rPr>
        <w:t>يُلتمس التعيين فيها:</w:t>
      </w:r>
    </w:p>
    <w:p w:rsidR="0085052E" w:rsidRDefault="002A2109" w:rsidP="0015525E">
      <w:pPr>
        <w:pStyle w:val="NormalParaAR"/>
        <w:ind w:left="566"/>
        <w:rPr>
          <w:rtl/>
          <w:lang w:bidi="ar-EG"/>
        </w:rPr>
      </w:pPr>
      <w:r>
        <w:rPr>
          <w:rFonts w:hint="cs"/>
          <w:rtl/>
          <w:lang w:bidi="ar-EG"/>
        </w:rPr>
        <w:t>سوف يُطلب تعيين المكتب الكندي للملكية الفكرية مجددًا كإدارة دولية في الدورة التاسعة والأربعين (الدورة العادية الحادية والعشرين) ل</w:t>
      </w:r>
      <w:r w:rsidRPr="002A2109">
        <w:rPr>
          <w:rtl/>
          <w:lang w:bidi="ar-EG"/>
        </w:rPr>
        <w:t>جمعية اتحاد معاهدة التعاون بشأن البراءات</w:t>
      </w:r>
      <w:r>
        <w:rPr>
          <w:rFonts w:hint="cs"/>
          <w:rtl/>
          <w:lang w:bidi="ar-EG"/>
        </w:rPr>
        <w:t xml:space="preserve"> في عام 2017.</w:t>
      </w:r>
    </w:p>
    <w:p w:rsidR="002A2109" w:rsidRPr="0015525E" w:rsidRDefault="007E402B" w:rsidP="00DB436A">
      <w:pPr>
        <w:pStyle w:val="NormalParaAR"/>
        <w:keepNext/>
        <w:ind w:left="-1"/>
        <w:rPr>
          <w:b/>
          <w:bCs/>
          <w:rtl/>
          <w:lang w:val="fr-CH"/>
        </w:rPr>
      </w:pPr>
      <w:r>
        <w:rPr>
          <w:rFonts w:hint="cs"/>
          <w:b/>
          <w:bCs/>
          <w:rtl/>
          <w:lang w:val="fr-CH"/>
        </w:rPr>
        <w:t>د.</w:t>
      </w:r>
      <w:r>
        <w:rPr>
          <w:b/>
          <w:bCs/>
          <w:rtl/>
          <w:lang w:val="fr-CH"/>
        </w:rPr>
        <w:tab/>
      </w:r>
      <w:r w:rsidR="0015525E">
        <w:rPr>
          <w:rFonts w:hint="cs"/>
          <w:b/>
          <w:bCs/>
          <w:rtl/>
          <w:lang w:val="fr-CH"/>
        </w:rPr>
        <w:t>التاريخ المتوقع ل</w:t>
      </w:r>
      <w:r w:rsidR="002A2109" w:rsidRPr="0015525E">
        <w:rPr>
          <w:rFonts w:hint="cs"/>
          <w:b/>
          <w:bCs/>
          <w:rtl/>
          <w:lang w:val="fr-CH"/>
        </w:rPr>
        <w:t xml:space="preserve">بدء العمل كإدارة </w:t>
      </w:r>
      <w:proofErr w:type="gramStart"/>
      <w:r w:rsidR="002A2109" w:rsidRPr="0015525E">
        <w:rPr>
          <w:rFonts w:hint="cs"/>
          <w:b/>
          <w:bCs/>
          <w:rtl/>
          <w:lang w:val="fr-CH"/>
        </w:rPr>
        <w:t>للبحث</w:t>
      </w:r>
      <w:proofErr w:type="gramEnd"/>
      <w:r w:rsidR="002A2109" w:rsidRPr="0015525E">
        <w:rPr>
          <w:rFonts w:hint="cs"/>
          <w:b/>
          <w:bCs/>
          <w:rtl/>
          <w:lang w:val="fr-CH"/>
        </w:rPr>
        <w:t xml:space="preserve"> </w:t>
      </w:r>
      <w:r w:rsidR="0079659B" w:rsidRPr="0015525E">
        <w:rPr>
          <w:rFonts w:hint="cs"/>
          <w:b/>
          <w:bCs/>
          <w:rtl/>
          <w:lang w:val="fr-CH"/>
        </w:rPr>
        <w:t>وإدارة للفحص التمهيدي الدولي:</w:t>
      </w:r>
    </w:p>
    <w:p w:rsidR="0079659B" w:rsidRDefault="0079659B" w:rsidP="0015525E">
      <w:pPr>
        <w:pStyle w:val="NormalParaAR"/>
        <w:ind w:left="566"/>
        <w:rPr>
          <w:rtl/>
          <w:lang w:bidi="ar-EG"/>
        </w:rPr>
      </w:pPr>
      <w:proofErr w:type="gramStart"/>
      <w:r>
        <w:rPr>
          <w:rFonts w:hint="cs"/>
          <w:rtl/>
          <w:lang w:bidi="ar-EG"/>
        </w:rPr>
        <w:t>سوف</w:t>
      </w:r>
      <w:proofErr w:type="gramEnd"/>
      <w:r>
        <w:rPr>
          <w:rFonts w:hint="cs"/>
          <w:rtl/>
          <w:lang w:bidi="ar-EG"/>
        </w:rPr>
        <w:t xml:space="preserve"> يتمكن المكتب الكندي للملكية الفكرية من العمل كإدارة للبحث</w:t>
      </w:r>
      <w:r w:rsidR="0015525E">
        <w:rPr>
          <w:rFonts w:hint="cs"/>
          <w:rtl/>
          <w:lang w:bidi="ar-EG"/>
        </w:rPr>
        <w:t xml:space="preserve"> الدولي/إدارة ل</w:t>
      </w:r>
      <w:r>
        <w:rPr>
          <w:rFonts w:hint="cs"/>
          <w:rtl/>
          <w:lang w:bidi="ar-EG"/>
        </w:rPr>
        <w:t>لفحص التمهيدي الدولي اعتبارًا من 1</w:t>
      </w:r>
      <w:r w:rsidR="0015525E">
        <w:rPr>
          <w:rFonts w:hint="eastAsia"/>
          <w:rtl/>
          <w:lang w:bidi="ar-EG"/>
        </w:rPr>
        <w:t> </w:t>
      </w:r>
      <w:r>
        <w:rPr>
          <w:rFonts w:hint="cs"/>
          <w:rtl/>
          <w:lang w:bidi="ar-EG"/>
        </w:rPr>
        <w:t>يناير</w:t>
      </w:r>
      <w:r w:rsidR="0015525E">
        <w:rPr>
          <w:rFonts w:hint="eastAsia"/>
          <w:rtl/>
          <w:lang w:bidi="ar-EG"/>
        </w:rPr>
        <w:t> </w:t>
      </w:r>
      <w:r>
        <w:rPr>
          <w:rFonts w:hint="cs"/>
          <w:rtl/>
          <w:lang w:bidi="ar-EG"/>
        </w:rPr>
        <w:t>2018، عند تاريخ بدء الاتفاق المحتمل الجديد مع المكتب الدولي.</w:t>
      </w:r>
    </w:p>
    <w:p w:rsidR="0079659B" w:rsidRPr="0015525E" w:rsidRDefault="0079659B" w:rsidP="00DB436A">
      <w:pPr>
        <w:pStyle w:val="NormalParaAR"/>
        <w:keepNext/>
        <w:ind w:left="-1"/>
        <w:rPr>
          <w:b/>
          <w:bCs/>
          <w:rtl/>
          <w:lang w:val="fr-CH"/>
        </w:rPr>
      </w:pPr>
      <w:r w:rsidRPr="0015525E">
        <w:rPr>
          <w:rFonts w:hint="cs"/>
          <w:b/>
          <w:bCs/>
          <w:rtl/>
          <w:lang w:val="fr-CH"/>
        </w:rPr>
        <w:lastRenderedPageBreak/>
        <w:t>ه</w:t>
      </w:r>
      <w:r w:rsidR="007E402B">
        <w:rPr>
          <w:rFonts w:hint="cs"/>
          <w:b/>
          <w:bCs/>
          <w:rtl/>
          <w:lang w:val="fr-CH"/>
        </w:rPr>
        <w:t>.</w:t>
      </w:r>
      <w:r w:rsidR="007E402B">
        <w:rPr>
          <w:b/>
          <w:bCs/>
          <w:rtl/>
          <w:lang w:val="fr-CH"/>
        </w:rPr>
        <w:tab/>
      </w:r>
      <w:proofErr w:type="gramStart"/>
      <w:r w:rsidR="0015525E">
        <w:rPr>
          <w:rFonts w:hint="cs"/>
          <w:b/>
          <w:bCs/>
          <w:rtl/>
          <w:lang w:val="fr-CH"/>
        </w:rPr>
        <w:t>إدارة</w:t>
      </w:r>
      <w:proofErr w:type="gramEnd"/>
      <w:r w:rsidR="0015525E">
        <w:rPr>
          <w:rFonts w:hint="cs"/>
          <w:b/>
          <w:bCs/>
          <w:rtl/>
          <w:lang w:val="fr-CH"/>
        </w:rPr>
        <w:t xml:space="preserve"> أو إدارات البحث الدولي/ </w:t>
      </w:r>
      <w:r w:rsidRPr="0015525E">
        <w:rPr>
          <w:rFonts w:hint="cs"/>
          <w:b/>
          <w:bCs/>
          <w:rtl/>
          <w:lang w:val="fr-CH"/>
        </w:rPr>
        <w:t xml:space="preserve">إدارة أو إدارات الفحص التمهيدي الدولي </w:t>
      </w:r>
      <w:r w:rsidR="0015525E">
        <w:rPr>
          <w:rFonts w:hint="cs"/>
          <w:b/>
          <w:bCs/>
          <w:rtl/>
          <w:lang w:val="fr-CH"/>
        </w:rPr>
        <w:t xml:space="preserve">القائمة </w:t>
      </w:r>
      <w:r w:rsidRPr="0015525E">
        <w:rPr>
          <w:rFonts w:hint="cs"/>
          <w:b/>
          <w:bCs/>
          <w:rtl/>
          <w:lang w:val="fr-CH"/>
        </w:rPr>
        <w:t>التي تساعد على تقييم مدى الوفاء بالمعايير المحددة:</w:t>
      </w:r>
    </w:p>
    <w:p w:rsidR="0079659B" w:rsidRDefault="0079659B" w:rsidP="00AA7221">
      <w:pPr>
        <w:pStyle w:val="NormalParaAR"/>
        <w:ind w:left="566"/>
        <w:rPr>
          <w:rtl/>
          <w:lang w:bidi="ar-EG"/>
        </w:rPr>
      </w:pPr>
      <w:r>
        <w:rPr>
          <w:rFonts w:hint="cs"/>
          <w:rtl/>
          <w:lang w:bidi="ar-EG"/>
        </w:rPr>
        <w:t xml:space="preserve">تمشيًا مع </w:t>
      </w:r>
      <w:r w:rsidRPr="0079659B">
        <w:rPr>
          <w:rtl/>
          <w:lang w:bidi="ar-EG"/>
        </w:rPr>
        <w:t>إجراءات تعيين الإدارات الدولية</w:t>
      </w:r>
      <w:r>
        <w:rPr>
          <w:rFonts w:hint="cs"/>
          <w:rtl/>
          <w:lang w:bidi="ar-EG"/>
        </w:rPr>
        <w:t xml:space="preserve"> المتفق عليها في الدورة السادسة والأربعين ل</w:t>
      </w:r>
      <w:r w:rsidRPr="002A2109">
        <w:rPr>
          <w:rtl/>
          <w:lang w:bidi="ar-EG"/>
        </w:rPr>
        <w:t>جمعية اتحاد معاهدة التعاون بشأن البراءات</w:t>
      </w:r>
      <w:r w:rsidR="0015525E">
        <w:rPr>
          <w:rFonts w:hint="cs"/>
          <w:rtl/>
          <w:lang w:bidi="ar-EG"/>
        </w:rPr>
        <w:t xml:space="preserve">، </w:t>
      </w:r>
      <w:r>
        <w:rPr>
          <w:rFonts w:hint="cs"/>
          <w:rtl/>
          <w:lang w:bidi="ar-EG"/>
        </w:rPr>
        <w:t>حص</w:t>
      </w:r>
      <w:r w:rsidR="0015525E">
        <w:rPr>
          <w:rFonts w:hint="cs"/>
          <w:rtl/>
          <w:lang w:bidi="ar-EG"/>
        </w:rPr>
        <w:t xml:space="preserve">ل المكتب الكندي للملكية الفكرية، لأغراض استعراض طلبه، </w:t>
      </w:r>
      <w:r>
        <w:rPr>
          <w:rFonts w:hint="cs"/>
          <w:rtl/>
          <w:lang w:bidi="ar-EG"/>
        </w:rPr>
        <w:t xml:space="preserve">على مساعدة من مكتب أستراليا للملكية الفكرية ومكتب </w:t>
      </w:r>
      <w:r w:rsidR="00AA7221">
        <w:rPr>
          <w:rFonts w:hint="cs"/>
          <w:rtl/>
          <w:lang w:bidi="ar-EG"/>
        </w:rPr>
        <w:t>البراءات الا</w:t>
      </w:r>
      <w:r>
        <w:rPr>
          <w:rFonts w:hint="cs"/>
          <w:rtl/>
          <w:lang w:bidi="ar-EG"/>
        </w:rPr>
        <w:t>سرائيل</w:t>
      </w:r>
      <w:r w:rsidR="00AA7221">
        <w:rPr>
          <w:rFonts w:hint="cs"/>
          <w:rtl/>
          <w:lang w:bidi="ar-EG"/>
        </w:rPr>
        <w:t>ي</w:t>
      </w:r>
      <w:r>
        <w:rPr>
          <w:rFonts w:hint="cs"/>
          <w:rtl/>
          <w:lang w:bidi="ar-EG"/>
        </w:rPr>
        <w:t xml:space="preserve"> ومكتب المملكة المتحدة للملكية الفكرية</w:t>
      </w:r>
      <w:r w:rsidR="00E2374F">
        <w:rPr>
          <w:rFonts w:hint="cs"/>
          <w:rtl/>
          <w:lang w:bidi="ar-EG"/>
        </w:rPr>
        <w:t>. وقدم</w:t>
      </w:r>
      <w:r w:rsidR="00340919">
        <w:rPr>
          <w:rFonts w:hint="cs"/>
          <w:rtl/>
          <w:lang w:bidi="ar-EG"/>
        </w:rPr>
        <w:t xml:space="preserve"> </w:t>
      </w:r>
      <w:r w:rsidR="00E2374F">
        <w:rPr>
          <w:rFonts w:hint="cs"/>
          <w:rtl/>
          <w:lang w:bidi="ar-EG"/>
        </w:rPr>
        <w:t xml:space="preserve">المكتب الكندي للملكية الفكرية أيضا مشروع </w:t>
      </w:r>
      <w:proofErr w:type="gramStart"/>
      <w:r w:rsidR="00E2374F">
        <w:rPr>
          <w:rFonts w:hint="cs"/>
          <w:rtl/>
          <w:lang w:bidi="ar-EG"/>
        </w:rPr>
        <w:t>طلبه</w:t>
      </w:r>
      <w:proofErr w:type="gramEnd"/>
      <w:r w:rsidR="00340919">
        <w:rPr>
          <w:rFonts w:hint="cs"/>
          <w:rtl/>
          <w:lang w:bidi="ar-EG"/>
        </w:rPr>
        <w:t xml:space="preserve"> </w:t>
      </w:r>
      <w:r w:rsidR="00E2374F">
        <w:rPr>
          <w:rFonts w:hint="cs"/>
          <w:rtl/>
          <w:lang w:bidi="ar-EG"/>
        </w:rPr>
        <w:t>إلى المكتب الدولي لتقييمه. وأ</w:t>
      </w:r>
      <w:r w:rsidR="0032278D">
        <w:rPr>
          <w:rFonts w:hint="cs"/>
          <w:rtl/>
          <w:lang w:bidi="ar-EG"/>
        </w:rPr>
        <w:t>ُ</w:t>
      </w:r>
      <w:r w:rsidR="00E2374F">
        <w:rPr>
          <w:rFonts w:hint="cs"/>
          <w:rtl/>
          <w:lang w:bidi="ar-EG"/>
        </w:rPr>
        <w:t xml:space="preserve">خذت جميع التعليقات بعين الاعتبار عند إضفاء الطابع الرسمي على </w:t>
      </w:r>
      <w:r w:rsidR="0015525E">
        <w:rPr>
          <w:rFonts w:hint="cs"/>
          <w:rtl/>
          <w:lang w:bidi="ar-EG"/>
        </w:rPr>
        <w:t xml:space="preserve">ذلك </w:t>
      </w:r>
      <w:proofErr w:type="gramStart"/>
      <w:r w:rsidR="00E2374F">
        <w:rPr>
          <w:rFonts w:hint="cs"/>
          <w:rtl/>
          <w:lang w:bidi="ar-EG"/>
        </w:rPr>
        <w:t>الطلب</w:t>
      </w:r>
      <w:proofErr w:type="gramEnd"/>
      <w:r w:rsidR="00E2374F">
        <w:rPr>
          <w:rFonts w:hint="cs"/>
          <w:rtl/>
          <w:lang w:bidi="ar-EG"/>
        </w:rPr>
        <w:t>.</w:t>
      </w:r>
    </w:p>
    <w:p w:rsidR="00E2374F" w:rsidRDefault="00D33DB1" w:rsidP="00D33DB1">
      <w:pPr>
        <w:pStyle w:val="NormalParaAR"/>
        <w:ind w:left="566"/>
        <w:rPr>
          <w:rtl/>
          <w:lang w:bidi="ar-EG"/>
        </w:rPr>
      </w:pPr>
      <w:proofErr w:type="gramStart"/>
      <w:r>
        <w:rPr>
          <w:rFonts w:hint="cs"/>
          <w:rtl/>
          <w:lang w:bidi="ar-EG"/>
        </w:rPr>
        <w:t>وقام</w:t>
      </w:r>
      <w:proofErr w:type="gramEnd"/>
      <w:r>
        <w:rPr>
          <w:rFonts w:hint="cs"/>
          <w:rtl/>
          <w:lang w:bidi="ar-EG"/>
        </w:rPr>
        <w:t xml:space="preserve"> مكتب أستراليا للملكية الفكرية، قبل تجربة</w:t>
      </w:r>
      <w:r w:rsidR="0015525E">
        <w:rPr>
          <w:rFonts w:hint="cs"/>
          <w:rtl/>
          <w:lang w:bidi="ar-EG"/>
        </w:rPr>
        <w:t xml:space="preserve"> </w:t>
      </w:r>
      <w:r>
        <w:rPr>
          <w:rFonts w:hint="cs"/>
          <w:rtl/>
          <w:lang w:bidi="ar-EG"/>
        </w:rPr>
        <w:t>أجريت</w:t>
      </w:r>
      <w:r w:rsidR="002B2EE0">
        <w:rPr>
          <w:rFonts w:hint="cs"/>
          <w:rtl/>
          <w:lang w:bidi="ar-EG"/>
        </w:rPr>
        <w:t xml:space="preserve"> وقت انعقاد دورة</w:t>
      </w:r>
      <w:r w:rsidR="00340919">
        <w:rPr>
          <w:rFonts w:hint="cs"/>
          <w:rtl/>
          <w:lang w:bidi="ar-EG"/>
        </w:rPr>
        <w:t xml:space="preserve"> </w:t>
      </w:r>
      <w:r w:rsidR="002B2EE0">
        <w:rPr>
          <w:rFonts w:hint="cs"/>
          <w:rtl/>
          <w:lang w:bidi="ar-EG"/>
        </w:rPr>
        <w:t xml:space="preserve">الفريق الفرعي المعني بالجودة </w:t>
      </w:r>
      <w:r>
        <w:rPr>
          <w:rFonts w:hint="cs"/>
          <w:rtl/>
          <w:lang w:bidi="ar-EG"/>
        </w:rPr>
        <w:t>في عام</w:t>
      </w:r>
      <w:r>
        <w:rPr>
          <w:rFonts w:hint="eastAsia"/>
          <w:rtl/>
          <w:lang w:bidi="ar-EG"/>
        </w:rPr>
        <w:t> </w:t>
      </w:r>
      <w:r>
        <w:rPr>
          <w:rFonts w:hint="cs"/>
          <w:rtl/>
          <w:lang w:bidi="ar-EG"/>
        </w:rPr>
        <w:t>2017، باستعراض</w:t>
      </w:r>
      <w:r w:rsidR="002B2EE0">
        <w:rPr>
          <w:rFonts w:hint="cs"/>
          <w:rtl/>
          <w:lang w:bidi="ar-EG"/>
        </w:rPr>
        <w:t xml:space="preserve"> تقرير نظام إدارة الجودة الصادر عن المكتب الكندي للملكية الفكرية </w:t>
      </w:r>
      <w:r>
        <w:rPr>
          <w:rFonts w:hint="cs"/>
          <w:rtl/>
          <w:lang w:bidi="ar-EG"/>
        </w:rPr>
        <w:t xml:space="preserve">في عام 2015 وتقديم </w:t>
      </w:r>
      <w:r w:rsidR="002B2EE0">
        <w:rPr>
          <w:rFonts w:hint="cs"/>
          <w:rtl/>
          <w:lang w:bidi="ar-EG"/>
        </w:rPr>
        <w:t xml:space="preserve">تعقيباته عليه. </w:t>
      </w:r>
      <w:proofErr w:type="gramStart"/>
      <w:r w:rsidR="002B2EE0">
        <w:rPr>
          <w:rFonts w:hint="cs"/>
          <w:rtl/>
          <w:lang w:bidi="ar-EG"/>
        </w:rPr>
        <w:t>وتألفت</w:t>
      </w:r>
      <w:proofErr w:type="gramEnd"/>
      <w:r w:rsidR="002B2EE0">
        <w:rPr>
          <w:rFonts w:hint="cs"/>
          <w:rtl/>
          <w:lang w:bidi="ar-EG"/>
        </w:rPr>
        <w:t xml:space="preserve"> التجربة التي </w:t>
      </w:r>
      <w:r>
        <w:rPr>
          <w:rFonts w:hint="cs"/>
          <w:rtl/>
          <w:lang w:bidi="ar-EG"/>
        </w:rPr>
        <w:t>أجريت أثناء دورة</w:t>
      </w:r>
      <w:r w:rsidR="002B2EE0">
        <w:rPr>
          <w:rFonts w:hint="cs"/>
          <w:rtl/>
          <w:lang w:bidi="ar-EG"/>
        </w:rPr>
        <w:t xml:space="preserve"> الفريق الفرعي المعني بالجودة من استعراض تقرير نظام إدارة الجودة </w:t>
      </w:r>
      <w:r>
        <w:rPr>
          <w:rFonts w:hint="cs"/>
          <w:rtl/>
          <w:lang w:bidi="ar-EG"/>
        </w:rPr>
        <w:t>الصادر عن</w:t>
      </w:r>
      <w:r w:rsidR="002B2EE0">
        <w:rPr>
          <w:rFonts w:hint="cs"/>
          <w:rtl/>
          <w:lang w:bidi="ar-EG"/>
        </w:rPr>
        <w:t xml:space="preserve"> أحد المكاتب </w:t>
      </w:r>
      <w:r w:rsidR="001C57A4">
        <w:rPr>
          <w:rFonts w:hint="cs"/>
          <w:rtl/>
          <w:lang w:bidi="ar-EG"/>
        </w:rPr>
        <w:t xml:space="preserve">التجريبية </w:t>
      </w:r>
      <w:r w:rsidR="0032278D">
        <w:rPr>
          <w:rFonts w:hint="cs"/>
          <w:rtl/>
          <w:lang w:bidi="ar-EG"/>
        </w:rPr>
        <w:t xml:space="preserve">المتطوعة </w:t>
      </w:r>
      <w:r>
        <w:rPr>
          <w:rFonts w:hint="cs"/>
          <w:rtl/>
          <w:lang w:bidi="ar-EG"/>
        </w:rPr>
        <w:t xml:space="preserve">الأخرى </w:t>
      </w:r>
      <w:r w:rsidR="0032278D">
        <w:rPr>
          <w:rFonts w:hint="cs"/>
          <w:rtl/>
          <w:lang w:bidi="ar-EG"/>
        </w:rPr>
        <w:t xml:space="preserve">ومن ثم </w:t>
      </w:r>
      <w:r>
        <w:rPr>
          <w:rFonts w:hint="cs"/>
          <w:rtl/>
          <w:lang w:bidi="ar-EG"/>
        </w:rPr>
        <w:t>استعراض</w:t>
      </w:r>
      <w:r w:rsidR="0032278D">
        <w:rPr>
          <w:rFonts w:hint="cs"/>
          <w:rtl/>
          <w:lang w:bidi="ar-EG"/>
        </w:rPr>
        <w:t xml:space="preserve"> تقريرنا الخاص بن</w:t>
      </w:r>
      <w:r w:rsidR="002B2EE0">
        <w:rPr>
          <w:rFonts w:hint="cs"/>
          <w:rtl/>
          <w:lang w:bidi="ar-EG"/>
        </w:rPr>
        <w:t xml:space="preserve">ظام إدارة الجودة </w:t>
      </w:r>
      <w:r>
        <w:rPr>
          <w:rFonts w:hint="cs"/>
          <w:rtl/>
          <w:lang w:bidi="ar-EG"/>
        </w:rPr>
        <w:t>ل</w:t>
      </w:r>
      <w:r w:rsidR="002B2EE0">
        <w:rPr>
          <w:rFonts w:hint="cs"/>
          <w:rtl/>
          <w:lang w:bidi="ar-EG"/>
        </w:rPr>
        <w:t>عام</w:t>
      </w:r>
      <w:r>
        <w:rPr>
          <w:rFonts w:hint="eastAsia"/>
          <w:rtl/>
          <w:lang w:bidi="ar-EG"/>
        </w:rPr>
        <w:t> </w:t>
      </w:r>
      <w:r w:rsidR="002B2EE0">
        <w:rPr>
          <w:rFonts w:hint="cs"/>
          <w:rtl/>
          <w:lang w:bidi="ar-EG"/>
        </w:rPr>
        <w:t>2016.</w:t>
      </w:r>
      <w:r w:rsidR="001C57A4">
        <w:rPr>
          <w:rFonts w:hint="cs"/>
          <w:rtl/>
          <w:lang w:bidi="ar-EG"/>
        </w:rPr>
        <w:t xml:space="preserve"> ويمكن الاطلاع على موجز مشترك للاستعراضين من مكتب أستراليا للملكية الفكرية والمكتب النمساوي للبراءات في المادة </w:t>
      </w:r>
      <w:r>
        <w:rPr>
          <w:rFonts w:hint="cs"/>
          <w:rtl/>
          <w:lang w:bidi="ar-EG"/>
        </w:rPr>
        <w:t>التاسعة</w:t>
      </w:r>
      <w:r w:rsidR="001C57A4">
        <w:rPr>
          <w:rFonts w:hint="cs"/>
          <w:rtl/>
          <w:lang w:bidi="ar-EG"/>
        </w:rPr>
        <w:t xml:space="preserve"> </w:t>
      </w:r>
      <w:r>
        <w:rPr>
          <w:rFonts w:hint="cs"/>
          <w:rtl/>
          <w:lang w:bidi="ar-EG"/>
        </w:rPr>
        <w:t>أدناه</w:t>
      </w:r>
      <w:r w:rsidR="001C57A4">
        <w:rPr>
          <w:rFonts w:hint="cs"/>
          <w:rtl/>
          <w:lang w:bidi="ar-EG"/>
        </w:rPr>
        <w:t>.</w:t>
      </w:r>
    </w:p>
    <w:p w:rsidR="001C57A4" w:rsidRDefault="001C57A4" w:rsidP="00E2711E">
      <w:pPr>
        <w:pStyle w:val="NormalParaAR"/>
        <w:ind w:left="566"/>
        <w:rPr>
          <w:lang w:bidi="ar-EG"/>
        </w:rPr>
      </w:pPr>
      <w:r>
        <w:rPr>
          <w:rFonts w:hint="cs"/>
          <w:rtl/>
          <w:lang w:bidi="ar-EG"/>
        </w:rPr>
        <w:t xml:space="preserve">ويسعى المكتب الكندي للملكية الفكرية </w:t>
      </w:r>
      <w:proofErr w:type="gramStart"/>
      <w:r>
        <w:rPr>
          <w:rFonts w:hint="cs"/>
          <w:rtl/>
          <w:lang w:bidi="ar-EG"/>
        </w:rPr>
        <w:t>سعيًا</w:t>
      </w:r>
      <w:proofErr w:type="gramEnd"/>
      <w:r>
        <w:rPr>
          <w:rFonts w:hint="cs"/>
          <w:rtl/>
          <w:lang w:bidi="ar-EG"/>
        </w:rPr>
        <w:t xml:space="preserve"> حثيثًا نحو تحسين أدائه بغية تمكين الفاحصين من عدم الاكتفاء بتطبيق المعايير الدنيا. ويتحقق هذا الغرض جزئيًا من خلال تبادل المعلومات والاقتراحات المتعلقة بالممارسات الفضلى مع مختلف الإدارات الدولية الأخرى. </w:t>
      </w:r>
      <w:proofErr w:type="gramStart"/>
      <w:r>
        <w:rPr>
          <w:rFonts w:hint="cs"/>
          <w:rtl/>
          <w:lang w:bidi="ar-EG"/>
        </w:rPr>
        <w:t>وعقب</w:t>
      </w:r>
      <w:proofErr w:type="gramEnd"/>
      <w:r>
        <w:rPr>
          <w:rFonts w:hint="cs"/>
          <w:rtl/>
          <w:lang w:bidi="ar-EG"/>
        </w:rPr>
        <w:t xml:space="preserve"> هذه ال</w:t>
      </w:r>
      <w:r w:rsidR="00C00CE3">
        <w:rPr>
          <w:rFonts w:hint="cs"/>
          <w:rtl/>
          <w:lang w:bidi="ar-EG"/>
        </w:rPr>
        <w:t xml:space="preserve">مناقشات سوف يتمكن المكتب الكندي </w:t>
      </w:r>
      <w:r w:rsidR="0032278D">
        <w:rPr>
          <w:rFonts w:hint="cs"/>
          <w:rtl/>
          <w:lang w:bidi="ar-EG"/>
        </w:rPr>
        <w:t>للملكية الفكرية من وضع معايير وإ</w:t>
      </w:r>
      <w:r w:rsidR="00C00CE3">
        <w:rPr>
          <w:rFonts w:hint="cs"/>
          <w:rtl/>
          <w:lang w:bidi="ar-EG"/>
        </w:rPr>
        <w:t xml:space="preserve">جراء تقييم ذاتي عن مدى وفائه بتلك المعايير أو </w:t>
      </w:r>
      <w:r w:rsidR="00E2711E">
        <w:rPr>
          <w:rFonts w:hint="cs"/>
          <w:rtl/>
          <w:lang w:bidi="ar-EG"/>
        </w:rPr>
        <w:t>تجاوزها</w:t>
      </w:r>
      <w:r w:rsidR="00C00CE3">
        <w:rPr>
          <w:rFonts w:hint="cs"/>
          <w:rtl/>
          <w:lang w:bidi="ar-EG"/>
        </w:rPr>
        <w:t>. وبالإضافة إلى ذلك يشارك المكتب الكندي للملكية الفكرية في جهود جماعية مع الإدارات الدولية لدعم مواصلة تحسين نظام معاهدة التعاون بشأن البراءات ككل لجميع الدول المتعاقدة. وفيما يلي أمثلة على انخراط المكتب الكندي للملكية الفكرية في هذا الشأن:</w:t>
      </w:r>
    </w:p>
    <w:p w:rsidR="00A459A3" w:rsidRDefault="00A459A3" w:rsidP="004B5973">
      <w:pPr>
        <w:pStyle w:val="NormalParaAR"/>
        <w:numPr>
          <w:ilvl w:val="0"/>
          <w:numId w:val="24"/>
        </w:numPr>
        <w:rPr>
          <w:lang w:bidi="ar-EG"/>
        </w:rPr>
      </w:pPr>
      <w:r>
        <w:rPr>
          <w:rFonts w:hint="cs"/>
          <w:rtl/>
          <w:lang w:bidi="ar-EG"/>
        </w:rPr>
        <w:t xml:space="preserve">إجراء </w:t>
      </w:r>
      <w:r w:rsidR="004B5973">
        <w:rPr>
          <w:rFonts w:hint="cs"/>
          <w:rtl/>
          <w:lang w:bidi="ar-EG"/>
        </w:rPr>
        <w:t>تدقيق</w:t>
      </w:r>
      <w:r w:rsidR="00F52410">
        <w:rPr>
          <w:rFonts w:hint="cs"/>
          <w:rtl/>
          <w:lang w:bidi="ar-EG"/>
        </w:rPr>
        <w:t xml:space="preserve"> الجودة </w:t>
      </w:r>
      <w:r>
        <w:rPr>
          <w:rFonts w:hint="cs"/>
          <w:rtl/>
          <w:lang w:bidi="ar-EG"/>
        </w:rPr>
        <w:t xml:space="preserve">لعمل الفحص الوطني بالتعاون مع مجموعة </w:t>
      </w:r>
      <w:r w:rsidR="00F52410">
        <w:rPr>
          <w:rFonts w:hint="cs"/>
          <w:rtl/>
          <w:lang w:bidi="ar-EG"/>
        </w:rPr>
        <w:t>فانكوفر ل</w:t>
      </w:r>
      <w:r>
        <w:rPr>
          <w:rFonts w:hint="cs"/>
          <w:rtl/>
          <w:lang w:bidi="ar-EG"/>
        </w:rPr>
        <w:t>مكاتب الملكية الفكرية (</w:t>
      </w:r>
      <w:r w:rsidR="00610063">
        <w:rPr>
          <w:rFonts w:hint="cs"/>
          <w:rtl/>
          <w:lang w:bidi="ar-EG"/>
        </w:rPr>
        <w:t>مكتب المملكة</w:t>
      </w:r>
      <w:r w:rsidR="00E2711E">
        <w:rPr>
          <w:rFonts w:hint="cs"/>
          <w:rtl/>
          <w:lang w:bidi="ar-EG"/>
        </w:rPr>
        <w:t xml:space="preserve"> </w:t>
      </w:r>
      <w:r w:rsidR="00610063">
        <w:rPr>
          <w:rFonts w:hint="cs"/>
          <w:rtl/>
          <w:lang w:bidi="ar-EG"/>
        </w:rPr>
        <w:t>المتحدة للملكية الفكرية ومكتب أستراليا للملكية الفكرية)؛</w:t>
      </w:r>
    </w:p>
    <w:p w:rsidR="00610063" w:rsidRDefault="00610063" w:rsidP="00610063">
      <w:pPr>
        <w:pStyle w:val="NormalParaAR"/>
        <w:numPr>
          <w:ilvl w:val="0"/>
          <w:numId w:val="24"/>
        </w:numPr>
        <w:rPr>
          <w:lang w:bidi="ar-EG"/>
        </w:rPr>
      </w:pPr>
      <w:r>
        <w:rPr>
          <w:rFonts w:hint="cs"/>
          <w:rtl/>
          <w:lang w:bidi="ar-EG"/>
        </w:rPr>
        <w:t>الشروع في نشر استراتيجيات البحث؛</w:t>
      </w:r>
    </w:p>
    <w:p w:rsidR="00610063" w:rsidRDefault="00610063" w:rsidP="000507C6">
      <w:pPr>
        <w:pStyle w:val="NormalParaAR"/>
        <w:numPr>
          <w:ilvl w:val="0"/>
          <w:numId w:val="24"/>
        </w:numPr>
        <w:rPr>
          <w:lang w:bidi="ar-EG"/>
        </w:rPr>
      </w:pPr>
      <w:r>
        <w:rPr>
          <w:rFonts w:hint="cs"/>
          <w:rtl/>
          <w:lang w:bidi="ar-EG"/>
        </w:rPr>
        <w:t>الاتفاق</w:t>
      </w:r>
      <w:r w:rsidR="000507C6">
        <w:rPr>
          <w:rFonts w:hint="cs"/>
          <w:rtl/>
          <w:lang w:bidi="ar-EG"/>
        </w:rPr>
        <w:t xml:space="preserve"> م</w:t>
      </w:r>
      <w:r>
        <w:rPr>
          <w:rFonts w:hint="cs"/>
          <w:rtl/>
          <w:lang w:bidi="ar-EG"/>
        </w:rPr>
        <w:t xml:space="preserve">ع </w:t>
      </w:r>
      <w:r w:rsidR="000507C6">
        <w:rPr>
          <w:rFonts w:hint="cs"/>
          <w:rtl/>
          <w:lang w:bidi="ar-EG"/>
        </w:rPr>
        <w:t>مكتبي</w:t>
      </w:r>
      <w:r>
        <w:rPr>
          <w:rFonts w:hint="cs"/>
          <w:rtl/>
          <w:lang w:bidi="ar-EG"/>
        </w:rPr>
        <w:t xml:space="preserve"> مجموعة فانكوفر </w:t>
      </w:r>
      <w:r w:rsidR="000507C6">
        <w:rPr>
          <w:rFonts w:hint="cs"/>
          <w:rtl/>
          <w:lang w:bidi="ar-EG"/>
        </w:rPr>
        <w:t xml:space="preserve">الآخرين </w:t>
      </w:r>
      <w:r>
        <w:rPr>
          <w:rFonts w:hint="cs"/>
          <w:rtl/>
          <w:lang w:bidi="ar-EG"/>
        </w:rPr>
        <w:t>(مكتب المملكة المتحدة للملكية الفكرية ومكتب أستراليا للملكية الفكرية) بشأن مضامين استراتيجيات البحث والترويج لها؛</w:t>
      </w:r>
    </w:p>
    <w:p w:rsidR="00610063" w:rsidRDefault="000507C6" w:rsidP="00F52410">
      <w:pPr>
        <w:pStyle w:val="NormalParaAR"/>
        <w:numPr>
          <w:ilvl w:val="0"/>
          <w:numId w:val="24"/>
        </w:numPr>
        <w:rPr>
          <w:lang w:bidi="ar-EG"/>
        </w:rPr>
      </w:pPr>
      <w:r>
        <w:rPr>
          <w:rFonts w:hint="cs"/>
          <w:rtl/>
          <w:lang w:bidi="ar-EG"/>
        </w:rPr>
        <w:t>البدء في اقتراح ل</w:t>
      </w:r>
      <w:r w:rsidR="00610063">
        <w:rPr>
          <w:rFonts w:hint="cs"/>
          <w:rtl/>
          <w:lang w:bidi="ar-EG"/>
        </w:rPr>
        <w:t xml:space="preserve">تطبيق الشروط النموذجية على </w:t>
      </w:r>
      <w:r w:rsidR="00F52410">
        <w:rPr>
          <w:rFonts w:hint="cs"/>
          <w:rtl/>
          <w:lang w:bidi="ar-EG"/>
        </w:rPr>
        <w:t>منتجات العمل الدولي</w:t>
      </w:r>
      <w:r w:rsidR="00610063">
        <w:rPr>
          <w:rFonts w:hint="cs"/>
          <w:rtl/>
          <w:lang w:bidi="ar-EG"/>
        </w:rPr>
        <w:t>؛</w:t>
      </w:r>
    </w:p>
    <w:p w:rsidR="00610063" w:rsidRDefault="00610063" w:rsidP="001F0F59">
      <w:pPr>
        <w:pStyle w:val="NormalParaAR"/>
        <w:numPr>
          <w:ilvl w:val="0"/>
          <w:numId w:val="24"/>
        </w:numPr>
        <w:rPr>
          <w:lang w:bidi="ar-EG"/>
        </w:rPr>
      </w:pPr>
      <w:r>
        <w:rPr>
          <w:rFonts w:hint="cs"/>
          <w:rtl/>
          <w:lang w:bidi="ar-EG"/>
        </w:rPr>
        <w:t xml:space="preserve">مدير </w:t>
      </w:r>
      <w:r w:rsidR="000507C6">
        <w:rPr>
          <w:rFonts w:hint="cs"/>
          <w:rtl/>
          <w:lang w:bidi="ar-EG"/>
        </w:rPr>
        <w:t>صفحة "الشروط النموذجية" على شبك</w:t>
      </w:r>
      <w:r w:rsidR="001F0F59">
        <w:rPr>
          <w:rFonts w:hint="cs"/>
          <w:rtl/>
          <w:lang w:bidi="ar-EG"/>
        </w:rPr>
        <w:t>ة</w:t>
      </w:r>
      <w:r w:rsidR="00B54A0A">
        <w:rPr>
          <w:rFonts w:hint="cs"/>
          <w:rtl/>
          <w:lang w:bidi="ar-EG"/>
        </w:rPr>
        <w:t xml:space="preserve"> الويكي</w:t>
      </w:r>
      <w:r w:rsidR="001F0F59">
        <w:rPr>
          <w:rFonts w:hint="cs"/>
          <w:rtl/>
          <w:lang w:bidi="ar-EG"/>
        </w:rPr>
        <w:t xml:space="preserve"> "</w:t>
      </w:r>
      <w:r w:rsidR="001F0F59">
        <w:rPr>
          <w:lang w:bidi="ar-EG"/>
        </w:rPr>
        <w:t>wiki</w:t>
      </w:r>
      <w:r w:rsidR="001F0F59">
        <w:rPr>
          <w:rFonts w:hint="cs"/>
          <w:rtl/>
          <w:lang w:bidi="ar-EG"/>
        </w:rPr>
        <w:t>"</w:t>
      </w:r>
      <w:r w:rsidR="00B54A0A">
        <w:rPr>
          <w:rFonts w:hint="cs"/>
          <w:rtl/>
          <w:lang w:bidi="ar-EG"/>
        </w:rPr>
        <w:t xml:space="preserve"> الخاص</w:t>
      </w:r>
      <w:r w:rsidR="00AA7221">
        <w:rPr>
          <w:rFonts w:hint="cs"/>
          <w:rtl/>
          <w:lang w:bidi="ar-EG"/>
        </w:rPr>
        <w:t>ة</w:t>
      </w:r>
      <w:r w:rsidR="00B54A0A">
        <w:rPr>
          <w:rFonts w:hint="cs"/>
          <w:rtl/>
          <w:lang w:bidi="ar-EG"/>
        </w:rPr>
        <w:t xml:space="preserve"> بالفريق الفرعي المعني بالجودة؛</w:t>
      </w:r>
    </w:p>
    <w:p w:rsidR="00B54A0A" w:rsidRDefault="00AA7221" w:rsidP="00AA7221">
      <w:pPr>
        <w:pStyle w:val="NormalParaAR"/>
        <w:numPr>
          <w:ilvl w:val="0"/>
          <w:numId w:val="24"/>
        </w:numPr>
        <w:rPr>
          <w:lang w:bidi="ar-EG"/>
        </w:rPr>
      </w:pPr>
      <w:r>
        <w:rPr>
          <w:rFonts w:hint="cs"/>
          <w:rtl/>
          <w:lang w:bidi="ar-EG"/>
        </w:rPr>
        <w:t xml:space="preserve">الترويج، على صعيد الفريق الفرعي المعني بالجودة، للمسار </w:t>
      </w:r>
      <w:r w:rsidRPr="001F0F59">
        <w:rPr>
          <w:rtl/>
          <w:lang w:bidi="ar-EG"/>
        </w:rPr>
        <w:t>السريع</w:t>
      </w:r>
      <w:r w:rsidRPr="001F0F59">
        <w:rPr>
          <w:lang w:bidi="ar-EG"/>
        </w:rPr>
        <w:t xml:space="preserve"> </w:t>
      </w:r>
      <w:r w:rsidRPr="001F0F59">
        <w:rPr>
          <w:rtl/>
          <w:lang w:bidi="ar-EG"/>
        </w:rPr>
        <w:t>لمعالجة</w:t>
      </w:r>
      <w:r w:rsidRPr="001F0F59">
        <w:rPr>
          <w:lang w:bidi="ar-EG"/>
        </w:rPr>
        <w:t xml:space="preserve"> </w:t>
      </w:r>
      <w:r w:rsidRPr="001F0F59">
        <w:rPr>
          <w:rtl/>
          <w:lang w:bidi="ar-EG"/>
        </w:rPr>
        <w:t>البراءات</w:t>
      </w:r>
      <w:r w:rsidRPr="001F0F59">
        <w:rPr>
          <w:lang w:bidi="ar-EG"/>
        </w:rPr>
        <w:t xml:space="preserve"> </w:t>
      </w:r>
      <w:r w:rsidRPr="001F0F59">
        <w:rPr>
          <w:rtl/>
          <w:lang w:bidi="ar-EG"/>
        </w:rPr>
        <w:t>بناء</w:t>
      </w:r>
      <w:r w:rsidRPr="001F0F59">
        <w:rPr>
          <w:lang w:bidi="ar-EG"/>
        </w:rPr>
        <w:t xml:space="preserve"> </w:t>
      </w:r>
      <w:r w:rsidRPr="001F0F59">
        <w:rPr>
          <w:rtl/>
          <w:lang w:bidi="ar-EG"/>
        </w:rPr>
        <w:t>على</w:t>
      </w:r>
      <w:r w:rsidRPr="001F0F59">
        <w:rPr>
          <w:lang w:bidi="ar-EG"/>
        </w:rPr>
        <w:t xml:space="preserve"> </w:t>
      </w:r>
      <w:r w:rsidRPr="001F0F59">
        <w:rPr>
          <w:rtl/>
          <w:lang w:bidi="ar-EG"/>
        </w:rPr>
        <w:t>معاهدة</w:t>
      </w:r>
      <w:r w:rsidRPr="001F0F59">
        <w:rPr>
          <w:lang w:bidi="ar-EG"/>
        </w:rPr>
        <w:t xml:space="preserve"> </w:t>
      </w:r>
      <w:r w:rsidRPr="001F0F59">
        <w:rPr>
          <w:rtl/>
          <w:lang w:bidi="ar-EG"/>
        </w:rPr>
        <w:t>التعاون</w:t>
      </w:r>
      <w:r w:rsidRPr="001F0F59">
        <w:rPr>
          <w:lang w:bidi="ar-EG"/>
        </w:rPr>
        <w:t xml:space="preserve"> </w:t>
      </w:r>
      <w:r w:rsidRPr="001F0F59">
        <w:rPr>
          <w:rtl/>
          <w:lang w:bidi="ar-EG"/>
        </w:rPr>
        <w:t>بشأن</w:t>
      </w:r>
      <w:r w:rsidRPr="001F0F59">
        <w:rPr>
          <w:lang w:bidi="ar-EG"/>
        </w:rPr>
        <w:t xml:space="preserve"> </w:t>
      </w:r>
      <w:r w:rsidRPr="001F0F59">
        <w:rPr>
          <w:rtl/>
          <w:lang w:bidi="ar-EG"/>
        </w:rPr>
        <w:t>البراءات</w:t>
      </w:r>
      <w:r>
        <w:rPr>
          <w:rFonts w:hint="cs"/>
          <w:rtl/>
          <w:lang w:bidi="ar-EG"/>
        </w:rPr>
        <w:t xml:space="preserve"> مع مكتب البراءات الإسرائيلي</w:t>
      </w:r>
      <w:r w:rsidR="001F0F59">
        <w:rPr>
          <w:rFonts w:hint="cs"/>
          <w:rtl/>
          <w:lang w:bidi="ar-EG"/>
        </w:rPr>
        <w:t>؛</w:t>
      </w:r>
    </w:p>
    <w:p w:rsidR="001F0F59" w:rsidRDefault="00D74A82" w:rsidP="00E72518">
      <w:pPr>
        <w:pStyle w:val="NormalParaAR"/>
        <w:numPr>
          <w:ilvl w:val="0"/>
          <w:numId w:val="24"/>
        </w:numPr>
        <w:rPr>
          <w:lang w:bidi="ar-EG"/>
        </w:rPr>
      </w:pPr>
      <w:r>
        <w:rPr>
          <w:rFonts w:hint="cs"/>
          <w:rtl/>
          <w:lang w:bidi="ar-EG"/>
        </w:rPr>
        <w:t xml:space="preserve">المشاركة في </w:t>
      </w:r>
      <w:r w:rsidR="00E72518">
        <w:rPr>
          <w:rFonts w:hint="cs"/>
          <w:rtl/>
          <w:lang w:bidi="ar-EG"/>
        </w:rPr>
        <w:t>المسار</w:t>
      </w:r>
      <w:r>
        <w:rPr>
          <w:rFonts w:hint="cs"/>
          <w:rtl/>
          <w:lang w:bidi="ar-EG"/>
        </w:rPr>
        <w:t xml:space="preserve"> </w:t>
      </w:r>
      <w:r w:rsidR="00E72518">
        <w:rPr>
          <w:rFonts w:hint="cs"/>
          <w:rtl/>
          <w:lang w:bidi="ar-EG"/>
        </w:rPr>
        <w:t>العالمي السريع</w:t>
      </w:r>
      <w:r>
        <w:rPr>
          <w:rFonts w:hint="cs"/>
          <w:rtl/>
          <w:lang w:bidi="ar-EG"/>
        </w:rPr>
        <w:t xml:space="preserve"> </w:t>
      </w:r>
      <w:r w:rsidR="00E72518">
        <w:rPr>
          <w:rFonts w:hint="cs"/>
          <w:rtl/>
          <w:lang w:bidi="ar-EG"/>
        </w:rPr>
        <w:t xml:space="preserve">لمعالجة طلبات </w:t>
      </w:r>
      <w:r>
        <w:rPr>
          <w:rFonts w:hint="cs"/>
          <w:rtl/>
          <w:lang w:bidi="ar-EG"/>
        </w:rPr>
        <w:t>البراءات؛</w:t>
      </w:r>
    </w:p>
    <w:p w:rsidR="00D74A82" w:rsidRDefault="00D74A82" w:rsidP="00E72518">
      <w:pPr>
        <w:pStyle w:val="NormalParaAR"/>
        <w:numPr>
          <w:ilvl w:val="0"/>
          <w:numId w:val="24"/>
        </w:numPr>
        <w:rPr>
          <w:lang w:bidi="ar-EG"/>
        </w:rPr>
      </w:pPr>
      <w:r>
        <w:rPr>
          <w:rFonts w:hint="cs"/>
          <w:rtl/>
          <w:lang w:bidi="ar-EG"/>
        </w:rPr>
        <w:t>المشاركة في برامج ثنائية ل</w:t>
      </w:r>
      <w:r w:rsidR="00E72518">
        <w:rPr>
          <w:rFonts w:hint="cs"/>
          <w:rtl/>
          <w:lang w:bidi="ar-EG"/>
        </w:rPr>
        <w:t>مشروع المسار العالمي السريع</w:t>
      </w:r>
      <w:r w:rsidR="00E72518" w:rsidRPr="00E72518">
        <w:rPr>
          <w:rFonts w:hint="cs"/>
          <w:rtl/>
          <w:lang w:bidi="ar-EG"/>
        </w:rPr>
        <w:t xml:space="preserve"> لمعالجة طلبات البراءات </w:t>
      </w:r>
      <w:r>
        <w:rPr>
          <w:rFonts w:hint="cs"/>
          <w:rtl/>
          <w:lang w:bidi="ar-EG"/>
        </w:rPr>
        <w:t>مع المكسيك والمكتب الأوروبي للبراءات وشيلي؛</w:t>
      </w:r>
    </w:p>
    <w:p w:rsidR="00D74A82" w:rsidRDefault="00D74A82" w:rsidP="008D5A94">
      <w:pPr>
        <w:pStyle w:val="NormalParaAR"/>
        <w:numPr>
          <w:ilvl w:val="0"/>
          <w:numId w:val="24"/>
        </w:numPr>
        <w:rPr>
          <w:lang w:bidi="ar-EG"/>
        </w:rPr>
      </w:pPr>
      <w:r>
        <w:rPr>
          <w:rFonts w:hint="cs"/>
          <w:rtl/>
          <w:lang w:bidi="ar-EG"/>
        </w:rPr>
        <w:lastRenderedPageBreak/>
        <w:t xml:space="preserve">استضافة </w:t>
      </w:r>
      <w:r w:rsidR="00E72518">
        <w:rPr>
          <w:rFonts w:hint="cs"/>
          <w:rtl/>
          <w:lang w:bidi="ar-EG"/>
        </w:rPr>
        <w:t xml:space="preserve">مجموعة من </w:t>
      </w:r>
      <w:r>
        <w:rPr>
          <w:rFonts w:hint="cs"/>
          <w:rtl/>
          <w:lang w:bidi="ar-EG"/>
        </w:rPr>
        <w:t xml:space="preserve">فاحصي </w:t>
      </w:r>
      <w:r w:rsidR="00E72518">
        <w:rPr>
          <w:rFonts w:hint="cs"/>
          <w:rtl/>
          <w:lang w:bidi="ar-EG"/>
        </w:rPr>
        <w:t>ال</w:t>
      </w:r>
      <w:r>
        <w:rPr>
          <w:rFonts w:hint="cs"/>
          <w:rtl/>
          <w:lang w:bidi="ar-EG"/>
        </w:rPr>
        <w:t xml:space="preserve">براءات في إجازة </w:t>
      </w:r>
      <w:r w:rsidR="00E72518">
        <w:rPr>
          <w:rFonts w:hint="cs"/>
          <w:rtl/>
          <w:lang w:bidi="ar-EG"/>
        </w:rPr>
        <w:t xml:space="preserve">تفرغ من مكتب اليابان للبراءات، </w:t>
      </w:r>
      <w:r>
        <w:rPr>
          <w:rFonts w:hint="cs"/>
          <w:rtl/>
          <w:lang w:bidi="ar-EG"/>
        </w:rPr>
        <w:t xml:space="preserve">عملوا على </w:t>
      </w:r>
      <w:r w:rsidR="00CB426C">
        <w:rPr>
          <w:rFonts w:hint="cs"/>
          <w:rtl/>
          <w:lang w:bidi="ar-EG"/>
        </w:rPr>
        <w:t>بحث ممارسات</w:t>
      </w:r>
      <w:r>
        <w:rPr>
          <w:rFonts w:hint="cs"/>
          <w:rtl/>
          <w:lang w:bidi="ar-EG"/>
        </w:rPr>
        <w:t xml:space="preserve"> </w:t>
      </w:r>
      <w:r w:rsidR="00CB426C">
        <w:rPr>
          <w:rFonts w:hint="cs"/>
          <w:rtl/>
          <w:lang w:bidi="ar-EG"/>
        </w:rPr>
        <w:t xml:space="preserve">المسار السريع لمعالجة البراءات لدى المكتب الكندي للملكية الفكرية، وكذلك </w:t>
      </w:r>
      <w:r w:rsidR="00E72518">
        <w:rPr>
          <w:rFonts w:hint="cs"/>
          <w:rtl/>
          <w:lang w:bidi="ar-EG"/>
        </w:rPr>
        <w:t xml:space="preserve">معايير </w:t>
      </w:r>
      <w:r w:rsidR="008D5A94">
        <w:rPr>
          <w:rFonts w:hint="cs"/>
          <w:rtl/>
          <w:lang w:bidi="ar-EG"/>
        </w:rPr>
        <w:t>كندا ل</w:t>
      </w:r>
      <w:r w:rsidR="00E72518">
        <w:rPr>
          <w:rFonts w:hint="cs"/>
          <w:rtl/>
          <w:lang w:bidi="ar-EG"/>
        </w:rPr>
        <w:t>لتنبؤ</w:t>
      </w:r>
      <w:r w:rsidR="00CB426C">
        <w:rPr>
          <w:rFonts w:hint="cs"/>
          <w:rtl/>
          <w:lang w:bidi="ar-EG"/>
        </w:rPr>
        <w:t xml:space="preserve"> </w:t>
      </w:r>
      <w:r w:rsidR="00E72518">
        <w:rPr>
          <w:rFonts w:hint="cs"/>
          <w:rtl/>
          <w:lang w:bidi="ar-EG"/>
        </w:rPr>
        <w:t xml:space="preserve">السليم </w:t>
      </w:r>
      <w:r w:rsidR="008D5A94">
        <w:rPr>
          <w:rFonts w:hint="cs"/>
          <w:rtl/>
          <w:lang w:bidi="ar-EG"/>
        </w:rPr>
        <w:t>استنادا إلى</w:t>
      </w:r>
      <w:r w:rsidR="00E72518">
        <w:rPr>
          <w:rFonts w:hint="cs"/>
          <w:rtl/>
          <w:lang w:bidi="ar-EG"/>
        </w:rPr>
        <w:t xml:space="preserve"> </w:t>
      </w:r>
      <w:r w:rsidR="008D5A94">
        <w:rPr>
          <w:rFonts w:hint="cs"/>
          <w:rtl/>
          <w:lang w:bidi="ar-EG"/>
        </w:rPr>
        <w:t>المنفعة والسوابق القضائية، ون</w:t>
      </w:r>
      <w:r w:rsidR="00CB426C">
        <w:rPr>
          <w:rFonts w:hint="cs"/>
          <w:rtl/>
          <w:lang w:bidi="ar-EG"/>
        </w:rPr>
        <w:t>ظام إدارة الجودة لد</w:t>
      </w:r>
      <w:r w:rsidR="008D5A94">
        <w:rPr>
          <w:rFonts w:hint="cs"/>
          <w:rtl/>
          <w:lang w:bidi="ar-EG"/>
        </w:rPr>
        <w:t>ى المكتب الكندي للملكية الفكرية</w:t>
      </w:r>
      <w:r w:rsidR="00CB426C">
        <w:rPr>
          <w:rFonts w:hint="cs"/>
          <w:rtl/>
          <w:lang w:bidi="ar-EG"/>
        </w:rPr>
        <w:t>؛</w:t>
      </w:r>
    </w:p>
    <w:p w:rsidR="00CB426C" w:rsidRDefault="0006770F" w:rsidP="0006770F">
      <w:pPr>
        <w:pStyle w:val="NormalParaAR"/>
        <w:numPr>
          <w:ilvl w:val="0"/>
          <w:numId w:val="24"/>
        </w:numPr>
        <w:rPr>
          <w:lang w:bidi="ar-EG"/>
        </w:rPr>
      </w:pPr>
      <w:r>
        <w:rPr>
          <w:rFonts w:hint="cs"/>
          <w:rtl/>
          <w:lang w:bidi="ar-EG"/>
        </w:rPr>
        <w:t xml:space="preserve">استضافة اجتماعات موائد مستديرة نصف سنوية لمناقشة معاهدة التعاون بشأن البراءات يشارك فيها ممثل واحد عن كل من </w:t>
      </w:r>
      <w:proofErr w:type="spellStart"/>
      <w:r>
        <w:rPr>
          <w:rFonts w:hint="cs"/>
          <w:rtl/>
          <w:lang w:bidi="ar-EG"/>
        </w:rPr>
        <w:t>الويبو</w:t>
      </w:r>
      <w:proofErr w:type="spellEnd"/>
      <w:r>
        <w:rPr>
          <w:rFonts w:hint="cs"/>
          <w:rtl/>
          <w:lang w:bidi="ar-EG"/>
        </w:rPr>
        <w:t xml:space="preserve"> والمكتب الأوروبي للبراءات ومكتب الولايات المتحدة الأمريكية للبراءات والعلامات التجارية؛</w:t>
      </w:r>
    </w:p>
    <w:p w:rsidR="0006770F" w:rsidRDefault="0006770F" w:rsidP="0006770F">
      <w:pPr>
        <w:pStyle w:val="NormalParaAR"/>
        <w:numPr>
          <w:ilvl w:val="0"/>
          <w:numId w:val="24"/>
        </w:numPr>
        <w:rPr>
          <w:lang w:bidi="ar-EG"/>
        </w:rPr>
      </w:pPr>
      <w:r>
        <w:rPr>
          <w:rFonts w:hint="cs"/>
          <w:rtl/>
          <w:lang w:bidi="ar-EG"/>
        </w:rPr>
        <w:t>إجراء مناقشات مع المكتب الأوروبي للبراءات بخصوص الجودة من خلال التداول عن بعد؛</w:t>
      </w:r>
    </w:p>
    <w:p w:rsidR="0006770F" w:rsidRDefault="0006770F" w:rsidP="0006770F">
      <w:pPr>
        <w:pStyle w:val="NormalParaAR"/>
        <w:numPr>
          <w:ilvl w:val="0"/>
          <w:numId w:val="24"/>
        </w:numPr>
        <w:rPr>
          <w:lang w:bidi="ar-EG"/>
        </w:rPr>
      </w:pPr>
      <w:r>
        <w:rPr>
          <w:rFonts w:hint="cs"/>
          <w:rtl/>
          <w:lang w:bidi="ar-EG"/>
        </w:rPr>
        <w:t>تبادل الممارسات الفضلى فيما بين فاحصي البراءات من البلدان/ الأقاليم الأخرى من خلال حلقات العمل عن قانون البراءات والفحص التي يعقدها المكتب الكندي للملكية الفكرية؛</w:t>
      </w:r>
    </w:p>
    <w:p w:rsidR="0006770F" w:rsidRDefault="008D5A94" w:rsidP="008D5A94">
      <w:pPr>
        <w:pStyle w:val="NormalParaAR"/>
        <w:numPr>
          <w:ilvl w:val="0"/>
          <w:numId w:val="24"/>
        </w:numPr>
        <w:rPr>
          <w:lang w:bidi="ar-EG"/>
        </w:rPr>
      </w:pPr>
      <w:r>
        <w:rPr>
          <w:rFonts w:hint="cs"/>
          <w:rtl/>
          <w:lang w:bidi="ar-EG"/>
        </w:rPr>
        <w:t xml:space="preserve">المساهمة بانتظام في </w:t>
      </w:r>
      <w:r w:rsidR="0006770F">
        <w:rPr>
          <w:rFonts w:hint="cs"/>
          <w:rtl/>
          <w:lang w:bidi="ar-EG"/>
        </w:rPr>
        <w:t>صفحة الويكي الخاصة بالفريق الفرع</w:t>
      </w:r>
      <w:r>
        <w:rPr>
          <w:rFonts w:hint="cs"/>
          <w:rtl/>
          <w:lang w:bidi="ar-EG"/>
        </w:rPr>
        <w:t xml:space="preserve">ي المعني بالجودة والاستجابة لجميع تعميمات </w:t>
      </w:r>
      <w:r w:rsidR="0006770F">
        <w:rPr>
          <w:rFonts w:hint="cs"/>
          <w:rtl/>
          <w:lang w:bidi="ar-EG"/>
        </w:rPr>
        <w:t>معاهدة التعاون بشأن البراءات.</w:t>
      </w:r>
    </w:p>
    <w:p w:rsidR="00DB436A" w:rsidRPr="00DB436A" w:rsidRDefault="00DB436A" w:rsidP="00DB436A">
      <w:pPr>
        <w:pStyle w:val="SectionHeading"/>
        <w:bidi/>
        <w:ind w:left="-1"/>
        <w:rPr>
          <w:rFonts w:ascii="Arabic Typesetting" w:hAnsi="Arabic Typesetting" w:cs="Arabic Typesetting"/>
          <w:sz w:val="40"/>
          <w:szCs w:val="40"/>
        </w:rPr>
      </w:pPr>
      <w:r>
        <w:rPr>
          <w:rFonts w:ascii="Arabic Typesetting" w:hAnsi="Arabic Typesetting" w:cs="Arabic Typesetting" w:hint="cs"/>
          <w:sz w:val="40"/>
          <w:szCs w:val="40"/>
          <w:rtl/>
        </w:rPr>
        <w:t xml:space="preserve">2 - </w:t>
      </w:r>
      <w:r w:rsidRPr="00DB436A">
        <w:rPr>
          <w:rFonts w:ascii="Arabic Typesetting" w:hAnsi="Arabic Typesetting" w:cs="Arabic Typesetting" w:hint="cs"/>
          <w:sz w:val="40"/>
          <w:szCs w:val="40"/>
          <w:rtl/>
        </w:rPr>
        <w:t xml:space="preserve">المعايير الموضوعية: </w:t>
      </w:r>
      <w:proofErr w:type="gramStart"/>
      <w:r w:rsidRPr="00DB436A">
        <w:rPr>
          <w:rFonts w:ascii="Arabic Typesetting" w:hAnsi="Arabic Typesetting" w:cs="Arabic Typesetting" w:hint="cs"/>
          <w:sz w:val="40"/>
          <w:szCs w:val="40"/>
          <w:rtl/>
        </w:rPr>
        <w:t>متطلبات</w:t>
      </w:r>
      <w:proofErr w:type="gramEnd"/>
      <w:r w:rsidRPr="00DB436A">
        <w:rPr>
          <w:rFonts w:ascii="Arabic Typesetting" w:hAnsi="Arabic Typesetting" w:cs="Arabic Typesetting" w:hint="cs"/>
          <w:sz w:val="40"/>
          <w:szCs w:val="40"/>
          <w:rtl/>
        </w:rPr>
        <w:t xml:space="preserve"> التعيين الدنيا</w:t>
      </w:r>
    </w:p>
    <w:p w:rsidR="00DB436A" w:rsidRDefault="00DB436A" w:rsidP="00DB436A">
      <w:pPr>
        <w:pStyle w:val="NormalParaAR"/>
        <w:spacing w:line="200" w:lineRule="exact"/>
        <w:rPr>
          <w:b/>
          <w:bCs/>
          <w:sz w:val="40"/>
          <w:szCs w:val="40"/>
          <w:rtl/>
          <w:lang w:val="fr-CH"/>
        </w:rPr>
      </w:pPr>
    </w:p>
    <w:p w:rsidR="00DB436A" w:rsidRPr="00DB436A" w:rsidRDefault="00DB436A" w:rsidP="00DB436A">
      <w:pPr>
        <w:pStyle w:val="SectionHeading"/>
        <w:bidi/>
        <w:ind w:left="-1"/>
        <w:rPr>
          <w:rFonts w:ascii="Arabic Typesetting" w:hAnsi="Arabic Typesetting" w:cs="Arabic Typesetting"/>
          <w:sz w:val="40"/>
          <w:szCs w:val="40"/>
        </w:rPr>
      </w:pPr>
      <w:r>
        <w:rPr>
          <w:rFonts w:ascii="Arabic Typesetting" w:hAnsi="Arabic Typesetting" w:cs="Arabic Typesetting" w:hint="cs"/>
          <w:sz w:val="40"/>
          <w:szCs w:val="40"/>
          <w:rtl/>
        </w:rPr>
        <w:t xml:space="preserve">1.2 - </w:t>
      </w:r>
      <w:r w:rsidRPr="00DB436A">
        <w:rPr>
          <w:rFonts w:ascii="Arabic Typesetting" w:hAnsi="Arabic Typesetting" w:cs="Arabic Typesetting" w:hint="cs"/>
          <w:sz w:val="40"/>
          <w:szCs w:val="40"/>
          <w:rtl/>
        </w:rPr>
        <w:t xml:space="preserve">الكفاءات في مجال البحث </w:t>
      </w:r>
      <w:proofErr w:type="gramStart"/>
      <w:r w:rsidRPr="00DB436A">
        <w:rPr>
          <w:rFonts w:ascii="Arabic Typesetting" w:hAnsi="Arabic Typesetting" w:cs="Arabic Typesetting" w:hint="cs"/>
          <w:sz w:val="40"/>
          <w:szCs w:val="40"/>
          <w:rtl/>
        </w:rPr>
        <w:t>والفحص</w:t>
      </w:r>
      <w:proofErr w:type="gramEnd"/>
    </w:p>
    <w:p w:rsidR="00237B9C" w:rsidRPr="007E402B" w:rsidRDefault="00E517CA" w:rsidP="007E402B">
      <w:pPr>
        <w:pStyle w:val="NormalParaAR"/>
        <w:rPr>
          <w:b/>
          <w:bCs/>
          <w:i/>
          <w:iCs/>
          <w:rtl/>
          <w:lang w:bidi="ar-EG"/>
        </w:rPr>
      </w:pPr>
      <w:r w:rsidRPr="007E402B">
        <w:rPr>
          <w:rFonts w:hint="cs"/>
          <w:b/>
          <w:bCs/>
          <w:i/>
          <w:iCs/>
          <w:rtl/>
          <w:lang w:bidi="ar-EG"/>
        </w:rPr>
        <w:t xml:space="preserve">تنص القاعدتان </w:t>
      </w:r>
      <w:r w:rsidR="007E402B" w:rsidRPr="007E402B">
        <w:rPr>
          <w:rFonts w:hint="cs"/>
          <w:b/>
          <w:bCs/>
          <w:i/>
          <w:iCs/>
          <w:rtl/>
          <w:lang w:bidi="ar-EG"/>
        </w:rPr>
        <w:t>1.36"1"</w:t>
      </w:r>
      <w:r w:rsidRPr="007E402B">
        <w:rPr>
          <w:rFonts w:hint="cs"/>
          <w:b/>
          <w:bCs/>
          <w:i/>
          <w:iCs/>
          <w:rtl/>
          <w:lang w:bidi="ar-EG"/>
        </w:rPr>
        <w:t xml:space="preserve"> و</w:t>
      </w:r>
      <w:r w:rsidR="007E402B" w:rsidRPr="007E402B">
        <w:rPr>
          <w:rFonts w:hint="cs"/>
          <w:b/>
          <w:bCs/>
          <w:i/>
          <w:iCs/>
          <w:rtl/>
          <w:lang w:bidi="ar-EG"/>
        </w:rPr>
        <w:t>1.63"1"</w:t>
      </w:r>
      <w:r w:rsidRPr="007E402B">
        <w:rPr>
          <w:rFonts w:hint="cs"/>
          <w:b/>
          <w:bCs/>
          <w:i/>
          <w:iCs/>
          <w:rtl/>
          <w:lang w:bidi="ar-EG"/>
        </w:rPr>
        <w:t xml:space="preserve"> على ما يلي</w:t>
      </w:r>
      <w:r w:rsidR="00237B9C" w:rsidRPr="007E402B">
        <w:rPr>
          <w:rFonts w:hint="cs"/>
          <w:b/>
          <w:bCs/>
          <w:i/>
          <w:iCs/>
          <w:rtl/>
          <w:lang w:bidi="ar-EG"/>
        </w:rPr>
        <w:t>: ي</w:t>
      </w:r>
      <w:r w:rsidR="00237B9C" w:rsidRPr="007E402B">
        <w:rPr>
          <w:b/>
          <w:bCs/>
          <w:i/>
          <w:iCs/>
          <w:rtl/>
          <w:lang w:bidi="ar-EG"/>
        </w:rPr>
        <w:t>جب أن يضم المكتب الوطني أو المنظمة الحكومية الدولية مائة مستخدم على الأقل يشتغلون طوال ساعات الدوام العادية، ويملكون المؤهلات التقنية اللازمة لإجراء البحوث</w:t>
      </w:r>
      <w:r w:rsidR="00237B9C" w:rsidRPr="007E402B">
        <w:rPr>
          <w:rFonts w:hint="cs"/>
          <w:b/>
          <w:bCs/>
          <w:i/>
          <w:iCs/>
          <w:rtl/>
          <w:lang w:bidi="ar-EG"/>
        </w:rPr>
        <w:t>.</w:t>
      </w:r>
    </w:p>
    <w:p w:rsidR="00E517CA" w:rsidRDefault="00E517CA" w:rsidP="007E402B">
      <w:pPr>
        <w:pStyle w:val="NormalParaAR"/>
        <w:keepNext/>
        <w:rPr>
          <w:b/>
          <w:bCs/>
          <w:rtl/>
          <w:lang w:bidi="ar-EG"/>
        </w:rPr>
      </w:pPr>
      <w:r>
        <w:rPr>
          <w:rFonts w:hint="cs"/>
          <w:b/>
          <w:bCs/>
          <w:rtl/>
          <w:lang w:bidi="ar-EG"/>
        </w:rPr>
        <w:t xml:space="preserve">الموظفون المؤهلون لأداء البحث </w:t>
      </w:r>
      <w:proofErr w:type="gramStart"/>
      <w:r>
        <w:rPr>
          <w:rFonts w:hint="cs"/>
          <w:b/>
          <w:bCs/>
          <w:rtl/>
          <w:lang w:bidi="ar-EG"/>
        </w:rPr>
        <w:t>والفحص</w:t>
      </w:r>
      <w:proofErr w:type="gramEnd"/>
      <w:r>
        <w:rPr>
          <w:rFonts w:hint="cs"/>
          <w:b/>
          <w:bCs/>
          <w:rtl/>
          <w:lang w:bidi="ar-EG"/>
        </w:rPr>
        <w:t>:</w:t>
      </w:r>
    </w:p>
    <w:p w:rsidR="0074430B" w:rsidRDefault="0074430B" w:rsidP="0032278D">
      <w:pPr>
        <w:pStyle w:val="NormalParaAR"/>
        <w:rPr>
          <w:rtl/>
          <w:lang w:bidi="ar-EG"/>
        </w:rPr>
      </w:pPr>
      <w:proofErr w:type="gramStart"/>
      <w:r>
        <w:rPr>
          <w:rFonts w:hint="cs"/>
          <w:rtl/>
          <w:lang w:bidi="ar-EG"/>
        </w:rPr>
        <w:t>أسس</w:t>
      </w:r>
      <w:proofErr w:type="gramEnd"/>
      <w:r>
        <w:rPr>
          <w:rFonts w:hint="cs"/>
          <w:rtl/>
          <w:lang w:bidi="ar-EG"/>
        </w:rPr>
        <w:t xml:space="preserve"> المكتب الكندي للملكية الفكرية فرقة قوية في مجال البحث تتألف من أربعة أقسام في مجالات تكنولوجي</w:t>
      </w:r>
      <w:r w:rsidR="0032278D">
        <w:rPr>
          <w:rFonts w:hint="cs"/>
          <w:rtl/>
          <w:lang w:bidi="ar-EG"/>
        </w:rPr>
        <w:t>ة</w:t>
      </w:r>
      <w:r>
        <w:rPr>
          <w:rFonts w:hint="cs"/>
          <w:rtl/>
          <w:lang w:bidi="ar-EG"/>
        </w:rPr>
        <w:t xml:space="preserve"> محددة. ويتألف فاحصو المكتب الكندي للملكية الفكرية من فاحصي براءات وفاحصي تصنيف البراءات، يعملون على الطلبات الوطنية والدولية. </w:t>
      </w:r>
      <w:proofErr w:type="gramStart"/>
      <w:r>
        <w:rPr>
          <w:rFonts w:hint="cs"/>
          <w:rtl/>
          <w:lang w:bidi="ar-EG"/>
        </w:rPr>
        <w:t>والمكتب</w:t>
      </w:r>
      <w:proofErr w:type="gramEnd"/>
      <w:r>
        <w:rPr>
          <w:rFonts w:hint="cs"/>
          <w:rtl/>
          <w:lang w:bidi="ar-EG"/>
        </w:rPr>
        <w:t xml:space="preserve"> الكندي بصدد التحول عن التمييز بين الوظيفتين حيث بدأ بعض الفاحصين من كلتا المجموعتين العمل في الفحص في المجال الآخر. ويعمل أي فاحص حديث التعيين في مجال الفحص وفي مجال </w:t>
      </w:r>
      <w:proofErr w:type="gramStart"/>
      <w:r>
        <w:rPr>
          <w:rFonts w:hint="cs"/>
          <w:rtl/>
          <w:lang w:bidi="ar-EG"/>
        </w:rPr>
        <w:t>فحص</w:t>
      </w:r>
      <w:proofErr w:type="gramEnd"/>
      <w:r>
        <w:rPr>
          <w:rFonts w:hint="cs"/>
          <w:rtl/>
          <w:lang w:bidi="ar-EG"/>
        </w:rPr>
        <w:t xml:space="preserve"> التصنيف.</w:t>
      </w:r>
    </w:p>
    <w:p w:rsidR="005E61CD" w:rsidRDefault="007E402B" w:rsidP="00937A65">
      <w:pPr>
        <w:pStyle w:val="NormalParaAR"/>
        <w:rPr>
          <w:rtl/>
          <w:lang w:bidi="ar-EG"/>
        </w:rPr>
      </w:pPr>
      <w:r>
        <w:rPr>
          <w:rFonts w:hint="cs"/>
          <w:rtl/>
          <w:lang w:bidi="ar-EG"/>
        </w:rPr>
        <w:t>وأُنشئ</w:t>
      </w:r>
      <w:r w:rsidR="0074430B">
        <w:rPr>
          <w:rFonts w:hint="cs"/>
          <w:rtl/>
          <w:lang w:bidi="ar-EG"/>
        </w:rPr>
        <w:t xml:space="preserve"> المكتب الكندي للملكية الفكرية ليعمل كوكالة </w:t>
      </w:r>
      <w:r w:rsidR="00937A65">
        <w:rPr>
          <w:rFonts w:hint="cs"/>
          <w:rtl/>
          <w:lang w:bidi="ar-EG"/>
        </w:rPr>
        <w:t>عمل</w:t>
      </w:r>
      <w:r w:rsidR="0074430B">
        <w:rPr>
          <w:rFonts w:hint="cs"/>
          <w:rtl/>
          <w:lang w:bidi="ar-EG"/>
        </w:rPr>
        <w:t xml:space="preserve"> خاصة ومصدر تمويله بالكامل هو الرسوم التي يفرضها على تقديم منتجاته وخدماته.</w:t>
      </w:r>
      <w:r w:rsidR="00340919">
        <w:rPr>
          <w:rFonts w:hint="cs"/>
          <w:rtl/>
          <w:lang w:bidi="ar-EG"/>
        </w:rPr>
        <w:t xml:space="preserve"> </w:t>
      </w:r>
      <w:r w:rsidR="0074430B">
        <w:rPr>
          <w:rFonts w:hint="cs"/>
          <w:rtl/>
          <w:lang w:bidi="ar-EG"/>
        </w:rPr>
        <w:t>وأتاحت هذه المرونة للمكتب الكندي للملكية الفكرية أن يركز على تقديم الخدمة والجودة، مع مراعاة احتياجا</w:t>
      </w:r>
      <w:r w:rsidR="0032278D">
        <w:rPr>
          <w:rFonts w:hint="cs"/>
          <w:rtl/>
          <w:lang w:bidi="ar-EG"/>
        </w:rPr>
        <w:t>ت</w:t>
      </w:r>
      <w:r w:rsidR="0074430B">
        <w:rPr>
          <w:rFonts w:hint="cs"/>
          <w:rtl/>
          <w:lang w:bidi="ar-EG"/>
        </w:rPr>
        <w:t xml:space="preserve"> عملائه المتغيرة (سواء محليًا أم في الخارج). ويستخدم المكتب الكندي لل</w:t>
      </w:r>
      <w:r w:rsidR="00664B77">
        <w:rPr>
          <w:rFonts w:hint="cs"/>
          <w:rtl/>
          <w:lang w:bidi="ar-EG"/>
        </w:rPr>
        <w:t>ملكية الفكرية نموذج متطور للتنبؤات</w:t>
      </w:r>
      <w:r w:rsidR="0074430B">
        <w:rPr>
          <w:rFonts w:hint="cs"/>
          <w:rtl/>
          <w:lang w:bidi="ar-EG"/>
        </w:rPr>
        <w:t xml:space="preserve"> ليعين الإدارة العليا </w:t>
      </w:r>
      <w:r>
        <w:rPr>
          <w:rFonts w:hint="cs"/>
          <w:rtl/>
          <w:lang w:bidi="ar-EG"/>
        </w:rPr>
        <w:t>في</w:t>
      </w:r>
      <w:r w:rsidR="0074430B">
        <w:rPr>
          <w:rFonts w:hint="cs"/>
          <w:rtl/>
          <w:lang w:bidi="ar-EG"/>
        </w:rPr>
        <w:t xml:space="preserve"> اتخاذ القرار</w:t>
      </w:r>
      <w:r>
        <w:rPr>
          <w:rFonts w:hint="cs"/>
          <w:rtl/>
          <w:lang w:bidi="ar-EG"/>
        </w:rPr>
        <w:t>ات</w:t>
      </w:r>
      <w:r w:rsidR="00CE5C9A">
        <w:rPr>
          <w:rFonts w:hint="cs"/>
          <w:rtl/>
          <w:lang w:bidi="ar-EG"/>
        </w:rPr>
        <w:t xml:space="preserve"> </w:t>
      </w:r>
      <w:r>
        <w:rPr>
          <w:rFonts w:hint="cs"/>
          <w:rtl/>
          <w:lang w:bidi="ar-EG"/>
        </w:rPr>
        <w:t xml:space="preserve">المتعلقة باستخدام </w:t>
      </w:r>
      <w:r w:rsidR="00CE5C9A">
        <w:rPr>
          <w:rFonts w:hint="cs"/>
          <w:rtl/>
          <w:lang w:bidi="ar-EG"/>
        </w:rPr>
        <w:t>الموارد البشرية و</w:t>
      </w:r>
      <w:r>
        <w:rPr>
          <w:rFonts w:hint="cs"/>
          <w:rtl/>
          <w:lang w:bidi="ar-EG"/>
        </w:rPr>
        <w:t xml:space="preserve">تلبية </w:t>
      </w:r>
      <w:r w:rsidR="00CE5C9A">
        <w:rPr>
          <w:rFonts w:hint="cs"/>
          <w:rtl/>
          <w:lang w:bidi="ar-EG"/>
        </w:rPr>
        <w:t>احتياجاتها.</w:t>
      </w:r>
    </w:p>
    <w:p w:rsidR="005E61CD" w:rsidRDefault="005E61CD">
      <w:pPr>
        <w:rPr>
          <w:rFonts w:ascii="Arabic Typesetting" w:hAnsi="Arabic Typesetting" w:cs="Arabic Typesetting"/>
          <w:sz w:val="36"/>
          <w:szCs w:val="36"/>
          <w:rtl/>
          <w:lang w:bidi="ar-EG"/>
        </w:rPr>
      </w:pPr>
      <w:r>
        <w:rPr>
          <w:rtl/>
          <w:lang w:bidi="ar-EG"/>
        </w:rPr>
        <w:br w:type="page"/>
      </w:r>
    </w:p>
    <w:tbl>
      <w:tblPr>
        <w:bidiVisual/>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1440"/>
        <w:gridCol w:w="1080"/>
        <w:gridCol w:w="1170"/>
        <w:gridCol w:w="990"/>
        <w:gridCol w:w="1063"/>
        <w:gridCol w:w="1650"/>
      </w:tblGrid>
      <w:tr w:rsidR="0006291C" w:rsidRPr="00F50FDB" w:rsidTr="00A071B7">
        <w:trPr>
          <w:cantSplit/>
        </w:trPr>
        <w:tc>
          <w:tcPr>
            <w:tcW w:w="2178" w:type="dxa"/>
            <w:vMerge w:val="restart"/>
            <w:shd w:val="clear" w:color="auto" w:fill="auto"/>
          </w:tcPr>
          <w:p w:rsidR="0006291C" w:rsidRPr="0006291C" w:rsidRDefault="0006291C" w:rsidP="00664B77">
            <w:pPr>
              <w:bidi/>
              <w:jc w:val="center"/>
              <w:rPr>
                <w:rFonts w:ascii="Arabic Typesetting" w:hAnsi="Arabic Typesetting" w:cs="Arabic Typesetting"/>
                <w:b/>
                <w:bCs/>
                <w:sz w:val="36"/>
                <w:szCs w:val="36"/>
                <w:lang w:bidi="ar-EG"/>
              </w:rPr>
            </w:pPr>
            <w:proofErr w:type="gramStart"/>
            <w:r w:rsidRPr="0006291C">
              <w:rPr>
                <w:rFonts w:ascii="Arabic Typesetting" w:hAnsi="Arabic Typesetting" w:cs="Arabic Typesetting"/>
                <w:b/>
                <w:bCs/>
                <w:sz w:val="36"/>
                <w:szCs w:val="36"/>
                <w:rtl/>
                <w:lang w:bidi="ar-EG"/>
              </w:rPr>
              <w:lastRenderedPageBreak/>
              <w:t>المجال</w:t>
            </w:r>
            <w:proofErr w:type="gramEnd"/>
            <w:r w:rsidRPr="0006291C">
              <w:rPr>
                <w:rFonts w:ascii="Arabic Typesetting" w:hAnsi="Arabic Typesetting" w:cs="Arabic Typesetting"/>
                <w:b/>
                <w:bCs/>
                <w:sz w:val="36"/>
                <w:szCs w:val="36"/>
                <w:rtl/>
                <w:lang w:bidi="ar-EG"/>
              </w:rPr>
              <w:t xml:space="preserve"> التقني</w:t>
            </w:r>
          </w:p>
        </w:tc>
        <w:tc>
          <w:tcPr>
            <w:tcW w:w="1440" w:type="dxa"/>
            <w:vMerge w:val="restart"/>
            <w:shd w:val="clear" w:color="auto" w:fill="auto"/>
          </w:tcPr>
          <w:p w:rsidR="0006291C" w:rsidRPr="0006291C" w:rsidRDefault="0006291C" w:rsidP="00664B77">
            <w:pPr>
              <w:bidi/>
              <w:jc w:val="center"/>
              <w:rPr>
                <w:rFonts w:ascii="Arabic Typesetting" w:hAnsi="Arabic Typesetting" w:cs="Arabic Typesetting"/>
                <w:b/>
                <w:bCs/>
                <w:sz w:val="36"/>
                <w:szCs w:val="36"/>
                <w:lang w:bidi="ar-EG"/>
              </w:rPr>
            </w:pPr>
            <w:r w:rsidRPr="0006291C">
              <w:rPr>
                <w:rFonts w:ascii="Arabic Typesetting" w:hAnsi="Arabic Typesetting" w:cs="Arabic Typesetting"/>
                <w:b/>
                <w:bCs/>
                <w:sz w:val="36"/>
                <w:szCs w:val="36"/>
                <w:rtl/>
                <w:lang w:bidi="ar-EG"/>
              </w:rPr>
              <w:t>العدد</w:t>
            </w:r>
          </w:p>
          <w:p w:rsidR="0006291C" w:rsidRPr="0006291C" w:rsidRDefault="0006291C" w:rsidP="00664B77">
            <w:pPr>
              <w:bidi/>
              <w:jc w:val="center"/>
              <w:rPr>
                <w:rFonts w:ascii="Arabic Typesetting" w:hAnsi="Arabic Typesetting" w:cs="Arabic Typesetting"/>
                <w:b/>
                <w:bCs/>
                <w:sz w:val="36"/>
                <w:szCs w:val="36"/>
                <w:lang w:bidi="ar-EG"/>
              </w:rPr>
            </w:pPr>
            <w:r w:rsidRPr="0006291C">
              <w:rPr>
                <w:rFonts w:ascii="Arabic Typesetting" w:hAnsi="Arabic Typesetting" w:cs="Arabic Typesetting"/>
                <w:b/>
                <w:bCs/>
                <w:sz w:val="36"/>
                <w:szCs w:val="36"/>
                <w:rtl/>
                <w:lang w:bidi="ar-EG"/>
              </w:rPr>
              <w:t>(موظفون يشتغلون طوال ساعات الدوام العادية)</w:t>
            </w:r>
          </w:p>
        </w:tc>
        <w:tc>
          <w:tcPr>
            <w:tcW w:w="4303" w:type="dxa"/>
            <w:gridSpan w:val="4"/>
          </w:tcPr>
          <w:p w:rsidR="0006291C" w:rsidRPr="0006291C" w:rsidRDefault="0006291C" w:rsidP="00664B77">
            <w:pPr>
              <w:bidi/>
              <w:jc w:val="center"/>
              <w:rPr>
                <w:rFonts w:ascii="Arabic Typesetting" w:hAnsi="Arabic Typesetting" w:cs="Arabic Typesetting"/>
                <w:b/>
                <w:bCs/>
                <w:sz w:val="36"/>
                <w:szCs w:val="36"/>
                <w:lang w:bidi="ar-EG"/>
              </w:rPr>
            </w:pPr>
            <w:r w:rsidRPr="0006291C">
              <w:rPr>
                <w:rFonts w:ascii="Arabic Typesetting" w:hAnsi="Arabic Typesetting" w:cs="Arabic Typesetting"/>
                <w:b/>
                <w:bCs/>
                <w:sz w:val="36"/>
                <w:szCs w:val="36"/>
                <w:rtl/>
                <w:lang w:bidi="ar-EG"/>
              </w:rPr>
              <w:t>متوسط الخبرة كفاحص</w:t>
            </w:r>
            <w:r w:rsidR="00664B77">
              <w:rPr>
                <w:rFonts w:ascii="Arabic Typesetting" w:hAnsi="Arabic Typesetting" w:cs="Arabic Typesetting" w:hint="cs"/>
                <w:b/>
                <w:bCs/>
                <w:sz w:val="36"/>
                <w:szCs w:val="36"/>
                <w:rtl/>
                <w:lang w:bidi="ar-EG"/>
              </w:rPr>
              <w:t>ين</w:t>
            </w:r>
            <w:r w:rsidRPr="0006291C">
              <w:rPr>
                <w:rFonts w:ascii="Arabic Typesetting" w:hAnsi="Arabic Typesetting" w:cs="Arabic Typesetting"/>
                <w:b/>
                <w:bCs/>
                <w:sz w:val="36"/>
                <w:szCs w:val="36"/>
                <w:rtl/>
                <w:lang w:bidi="ar-EG"/>
              </w:rPr>
              <w:t xml:space="preserve"> (عدد سنوات)</w:t>
            </w:r>
          </w:p>
        </w:tc>
        <w:tc>
          <w:tcPr>
            <w:tcW w:w="1650" w:type="dxa"/>
            <w:vMerge w:val="restart"/>
          </w:tcPr>
          <w:p w:rsidR="0006291C" w:rsidRPr="0006291C" w:rsidRDefault="0006291C" w:rsidP="00664B77">
            <w:pPr>
              <w:bidi/>
              <w:rPr>
                <w:rFonts w:ascii="Arabic Typesetting" w:hAnsi="Arabic Typesetting" w:cs="Arabic Typesetting"/>
                <w:b/>
                <w:bCs/>
                <w:sz w:val="36"/>
                <w:szCs w:val="36"/>
                <w:lang w:bidi="ar-EG"/>
              </w:rPr>
            </w:pPr>
            <w:proofErr w:type="gramStart"/>
            <w:r w:rsidRPr="0006291C">
              <w:rPr>
                <w:rFonts w:ascii="Arabic Typesetting" w:hAnsi="Arabic Typesetting" w:cs="Arabic Typesetting"/>
                <w:b/>
                <w:bCs/>
                <w:sz w:val="36"/>
                <w:szCs w:val="36"/>
                <w:rtl/>
                <w:lang w:bidi="ar-EG"/>
              </w:rPr>
              <w:t>تفصيل</w:t>
            </w:r>
            <w:proofErr w:type="gramEnd"/>
            <w:r w:rsidRPr="0006291C">
              <w:rPr>
                <w:rFonts w:ascii="Arabic Typesetting" w:hAnsi="Arabic Typesetting" w:cs="Arabic Typesetting"/>
                <w:b/>
                <w:bCs/>
                <w:sz w:val="36"/>
                <w:szCs w:val="36"/>
                <w:rtl/>
                <w:lang w:bidi="ar-EG"/>
              </w:rPr>
              <w:t xml:space="preserve"> المؤهلات</w:t>
            </w:r>
          </w:p>
        </w:tc>
      </w:tr>
      <w:tr w:rsidR="0006291C" w:rsidRPr="0050667A" w:rsidTr="00A071B7">
        <w:trPr>
          <w:cantSplit/>
        </w:trPr>
        <w:tc>
          <w:tcPr>
            <w:tcW w:w="2178" w:type="dxa"/>
            <w:vMerge/>
            <w:shd w:val="clear" w:color="auto" w:fill="auto"/>
          </w:tcPr>
          <w:p w:rsidR="0006291C" w:rsidRPr="0006291C" w:rsidRDefault="0006291C" w:rsidP="00664B77">
            <w:pPr>
              <w:bidi/>
              <w:jc w:val="center"/>
              <w:rPr>
                <w:rFonts w:ascii="Arabic Typesetting" w:hAnsi="Arabic Typesetting" w:cs="Arabic Typesetting"/>
                <w:sz w:val="36"/>
                <w:szCs w:val="36"/>
                <w:lang w:bidi="ar-EG"/>
              </w:rPr>
            </w:pPr>
          </w:p>
        </w:tc>
        <w:tc>
          <w:tcPr>
            <w:tcW w:w="1440" w:type="dxa"/>
            <w:vMerge/>
            <w:shd w:val="clear" w:color="auto" w:fill="auto"/>
          </w:tcPr>
          <w:p w:rsidR="0006291C" w:rsidRPr="0006291C" w:rsidRDefault="0006291C" w:rsidP="00664B77">
            <w:pPr>
              <w:bidi/>
              <w:jc w:val="center"/>
              <w:rPr>
                <w:rFonts w:ascii="Arabic Typesetting" w:hAnsi="Arabic Typesetting" w:cs="Arabic Typesetting"/>
                <w:sz w:val="36"/>
                <w:szCs w:val="36"/>
                <w:lang w:bidi="ar-EG"/>
              </w:rPr>
            </w:pPr>
          </w:p>
        </w:tc>
        <w:tc>
          <w:tcPr>
            <w:tcW w:w="1080" w:type="dxa"/>
          </w:tcPr>
          <w:p w:rsidR="0006291C" w:rsidRPr="0006291C" w:rsidRDefault="0006291C" w:rsidP="00664B77">
            <w:pPr>
              <w:bidi/>
              <w:jc w:val="center"/>
              <w:rPr>
                <w:rFonts w:ascii="Arabic Typesetting" w:hAnsi="Arabic Typesetting" w:cs="Arabic Typesetting"/>
                <w:sz w:val="36"/>
                <w:szCs w:val="36"/>
                <w:lang w:bidi="ar-EG"/>
              </w:rPr>
            </w:pPr>
            <w:r w:rsidRPr="0006291C">
              <w:rPr>
                <w:rFonts w:ascii="Arabic Typesetting" w:hAnsi="Arabic Typesetting" w:cs="Arabic Typesetting"/>
                <w:sz w:val="36"/>
                <w:szCs w:val="36"/>
                <w:lang w:bidi="ar-EG"/>
              </w:rPr>
              <w:t>SG-04</w:t>
            </w:r>
          </w:p>
          <w:p w:rsidR="0006291C" w:rsidRPr="0006291C" w:rsidRDefault="00664B77" w:rsidP="00664B77">
            <w:pPr>
              <w:bidi/>
              <w:jc w:val="center"/>
              <w:rPr>
                <w:rFonts w:ascii="Arabic Typesetting" w:hAnsi="Arabic Typesetting" w:cs="Arabic Typesetting"/>
                <w:sz w:val="36"/>
                <w:szCs w:val="36"/>
                <w:lang w:bidi="ar-EG"/>
              </w:rPr>
            </w:pPr>
            <w:proofErr w:type="gramStart"/>
            <w:r>
              <w:rPr>
                <w:rFonts w:ascii="Arabic Typesetting" w:hAnsi="Arabic Typesetting" w:cs="Arabic Typesetting" w:hint="cs"/>
                <w:sz w:val="36"/>
                <w:szCs w:val="36"/>
                <w:rtl/>
                <w:lang w:bidi="ar-EG"/>
              </w:rPr>
              <w:t>مستوى</w:t>
            </w:r>
            <w:proofErr w:type="gramEnd"/>
            <w:r w:rsidR="0006291C" w:rsidRPr="0006291C">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أساسي</w:t>
            </w:r>
          </w:p>
        </w:tc>
        <w:tc>
          <w:tcPr>
            <w:tcW w:w="1170" w:type="dxa"/>
          </w:tcPr>
          <w:p w:rsidR="0006291C" w:rsidRPr="0006291C" w:rsidRDefault="0006291C" w:rsidP="00664B77">
            <w:pPr>
              <w:bidi/>
              <w:jc w:val="center"/>
              <w:rPr>
                <w:rFonts w:ascii="Arabic Typesetting" w:hAnsi="Arabic Typesetting" w:cs="Arabic Typesetting"/>
                <w:sz w:val="36"/>
                <w:szCs w:val="36"/>
                <w:lang w:bidi="ar-EG"/>
              </w:rPr>
            </w:pPr>
            <w:r w:rsidRPr="0006291C">
              <w:rPr>
                <w:rFonts w:ascii="Arabic Typesetting" w:hAnsi="Arabic Typesetting" w:cs="Arabic Typesetting"/>
                <w:sz w:val="36"/>
                <w:szCs w:val="36"/>
                <w:lang w:bidi="ar-EG"/>
              </w:rPr>
              <w:t>SG-05</w:t>
            </w:r>
          </w:p>
          <w:p w:rsidR="0006291C" w:rsidRPr="0006291C" w:rsidRDefault="0006291C" w:rsidP="00664B77">
            <w:pPr>
              <w:bidi/>
              <w:jc w:val="center"/>
              <w:rPr>
                <w:rFonts w:ascii="Arabic Typesetting" w:hAnsi="Arabic Typesetting" w:cs="Arabic Typesetting"/>
                <w:sz w:val="36"/>
                <w:szCs w:val="36"/>
                <w:lang w:bidi="ar-EG"/>
              </w:rPr>
            </w:pPr>
            <w:r w:rsidRPr="0006291C">
              <w:rPr>
                <w:rFonts w:ascii="Arabic Typesetting" w:hAnsi="Arabic Typesetting" w:cs="Arabic Typesetting"/>
                <w:sz w:val="36"/>
                <w:szCs w:val="36"/>
                <w:rtl/>
                <w:lang w:bidi="ar-EG"/>
              </w:rPr>
              <w:t>فاحص</w:t>
            </w:r>
          </w:p>
          <w:p w:rsidR="0006291C" w:rsidRPr="0006291C" w:rsidRDefault="0006291C" w:rsidP="00664B77">
            <w:pPr>
              <w:bidi/>
              <w:jc w:val="center"/>
              <w:rPr>
                <w:rFonts w:ascii="Arabic Typesetting" w:hAnsi="Arabic Typesetting" w:cs="Arabic Typesetting"/>
                <w:sz w:val="36"/>
                <w:szCs w:val="36"/>
                <w:lang w:bidi="ar-EG"/>
              </w:rPr>
            </w:pPr>
            <w:r w:rsidRPr="0006291C">
              <w:rPr>
                <w:rFonts w:ascii="Arabic Typesetting" w:hAnsi="Arabic Typesetting" w:cs="Arabic Typesetting"/>
                <w:sz w:val="36"/>
                <w:szCs w:val="36"/>
                <w:rtl/>
                <w:lang w:bidi="ar-EG"/>
              </w:rPr>
              <w:t>رئيسي</w:t>
            </w:r>
          </w:p>
        </w:tc>
        <w:tc>
          <w:tcPr>
            <w:tcW w:w="990" w:type="dxa"/>
          </w:tcPr>
          <w:p w:rsidR="0006291C" w:rsidRPr="0006291C" w:rsidRDefault="0006291C" w:rsidP="00664B77">
            <w:pPr>
              <w:bidi/>
              <w:jc w:val="center"/>
              <w:rPr>
                <w:rFonts w:ascii="Arabic Typesetting" w:hAnsi="Arabic Typesetting" w:cs="Arabic Typesetting"/>
                <w:sz w:val="36"/>
                <w:szCs w:val="36"/>
                <w:lang w:bidi="ar-EG"/>
              </w:rPr>
            </w:pPr>
            <w:r w:rsidRPr="0006291C">
              <w:rPr>
                <w:rFonts w:ascii="Arabic Typesetting" w:hAnsi="Arabic Typesetting" w:cs="Arabic Typesetting"/>
                <w:sz w:val="36"/>
                <w:szCs w:val="36"/>
                <w:lang w:bidi="ar-EG"/>
              </w:rPr>
              <w:t>SG-06</w:t>
            </w:r>
          </w:p>
          <w:p w:rsidR="0006291C" w:rsidRPr="0006291C" w:rsidRDefault="0006291C" w:rsidP="00664B77">
            <w:pPr>
              <w:bidi/>
              <w:jc w:val="center"/>
              <w:rPr>
                <w:rFonts w:ascii="Arabic Typesetting" w:hAnsi="Arabic Typesetting" w:cs="Arabic Typesetting"/>
                <w:sz w:val="36"/>
                <w:szCs w:val="36"/>
                <w:lang w:bidi="ar-EG"/>
              </w:rPr>
            </w:pPr>
            <w:r w:rsidRPr="0006291C">
              <w:rPr>
                <w:rFonts w:ascii="Arabic Typesetting" w:hAnsi="Arabic Typesetting" w:cs="Arabic Typesetting"/>
                <w:sz w:val="36"/>
                <w:szCs w:val="36"/>
                <w:rtl/>
                <w:lang w:bidi="ar-EG"/>
              </w:rPr>
              <w:t>رئيس</w:t>
            </w:r>
          </w:p>
          <w:p w:rsidR="0006291C" w:rsidRPr="0006291C" w:rsidRDefault="0006291C" w:rsidP="00664B77">
            <w:pPr>
              <w:bidi/>
              <w:jc w:val="center"/>
              <w:rPr>
                <w:rFonts w:ascii="Arabic Typesetting" w:hAnsi="Arabic Typesetting" w:cs="Arabic Typesetting"/>
                <w:sz w:val="36"/>
                <w:szCs w:val="36"/>
                <w:lang w:bidi="ar-EG"/>
              </w:rPr>
            </w:pPr>
            <w:r w:rsidRPr="0006291C">
              <w:rPr>
                <w:rFonts w:ascii="Arabic Typesetting" w:hAnsi="Arabic Typesetting" w:cs="Arabic Typesetting"/>
                <w:sz w:val="36"/>
                <w:szCs w:val="36"/>
                <w:rtl/>
                <w:lang w:bidi="ar-EG"/>
              </w:rPr>
              <w:t>قسم</w:t>
            </w:r>
          </w:p>
        </w:tc>
        <w:tc>
          <w:tcPr>
            <w:tcW w:w="1063" w:type="dxa"/>
          </w:tcPr>
          <w:p w:rsidR="0006291C" w:rsidRPr="0006291C" w:rsidRDefault="00664B77" w:rsidP="00664B77">
            <w:pPr>
              <w:bidi/>
              <w:jc w:val="center"/>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المجموع</w:t>
            </w:r>
            <w:r w:rsidR="0006291C" w:rsidRPr="0006291C">
              <w:rPr>
                <w:rFonts w:ascii="Arabic Typesetting" w:hAnsi="Arabic Typesetting" w:cs="Arabic Typesetting"/>
                <w:sz w:val="36"/>
                <w:szCs w:val="36"/>
                <w:rtl/>
                <w:lang w:bidi="ar-EG"/>
              </w:rPr>
              <w:t xml:space="preserve"> على </w:t>
            </w:r>
            <w:r>
              <w:rPr>
                <w:rFonts w:ascii="Arabic Typesetting" w:hAnsi="Arabic Typesetting" w:cs="Arabic Typesetting" w:hint="cs"/>
                <w:sz w:val="36"/>
                <w:szCs w:val="36"/>
                <w:rtl/>
                <w:lang w:bidi="ar-EG"/>
              </w:rPr>
              <w:t>جميع ال</w:t>
            </w:r>
            <w:r>
              <w:rPr>
                <w:rFonts w:ascii="Arabic Typesetting" w:hAnsi="Arabic Typesetting" w:cs="Arabic Typesetting"/>
                <w:sz w:val="36"/>
                <w:szCs w:val="36"/>
                <w:rtl/>
                <w:lang w:bidi="ar-EG"/>
              </w:rPr>
              <w:t>مستو</w:t>
            </w:r>
            <w:r>
              <w:rPr>
                <w:rFonts w:ascii="Arabic Typesetting" w:hAnsi="Arabic Typesetting" w:cs="Arabic Typesetting" w:hint="cs"/>
                <w:sz w:val="36"/>
                <w:szCs w:val="36"/>
                <w:rtl/>
                <w:lang w:bidi="ar-EG"/>
              </w:rPr>
              <w:t>يات</w:t>
            </w:r>
          </w:p>
        </w:tc>
        <w:tc>
          <w:tcPr>
            <w:tcW w:w="1650" w:type="dxa"/>
            <w:vMerge/>
          </w:tcPr>
          <w:p w:rsidR="0006291C" w:rsidRPr="0006291C" w:rsidRDefault="0006291C" w:rsidP="00664B77">
            <w:pPr>
              <w:bidi/>
              <w:rPr>
                <w:rFonts w:ascii="Arabic Typesetting" w:hAnsi="Arabic Typesetting" w:cs="Arabic Typesetting"/>
                <w:sz w:val="36"/>
                <w:szCs w:val="36"/>
                <w:lang w:bidi="ar-EG"/>
              </w:rPr>
            </w:pPr>
          </w:p>
        </w:tc>
      </w:tr>
      <w:tr w:rsidR="0006291C" w:rsidRPr="0050667A" w:rsidTr="00A071B7">
        <w:trPr>
          <w:cantSplit/>
        </w:trPr>
        <w:tc>
          <w:tcPr>
            <w:tcW w:w="2178" w:type="dxa"/>
            <w:shd w:val="clear" w:color="auto" w:fill="auto"/>
          </w:tcPr>
          <w:p w:rsidR="0006291C" w:rsidRPr="0006291C" w:rsidRDefault="00664B77" w:rsidP="00664B77">
            <w:pPr>
              <w:bidi/>
              <w:rPr>
                <w:rFonts w:ascii="Arabic Typesetting" w:hAnsi="Arabic Typesetting" w:cs="Arabic Typesetting"/>
                <w:sz w:val="36"/>
                <w:szCs w:val="36"/>
                <w:lang w:bidi="ar-EG"/>
              </w:rPr>
            </w:pPr>
            <w:r w:rsidRPr="00664B77">
              <w:rPr>
                <w:rFonts w:ascii="Arabic Typesetting" w:hAnsi="Arabic Typesetting" w:cs="Arabic Typesetting"/>
                <w:sz w:val="36"/>
                <w:szCs w:val="36"/>
                <w:rtl/>
                <w:lang w:bidi="ar-EG"/>
              </w:rPr>
              <w:t>الميكانيكا</w:t>
            </w:r>
          </w:p>
        </w:tc>
        <w:tc>
          <w:tcPr>
            <w:tcW w:w="1440" w:type="dxa"/>
            <w:shd w:val="clear" w:color="auto" w:fill="auto"/>
          </w:tcPr>
          <w:p w:rsidR="0006291C" w:rsidRPr="0006291C" w:rsidRDefault="0006291C" w:rsidP="00664B77">
            <w:pPr>
              <w:bidi/>
              <w:rPr>
                <w:rFonts w:ascii="Arabic Typesetting" w:hAnsi="Arabic Typesetting" w:cs="Arabic Typesetting"/>
                <w:sz w:val="36"/>
                <w:szCs w:val="36"/>
                <w:lang w:bidi="ar-EG"/>
              </w:rPr>
            </w:pPr>
            <w:r w:rsidRPr="0006291C">
              <w:rPr>
                <w:rFonts w:ascii="Arabic Typesetting" w:hAnsi="Arabic Typesetting" w:cs="Arabic Typesetting"/>
                <w:sz w:val="36"/>
                <w:szCs w:val="36"/>
                <w:lang w:bidi="ar-EG"/>
              </w:rPr>
              <w:t>100</w:t>
            </w:r>
          </w:p>
        </w:tc>
        <w:tc>
          <w:tcPr>
            <w:tcW w:w="1080" w:type="dxa"/>
          </w:tcPr>
          <w:p w:rsidR="0006291C" w:rsidRPr="0006291C" w:rsidRDefault="0006291C" w:rsidP="00664B77">
            <w:pPr>
              <w:bidi/>
              <w:rPr>
                <w:rFonts w:ascii="Arabic Typesetting" w:hAnsi="Arabic Typesetting" w:cs="Arabic Typesetting"/>
                <w:sz w:val="36"/>
                <w:szCs w:val="36"/>
                <w:lang w:bidi="ar-EG"/>
              </w:rPr>
            </w:pPr>
            <w:r w:rsidRPr="0006291C">
              <w:rPr>
                <w:rFonts w:ascii="Arabic Typesetting" w:hAnsi="Arabic Typesetting" w:cs="Arabic Typesetting"/>
                <w:sz w:val="36"/>
                <w:szCs w:val="36"/>
                <w:lang w:bidi="ar-EG"/>
              </w:rPr>
              <w:t>9.1</w:t>
            </w:r>
          </w:p>
        </w:tc>
        <w:tc>
          <w:tcPr>
            <w:tcW w:w="1170" w:type="dxa"/>
          </w:tcPr>
          <w:p w:rsidR="0006291C" w:rsidRPr="0006291C" w:rsidRDefault="0006291C" w:rsidP="00664B77">
            <w:pPr>
              <w:bidi/>
              <w:rPr>
                <w:rFonts w:ascii="Arabic Typesetting" w:hAnsi="Arabic Typesetting" w:cs="Arabic Typesetting"/>
                <w:sz w:val="36"/>
                <w:szCs w:val="36"/>
                <w:lang w:bidi="ar-EG"/>
              </w:rPr>
            </w:pPr>
            <w:r w:rsidRPr="0006291C">
              <w:rPr>
                <w:rFonts w:ascii="Arabic Typesetting" w:hAnsi="Arabic Typesetting" w:cs="Arabic Typesetting"/>
                <w:sz w:val="36"/>
                <w:szCs w:val="36"/>
                <w:lang w:bidi="ar-EG"/>
              </w:rPr>
              <w:t>9.8</w:t>
            </w:r>
          </w:p>
        </w:tc>
        <w:tc>
          <w:tcPr>
            <w:tcW w:w="990" w:type="dxa"/>
          </w:tcPr>
          <w:p w:rsidR="0006291C" w:rsidRPr="0006291C" w:rsidRDefault="0006291C" w:rsidP="00664B77">
            <w:pPr>
              <w:bidi/>
              <w:rPr>
                <w:rFonts w:ascii="Arabic Typesetting" w:hAnsi="Arabic Typesetting" w:cs="Arabic Typesetting"/>
                <w:sz w:val="36"/>
                <w:szCs w:val="36"/>
                <w:lang w:bidi="ar-EG"/>
              </w:rPr>
            </w:pPr>
            <w:r w:rsidRPr="0006291C">
              <w:rPr>
                <w:rFonts w:ascii="Arabic Typesetting" w:hAnsi="Arabic Typesetting" w:cs="Arabic Typesetting"/>
                <w:sz w:val="36"/>
                <w:szCs w:val="36"/>
                <w:lang w:bidi="ar-EG"/>
              </w:rPr>
              <w:t>10.2</w:t>
            </w:r>
          </w:p>
        </w:tc>
        <w:tc>
          <w:tcPr>
            <w:tcW w:w="1063" w:type="dxa"/>
          </w:tcPr>
          <w:p w:rsidR="0006291C" w:rsidRPr="0006291C" w:rsidRDefault="0006291C" w:rsidP="00664B77">
            <w:pPr>
              <w:bidi/>
              <w:rPr>
                <w:rFonts w:ascii="Arabic Typesetting" w:hAnsi="Arabic Typesetting" w:cs="Arabic Typesetting"/>
                <w:sz w:val="36"/>
                <w:szCs w:val="36"/>
                <w:lang w:bidi="ar-EG"/>
              </w:rPr>
            </w:pPr>
            <w:r w:rsidRPr="0006291C">
              <w:rPr>
                <w:rFonts w:ascii="Arabic Typesetting" w:hAnsi="Arabic Typesetting" w:cs="Arabic Typesetting"/>
                <w:sz w:val="36"/>
                <w:szCs w:val="36"/>
                <w:lang w:bidi="ar-EG"/>
              </w:rPr>
              <w:t>9.3</w:t>
            </w:r>
          </w:p>
        </w:tc>
        <w:tc>
          <w:tcPr>
            <w:tcW w:w="1650" w:type="dxa"/>
          </w:tcPr>
          <w:p w:rsidR="0006291C" w:rsidRPr="0006291C" w:rsidRDefault="0006291C" w:rsidP="00664B77">
            <w:pPr>
              <w:bidi/>
              <w:rPr>
                <w:rFonts w:ascii="Arabic Typesetting" w:hAnsi="Arabic Typesetting" w:cs="Arabic Typesetting"/>
                <w:sz w:val="36"/>
                <w:szCs w:val="36"/>
                <w:lang w:bidi="ar-EG"/>
              </w:rPr>
            </w:pPr>
            <w:r w:rsidRPr="0006291C">
              <w:rPr>
                <w:rFonts w:ascii="Arabic Typesetting" w:hAnsi="Arabic Typesetting" w:cs="Arabic Typesetting"/>
                <w:sz w:val="36"/>
                <w:szCs w:val="36"/>
                <w:lang w:bidi="ar-EG"/>
              </w:rPr>
              <w:t>*</w:t>
            </w:r>
          </w:p>
        </w:tc>
      </w:tr>
      <w:tr w:rsidR="0006291C" w:rsidRPr="0050667A" w:rsidTr="00A071B7">
        <w:trPr>
          <w:cantSplit/>
        </w:trPr>
        <w:tc>
          <w:tcPr>
            <w:tcW w:w="2178" w:type="dxa"/>
            <w:shd w:val="clear" w:color="auto" w:fill="auto"/>
          </w:tcPr>
          <w:p w:rsidR="0006291C" w:rsidRPr="0006291C" w:rsidRDefault="00664B77" w:rsidP="00664B77">
            <w:pPr>
              <w:bidi/>
              <w:rPr>
                <w:rFonts w:ascii="Arabic Typesetting" w:hAnsi="Arabic Typesetting" w:cs="Arabic Typesetting"/>
                <w:sz w:val="36"/>
                <w:szCs w:val="36"/>
                <w:lang w:bidi="ar-EG"/>
              </w:rPr>
            </w:pPr>
            <w:r w:rsidRPr="00664B77">
              <w:rPr>
                <w:rFonts w:ascii="Arabic Typesetting" w:hAnsi="Arabic Typesetting" w:cs="Arabic Typesetting"/>
                <w:sz w:val="36"/>
                <w:szCs w:val="36"/>
                <w:rtl/>
                <w:lang w:bidi="ar-EG"/>
              </w:rPr>
              <w:t>الكهرباء/الإلكترونيات</w:t>
            </w:r>
          </w:p>
        </w:tc>
        <w:tc>
          <w:tcPr>
            <w:tcW w:w="1440" w:type="dxa"/>
            <w:shd w:val="clear" w:color="auto" w:fill="auto"/>
          </w:tcPr>
          <w:p w:rsidR="0006291C" w:rsidRPr="0006291C" w:rsidRDefault="0006291C" w:rsidP="00664B77">
            <w:pPr>
              <w:bidi/>
              <w:rPr>
                <w:rFonts w:ascii="Arabic Typesetting" w:hAnsi="Arabic Typesetting" w:cs="Arabic Typesetting"/>
                <w:sz w:val="36"/>
                <w:szCs w:val="36"/>
                <w:lang w:bidi="ar-EG"/>
              </w:rPr>
            </w:pPr>
            <w:r w:rsidRPr="0006291C">
              <w:rPr>
                <w:rFonts w:ascii="Arabic Typesetting" w:hAnsi="Arabic Typesetting" w:cs="Arabic Typesetting"/>
                <w:sz w:val="36"/>
                <w:szCs w:val="36"/>
                <w:lang w:bidi="ar-EG"/>
              </w:rPr>
              <w:t>112</w:t>
            </w:r>
          </w:p>
        </w:tc>
        <w:tc>
          <w:tcPr>
            <w:tcW w:w="1080" w:type="dxa"/>
          </w:tcPr>
          <w:p w:rsidR="0006291C" w:rsidRPr="0006291C" w:rsidRDefault="0006291C" w:rsidP="00664B77">
            <w:pPr>
              <w:bidi/>
              <w:rPr>
                <w:rFonts w:ascii="Arabic Typesetting" w:hAnsi="Arabic Typesetting" w:cs="Arabic Typesetting"/>
                <w:sz w:val="36"/>
                <w:szCs w:val="36"/>
                <w:lang w:bidi="ar-EG"/>
              </w:rPr>
            </w:pPr>
            <w:r w:rsidRPr="0006291C">
              <w:rPr>
                <w:rFonts w:ascii="Arabic Typesetting" w:hAnsi="Arabic Typesetting" w:cs="Arabic Typesetting"/>
                <w:sz w:val="36"/>
                <w:szCs w:val="36"/>
                <w:lang w:bidi="ar-EG"/>
              </w:rPr>
              <w:t>7.3</w:t>
            </w:r>
          </w:p>
        </w:tc>
        <w:tc>
          <w:tcPr>
            <w:tcW w:w="1170" w:type="dxa"/>
          </w:tcPr>
          <w:p w:rsidR="0006291C" w:rsidRPr="0006291C" w:rsidRDefault="0006291C" w:rsidP="00664B77">
            <w:pPr>
              <w:bidi/>
              <w:rPr>
                <w:rFonts w:ascii="Arabic Typesetting" w:hAnsi="Arabic Typesetting" w:cs="Arabic Typesetting"/>
                <w:sz w:val="36"/>
                <w:szCs w:val="36"/>
                <w:lang w:bidi="ar-EG"/>
              </w:rPr>
            </w:pPr>
            <w:r w:rsidRPr="0006291C">
              <w:rPr>
                <w:rFonts w:ascii="Arabic Typesetting" w:hAnsi="Arabic Typesetting" w:cs="Arabic Typesetting"/>
                <w:sz w:val="36"/>
                <w:szCs w:val="36"/>
                <w:lang w:bidi="ar-EG"/>
              </w:rPr>
              <w:t>8.6</w:t>
            </w:r>
          </w:p>
        </w:tc>
        <w:tc>
          <w:tcPr>
            <w:tcW w:w="990" w:type="dxa"/>
          </w:tcPr>
          <w:p w:rsidR="0006291C" w:rsidRPr="0006291C" w:rsidRDefault="0006291C" w:rsidP="00664B77">
            <w:pPr>
              <w:bidi/>
              <w:rPr>
                <w:rFonts w:ascii="Arabic Typesetting" w:hAnsi="Arabic Typesetting" w:cs="Arabic Typesetting"/>
                <w:sz w:val="36"/>
                <w:szCs w:val="36"/>
                <w:lang w:bidi="ar-EG"/>
              </w:rPr>
            </w:pPr>
            <w:r w:rsidRPr="0006291C">
              <w:rPr>
                <w:rFonts w:ascii="Arabic Typesetting" w:hAnsi="Arabic Typesetting" w:cs="Arabic Typesetting"/>
                <w:sz w:val="36"/>
                <w:szCs w:val="36"/>
                <w:lang w:bidi="ar-EG"/>
              </w:rPr>
              <w:t>8.9</w:t>
            </w:r>
          </w:p>
        </w:tc>
        <w:tc>
          <w:tcPr>
            <w:tcW w:w="1063" w:type="dxa"/>
          </w:tcPr>
          <w:p w:rsidR="0006291C" w:rsidRPr="0006291C" w:rsidRDefault="0006291C" w:rsidP="00664B77">
            <w:pPr>
              <w:bidi/>
              <w:rPr>
                <w:rFonts w:ascii="Arabic Typesetting" w:hAnsi="Arabic Typesetting" w:cs="Arabic Typesetting"/>
                <w:sz w:val="36"/>
                <w:szCs w:val="36"/>
                <w:lang w:bidi="ar-EG"/>
              </w:rPr>
            </w:pPr>
            <w:r w:rsidRPr="0006291C">
              <w:rPr>
                <w:rFonts w:ascii="Arabic Typesetting" w:hAnsi="Arabic Typesetting" w:cs="Arabic Typesetting"/>
                <w:sz w:val="36"/>
                <w:szCs w:val="36"/>
                <w:lang w:bidi="ar-EG"/>
              </w:rPr>
              <w:t>7.6</w:t>
            </w:r>
          </w:p>
        </w:tc>
        <w:tc>
          <w:tcPr>
            <w:tcW w:w="1650" w:type="dxa"/>
          </w:tcPr>
          <w:p w:rsidR="0006291C" w:rsidRPr="0006291C" w:rsidRDefault="0006291C" w:rsidP="00664B77">
            <w:pPr>
              <w:bidi/>
              <w:rPr>
                <w:rFonts w:ascii="Arabic Typesetting" w:hAnsi="Arabic Typesetting" w:cs="Arabic Typesetting"/>
                <w:sz w:val="36"/>
                <w:szCs w:val="36"/>
                <w:lang w:bidi="ar-EG"/>
              </w:rPr>
            </w:pPr>
            <w:r w:rsidRPr="0006291C">
              <w:rPr>
                <w:rFonts w:ascii="Arabic Typesetting" w:hAnsi="Arabic Typesetting" w:cs="Arabic Typesetting"/>
                <w:sz w:val="36"/>
                <w:szCs w:val="36"/>
                <w:lang w:bidi="ar-EG"/>
              </w:rPr>
              <w:t>*</w:t>
            </w:r>
          </w:p>
        </w:tc>
      </w:tr>
      <w:tr w:rsidR="0006291C" w:rsidRPr="0050667A" w:rsidTr="00A071B7">
        <w:trPr>
          <w:cantSplit/>
        </w:trPr>
        <w:tc>
          <w:tcPr>
            <w:tcW w:w="2178" w:type="dxa"/>
            <w:shd w:val="clear" w:color="auto" w:fill="auto"/>
          </w:tcPr>
          <w:p w:rsidR="0006291C" w:rsidRPr="0006291C" w:rsidRDefault="00664B77" w:rsidP="00664B77">
            <w:pPr>
              <w:bidi/>
              <w:rPr>
                <w:rFonts w:ascii="Arabic Typesetting" w:hAnsi="Arabic Typesetting" w:cs="Arabic Typesetting"/>
                <w:sz w:val="36"/>
                <w:szCs w:val="36"/>
                <w:lang w:bidi="ar-EG"/>
              </w:rPr>
            </w:pPr>
            <w:r w:rsidRPr="00664B77">
              <w:rPr>
                <w:rFonts w:ascii="Arabic Typesetting" w:hAnsi="Arabic Typesetting" w:cs="Arabic Typesetting"/>
                <w:sz w:val="36"/>
                <w:szCs w:val="36"/>
                <w:rtl/>
                <w:lang w:bidi="ar-EG"/>
              </w:rPr>
              <w:t>الكيمياء</w:t>
            </w:r>
          </w:p>
        </w:tc>
        <w:tc>
          <w:tcPr>
            <w:tcW w:w="1440" w:type="dxa"/>
            <w:shd w:val="clear" w:color="auto" w:fill="auto"/>
          </w:tcPr>
          <w:p w:rsidR="0006291C" w:rsidRPr="0006291C" w:rsidRDefault="0006291C" w:rsidP="00664B77">
            <w:pPr>
              <w:bidi/>
              <w:rPr>
                <w:rFonts w:ascii="Arabic Typesetting" w:hAnsi="Arabic Typesetting" w:cs="Arabic Typesetting"/>
                <w:sz w:val="36"/>
                <w:szCs w:val="36"/>
                <w:lang w:bidi="ar-EG"/>
              </w:rPr>
            </w:pPr>
            <w:r w:rsidRPr="0006291C">
              <w:rPr>
                <w:rFonts w:ascii="Arabic Typesetting" w:hAnsi="Arabic Typesetting" w:cs="Arabic Typesetting"/>
                <w:sz w:val="36"/>
                <w:szCs w:val="36"/>
                <w:lang w:bidi="ar-EG"/>
              </w:rPr>
              <w:t>118</w:t>
            </w:r>
          </w:p>
        </w:tc>
        <w:tc>
          <w:tcPr>
            <w:tcW w:w="1080" w:type="dxa"/>
          </w:tcPr>
          <w:p w:rsidR="0006291C" w:rsidRPr="0006291C" w:rsidRDefault="0006291C" w:rsidP="00664B77">
            <w:pPr>
              <w:bidi/>
              <w:rPr>
                <w:rFonts w:ascii="Arabic Typesetting" w:hAnsi="Arabic Typesetting" w:cs="Arabic Typesetting"/>
                <w:sz w:val="36"/>
                <w:szCs w:val="36"/>
                <w:lang w:bidi="ar-EG"/>
              </w:rPr>
            </w:pPr>
            <w:r w:rsidRPr="0006291C">
              <w:rPr>
                <w:rFonts w:ascii="Arabic Typesetting" w:hAnsi="Arabic Typesetting" w:cs="Arabic Typesetting"/>
                <w:sz w:val="36"/>
                <w:szCs w:val="36"/>
                <w:lang w:bidi="ar-EG"/>
              </w:rPr>
              <w:t>9.2</w:t>
            </w:r>
          </w:p>
        </w:tc>
        <w:tc>
          <w:tcPr>
            <w:tcW w:w="1170" w:type="dxa"/>
          </w:tcPr>
          <w:p w:rsidR="0006291C" w:rsidRPr="0006291C" w:rsidRDefault="0006291C" w:rsidP="00664B77">
            <w:pPr>
              <w:bidi/>
              <w:rPr>
                <w:rFonts w:ascii="Arabic Typesetting" w:hAnsi="Arabic Typesetting" w:cs="Arabic Typesetting"/>
                <w:sz w:val="36"/>
                <w:szCs w:val="36"/>
                <w:lang w:bidi="ar-EG"/>
              </w:rPr>
            </w:pPr>
            <w:r w:rsidRPr="0006291C">
              <w:rPr>
                <w:rFonts w:ascii="Arabic Typesetting" w:hAnsi="Arabic Typesetting" w:cs="Arabic Typesetting"/>
                <w:sz w:val="36"/>
                <w:szCs w:val="36"/>
                <w:lang w:bidi="ar-EG"/>
              </w:rPr>
              <w:t>10.9</w:t>
            </w:r>
          </w:p>
        </w:tc>
        <w:tc>
          <w:tcPr>
            <w:tcW w:w="990" w:type="dxa"/>
          </w:tcPr>
          <w:p w:rsidR="0006291C" w:rsidRPr="0006291C" w:rsidRDefault="0006291C" w:rsidP="00664B77">
            <w:pPr>
              <w:bidi/>
              <w:rPr>
                <w:rFonts w:ascii="Arabic Typesetting" w:hAnsi="Arabic Typesetting" w:cs="Arabic Typesetting"/>
                <w:sz w:val="36"/>
                <w:szCs w:val="36"/>
                <w:lang w:bidi="ar-EG"/>
              </w:rPr>
            </w:pPr>
            <w:r w:rsidRPr="0006291C">
              <w:rPr>
                <w:rFonts w:ascii="Arabic Typesetting" w:hAnsi="Arabic Typesetting" w:cs="Arabic Typesetting"/>
                <w:sz w:val="36"/>
                <w:szCs w:val="36"/>
                <w:lang w:bidi="ar-EG"/>
              </w:rPr>
              <w:t>12.8</w:t>
            </w:r>
          </w:p>
        </w:tc>
        <w:tc>
          <w:tcPr>
            <w:tcW w:w="1063" w:type="dxa"/>
          </w:tcPr>
          <w:p w:rsidR="0006291C" w:rsidRPr="0006291C" w:rsidRDefault="0006291C" w:rsidP="00664B77">
            <w:pPr>
              <w:bidi/>
              <w:rPr>
                <w:rFonts w:ascii="Arabic Typesetting" w:hAnsi="Arabic Typesetting" w:cs="Arabic Typesetting"/>
                <w:sz w:val="36"/>
                <w:szCs w:val="36"/>
                <w:lang w:bidi="ar-EG"/>
              </w:rPr>
            </w:pPr>
            <w:r w:rsidRPr="0006291C">
              <w:rPr>
                <w:rFonts w:ascii="Arabic Typesetting" w:hAnsi="Arabic Typesetting" w:cs="Arabic Typesetting"/>
                <w:sz w:val="36"/>
                <w:szCs w:val="36"/>
                <w:lang w:bidi="ar-EG"/>
              </w:rPr>
              <w:t>9.7</w:t>
            </w:r>
          </w:p>
        </w:tc>
        <w:tc>
          <w:tcPr>
            <w:tcW w:w="1650" w:type="dxa"/>
          </w:tcPr>
          <w:p w:rsidR="0006291C" w:rsidRPr="0006291C" w:rsidRDefault="0006291C" w:rsidP="00664B77">
            <w:pPr>
              <w:bidi/>
              <w:rPr>
                <w:rFonts w:ascii="Arabic Typesetting" w:hAnsi="Arabic Typesetting" w:cs="Arabic Typesetting"/>
                <w:sz w:val="36"/>
                <w:szCs w:val="36"/>
                <w:lang w:bidi="ar-EG"/>
              </w:rPr>
            </w:pPr>
            <w:r w:rsidRPr="0006291C">
              <w:rPr>
                <w:rFonts w:ascii="Arabic Typesetting" w:hAnsi="Arabic Typesetting" w:cs="Arabic Typesetting"/>
                <w:sz w:val="36"/>
                <w:szCs w:val="36"/>
                <w:lang w:bidi="ar-EG"/>
              </w:rPr>
              <w:t>*</w:t>
            </w:r>
          </w:p>
        </w:tc>
      </w:tr>
      <w:tr w:rsidR="0006291C" w:rsidRPr="0050667A" w:rsidTr="00A071B7">
        <w:trPr>
          <w:cantSplit/>
        </w:trPr>
        <w:tc>
          <w:tcPr>
            <w:tcW w:w="2178" w:type="dxa"/>
            <w:shd w:val="clear" w:color="auto" w:fill="auto"/>
          </w:tcPr>
          <w:p w:rsidR="0006291C" w:rsidRPr="0006291C" w:rsidRDefault="00664B77" w:rsidP="00664B77">
            <w:pPr>
              <w:bidi/>
              <w:rPr>
                <w:rFonts w:ascii="Arabic Typesetting" w:hAnsi="Arabic Typesetting" w:cs="Arabic Typesetting"/>
                <w:sz w:val="36"/>
                <w:szCs w:val="36"/>
                <w:lang w:bidi="ar-EG"/>
              </w:rPr>
            </w:pPr>
            <w:proofErr w:type="spellStart"/>
            <w:r w:rsidRPr="00664B77">
              <w:rPr>
                <w:rFonts w:ascii="Arabic Typesetting" w:hAnsi="Arabic Typesetting" w:cs="Arabic Typesetting"/>
                <w:sz w:val="36"/>
                <w:szCs w:val="36"/>
                <w:rtl/>
                <w:lang w:bidi="ar-EG"/>
              </w:rPr>
              <w:t>البيوتكنولوجيا</w:t>
            </w:r>
            <w:proofErr w:type="spellEnd"/>
          </w:p>
        </w:tc>
        <w:tc>
          <w:tcPr>
            <w:tcW w:w="1440" w:type="dxa"/>
            <w:shd w:val="clear" w:color="auto" w:fill="auto"/>
          </w:tcPr>
          <w:p w:rsidR="0006291C" w:rsidRPr="0006291C" w:rsidRDefault="0006291C" w:rsidP="00664B77">
            <w:pPr>
              <w:bidi/>
              <w:rPr>
                <w:rFonts w:ascii="Arabic Typesetting" w:hAnsi="Arabic Typesetting" w:cs="Arabic Typesetting"/>
                <w:sz w:val="36"/>
                <w:szCs w:val="36"/>
                <w:lang w:bidi="ar-EG"/>
              </w:rPr>
            </w:pPr>
            <w:r w:rsidRPr="0006291C">
              <w:rPr>
                <w:rFonts w:ascii="Arabic Typesetting" w:hAnsi="Arabic Typesetting" w:cs="Arabic Typesetting"/>
                <w:sz w:val="36"/>
                <w:szCs w:val="36"/>
                <w:lang w:bidi="ar-EG"/>
              </w:rPr>
              <w:t>68</w:t>
            </w:r>
          </w:p>
        </w:tc>
        <w:tc>
          <w:tcPr>
            <w:tcW w:w="1080" w:type="dxa"/>
          </w:tcPr>
          <w:p w:rsidR="0006291C" w:rsidRPr="0006291C" w:rsidRDefault="0006291C" w:rsidP="00664B77">
            <w:pPr>
              <w:bidi/>
              <w:rPr>
                <w:rFonts w:ascii="Arabic Typesetting" w:hAnsi="Arabic Typesetting" w:cs="Arabic Typesetting"/>
                <w:sz w:val="36"/>
                <w:szCs w:val="36"/>
                <w:lang w:bidi="ar-EG"/>
              </w:rPr>
            </w:pPr>
            <w:r w:rsidRPr="0006291C">
              <w:rPr>
                <w:rFonts w:ascii="Arabic Typesetting" w:hAnsi="Arabic Typesetting" w:cs="Arabic Typesetting"/>
                <w:sz w:val="36"/>
                <w:szCs w:val="36"/>
                <w:lang w:bidi="ar-EG"/>
              </w:rPr>
              <w:t>8.9</w:t>
            </w:r>
          </w:p>
        </w:tc>
        <w:tc>
          <w:tcPr>
            <w:tcW w:w="1170" w:type="dxa"/>
          </w:tcPr>
          <w:p w:rsidR="0006291C" w:rsidRPr="0006291C" w:rsidRDefault="0006291C" w:rsidP="00664B77">
            <w:pPr>
              <w:bidi/>
              <w:rPr>
                <w:rFonts w:ascii="Arabic Typesetting" w:hAnsi="Arabic Typesetting" w:cs="Arabic Typesetting"/>
                <w:sz w:val="36"/>
                <w:szCs w:val="36"/>
                <w:lang w:bidi="ar-EG"/>
              </w:rPr>
            </w:pPr>
            <w:r w:rsidRPr="0006291C">
              <w:rPr>
                <w:rFonts w:ascii="Arabic Typesetting" w:hAnsi="Arabic Typesetting" w:cs="Arabic Typesetting"/>
                <w:sz w:val="36"/>
                <w:szCs w:val="36"/>
                <w:lang w:bidi="ar-EG"/>
              </w:rPr>
              <w:t>9.3</w:t>
            </w:r>
          </w:p>
        </w:tc>
        <w:tc>
          <w:tcPr>
            <w:tcW w:w="990" w:type="dxa"/>
          </w:tcPr>
          <w:p w:rsidR="0006291C" w:rsidRPr="0006291C" w:rsidRDefault="0006291C" w:rsidP="00664B77">
            <w:pPr>
              <w:bidi/>
              <w:rPr>
                <w:rFonts w:ascii="Arabic Typesetting" w:hAnsi="Arabic Typesetting" w:cs="Arabic Typesetting"/>
                <w:sz w:val="36"/>
                <w:szCs w:val="36"/>
                <w:lang w:bidi="ar-EG"/>
              </w:rPr>
            </w:pPr>
            <w:r w:rsidRPr="0006291C">
              <w:rPr>
                <w:rFonts w:ascii="Arabic Typesetting" w:hAnsi="Arabic Typesetting" w:cs="Arabic Typesetting"/>
                <w:sz w:val="36"/>
                <w:szCs w:val="36"/>
                <w:lang w:bidi="ar-EG"/>
              </w:rPr>
              <w:t>11.2</w:t>
            </w:r>
          </w:p>
        </w:tc>
        <w:tc>
          <w:tcPr>
            <w:tcW w:w="1063" w:type="dxa"/>
          </w:tcPr>
          <w:p w:rsidR="0006291C" w:rsidRPr="0006291C" w:rsidRDefault="0006291C" w:rsidP="00664B77">
            <w:pPr>
              <w:bidi/>
              <w:rPr>
                <w:rFonts w:ascii="Arabic Typesetting" w:hAnsi="Arabic Typesetting" w:cs="Arabic Typesetting"/>
                <w:sz w:val="36"/>
                <w:szCs w:val="36"/>
                <w:lang w:bidi="ar-EG"/>
              </w:rPr>
            </w:pPr>
            <w:r w:rsidRPr="0006291C">
              <w:rPr>
                <w:rFonts w:ascii="Arabic Typesetting" w:hAnsi="Arabic Typesetting" w:cs="Arabic Typesetting"/>
                <w:sz w:val="36"/>
                <w:szCs w:val="36"/>
                <w:lang w:bidi="ar-EG"/>
              </w:rPr>
              <w:t>9.1</w:t>
            </w:r>
          </w:p>
        </w:tc>
        <w:tc>
          <w:tcPr>
            <w:tcW w:w="1650" w:type="dxa"/>
          </w:tcPr>
          <w:p w:rsidR="0006291C" w:rsidRPr="0006291C" w:rsidRDefault="0006291C" w:rsidP="00664B77">
            <w:pPr>
              <w:bidi/>
              <w:rPr>
                <w:rFonts w:ascii="Arabic Typesetting" w:hAnsi="Arabic Typesetting" w:cs="Arabic Typesetting"/>
                <w:sz w:val="36"/>
                <w:szCs w:val="36"/>
                <w:lang w:bidi="ar-EG"/>
              </w:rPr>
            </w:pPr>
            <w:r w:rsidRPr="0006291C">
              <w:rPr>
                <w:rFonts w:ascii="Arabic Typesetting" w:hAnsi="Arabic Typesetting" w:cs="Arabic Typesetting"/>
                <w:sz w:val="36"/>
                <w:szCs w:val="36"/>
                <w:lang w:bidi="ar-EG"/>
              </w:rPr>
              <w:t>*</w:t>
            </w:r>
          </w:p>
        </w:tc>
      </w:tr>
      <w:tr w:rsidR="0006291C" w:rsidRPr="0050667A" w:rsidTr="00A071B7">
        <w:trPr>
          <w:cantSplit/>
        </w:trPr>
        <w:tc>
          <w:tcPr>
            <w:tcW w:w="2178" w:type="dxa"/>
            <w:shd w:val="clear" w:color="auto" w:fill="auto"/>
          </w:tcPr>
          <w:p w:rsidR="0006291C" w:rsidRPr="0006291C" w:rsidRDefault="0006291C" w:rsidP="00664B77">
            <w:pPr>
              <w:bidi/>
              <w:rPr>
                <w:rFonts w:ascii="Arabic Typesetting" w:hAnsi="Arabic Typesetting" w:cs="Arabic Typesetting"/>
                <w:sz w:val="36"/>
                <w:szCs w:val="36"/>
                <w:lang w:bidi="ar-EG"/>
              </w:rPr>
            </w:pPr>
            <w:r w:rsidRPr="0006291C">
              <w:rPr>
                <w:rFonts w:ascii="Arabic Typesetting" w:hAnsi="Arabic Typesetting" w:cs="Arabic Typesetting"/>
                <w:sz w:val="36"/>
                <w:szCs w:val="36"/>
                <w:rtl/>
                <w:lang w:bidi="ar-EG"/>
              </w:rPr>
              <w:t>المجموع</w:t>
            </w:r>
          </w:p>
        </w:tc>
        <w:tc>
          <w:tcPr>
            <w:tcW w:w="1440" w:type="dxa"/>
            <w:shd w:val="clear" w:color="auto" w:fill="auto"/>
          </w:tcPr>
          <w:p w:rsidR="0006291C" w:rsidRPr="0006291C" w:rsidRDefault="0006291C" w:rsidP="00664B77">
            <w:pPr>
              <w:bidi/>
              <w:rPr>
                <w:rFonts w:ascii="Arabic Typesetting" w:hAnsi="Arabic Typesetting" w:cs="Arabic Typesetting"/>
                <w:sz w:val="36"/>
                <w:szCs w:val="36"/>
                <w:lang w:bidi="ar-EG"/>
              </w:rPr>
            </w:pPr>
            <w:r w:rsidRPr="0006291C">
              <w:rPr>
                <w:rFonts w:ascii="Arabic Typesetting" w:hAnsi="Arabic Typesetting" w:cs="Arabic Typesetting"/>
                <w:sz w:val="36"/>
                <w:szCs w:val="36"/>
                <w:lang w:bidi="ar-EG"/>
              </w:rPr>
              <w:t>398</w:t>
            </w:r>
          </w:p>
        </w:tc>
        <w:tc>
          <w:tcPr>
            <w:tcW w:w="1080" w:type="dxa"/>
          </w:tcPr>
          <w:p w:rsidR="0006291C" w:rsidRPr="0006291C" w:rsidRDefault="0006291C" w:rsidP="00664B77">
            <w:pPr>
              <w:bidi/>
              <w:rPr>
                <w:rFonts w:ascii="Arabic Typesetting" w:hAnsi="Arabic Typesetting" w:cs="Arabic Typesetting"/>
                <w:sz w:val="36"/>
                <w:szCs w:val="36"/>
                <w:lang w:bidi="ar-EG"/>
              </w:rPr>
            </w:pPr>
            <w:r w:rsidRPr="0006291C">
              <w:rPr>
                <w:rFonts w:ascii="Arabic Typesetting" w:hAnsi="Arabic Typesetting" w:cs="Arabic Typesetting"/>
                <w:sz w:val="36"/>
                <w:szCs w:val="36"/>
                <w:lang w:bidi="ar-EG"/>
              </w:rPr>
              <w:t>8.6</w:t>
            </w:r>
          </w:p>
        </w:tc>
        <w:tc>
          <w:tcPr>
            <w:tcW w:w="1170" w:type="dxa"/>
          </w:tcPr>
          <w:p w:rsidR="0006291C" w:rsidRPr="0006291C" w:rsidRDefault="0006291C" w:rsidP="00664B77">
            <w:pPr>
              <w:bidi/>
              <w:rPr>
                <w:rFonts w:ascii="Arabic Typesetting" w:hAnsi="Arabic Typesetting" w:cs="Arabic Typesetting"/>
                <w:sz w:val="36"/>
                <w:szCs w:val="36"/>
                <w:lang w:bidi="ar-EG"/>
              </w:rPr>
            </w:pPr>
            <w:r w:rsidRPr="0006291C">
              <w:rPr>
                <w:rFonts w:ascii="Arabic Typesetting" w:hAnsi="Arabic Typesetting" w:cs="Arabic Typesetting"/>
                <w:sz w:val="36"/>
                <w:szCs w:val="36"/>
                <w:lang w:bidi="ar-EG"/>
              </w:rPr>
              <w:t>9.8</w:t>
            </w:r>
          </w:p>
        </w:tc>
        <w:tc>
          <w:tcPr>
            <w:tcW w:w="990" w:type="dxa"/>
          </w:tcPr>
          <w:p w:rsidR="0006291C" w:rsidRPr="0006291C" w:rsidRDefault="0006291C" w:rsidP="00664B77">
            <w:pPr>
              <w:bidi/>
              <w:rPr>
                <w:rFonts w:ascii="Arabic Typesetting" w:hAnsi="Arabic Typesetting" w:cs="Arabic Typesetting"/>
                <w:sz w:val="36"/>
                <w:szCs w:val="36"/>
                <w:lang w:bidi="ar-EG"/>
              </w:rPr>
            </w:pPr>
            <w:r w:rsidRPr="0006291C">
              <w:rPr>
                <w:rFonts w:ascii="Arabic Typesetting" w:hAnsi="Arabic Typesetting" w:cs="Arabic Typesetting"/>
                <w:sz w:val="36"/>
                <w:szCs w:val="36"/>
                <w:lang w:bidi="ar-EG"/>
              </w:rPr>
              <w:t>10.7</w:t>
            </w:r>
          </w:p>
        </w:tc>
        <w:tc>
          <w:tcPr>
            <w:tcW w:w="1063" w:type="dxa"/>
          </w:tcPr>
          <w:p w:rsidR="0006291C" w:rsidRPr="0006291C" w:rsidRDefault="0006291C" w:rsidP="00664B77">
            <w:pPr>
              <w:bidi/>
              <w:rPr>
                <w:rFonts w:ascii="Arabic Typesetting" w:hAnsi="Arabic Typesetting" w:cs="Arabic Typesetting"/>
                <w:sz w:val="36"/>
                <w:szCs w:val="36"/>
                <w:lang w:bidi="ar-EG"/>
              </w:rPr>
            </w:pPr>
          </w:p>
        </w:tc>
        <w:tc>
          <w:tcPr>
            <w:tcW w:w="1650" w:type="dxa"/>
          </w:tcPr>
          <w:p w:rsidR="0006291C" w:rsidRPr="0006291C" w:rsidRDefault="0006291C" w:rsidP="00664B77">
            <w:pPr>
              <w:bidi/>
              <w:rPr>
                <w:rFonts w:ascii="Arabic Typesetting" w:hAnsi="Arabic Typesetting" w:cs="Arabic Typesetting"/>
                <w:sz w:val="36"/>
                <w:szCs w:val="36"/>
                <w:lang w:bidi="ar-EG"/>
              </w:rPr>
            </w:pPr>
          </w:p>
        </w:tc>
      </w:tr>
    </w:tbl>
    <w:p w:rsidR="00CE5C9A" w:rsidRDefault="00CE5C9A" w:rsidP="0074430B">
      <w:pPr>
        <w:pStyle w:val="NormalParaAR"/>
        <w:rPr>
          <w:rtl/>
          <w:lang w:bidi="ar-EG"/>
        </w:rPr>
      </w:pPr>
      <w:proofErr w:type="gramStart"/>
      <w:r>
        <w:rPr>
          <w:lang w:bidi="ar-EG"/>
        </w:rPr>
        <w:t>*</w:t>
      </w:r>
      <w:r w:rsidR="003C2F05">
        <w:rPr>
          <w:rFonts w:hint="cs"/>
          <w:rtl/>
          <w:lang w:bidi="ar-EG"/>
        </w:rPr>
        <w:tab/>
      </w:r>
      <w:r>
        <w:rPr>
          <w:rFonts w:hint="cs"/>
          <w:rtl/>
          <w:lang w:bidi="ar-EG"/>
        </w:rPr>
        <w:t xml:space="preserve">لا يحتفظ المكتب الكندي للملكية الفكرية </w:t>
      </w:r>
      <w:r w:rsidR="00A34981">
        <w:rPr>
          <w:rFonts w:hint="cs"/>
          <w:rtl/>
          <w:lang w:bidi="ar-EG"/>
        </w:rPr>
        <w:t>بقائمة توضح الشهادات الجامعية التي يحملها كل واحد من الفاحصين العاملين فيه.</w:t>
      </w:r>
      <w:proofErr w:type="gramEnd"/>
      <w:r w:rsidR="00A34981">
        <w:rPr>
          <w:rFonts w:hint="cs"/>
          <w:rtl/>
          <w:lang w:bidi="ar-EG"/>
        </w:rPr>
        <w:t xml:space="preserve"> </w:t>
      </w:r>
      <w:proofErr w:type="gramStart"/>
      <w:r w:rsidR="00A34981">
        <w:rPr>
          <w:rFonts w:hint="cs"/>
          <w:rtl/>
          <w:lang w:bidi="ar-EG"/>
        </w:rPr>
        <w:t>ومع</w:t>
      </w:r>
      <w:proofErr w:type="gramEnd"/>
      <w:r w:rsidR="00A34981">
        <w:rPr>
          <w:rFonts w:hint="cs"/>
          <w:rtl/>
          <w:lang w:bidi="ar-EG"/>
        </w:rPr>
        <w:t xml:space="preserve"> ذلك عند التعيين ينبغي استيفاء المرشح للوظيفة حد أدنى من المؤهلات. وتتباين هذه المؤهلات </w:t>
      </w:r>
      <w:proofErr w:type="gramStart"/>
      <w:r w:rsidR="00A34981">
        <w:rPr>
          <w:rFonts w:hint="cs"/>
          <w:rtl/>
          <w:lang w:bidi="ar-EG"/>
        </w:rPr>
        <w:t>حسب</w:t>
      </w:r>
      <w:proofErr w:type="gramEnd"/>
      <w:r w:rsidR="00A34981">
        <w:rPr>
          <w:rFonts w:hint="cs"/>
          <w:rtl/>
          <w:lang w:bidi="ar-EG"/>
        </w:rPr>
        <w:t xml:space="preserve"> مجال التخصص، وهي كما يلي:</w:t>
      </w:r>
    </w:p>
    <w:p w:rsidR="00A34981" w:rsidRDefault="00A34981" w:rsidP="003C2F05">
      <w:pPr>
        <w:pStyle w:val="NormalParaAR"/>
        <w:rPr>
          <w:rtl/>
          <w:lang w:bidi="ar-EG"/>
        </w:rPr>
      </w:pPr>
      <w:r>
        <w:rPr>
          <w:rFonts w:hint="cs"/>
          <w:rtl/>
          <w:lang w:bidi="ar-EG"/>
        </w:rPr>
        <w:t xml:space="preserve">- </w:t>
      </w:r>
      <w:r w:rsidR="003C2F05" w:rsidRPr="003C2F05">
        <w:rPr>
          <w:rtl/>
          <w:lang w:bidi="ar-EG"/>
        </w:rPr>
        <w:t>الميكانيكا</w:t>
      </w:r>
      <w:r>
        <w:rPr>
          <w:rFonts w:hint="cs"/>
          <w:rtl/>
          <w:lang w:bidi="ar-EG"/>
        </w:rPr>
        <w:t xml:space="preserve">: درجة </w:t>
      </w:r>
      <w:proofErr w:type="spellStart"/>
      <w:r>
        <w:rPr>
          <w:rFonts w:hint="cs"/>
          <w:rtl/>
          <w:lang w:bidi="ar-EG"/>
        </w:rPr>
        <w:t>البكالريوس</w:t>
      </w:r>
      <w:proofErr w:type="spellEnd"/>
      <w:r>
        <w:rPr>
          <w:rFonts w:hint="cs"/>
          <w:rtl/>
          <w:lang w:bidi="ar-EG"/>
        </w:rPr>
        <w:t xml:space="preserve"> من معهد معترف به للدراسة ما بعد الثانوية في مجال الهندسة الميكانيكية أو أي درجة علمية أخرى مقبولة في مجال ذي صلة، مع توافر أساس متين في مبادئ الهندسة الميكانيكية. ويمكن الحصول على درجات أخرى مثلا في مجال هندسة الفضاء الجوي أو الهندسة الطبية البيولوجية أو هندسة التعدين؛</w:t>
      </w:r>
    </w:p>
    <w:p w:rsidR="00A34981" w:rsidRDefault="00A34981" w:rsidP="00B32F05">
      <w:pPr>
        <w:pStyle w:val="NormalParaAR"/>
        <w:rPr>
          <w:rtl/>
          <w:lang w:bidi="ar-EG"/>
        </w:rPr>
      </w:pPr>
      <w:r>
        <w:rPr>
          <w:rFonts w:hint="cs"/>
          <w:rtl/>
          <w:lang w:bidi="ar-EG"/>
        </w:rPr>
        <w:t xml:space="preserve">- </w:t>
      </w:r>
      <w:r w:rsidR="00B32F05" w:rsidRPr="00B32F05">
        <w:rPr>
          <w:rtl/>
          <w:lang w:bidi="ar-EG"/>
        </w:rPr>
        <w:t>الكهرباء/الإلكترونيات</w:t>
      </w:r>
      <w:r>
        <w:rPr>
          <w:rFonts w:hint="cs"/>
          <w:rtl/>
          <w:lang w:bidi="ar-EG"/>
        </w:rPr>
        <w:t xml:space="preserve">: التخرج من جامعة معترف بها بدرجة </w:t>
      </w:r>
      <w:proofErr w:type="spellStart"/>
      <w:r w:rsidR="005B38EC">
        <w:rPr>
          <w:rFonts w:hint="cs"/>
          <w:rtl/>
          <w:lang w:bidi="ar-EG"/>
        </w:rPr>
        <w:t>ال</w:t>
      </w:r>
      <w:r>
        <w:rPr>
          <w:rFonts w:hint="cs"/>
          <w:rtl/>
          <w:lang w:bidi="ar-EG"/>
        </w:rPr>
        <w:t>بكالريوس</w:t>
      </w:r>
      <w:proofErr w:type="spellEnd"/>
      <w:r>
        <w:rPr>
          <w:rFonts w:hint="cs"/>
          <w:rtl/>
          <w:lang w:bidi="ar-EG"/>
        </w:rPr>
        <w:t xml:space="preserve"> في هندسة الإليكترونيات وهندسة الحواسيب أو</w:t>
      </w:r>
      <w:r w:rsidR="00B32F05">
        <w:rPr>
          <w:rFonts w:hint="eastAsia"/>
          <w:rtl/>
          <w:lang w:bidi="ar-EG"/>
        </w:rPr>
        <w:t> </w:t>
      </w:r>
      <w:r>
        <w:rPr>
          <w:rFonts w:hint="cs"/>
          <w:rtl/>
          <w:lang w:bidi="ar-EG"/>
        </w:rPr>
        <w:t>هندسة البرمجيات (لا ت</w:t>
      </w:r>
      <w:r w:rsidR="0032278D">
        <w:rPr>
          <w:rFonts w:hint="cs"/>
          <w:rtl/>
          <w:lang w:bidi="ar-EG"/>
        </w:rPr>
        <w:t>ُ</w:t>
      </w:r>
      <w:r>
        <w:rPr>
          <w:rFonts w:hint="cs"/>
          <w:rtl/>
          <w:lang w:bidi="ar-EG"/>
        </w:rPr>
        <w:t>قبل الشهادات في مجال علوم الحاسوب)؛</w:t>
      </w:r>
    </w:p>
    <w:p w:rsidR="00A34981" w:rsidRDefault="00A34981" w:rsidP="00A34981">
      <w:pPr>
        <w:pStyle w:val="NormalParaAR"/>
        <w:rPr>
          <w:rtl/>
          <w:lang w:bidi="ar-EG"/>
        </w:rPr>
      </w:pPr>
      <w:r>
        <w:rPr>
          <w:rFonts w:hint="cs"/>
          <w:rtl/>
          <w:lang w:bidi="ar-EG"/>
        </w:rPr>
        <w:t>- الكيمياء:</w:t>
      </w:r>
    </w:p>
    <w:p w:rsidR="00A34981" w:rsidRDefault="00A34981" w:rsidP="001168FC">
      <w:pPr>
        <w:pStyle w:val="NormalParaAR"/>
        <w:ind w:left="567"/>
        <w:rPr>
          <w:rtl/>
          <w:lang w:bidi="ar-EG"/>
        </w:rPr>
      </w:pPr>
      <w:r>
        <w:rPr>
          <w:rFonts w:hint="cs"/>
          <w:rtl/>
          <w:lang w:bidi="ar-EG"/>
        </w:rPr>
        <w:t xml:space="preserve">- </w:t>
      </w:r>
      <w:proofErr w:type="gramStart"/>
      <w:r>
        <w:rPr>
          <w:rFonts w:hint="cs"/>
          <w:rtl/>
          <w:lang w:bidi="ar-EG"/>
        </w:rPr>
        <w:t>في</w:t>
      </w:r>
      <w:proofErr w:type="gramEnd"/>
      <w:r>
        <w:rPr>
          <w:rFonts w:hint="cs"/>
          <w:rtl/>
          <w:lang w:bidi="ar-EG"/>
        </w:rPr>
        <w:t xml:space="preserve"> مجال الكيمياء العضوية:</w:t>
      </w:r>
      <w:r w:rsidR="00B32F05">
        <w:rPr>
          <w:rFonts w:hint="cs"/>
          <w:rtl/>
          <w:lang w:bidi="ar-EG"/>
        </w:rPr>
        <w:t xml:space="preserve"> التخرج من معهد معترف به لدراسات</w:t>
      </w:r>
      <w:r>
        <w:rPr>
          <w:rFonts w:hint="cs"/>
          <w:rtl/>
          <w:lang w:bidi="ar-EG"/>
        </w:rPr>
        <w:t xml:space="preserve"> ما بعد الثانوية مع الحصول على مرتبة الشرف في مجال الكيمياء أو أي درجة علمية أخرى مقبولة في مجال متعلق بالمنصب؛</w:t>
      </w:r>
    </w:p>
    <w:p w:rsidR="00A34981" w:rsidRDefault="00A34981" w:rsidP="001168FC">
      <w:pPr>
        <w:pStyle w:val="NormalParaAR"/>
        <w:ind w:left="567"/>
        <w:rPr>
          <w:rtl/>
          <w:lang w:bidi="ar-EG"/>
        </w:rPr>
      </w:pPr>
      <w:r>
        <w:rPr>
          <w:rFonts w:hint="cs"/>
          <w:rtl/>
          <w:lang w:bidi="ar-EG"/>
        </w:rPr>
        <w:t xml:space="preserve">- </w:t>
      </w:r>
      <w:proofErr w:type="gramStart"/>
      <w:r>
        <w:rPr>
          <w:rFonts w:hint="cs"/>
          <w:rtl/>
          <w:lang w:bidi="ar-EG"/>
        </w:rPr>
        <w:t>مجال</w:t>
      </w:r>
      <w:proofErr w:type="gramEnd"/>
      <w:r>
        <w:rPr>
          <w:rFonts w:hint="cs"/>
          <w:rtl/>
          <w:lang w:bidi="ar-EG"/>
        </w:rPr>
        <w:t xml:space="preserve"> الكيمياء العام: التخرج </w:t>
      </w:r>
      <w:r w:rsidR="00876B88">
        <w:rPr>
          <w:rFonts w:hint="cs"/>
          <w:rtl/>
          <w:lang w:bidi="ar-EG"/>
        </w:rPr>
        <w:t>من جامعة معترف مع الحصول على مرتبة الشرف في مجال الهندسة الكيميائية أو في مجال الكيمياء أو أي شهادة أخرى مقبولة في مجال يتصل بالمنصب؛</w:t>
      </w:r>
    </w:p>
    <w:p w:rsidR="00876B88" w:rsidRDefault="00876B88" w:rsidP="00AF7337">
      <w:pPr>
        <w:pStyle w:val="NormalParaAR"/>
        <w:ind w:left="567"/>
        <w:rPr>
          <w:rtl/>
          <w:lang w:bidi="ar-EG"/>
        </w:rPr>
      </w:pPr>
      <w:r>
        <w:rPr>
          <w:rFonts w:hint="cs"/>
          <w:rtl/>
          <w:lang w:bidi="ar-EG"/>
        </w:rPr>
        <w:t xml:space="preserve">- </w:t>
      </w:r>
      <w:proofErr w:type="spellStart"/>
      <w:r w:rsidR="00AF7337" w:rsidRPr="00AF7337">
        <w:rPr>
          <w:rtl/>
          <w:lang w:bidi="ar-EG"/>
        </w:rPr>
        <w:t>البيوتكنولوجيا</w:t>
      </w:r>
      <w:proofErr w:type="spellEnd"/>
      <w:r>
        <w:rPr>
          <w:rFonts w:hint="cs"/>
          <w:rtl/>
          <w:lang w:bidi="ar-EG"/>
        </w:rPr>
        <w:t>: التخرج من جامعة معترف بها بدرجة ماجستير أو دكتوراه في مجال الكيمياء الحيوية أو البيولوجيا الجزيئية أو أي مجال آخر ذي صلة.</w:t>
      </w:r>
    </w:p>
    <w:p w:rsidR="00876B88" w:rsidRDefault="00876B88" w:rsidP="00A34981">
      <w:pPr>
        <w:pStyle w:val="NormalParaAR"/>
        <w:rPr>
          <w:rtl/>
          <w:lang w:bidi="ar-EG"/>
        </w:rPr>
      </w:pPr>
      <w:proofErr w:type="gramStart"/>
      <w:r>
        <w:rPr>
          <w:rFonts w:hint="cs"/>
          <w:rtl/>
          <w:lang w:bidi="ar-EG"/>
        </w:rPr>
        <w:t>في</w:t>
      </w:r>
      <w:proofErr w:type="gramEnd"/>
      <w:r>
        <w:rPr>
          <w:rFonts w:hint="cs"/>
          <w:rtl/>
          <w:lang w:bidi="ar-EG"/>
        </w:rPr>
        <w:t xml:space="preserve"> حالة الحصول على الشهادة من أي مؤسسة تعليمية من خارج كندا يستخدم المكتب الكندي للملكية الفكرية خدمات هيئتين لاعتماد معادلة الدرجات العلمية. والهيئتان هما مكتب خدمات التعليم المقارن التابع لجامعة تورنتو</w:t>
      </w:r>
      <w:r w:rsidR="008872A4">
        <w:rPr>
          <w:rFonts w:hint="cs"/>
          <w:rtl/>
          <w:lang w:bidi="ar-EG"/>
        </w:rPr>
        <w:t xml:space="preserve"> (</w:t>
      </w:r>
      <w:r w:rsidR="008872A4">
        <w:rPr>
          <w:lang w:bidi="ar-EG"/>
        </w:rPr>
        <w:t>CES</w:t>
      </w:r>
      <w:r w:rsidR="008872A4">
        <w:rPr>
          <w:rFonts w:hint="cs"/>
          <w:rtl/>
          <w:lang w:bidi="ar-EG"/>
        </w:rPr>
        <w:t>)</w:t>
      </w:r>
      <w:r>
        <w:rPr>
          <w:rFonts w:hint="cs"/>
          <w:rtl/>
          <w:lang w:bidi="ar-EG"/>
        </w:rPr>
        <w:t xml:space="preserve"> و</w:t>
      </w:r>
      <w:r w:rsidR="008872A4">
        <w:rPr>
          <w:rFonts w:hint="cs"/>
          <w:rtl/>
          <w:lang w:bidi="ar-EG"/>
        </w:rPr>
        <w:t>خدمات المؤهلات الدولية وخدمات التعليم العالمي (</w:t>
      </w:r>
      <w:r w:rsidR="008872A4">
        <w:rPr>
          <w:lang w:bidi="ar-EG"/>
        </w:rPr>
        <w:t>WES</w:t>
      </w:r>
      <w:r w:rsidR="008872A4">
        <w:rPr>
          <w:rFonts w:hint="cs"/>
          <w:rtl/>
          <w:lang w:bidi="ar-EG"/>
        </w:rPr>
        <w:t>) وخدمة تقييم المؤهلات التعليمية (</w:t>
      </w:r>
      <w:r w:rsidR="008872A4">
        <w:rPr>
          <w:lang w:bidi="ar-EG"/>
        </w:rPr>
        <w:t>ECA</w:t>
      </w:r>
      <w:r w:rsidR="008872A4">
        <w:rPr>
          <w:rFonts w:hint="cs"/>
          <w:rtl/>
          <w:lang w:bidi="ar-EG"/>
        </w:rPr>
        <w:t>).</w:t>
      </w:r>
    </w:p>
    <w:p w:rsidR="008872A4" w:rsidRDefault="008872A4" w:rsidP="00E60978">
      <w:pPr>
        <w:pStyle w:val="NormalParaAR"/>
        <w:rPr>
          <w:lang w:bidi="ar-EG"/>
        </w:rPr>
      </w:pPr>
      <w:proofErr w:type="gramStart"/>
      <w:r>
        <w:rPr>
          <w:rFonts w:hint="cs"/>
          <w:rtl/>
          <w:lang w:bidi="ar-EG"/>
        </w:rPr>
        <w:t>ويمتلك</w:t>
      </w:r>
      <w:proofErr w:type="gramEnd"/>
      <w:r>
        <w:rPr>
          <w:rFonts w:hint="cs"/>
          <w:rtl/>
          <w:lang w:bidi="ar-EG"/>
        </w:rPr>
        <w:t xml:space="preserve"> المكتب الكندي للملكية الفكرية مجالين مكرسين لدعم الموظفين العاملين في مجال الفحص وهما: مجال للعمل الوطني ويعمل الموظفون الذين يتسلمون الطلبات في دعم الفاحصين في عملهم الدولي. </w:t>
      </w:r>
      <w:proofErr w:type="gramStart"/>
      <w:r>
        <w:rPr>
          <w:rFonts w:hint="cs"/>
          <w:rtl/>
          <w:lang w:bidi="ar-EG"/>
        </w:rPr>
        <w:t>وتعمل</w:t>
      </w:r>
      <w:proofErr w:type="gramEnd"/>
      <w:r>
        <w:rPr>
          <w:rFonts w:hint="cs"/>
          <w:rtl/>
          <w:lang w:bidi="ar-EG"/>
        </w:rPr>
        <w:t xml:space="preserve"> المجموعة اللاحقة على كفالة نقل منتجات العمل الدولي الصادرة عن المكتب الكندي للملكية الفكرية في الوقت المناسب. وللمزيد من المعلومات التفصيلية </w:t>
      </w:r>
      <w:r w:rsidR="00E60978">
        <w:rPr>
          <w:rFonts w:hint="cs"/>
          <w:rtl/>
          <w:lang w:bidi="ar-EG"/>
        </w:rPr>
        <w:lastRenderedPageBreak/>
        <w:t xml:space="preserve">المتعلقة بحسن التوقيت الذي نكفله في العمل، </w:t>
      </w:r>
      <w:r>
        <w:rPr>
          <w:rFonts w:hint="cs"/>
          <w:rtl/>
          <w:lang w:bidi="ar-EG"/>
        </w:rPr>
        <w:t xml:space="preserve">يرجى الرجوع إلى أحدث عرض (إحصاءات معاهدة التعاون بشأن البراءات) قدمه المكتب الدولي أثناء انعقاد اجتماع </w:t>
      </w:r>
      <w:r w:rsidR="00E60978">
        <w:rPr>
          <w:rFonts w:hint="cs"/>
          <w:rtl/>
          <w:lang w:bidi="ar-EG"/>
        </w:rPr>
        <w:t>الإدارات</w:t>
      </w:r>
      <w:r>
        <w:rPr>
          <w:rFonts w:hint="cs"/>
          <w:rtl/>
          <w:lang w:bidi="ar-EG"/>
        </w:rPr>
        <w:t xml:space="preserve"> الدولية </w:t>
      </w:r>
      <w:r w:rsidR="00E60978">
        <w:rPr>
          <w:rFonts w:hint="cs"/>
          <w:rtl/>
          <w:lang w:bidi="ar-EG"/>
        </w:rPr>
        <w:t>العاملة في ظلّ</w:t>
      </w:r>
      <w:r>
        <w:rPr>
          <w:rFonts w:hint="cs"/>
          <w:rtl/>
          <w:lang w:bidi="ar-EG"/>
        </w:rPr>
        <w:t xml:space="preserve"> معاهدة التعاون بشأن البراءات في فبراير</w:t>
      </w:r>
      <w:r w:rsidR="00E60978">
        <w:rPr>
          <w:rFonts w:hint="eastAsia"/>
          <w:rtl/>
          <w:lang w:bidi="ar-EG"/>
        </w:rPr>
        <w:t> </w:t>
      </w:r>
      <w:r>
        <w:rPr>
          <w:rFonts w:hint="cs"/>
          <w:rtl/>
          <w:lang w:bidi="ar-EG"/>
        </w:rPr>
        <w:t>2017.</w:t>
      </w:r>
    </w:p>
    <w:p w:rsidR="008872A4" w:rsidRDefault="00E60978" w:rsidP="00E60978">
      <w:pPr>
        <w:pStyle w:val="NormalParaAR"/>
        <w:keepNext/>
        <w:rPr>
          <w:b/>
          <w:bCs/>
          <w:rtl/>
          <w:lang w:bidi="ar-EG"/>
        </w:rPr>
      </w:pPr>
      <w:proofErr w:type="gramStart"/>
      <w:r>
        <w:rPr>
          <w:rFonts w:hint="cs"/>
          <w:b/>
          <w:bCs/>
          <w:rtl/>
          <w:lang w:bidi="ar-EG"/>
        </w:rPr>
        <w:t>البرامج</w:t>
      </w:r>
      <w:proofErr w:type="gramEnd"/>
      <w:r>
        <w:rPr>
          <w:rFonts w:hint="cs"/>
          <w:b/>
          <w:bCs/>
          <w:rtl/>
          <w:lang w:bidi="ar-EG"/>
        </w:rPr>
        <w:t xml:space="preserve"> التدريبية:</w:t>
      </w:r>
    </w:p>
    <w:p w:rsidR="008872A4" w:rsidRDefault="008872A4" w:rsidP="00E60978">
      <w:pPr>
        <w:pStyle w:val="NormalParaAR"/>
        <w:rPr>
          <w:rtl/>
          <w:lang w:bidi="ar-EG"/>
        </w:rPr>
      </w:pPr>
      <w:r>
        <w:rPr>
          <w:rFonts w:hint="cs"/>
          <w:rtl/>
          <w:lang w:bidi="ar-EG"/>
        </w:rPr>
        <w:t xml:space="preserve">مدير برامج </w:t>
      </w:r>
      <w:r w:rsidR="00801757">
        <w:rPr>
          <w:rFonts w:hint="cs"/>
          <w:rtl/>
          <w:lang w:bidi="ar-EG"/>
        </w:rPr>
        <w:t xml:space="preserve">تدريبية </w:t>
      </w:r>
      <w:r>
        <w:rPr>
          <w:rFonts w:hint="cs"/>
          <w:rtl/>
          <w:lang w:bidi="ar-EG"/>
        </w:rPr>
        <w:t xml:space="preserve">متفرغ </w:t>
      </w:r>
      <w:r w:rsidR="00801757">
        <w:rPr>
          <w:rtl/>
          <w:lang w:bidi="ar-EG"/>
        </w:rPr>
        <w:t>–</w:t>
      </w:r>
      <w:r>
        <w:rPr>
          <w:rFonts w:hint="cs"/>
          <w:rtl/>
          <w:lang w:bidi="ar-EG"/>
        </w:rPr>
        <w:t xml:space="preserve"> </w:t>
      </w:r>
      <w:r w:rsidR="00801757">
        <w:rPr>
          <w:rFonts w:hint="cs"/>
          <w:rtl/>
          <w:lang w:bidi="ar-EG"/>
        </w:rPr>
        <w:t xml:space="preserve">مسؤول عن جميع البرامج التدريبية التي يحضرها فاحصو البراءات. ويتألف النظام التدريبي الحالي الذي يقدمه المكتب الكندي للملكية الفكرية إلى فاحصي البراءات من برنامج للتلمذة قوامه سنتين يحصل من خلاله الفاحص المعين حديثًا على تدريب </w:t>
      </w:r>
      <w:r w:rsidR="00E60978">
        <w:rPr>
          <w:rFonts w:hint="cs"/>
          <w:rtl/>
          <w:lang w:bidi="ar-EG"/>
        </w:rPr>
        <w:t xml:space="preserve">فردي أثناء العمل تحت إشراف </w:t>
      </w:r>
      <w:r w:rsidR="00801757">
        <w:rPr>
          <w:rFonts w:hint="cs"/>
          <w:rtl/>
          <w:lang w:bidi="ar-EG"/>
        </w:rPr>
        <w:t>ف</w:t>
      </w:r>
      <w:r w:rsidR="00E60978">
        <w:rPr>
          <w:rFonts w:hint="cs"/>
          <w:rtl/>
          <w:lang w:bidi="ar-EG"/>
        </w:rPr>
        <w:t>احص</w:t>
      </w:r>
      <w:r w:rsidR="00801757">
        <w:rPr>
          <w:rFonts w:hint="cs"/>
          <w:rtl/>
          <w:lang w:bidi="ar-EG"/>
        </w:rPr>
        <w:t xml:space="preserve"> براءات</w:t>
      </w:r>
      <w:r w:rsidR="00E60978">
        <w:rPr>
          <w:rFonts w:hint="cs"/>
          <w:rtl/>
          <w:lang w:bidi="ar-EG"/>
        </w:rPr>
        <w:t xml:space="preserve"> رئيسي</w:t>
      </w:r>
      <w:r w:rsidR="00801757">
        <w:rPr>
          <w:rFonts w:hint="cs"/>
          <w:rtl/>
          <w:lang w:bidi="ar-EG"/>
        </w:rPr>
        <w:t xml:space="preserve">. ويدعم هذا التدريب من خلال التدريب النظامي على طائفة متنوعة من الموضوعات ذات الصلة بقانون البراءات والفحص وتشمل </w:t>
      </w:r>
      <w:r w:rsidR="00E60978">
        <w:rPr>
          <w:rFonts w:hint="cs"/>
          <w:rtl/>
          <w:lang w:bidi="ar-EG"/>
        </w:rPr>
        <w:t>ما يلي</w:t>
      </w:r>
      <w:r w:rsidR="00801757">
        <w:rPr>
          <w:rFonts w:hint="cs"/>
          <w:rtl/>
          <w:lang w:bidi="ar-EG"/>
        </w:rPr>
        <w:t xml:space="preserve">: قانون البراءات الكندي ولائحته التنفيذية، والفحص الشكلي، </w:t>
      </w:r>
      <w:r w:rsidR="00E60978">
        <w:rPr>
          <w:rFonts w:hint="cs"/>
          <w:rtl/>
          <w:lang w:bidi="ar-EG"/>
        </w:rPr>
        <w:t>والفحص الموضوعي، والجدة، والنشاط الابتكاري</w:t>
      </w:r>
      <w:r w:rsidR="00801757">
        <w:rPr>
          <w:rFonts w:hint="cs"/>
          <w:rtl/>
          <w:lang w:bidi="ar-EG"/>
        </w:rPr>
        <w:t xml:space="preserve">، وإمكانية التطبيق الصناعي، والموضوع المشمول بالحماية، </w:t>
      </w:r>
      <w:r w:rsidR="00357461">
        <w:rPr>
          <w:rFonts w:hint="cs"/>
          <w:rtl/>
          <w:lang w:bidi="ar-EG"/>
        </w:rPr>
        <w:t>والوحدة، والوضوح، وقواعد البيانات (</w:t>
      </w:r>
      <w:proofErr w:type="spellStart"/>
      <w:r w:rsidR="00357461">
        <w:rPr>
          <w:lang w:bidi="ar-EG"/>
        </w:rPr>
        <w:t>Questel</w:t>
      </w:r>
      <w:proofErr w:type="spellEnd"/>
      <w:r w:rsidR="00357461">
        <w:rPr>
          <w:lang w:bidi="ar-EG"/>
        </w:rPr>
        <w:t xml:space="preserve"> Orbit</w:t>
      </w:r>
      <w:r w:rsidR="00357461">
        <w:rPr>
          <w:rFonts w:hint="cs"/>
          <w:rtl/>
          <w:lang w:bidi="ar-EG"/>
        </w:rPr>
        <w:t xml:space="preserve"> </w:t>
      </w:r>
      <w:r w:rsidR="00E60978">
        <w:rPr>
          <w:rFonts w:hint="cs"/>
          <w:rtl/>
          <w:lang w:bidi="ar-EG"/>
        </w:rPr>
        <w:t>وغيرها</w:t>
      </w:r>
      <w:r w:rsidR="00357461">
        <w:rPr>
          <w:rFonts w:hint="cs"/>
          <w:rtl/>
          <w:lang w:bidi="ar-EG"/>
        </w:rPr>
        <w:t>)، وأساليب البحث، ونظم التصنيف (بموجب التصنيف الدولي للبراءات والتصنيف التعاوني للبراءات)، والطرق المتقد</w:t>
      </w:r>
      <w:r w:rsidR="00E60978">
        <w:rPr>
          <w:rFonts w:hint="cs"/>
          <w:rtl/>
          <w:lang w:bidi="ar-EG"/>
        </w:rPr>
        <w:t>مة لمعالجة طلبات البراءات</w:t>
      </w:r>
      <w:r w:rsidR="00357461">
        <w:rPr>
          <w:rFonts w:hint="cs"/>
          <w:rtl/>
          <w:lang w:bidi="ar-EG"/>
        </w:rPr>
        <w:t>، وتعليمات العمل الداخلية وخرائط العمليات، فضلا عن جميع الأدوات المطبقة داخليًا. ويشمل هذا التدريب أسبوع</w:t>
      </w:r>
      <w:r w:rsidR="00E60978">
        <w:rPr>
          <w:rFonts w:hint="cs"/>
          <w:rtl/>
          <w:lang w:bidi="ar-EG"/>
        </w:rPr>
        <w:t>ا</w:t>
      </w:r>
      <w:r w:rsidR="00357461">
        <w:rPr>
          <w:rFonts w:hint="cs"/>
          <w:rtl/>
          <w:lang w:bidi="ar-EG"/>
        </w:rPr>
        <w:t xml:space="preserve"> من التدريب المكثف المرتبط بإدارة البحث الدولي وإدارة الفحص التمهيدي الدولي الذي يشرح في إطاره الفرق بين الممارسات الكندية ومتطلبات معاهدة التعاون بشأن البراءات. </w:t>
      </w:r>
      <w:proofErr w:type="gramStart"/>
      <w:r w:rsidR="00357461">
        <w:rPr>
          <w:rFonts w:hint="cs"/>
          <w:rtl/>
          <w:lang w:bidi="ar-EG"/>
        </w:rPr>
        <w:t>ويجري</w:t>
      </w:r>
      <w:proofErr w:type="gramEnd"/>
      <w:r w:rsidR="00357461">
        <w:rPr>
          <w:rFonts w:hint="cs"/>
          <w:rtl/>
          <w:lang w:bidi="ar-EG"/>
        </w:rPr>
        <w:t xml:space="preserve"> تقييم الفاحصين بناء على اختبار للمهارات وقدرتهم على العمل باستقلالية على مدار سنتين. ويظل الفاحص تحت الاختبار طيلة فترة </w:t>
      </w:r>
      <w:r w:rsidR="00E60978">
        <w:rPr>
          <w:rFonts w:hint="cs"/>
          <w:rtl/>
          <w:lang w:bidi="ar-EG"/>
        </w:rPr>
        <w:t>الاختبار</w:t>
      </w:r>
      <w:r w:rsidR="00357461">
        <w:rPr>
          <w:rFonts w:hint="cs"/>
          <w:rtl/>
          <w:lang w:bidi="ar-EG"/>
        </w:rPr>
        <w:t xml:space="preserve">. وفي نهاية هذه الفترة يجرى </w:t>
      </w:r>
      <w:proofErr w:type="gramStart"/>
      <w:r w:rsidR="00357461">
        <w:rPr>
          <w:rFonts w:hint="cs"/>
          <w:rtl/>
          <w:lang w:bidi="ar-EG"/>
        </w:rPr>
        <w:t>تقييم</w:t>
      </w:r>
      <w:proofErr w:type="gramEnd"/>
      <w:r w:rsidR="00357461">
        <w:rPr>
          <w:rFonts w:hint="cs"/>
          <w:rtl/>
          <w:lang w:bidi="ar-EG"/>
        </w:rPr>
        <w:t xml:space="preserve"> نهائي له. ويمكن للفاحصين العاملين في المكتب الكندي للملكية الفكرية الحصول على دورات تدريبية في اللغة ويمكنهم </w:t>
      </w:r>
      <w:r w:rsidR="00E60978">
        <w:rPr>
          <w:rFonts w:hint="cs"/>
          <w:rtl/>
          <w:lang w:bidi="ar-EG"/>
        </w:rPr>
        <w:t>الاستفادة</w:t>
      </w:r>
      <w:r w:rsidR="00357461">
        <w:rPr>
          <w:rFonts w:hint="cs"/>
          <w:rtl/>
          <w:lang w:bidi="ar-EG"/>
        </w:rPr>
        <w:t xml:space="preserve"> </w:t>
      </w:r>
      <w:r w:rsidR="00E60978">
        <w:rPr>
          <w:rFonts w:hint="cs"/>
          <w:rtl/>
          <w:lang w:bidi="ar-EG"/>
        </w:rPr>
        <w:t>من</w:t>
      </w:r>
      <w:r w:rsidR="00357461">
        <w:rPr>
          <w:rFonts w:hint="cs"/>
          <w:rtl/>
          <w:lang w:bidi="ar-EG"/>
        </w:rPr>
        <w:t xml:space="preserve"> </w:t>
      </w:r>
      <w:r w:rsidR="00E60978">
        <w:rPr>
          <w:rFonts w:hint="cs"/>
          <w:rtl/>
          <w:lang w:bidi="ar-EG"/>
        </w:rPr>
        <w:t>ال</w:t>
      </w:r>
      <w:r w:rsidR="00357461">
        <w:rPr>
          <w:rFonts w:hint="cs"/>
          <w:rtl/>
          <w:lang w:bidi="ar-EG"/>
        </w:rPr>
        <w:t xml:space="preserve">دورات </w:t>
      </w:r>
      <w:r w:rsidR="00E60978">
        <w:rPr>
          <w:rFonts w:hint="cs"/>
          <w:rtl/>
          <w:lang w:bidi="ar-EG"/>
        </w:rPr>
        <w:t>ال</w:t>
      </w:r>
      <w:r w:rsidR="00357461">
        <w:rPr>
          <w:rFonts w:hint="cs"/>
          <w:rtl/>
          <w:lang w:bidi="ar-EG"/>
        </w:rPr>
        <w:t xml:space="preserve">تدريبية </w:t>
      </w:r>
      <w:r w:rsidR="00E60978">
        <w:rPr>
          <w:rFonts w:hint="cs"/>
          <w:rtl/>
          <w:lang w:bidi="ar-EG"/>
        </w:rPr>
        <w:t xml:space="preserve">التي يقدمها </w:t>
      </w:r>
      <w:r w:rsidR="00357461">
        <w:rPr>
          <w:rFonts w:hint="cs"/>
          <w:rtl/>
          <w:lang w:bidi="ar-EG"/>
        </w:rPr>
        <w:t xml:space="preserve">عن بعد </w:t>
      </w:r>
      <w:r w:rsidR="00E60978">
        <w:rPr>
          <w:rFonts w:hint="cs"/>
          <w:rtl/>
          <w:lang w:bidi="ar-EG"/>
        </w:rPr>
        <w:t xml:space="preserve">كل من </w:t>
      </w:r>
      <w:proofErr w:type="spellStart"/>
      <w:r w:rsidR="00E60978">
        <w:rPr>
          <w:rFonts w:hint="cs"/>
          <w:rtl/>
          <w:lang w:bidi="ar-EG"/>
        </w:rPr>
        <w:t>الويبو</w:t>
      </w:r>
      <w:proofErr w:type="spellEnd"/>
      <w:r w:rsidR="00E60978">
        <w:rPr>
          <w:rFonts w:hint="cs"/>
          <w:rtl/>
          <w:lang w:bidi="ar-EG"/>
        </w:rPr>
        <w:t xml:space="preserve"> والمكتب الأوروبي للبراءات.</w:t>
      </w:r>
    </w:p>
    <w:p w:rsidR="00044470" w:rsidRDefault="00044470" w:rsidP="00E72C6A">
      <w:pPr>
        <w:pStyle w:val="NormalParaAR"/>
        <w:rPr>
          <w:rtl/>
          <w:lang w:bidi="ar-EG"/>
        </w:rPr>
      </w:pPr>
      <w:r>
        <w:rPr>
          <w:rFonts w:hint="cs"/>
          <w:rtl/>
          <w:lang w:bidi="ar-EG"/>
        </w:rPr>
        <w:t xml:space="preserve">ولا تقتصر جهود التدريب على تثقيف الفاحصين الجدد. </w:t>
      </w:r>
      <w:proofErr w:type="gramStart"/>
      <w:r>
        <w:rPr>
          <w:rFonts w:hint="cs"/>
          <w:rtl/>
          <w:lang w:bidi="ar-EG"/>
        </w:rPr>
        <w:t>ف</w:t>
      </w:r>
      <w:r w:rsidR="00237B9C">
        <w:rPr>
          <w:rFonts w:hint="cs"/>
          <w:rtl/>
          <w:lang w:bidi="ar-EG"/>
        </w:rPr>
        <w:t>يشجع</w:t>
      </w:r>
      <w:proofErr w:type="gramEnd"/>
      <w:r w:rsidR="00237B9C">
        <w:rPr>
          <w:rFonts w:hint="cs"/>
          <w:rtl/>
          <w:lang w:bidi="ar-EG"/>
        </w:rPr>
        <w:t xml:space="preserve"> المكتب الفاحصين ذوي الخبرة على مواكبة التطورات التكنولوجية في مجال تخصصهم من خلال استعراض الدوريات الفنية وحضور المؤتمرات والمشاركة في الجولات الصناعية لدى الشركات الكندية. وينبغي عليهم كذلك حضور بعض الحلقات الدراسية والدورات والعروض الإجبارية </w:t>
      </w:r>
      <w:r w:rsidR="00E72C6A">
        <w:rPr>
          <w:rFonts w:hint="cs"/>
          <w:rtl/>
          <w:lang w:bidi="ar-EG"/>
        </w:rPr>
        <w:t>التي تُنظم على مدار العام بشأن</w:t>
      </w:r>
      <w:r w:rsidR="00237B9C">
        <w:rPr>
          <w:rFonts w:hint="cs"/>
          <w:rtl/>
          <w:lang w:bidi="ar-EG"/>
        </w:rPr>
        <w:t xml:space="preserve"> الفحص والبراءات والموضوعات المتعلقة بالملكية الفكرية.</w:t>
      </w:r>
    </w:p>
    <w:p w:rsidR="00237B9C" w:rsidRDefault="00237B9C" w:rsidP="00E72C6A">
      <w:pPr>
        <w:pStyle w:val="NormalParaAR"/>
        <w:rPr>
          <w:rtl/>
          <w:lang w:bidi="ar-EG"/>
        </w:rPr>
      </w:pPr>
      <w:r>
        <w:rPr>
          <w:rFonts w:hint="cs"/>
          <w:rtl/>
          <w:lang w:bidi="ar-EG"/>
        </w:rPr>
        <w:t xml:space="preserve">يمكن الاطلاع على المزيد من المعلومات في البحثين </w:t>
      </w:r>
      <w:r w:rsidR="00E72C6A">
        <w:rPr>
          <w:rFonts w:hint="cs"/>
          <w:rtl/>
          <w:lang w:bidi="ar-EG"/>
        </w:rPr>
        <w:t>التاليين</w:t>
      </w:r>
      <w:r>
        <w:rPr>
          <w:rFonts w:hint="cs"/>
          <w:rtl/>
          <w:lang w:bidi="ar-EG"/>
        </w:rPr>
        <w:t xml:space="preserve">: </w:t>
      </w:r>
    </w:p>
    <w:p w:rsidR="00237B9C" w:rsidRDefault="00237B9C" w:rsidP="001168FC">
      <w:pPr>
        <w:pStyle w:val="NormalParaAR"/>
        <w:bidi w:val="0"/>
        <w:ind w:left="567"/>
        <w:rPr>
          <w:lang w:bidi="ar-EG"/>
        </w:rPr>
      </w:pPr>
      <w:r>
        <w:rPr>
          <w:i/>
          <w:iCs/>
          <w:lang w:bidi="ar-EG"/>
        </w:rPr>
        <w:t>The Canadian Patent Examiner Continuous Training Program</w:t>
      </w:r>
      <w:r>
        <w:rPr>
          <w:lang w:bidi="ar-EG"/>
        </w:rPr>
        <w:t xml:space="preserve">; </w:t>
      </w:r>
      <w:proofErr w:type="spellStart"/>
      <w:r>
        <w:rPr>
          <w:lang w:bidi="ar-EG"/>
        </w:rPr>
        <w:t>DeVleeschauwer</w:t>
      </w:r>
      <w:proofErr w:type="gramStart"/>
      <w:r>
        <w:rPr>
          <w:lang w:bidi="ar-EG"/>
        </w:rPr>
        <w:t>,M</w:t>
      </w:r>
      <w:proofErr w:type="spellEnd"/>
      <w:proofErr w:type="gramEnd"/>
      <w:r>
        <w:rPr>
          <w:lang w:bidi="ar-EG"/>
        </w:rPr>
        <w:t xml:space="preserve">. World Patent Information, 39 (December) 2014, 73-78; </w:t>
      </w:r>
    </w:p>
    <w:p w:rsidR="00237B9C" w:rsidRDefault="00237B9C" w:rsidP="001168FC">
      <w:pPr>
        <w:pStyle w:val="NormalParaAR"/>
        <w:bidi w:val="0"/>
        <w:ind w:left="567"/>
        <w:rPr>
          <w:lang w:bidi="ar-EG"/>
        </w:rPr>
      </w:pPr>
      <w:r>
        <w:rPr>
          <w:i/>
          <w:iCs/>
          <w:lang w:bidi="ar-EG"/>
        </w:rPr>
        <w:t>The Canadian Patent Examiner Continuous Training Program</w:t>
      </w:r>
      <w:r>
        <w:rPr>
          <w:lang w:bidi="ar-EG"/>
        </w:rPr>
        <w:t xml:space="preserve">; </w:t>
      </w:r>
      <w:proofErr w:type="spellStart"/>
      <w:r>
        <w:rPr>
          <w:lang w:bidi="ar-EG"/>
        </w:rPr>
        <w:t>DeVleeschauwer</w:t>
      </w:r>
      <w:proofErr w:type="gramStart"/>
      <w:r>
        <w:rPr>
          <w:lang w:bidi="ar-EG"/>
        </w:rPr>
        <w:t>,M</w:t>
      </w:r>
      <w:proofErr w:type="spellEnd"/>
      <w:proofErr w:type="gramEnd"/>
      <w:r>
        <w:rPr>
          <w:lang w:bidi="ar-EG"/>
        </w:rPr>
        <w:t>. World Patent Information, 35 (3), 2013, 224-229.</w:t>
      </w:r>
    </w:p>
    <w:p w:rsidR="00237B9C" w:rsidRPr="00E72C6A" w:rsidRDefault="00237B9C" w:rsidP="00E72C6A">
      <w:pPr>
        <w:pStyle w:val="NormalParaAR"/>
        <w:rPr>
          <w:b/>
          <w:bCs/>
          <w:i/>
          <w:iCs/>
          <w:rtl/>
          <w:lang w:bidi="ar-EG"/>
        </w:rPr>
      </w:pPr>
      <w:r w:rsidRPr="00E72C6A">
        <w:rPr>
          <w:rFonts w:hint="cs"/>
          <w:b/>
          <w:bCs/>
          <w:i/>
          <w:iCs/>
          <w:rtl/>
          <w:lang w:bidi="ar-EG"/>
        </w:rPr>
        <w:t xml:space="preserve">القاعدتان </w:t>
      </w:r>
      <w:r w:rsidR="00E72C6A" w:rsidRPr="00E72C6A">
        <w:rPr>
          <w:rFonts w:hint="cs"/>
          <w:b/>
          <w:bCs/>
          <w:i/>
          <w:iCs/>
          <w:rtl/>
          <w:lang w:bidi="ar-EG"/>
        </w:rPr>
        <w:t>1.36</w:t>
      </w:r>
      <w:r w:rsidRPr="00E72C6A">
        <w:rPr>
          <w:rFonts w:hint="cs"/>
          <w:b/>
          <w:bCs/>
          <w:i/>
          <w:iCs/>
          <w:rtl/>
          <w:lang w:bidi="ar-EG"/>
        </w:rPr>
        <w:t xml:space="preserve"> </w:t>
      </w:r>
      <w:r w:rsidR="00E72C6A" w:rsidRPr="00E72C6A">
        <w:rPr>
          <w:rFonts w:hint="cs"/>
          <w:b/>
          <w:bCs/>
          <w:i/>
          <w:iCs/>
          <w:rtl/>
          <w:lang w:bidi="ar-EG"/>
        </w:rPr>
        <w:t>"2"</w:t>
      </w:r>
      <w:r w:rsidRPr="00E72C6A">
        <w:rPr>
          <w:rFonts w:hint="cs"/>
          <w:b/>
          <w:bCs/>
          <w:i/>
          <w:iCs/>
          <w:rtl/>
          <w:lang w:bidi="ar-EG"/>
        </w:rPr>
        <w:t xml:space="preserve"> </w:t>
      </w:r>
      <w:r w:rsidR="00E72C6A" w:rsidRPr="00E72C6A">
        <w:rPr>
          <w:rFonts w:hint="cs"/>
          <w:b/>
          <w:bCs/>
          <w:i/>
          <w:iCs/>
          <w:rtl/>
          <w:lang w:bidi="ar-EG"/>
        </w:rPr>
        <w:t>و1.63</w:t>
      </w:r>
      <w:r w:rsidRPr="00E72C6A">
        <w:rPr>
          <w:rFonts w:hint="cs"/>
          <w:b/>
          <w:bCs/>
          <w:i/>
          <w:iCs/>
          <w:rtl/>
          <w:lang w:bidi="ar-EG"/>
        </w:rPr>
        <w:t xml:space="preserve"> </w:t>
      </w:r>
      <w:r w:rsidR="00E72C6A" w:rsidRPr="00E72C6A">
        <w:rPr>
          <w:rFonts w:hint="cs"/>
          <w:b/>
          <w:bCs/>
          <w:i/>
          <w:iCs/>
          <w:rtl/>
          <w:lang w:bidi="ar-EG"/>
        </w:rPr>
        <w:t>"2"</w:t>
      </w:r>
      <w:r w:rsidRPr="00E72C6A">
        <w:rPr>
          <w:rFonts w:hint="cs"/>
          <w:b/>
          <w:bCs/>
          <w:i/>
          <w:iCs/>
          <w:rtl/>
          <w:lang w:bidi="ar-EG"/>
        </w:rPr>
        <w:t xml:space="preserve">: </w:t>
      </w:r>
      <w:r w:rsidRPr="00E72C6A">
        <w:rPr>
          <w:b/>
          <w:bCs/>
          <w:i/>
          <w:iCs/>
          <w:rtl/>
          <w:lang w:bidi="ar-EG"/>
        </w:rPr>
        <w:t>يجب أن يكون في حوزة المكتب الوطني أو المنظمة الحكومية الدولية على الأقل الحد الأدنى لمجموعة الوثائق المشار إليه في القاعدة 34 أو يكون في إمكانهما الحصول عليه، على أن يكون مرتبا على الوجه السليم لأغراض البحث على ورق أو بطاقات مصغرة أو دعامة إلكترونية</w:t>
      </w:r>
      <w:r w:rsidRPr="00E72C6A">
        <w:rPr>
          <w:rFonts w:hint="cs"/>
          <w:b/>
          <w:bCs/>
          <w:i/>
          <w:iCs/>
          <w:rtl/>
          <w:lang w:bidi="ar-EG"/>
        </w:rPr>
        <w:t>.</w:t>
      </w:r>
    </w:p>
    <w:p w:rsidR="00C00CE3" w:rsidRDefault="003E65F8" w:rsidP="00E72C6A">
      <w:pPr>
        <w:pStyle w:val="NormalParaAR"/>
        <w:keepNext/>
        <w:rPr>
          <w:b/>
          <w:bCs/>
          <w:rtl/>
          <w:lang w:bidi="ar-EG"/>
        </w:rPr>
      </w:pPr>
      <w:r>
        <w:rPr>
          <w:rFonts w:hint="cs"/>
          <w:b/>
          <w:bCs/>
          <w:rtl/>
          <w:lang w:bidi="ar-EG"/>
        </w:rPr>
        <w:t>النفاذ إلى الحد الأدنى من الوثائق لأغراض البحث:</w:t>
      </w:r>
    </w:p>
    <w:p w:rsidR="003E65F8" w:rsidRPr="003E65F8" w:rsidRDefault="003E65F8" w:rsidP="002B2EE0">
      <w:pPr>
        <w:pStyle w:val="NormalParaAR"/>
        <w:rPr>
          <w:rtl/>
          <w:lang w:bidi="ar-EG"/>
        </w:rPr>
      </w:pPr>
      <w:r w:rsidRPr="003E65F8">
        <w:rPr>
          <w:rFonts w:hint="cs"/>
          <w:rtl/>
          <w:lang w:bidi="ar-EG"/>
        </w:rPr>
        <w:t>(</w:t>
      </w:r>
      <w:r w:rsidRPr="003E65F8">
        <w:rPr>
          <w:lang w:bidi="ar-EG"/>
        </w:rPr>
        <w:t>X</w:t>
      </w:r>
      <w:r w:rsidR="00E72C6A">
        <w:rPr>
          <w:rFonts w:hint="cs"/>
          <w:rtl/>
          <w:lang w:bidi="ar-EG"/>
        </w:rPr>
        <w:t>)</w:t>
      </w:r>
      <w:r w:rsidR="00E72C6A">
        <w:rPr>
          <w:rtl/>
          <w:lang w:bidi="ar-EG"/>
        </w:rPr>
        <w:tab/>
      </w:r>
      <w:proofErr w:type="gramStart"/>
      <w:r w:rsidRPr="003E65F8">
        <w:rPr>
          <w:rFonts w:hint="cs"/>
          <w:rtl/>
          <w:lang w:bidi="ar-EG"/>
        </w:rPr>
        <w:t>نفاذ</w:t>
      </w:r>
      <w:proofErr w:type="gramEnd"/>
      <w:r w:rsidRPr="003E65F8">
        <w:rPr>
          <w:rFonts w:hint="cs"/>
          <w:rtl/>
          <w:lang w:bidi="ar-EG"/>
        </w:rPr>
        <w:t xml:space="preserve"> كامل</w:t>
      </w:r>
    </w:p>
    <w:p w:rsidR="003E65F8" w:rsidRDefault="003E65F8" w:rsidP="00E72C6A">
      <w:pPr>
        <w:pStyle w:val="NormalParaAR"/>
        <w:keepNext/>
        <w:rPr>
          <w:b/>
          <w:bCs/>
          <w:rtl/>
        </w:rPr>
      </w:pPr>
      <w:proofErr w:type="gramStart"/>
      <w:r>
        <w:rPr>
          <w:rFonts w:hint="cs"/>
          <w:b/>
          <w:bCs/>
          <w:rtl/>
        </w:rPr>
        <w:lastRenderedPageBreak/>
        <w:t>أنظمة</w:t>
      </w:r>
      <w:proofErr w:type="gramEnd"/>
      <w:r>
        <w:rPr>
          <w:rFonts w:hint="cs"/>
          <w:b/>
          <w:bCs/>
          <w:rtl/>
        </w:rPr>
        <w:t xml:space="preserve"> البحث:</w:t>
      </w:r>
    </w:p>
    <w:p w:rsidR="003E65F8" w:rsidRDefault="003E65F8" w:rsidP="00E72C6A">
      <w:pPr>
        <w:pStyle w:val="NormalParaAR"/>
        <w:rPr>
          <w:rtl/>
          <w:lang w:bidi="ar-EG"/>
        </w:rPr>
      </w:pPr>
      <w:r>
        <w:rPr>
          <w:rFonts w:hint="cs"/>
          <w:rtl/>
        </w:rPr>
        <w:t xml:space="preserve">فاحصو البراءات مجهزون بمحطات عمل على أحدث طراز، تشمل شاشتين </w:t>
      </w:r>
      <w:r w:rsidR="003E0B3D">
        <w:rPr>
          <w:rFonts w:hint="cs"/>
          <w:rtl/>
        </w:rPr>
        <w:t>حجم كل منها</w:t>
      </w:r>
      <w:r w:rsidR="00E72C6A">
        <w:rPr>
          <w:rFonts w:hint="cs"/>
          <w:rtl/>
        </w:rPr>
        <w:t xml:space="preserve"> </w:t>
      </w:r>
      <w:r>
        <w:rPr>
          <w:rFonts w:hint="cs"/>
          <w:rtl/>
        </w:rPr>
        <w:t xml:space="preserve">21 بوصة وإمكانية الدخول على شبكة الإنترنت. وتتيح هذه التجهيزات إمكانية النفاذ إلى </w:t>
      </w:r>
      <w:r w:rsidR="00E72C6A">
        <w:rPr>
          <w:rFonts w:hint="cs"/>
          <w:rtl/>
        </w:rPr>
        <w:t>أنظمتنا</w:t>
      </w:r>
      <w:r>
        <w:rPr>
          <w:rFonts w:hint="cs"/>
          <w:rtl/>
        </w:rPr>
        <w:t xml:space="preserve"> الداخلية (</w:t>
      </w:r>
      <w:proofErr w:type="spellStart"/>
      <w:r>
        <w:t>TechSource</w:t>
      </w:r>
      <w:proofErr w:type="spellEnd"/>
      <w:r>
        <w:t xml:space="preserve"> </w:t>
      </w:r>
      <w:r>
        <w:rPr>
          <w:rFonts w:hint="cs"/>
          <w:rtl/>
          <w:lang w:bidi="ar-EG"/>
        </w:rPr>
        <w:t>و</w:t>
      </w:r>
      <w:proofErr w:type="spellStart"/>
      <w:r>
        <w:rPr>
          <w:lang w:bidi="ar-EG"/>
        </w:rPr>
        <w:t>InterApp</w:t>
      </w:r>
      <w:proofErr w:type="spellEnd"/>
      <w:r>
        <w:rPr>
          <w:rFonts w:hint="cs"/>
          <w:rtl/>
          <w:lang w:bidi="ar-EG"/>
        </w:rPr>
        <w:t>) (وه</w:t>
      </w:r>
      <w:r w:rsidR="003E0B3D">
        <w:rPr>
          <w:rFonts w:hint="cs"/>
          <w:rtl/>
          <w:lang w:bidi="ar-EG"/>
        </w:rPr>
        <w:t>ما</w:t>
      </w:r>
      <w:r>
        <w:rPr>
          <w:rFonts w:hint="cs"/>
          <w:rtl/>
          <w:lang w:bidi="ar-EG"/>
        </w:rPr>
        <w:t xml:space="preserve"> عبارة عن تطبيقين مركزيين للتعامل مع التطبيقات الوطنية والدولية على التوالي </w:t>
      </w:r>
      <w:r>
        <w:rPr>
          <w:rtl/>
          <w:lang w:bidi="ar-EG"/>
        </w:rPr>
        <w:t>–</w:t>
      </w:r>
      <w:r>
        <w:rPr>
          <w:rFonts w:hint="cs"/>
          <w:rtl/>
          <w:lang w:bidi="ar-EG"/>
        </w:rPr>
        <w:t xml:space="preserve"> ويدعم التطبيقان تسلسل سير العمل وتخزين البيانات المتعلقة بالبراءات)، وتتيح لفاحصي البراءات الوسائل الضرورية لإجراء وظائفهم ذات الصلة بالبحث والفحص </w:t>
      </w:r>
      <w:r w:rsidR="003E0B3D">
        <w:rPr>
          <w:rFonts w:hint="cs"/>
          <w:rtl/>
          <w:lang w:bidi="ar-EG"/>
        </w:rPr>
        <w:t>والنفاذ</w:t>
      </w:r>
      <w:r>
        <w:rPr>
          <w:rFonts w:hint="cs"/>
          <w:rtl/>
          <w:lang w:bidi="ar-EG"/>
        </w:rPr>
        <w:t xml:space="preserve"> إلى جميع المعلومات الضرورية لأداء عملهم الوطني والدولي. وبالإضافة إلى ذلك يحصل الفاحصون الذين يعملون عن بعد على حاسوب </w:t>
      </w:r>
      <w:r w:rsidR="00E72C6A">
        <w:rPr>
          <w:rFonts w:hint="cs"/>
          <w:rtl/>
          <w:lang w:bidi="ar-EG"/>
        </w:rPr>
        <w:t>محمول</w:t>
      </w:r>
      <w:r>
        <w:rPr>
          <w:rFonts w:hint="cs"/>
          <w:rtl/>
          <w:lang w:bidi="ar-EG"/>
        </w:rPr>
        <w:t xml:space="preserve"> وعلى إمكانية استخدام قاعدة تثبيت تمكنهم من الاتصال عن بعد بشبكة المكتب من خلال</w:t>
      </w:r>
      <w:r w:rsidR="00A33E74">
        <w:rPr>
          <w:rFonts w:hint="cs"/>
          <w:rtl/>
          <w:lang w:bidi="ar-EG"/>
        </w:rPr>
        <w:t xml:space="preserve"> النظام الآمن للاتصال عن بعد التابع للحكومة الكندية (</w:t>
      </w:r>
      <w:r w:rsidR="00A33E74">
        <w:rPr>
          <w:lang w:bidi="ar-EG"/>
        </w:rPr>
        <w:t>GC-SRA</w:t>
      </w:r>
      <w:r w:rsidR="00A33E74">
        <w:rPr>
          <w:rFonts w:hint="cs"/>
          <w:rtl/>
          <w:lang w:bidi="ar-EG"/>
        </w:rPr>
        <w:t>)</w:t>
      </w:r>
      <w:r>
        <w:rPr>
          <w:rFonts w:hint="cs"/>
          <w:rtl/>
          <w:lang w:bidi="ar-EG"/>
        </w:rPr>
        <w:t xml:space="preserve"> </w:t>
      </w:r>
      <w:r w:rsidR="00A33E74">
        <w:rPr>
          <w:rFonts w:hint="cs"/>
          <w:rtl/>
          <w:lang w:bidi="ar-EG"/>
        </w:rPr>
        <w:t>(وهو عبارة عن شبكة افتراضية خاصة).</w:t>
      </w:r>
    </w:p>
    <w:p w:rsidR="00A33E74" w:rsidRDefault="00E72C6A" w:rsidP="00E72C6A">
      <w:pPr>
        <w:pStyle w:val="NormalParaAR"/>
        <w:rPr>
          <w:rtl/>
          <w:lang w:bidi="ar-EG"/>
        </w:rPr>
      </w:pPr>
      <w:r>
        <w:rPr>
          <w:rFonts w:hint="cs"/>
          <w:rtl/>
          <w:lang w:bidi="ar-EG"/>
        </w:rPr>
        <w:t>ويشتمل النظام الداخلي لل</w:t>
      </w:r>
      <w:r w:rsidR="00A33E74">
        <w:rPr>
          <w:rFonts w:hint="cs"/>
          <w:rtl/>
          <w:lang w:bidi="ar-EG"/>
        </w:rPr>
        <w:t xml:space="preserve">مكتب الكندي للملكية الفكرية </w:t>
      </w:r>
      <w:proofErr w:type="spellStart"/>
      <w:r w:rsidR="00A33E74">
        <w:rPr>
          <w:lang w:bidi="ar-EG"/>
        </w:rPr>
        <w:t>TechSource</w:t>
      </w:r>
      <w:proofErr w:type="spellEnd"/>
      <w:r w:rsidR="00A33E74">
        <w:rPr>
          <w:rFonts w:hint="cs"/>
          <w:rtl/>
          <w:lang w:bidi="ar-EG"/>
        </w:rPr>
        <w:t xml:space="preserve"> على البيانات البيبليوغرافية الكندية (من سنة</w:t>
      </w:r>
      <w:r>
        <w:rPr>
          <w:rFonts w:hint="eastAsia"/>
          <w:rtl/>
          <w:lang w:bidi="ar-EG"/>
        </w:rPr>
        <w:t> </w:t>
      </w:r>
      <w:r>
        <w:rPr>
          <w:rFonts w:hint="cs"/>
          <w:rtl/>
          <w:lang w:bidi="ar-EG"/>
        </w:rPr>
        <w:t xml:space="preserve">1869 </w:t>
      </w:r>
      <w:r w:rsidR="00A33E74">
        <w:rPr>
          <w:rFonts w:hint="cs"/>
          <w:rtl/>
          <w:lang w:bidi="ar-EG"/>
        </w:rPr>
        <w:t xml:space="preserve">حتى </w:t>
      </w:r>
      <w:r>
        <w:rPr>
          <w:rFonts w:hint="cs"/>
          <w:rtl/>
          <w:lang w:bidi="ar-EG"/>
        </w:rPr>
        <w:t>الآن</w:t>
      </w:r>
      <w:r w:rsidR="00A33E74">
        <w:rPr>
          <w:rFonts w:hint="cs"/>
          <w:rtl/>
          <w:lang w:bidi="ar-EG"/>
        </w:rPr>
        <w:t xml:space="preserve">)، وعلى نصوص (الملخصات والمطالبات والأوصاف الخاصة بالوثائق الكندية المفتوحة الخاصة بالبراءات منذ عام 1978) وصور لوثائق </w:t>
      </w:r>
      <w:r>
        <w:rPr>
          <w:rFonts w:hint="cs"/>
          <w:rtl/>
          <w:lang w:bidi="ar-EG"/>
        </w:rPr>
        <w:t xml:space="preserve">البراءات الكندية (منذ عام 1869 </w:t>
      </w:r>
      <w:r w:rsidR="00A33E74">
        <w:rPr>
          <w:rFonts w:hint="cs"/>
          <w:rtl/>
          <w:lang w:bidi="ar-EG"/>
        </w:rPr>
        <w:t xml:space="preserve">حتى </w:t>
      </w:r>
      <w:r>
        <w:rPr>
          <w:rFonts w:hint="cs"/>
          <w:rtl/>
          <w:lang w:bidi="ar-EG"/>
        </w:rPr>
        <w:t>الآن</w:t>
      </w:r>
      <w:r w:rsidR="00A33E74">
        <w:rPr>
          <w:rFonts w:hint="cs"/>
          <w:rtl/>
          <w:lang w:bidi="ar-EG"/>
        </w:rPr>
        <w:t>).</w:t>
      </w:r>
    </w:p>
    <w:p w:rsidR="00A33E74" w:rsidRDefault="00A33E74" w:rsidP="00A33E74">
      <w:pPr>
        <w:pStyle w:val="NormalParaAR"/>
        <w:rPr>
          <w:rtl/>
          <w:lang w:bidi="ar-EG"/>
        </w:rPr>
      </w:pPr>
      <w:r>
        <w:rPr>
          <w:rFonts w:hint="cs"/>
          <w:rtl/>
          <w:lang w:bidi="ar-EG"/>
        </w:rPr>
        <w:t>ويمكن للفاحصين النفاذ خارجيًا إلى العديد من قواعد البيانات والوسائل المتاحة مجانًا أو باشتراك،</w:t>
      </w:r>
      <w:r w:rsidR="00E72C6A">
        <w:rPr>
          <w:rFonts w:hint="cs"/>
          <w:rtl/>
          <w:lang w:bidi="ar-EG"/>
        </w:rPr>
        <w:t xml:space="preserve"> وفيما يلي قائمة غير حصرية بها:</w:t>
      </w:r>
    </w:p>
    <w:p w:rsidR="0074561A" w:rsidRDefault="0074561A" w:rsidP="00A33E74">
      <w:pPr>
        <w:pStyle w:val="NormalParaAR"/>
        <w:rPr>
          <w:rtl/>
          <w:lang w:bidi="ar-EG"/>
        </w:rPr>
      </w:pPr>
      <w:r>
        <w:rPr>
          <w:rFonts w:hint="cs"/>
          <w:rtl/>
          <w:lang w:bidi="ar-EG"/>
        </w:rPr>
        <w:t xml:space="preserve">الرابطة الدولية </w:t>
      </w:r>
      <w:proofErr w:type="spellStart"/>
      <w:r>
        <w:rPr>
          <w:rFonts w:hint="cs"/>
          <w:rtl/>
          <w:lang w:bidi="ar-EG"/>
        </w:rPr>
        <w:t>لأخصائيي</w:t>
      </w:r>
      <w:proofErr w:type="spellEnd"/>
      <w:r>
        <w:rPr>
          <w:rFonts w:hint="cs"/>
          <w:rtl/>
          <w:lang w:bidi="ar-EG"/>
        </w:rPr>
        <w:t xml:space="preserve"> الإعلام الزراعي</w:t>
      </w:r>
    </w:p>
    <w:p w:rsidR="00B77282" w:rsidRDefault="0074561A" w:rsidP="00B77282">
      <w:pPr>
        <w:pStyle w:val="NormalParaAR"/>
        <w:rPr>
          <w:lang w:bidi="ar-EG"/>
        </w:rPr>
      </w:pPr>
      <w:proofErr w:type="gramStart"/>
      <w:r>
        <w:rPr>
          <w:rFonts w:hint="cs"/>
          <w:rtl/>
          <w:lang w:bidi="ar-EG"/>
        </w:rPr>
        <w:t>الجمعية</w:t>
      </w:r>
      <w:proofErr w:type="gramEnd"/>
      <w:r>
        <w:rPr>
          <w:rFonts w:hint="cs"/>
          <w:rtl/>
          <w:lang w:bidi="ar-EG"/>
        </w:rPr>
        <w:t xml:space="preserve"> الكيميائية الأمريكية</w:t>
      </w:r>
    </w:p>
    <w:p w:rsidR="00B77282" w:rsidRDefault="00E72C6A" w:rsidP="00B77282">
      <w:pPr>
        <w:pStyle w:val="NormalParaAR"/>
        <w:rPr>
          <w:lang w:bidi="ar-EG"/>
        </w:rPr>
      </w:pPr>
      <w:proofErr w:type="gramStart"/>
      <w:r>
        <w:rPr>
          <w:rFonts w:hint="cs"/>
          <w:rtl/>
          <w:lang w:bidi="ar-EG"/>
        </w:rPr>
        <w:t>والدوريات</w:t>
      </w:r>
      <w:proofErr w:type="gramEnd"/>
      <w:r>
        <w:rPr>
          <w:rFonts w:hint="cs"/>
          <w:rtl/>
          <w:lang w:bidi="ar-EG"/>
        </w:rPr>
        <w:t xml:space="preserve"> الإل</w:t>
      </w:r>
      <w:r w:rsidR="00B77282">
        <w:rPr>
          <w:rFonts w:hint="cs"/>
          <w:rtl/>
          <w:lang w:bidi="ar-EG"/>
        </w:rPr>
        <w:t xml:space="preserve">كترونية </w:t>
      </w:r>
      <w:proofErr w:type="spellStart"/>
      <w:r w:rsidR="00B77282">
        <w:rPr>
          <w:lang w:bidi="ar-EG"/>
        </w:rPr>
        <w:t>BioOne</w:t>
      </w:r>
      <w:proofErr w:type="spellEnd"/>
    </w:p>
    <w:p w:rsidR="00B77282" w:rsidRDefault="00B77282" w:rsidP="00B77282">
      <w:pPr>
        <w:pStyle w:val="NormalParaAR"/>
        <w:rPr>
          <w:lang w:bidi="ar-EG"/>
        </w:rPr>
      </w:pPr>
      <w:r>
        <w:rPr>
          <w:lang w:bidi="ar-EG"/>
        </w:rPr>
        <w:t>BIOSIS</w:t>
      </w:r>
    </w:p>
    <w:p w:rsidR="00B77282" w:rsidRDefault="00B77282" w:rsidP="00B77282">
      <w:pPr>
        <w:pStyle w:val="NormalParaAR"/>
        <w:rPr>
          <w:lang w:bidi="ar-EG"/>
        </w:rPr>
      </w:pPr>
      <w:r>
        <w:rPr>
          <w:rFonts w:hint="cs"/>
          <w:rtl/>
          <w:lang w:bidi="ar-EG"/>
        </w:rPr>
        <w:t xml:space="preserve">واجهة </w:t>
      </w:r>
      <w:proofErr w:type="spellStart"/>
      <w:r>
        <w:rPr>
          <w:lang w:bidi="ar-EG"/>
        </w:rPr>
        <w:t>ChEMBL</w:t>
      </w:r>
      <w:proofErr w:type="spellEnd"/>
    </w:p>
    <w:p w:rsidR="00B77282" w:rsidRDefault="00B77282" w:rsidP="00B77282">
      <w:pPr>
        <w:pStyle w:val="NormalParaAR"/>
        <w:rPr>
          <w:lang w:bidi="ar-EG"/>
        </w:rPr>
      </w:pPr>
      <w:proofErr w:type="spellStart"/>
      <w:r>
        <w:rPr>
          <w:lang w:bidi="ar-EG"/>
        </w:rPr>
        <w:t>ChemSpider</w:t>
      </w:r>
      <w:proofErr w:type="spellEnd"/>
    </w:p>
    <w:p w:rsidR="00B77282" w:rsidRDefault="00B77282" w:rsidP="00B77282">
      <w:pPr>
        <w:pStyle w:val="NormalParaAR"/>
        <w:rPr>
          <w:rtl/>
          <w:lang w:bidi="ar-EG"/>
        </w:rPr>
      </w:pPr>
      <w:r>
        <w:rPr>
          <w:rFonts w:hint="cs"/>
          <w:rtl/>
          <w:lang w:bidi="ar-EG"/>
        </w:rPr>
        <w:t>قاعدة البيانات الصينية للطب التقليدي</w:t>
      </w:r>
    </w:p>
    <w:p w:rsidR="00B77282" w:rsidRDefault="00B77282" w:rsidP="00B77282">
      <w:pPr>
        <w:pStyle w:val="NormalParaAR"/>
        <w:rPr>
          <w:rtl/>
          <w:lang w:bidi="ar-EG"/>
        </w:rPr>
      </w:pPr>
      <w:r>
        <w:rPr>
          <w:rFonts w:hint="cs"/>
          <w:rtl/>
          <w:lang w:bidi="ar-EG"/>
        </w:rPr>
        <w:t>مؤشر البراءات العالمي (</w:t>
      </w:r>
      <w:r>
        <w:rPr>
          <w:lang w:bidi="ar-EG"/>
        </w:rPr>
        <w:t>DWPI</w:t>
      </w:r>
      <w:r>
        <w:rPr>
          <w:rFonts w:hint="cs"/>
          <w:rtl/>
          <w:lang w:bidi="ar-EG"/>
        </w:rPr>
        <w:t>)</w:t>
      </w:r>
    </w:p>
    <w:p w:rsidR="00B77282" w:rsidRDefault="00B77282" w:rsidP="00B77282">
      <w:pPr>
        <w:pStyle w:val="NormalParaAR"/>
        <w:rPr>
          <w:lang w:bidi="ar-EG"/>
        </w:rPr>
      </w:pPr>
      <w:r>
        <w:rPr>
          <w:lang w:bidi="ar-EG"/>
        </w:rPr>
        <w:t>EBSCOhost</w:t>
      </w:r>
    </w:p>
    <w:p w:rsidR="00B77282" w:rsidRDefault="00B77282" w:rsidP="00B77282">
      <w:pPr>
        <w:pStyle w:val="NormalParaAR"/>
        <w:rPr>
          <w:lang w:bidi="ar-EG"/>
        </w:rPr>
      </w:pPr>
      <w:r>
        <w:rPr>
          <w:lang w:bidi="ar-EG"/>
        </w:rPr>
        <w:t>Elsevier</w:t>
      </w:r>
    </w:p>
    <w:p w:rsidR="00B77282" w:rsidRDefault="00B77282" w:rsidP="00B77282">
      <w:pPr>
        <w:pStyle w:val="NormalParaAR"/>
        <w:rPr>
          <w:rtl/>
          <w:lang w:bidi="ar-EG"/>
        </w:rPr>
      </w:pPr>
      <w:r w:rsidRPr="00B77282">
        <w:rPr>
          <w:rtl/>
          <w:lang w:bidi="ar-EG"/>
        </w:rPr>
        <w:t>قاعدة بيانات المختبر الأوروبي للبيولوجيا الجزيئية - المعهد الأوروبي للمعلوماتية الحيوية</w:t>
      </w:r>
      <w:r>
        <w:rPr>
          <w:lang w:bidi="ar-EG"/>
        </w:rPr>
        <w:t xml:space="preserve"> </w:t>
      </w:r>
      <w:r>
        <w:rPr>
          <w:rFonts w:hint="cs"/>
          <w:rtl/>
          <w:lang w:bidi="ar-EG"/>
        </w:rPr>
        <w:t>(</w:t>
      </w:r>
      <w:r>
        <w:rPr>
          <w:lang w:bidi="ar-EG"/>
        </w:rPr>
        <w:t>EMBL-EBI</w:t>
      </w:r>
      <w:r>
        <w:rPr>
          <w:rFonts w:hint="cs"/>
          <w:rtl/>
          <w:lang w:bidi="ar-EG"/>
        </w:rPr>
        <w:t>)</w:t>
      </w:r>
    </w:p>
    <w:p w:rsidR="00B77282" w:rsidRDefault="00B77282" w:rsidP="00B77282">
      <w:pPr>
        <w:pStyle w:val="NormalParaAR"/>
        <w:rPr>
          <w:lang w:bidi="ar-EG"/>
        </w:rPr>
      </w:pPr>
      <w:proofErr w:type="spellStart"/>
      <w:r>
        <w:rPr>
          <w:lang w:bidi="ar-EG"/>
        </w:rPr>
        <w:t>Genomequest</w:t>
      </w:r>
      <w:proofErr w:type="spellEnd"/>
    </w:p>
    <w:p w:rsidR="00B77282" w:rsidRDefault="00B77282" w:rsidP="00B77282">
      <w:pPr>
        <w:pStyle w:val="NormalParaAR"/>
        <w:rPr>
          <w:lang w:bidi="ar-EG"/>
        </w:rPr>
      </w:pPr>
      <w:proofErr w:type="spellStart"/>
      <w:r>
        <w:rPr>
          <w:lang w:bidi="ar-EG"/>
        </w:rPr>
        <w:t>IEEEXplore</w:t>
      </w:r>
      <w:proofErr w:type="spellEnd"/>
    </w:p>
    <w:p w:rsidR="00B77282" w:rsidRDefault="00B77282" w:rsidP="00B77282">
      <w:pPr>
        <w:pStyle w:val="NormalParaAR"/>
        <w:rPr>
          <w:rtl/>
          <w:lang w:bidi="ar-EG"/>
        </w:rPr>
      </w:pPr>
      <w:r>
        <w:rPr>
          <w:rFonts w:hint="cs"/>
          <w:rtl/>
          <w:lang w:bidi="ar-EG"/>
        </w:rPr>
        <w:t>قاعدة البيانات الهندية للمعارف التقليدية</w:t>
      </w:r>
    </w:p>
    <w:p w:rsidR="00B77282" w:rsidRDefault="00B77282" w:rsidP="00B77282">
      <w:pPr>
        <w:pStyle w:val="NormalParaAR"/>
        <w:rPr>
          <w:lang w:bidi="ar-EG"/>
        </w:rPr>
      </w:pPr>
      <w:r>
        <w:rPr>
          <w:lang w:bidi="ar-EG"/>
        </w:rPr>
        <w:lastRenderedPageBreak/>
        <w:t>MEDLINE</w:t>
      </w:r>
    </w:p>
    <w:p w:rsidR="00B77282" w:rsidRDefault="00B77282" w:rsidP="00B77282">
      <w:pPr>
        <w:pStyle w:val="NormalParaAR"/>
        <w:rPr>
          <w:lang w:bidi="ar-EG"/>
        </w:rPr>
      </w:pPr>
      <w:r>
        <w:rPr>
          <w:lang w:bidi="ar-EG"/>
        </w:rPr>
        <w:t>JSTORE</w:t>
      </w:r>
    </w:p>
    <w:p w:rsidR="00B77282" w:rsidRDefault="00B77282" w:rsidP="00B77282">
      <w:pPr>
        <w:pStyle w:val="NormalParaAR"/>
        <w:rPr>
          <w:lang w:bidi="ar-EG"/>
        </w:rPr>
      </w:pPr>
      <w:r>
        <w:rPr>
          <w:lang w:bidi="ar-EG"/>
        </w:rPr>
        <w:t>Nature and Nature Biotechnology</w:t>
      </w:r>
    </w:p>
    <w:p w:rsidR="00B77282" w:rsidRDefault="00B77282" w:rsidP="00E72C6A">
      <w:pPr>
        <w:pStyle w:val="NormalParaAR"/>
        <w:rPr>
          <w:lang w:bidi="ar-EG"/>
        </w:rPr>
      </w:pPr>
      <w:r>
        <w:rPr>
          <w:rFonts w:hint="cs"/>
          <w:rtl/>
          <w:lang w:bidi="ar-EG"/>
        </w:rPr>
        <w:t xml:space="preserve">ركن البراءات </w:t>
      </w:r>
      <w:r w:rsidR="00E72C6A">
        <w:rPr>
          <w:rFonts w:hint="cs"/>
          <w:rtl/>
          <w:lang w:bidi="ar-EG"/>
        </w:rPr>
        <w:t>(</w:t>
      </w:r>
      <w:r>
        <w:rPr>
          <w:lang w:bidi="ar-EG"/>
        </w:rPr>
        <w:t>PATENTSCOPE</w:t>
      </w:r>
      <w:r w:rsidR="00E72C6A">
        <w:rPr>
          <w:rFonts w:hint="cs"/>
          <w:rtl/>
          <w:lang w:bidi="ar-EG"/>
        </w:rPr>
        <w:t>)</w:t>
      </w:r>
    </w:p>
    <w:p w:rsidR="00B77282" w:rsidRDefault="00B77282" w:rsidP="00B77282">
      <w:pPr>
        <w:pStyle w:val="NormalParaAR"/>
        <w:rPr>
          <w:lang w:bidi="ar-EG"/>
        </w:rPr>
      </w:pPr>
      <w:proofErr w:type="spellStart"/>
      <w:r>
        <w:rPr>
          <w:lang w:bidi="ar-EG"/>
        </w:rPr>
        <w:t>PubA</w:t>
      </w:r>
      <w:r w:rsidR="001E2B81">
        <w:rPr>
          <w:lang w:bidi="ar-EG"/>
        </w:rPr>
        <w:t>g</w:t>
      </w:r>
      <w:proofErr w:type="spellEnd"/>
    </w:p>
    <w:p w:rsidR="001E2B81" w:rsidRDefault="001E2B81" w:rsidP="00E72C6A">
      <w:pPr>
        <w:pStyle w:val="NormalParaAR"/>
        <w:rPr>
          <w:rtl/>
          <w:lang w:bidi="ar-EG"/>
        </w:rPr>
      </w:pPr>
      <w:r>
        <w:rPr>
          <w:lang w:bidi="ar-EG"/>
        </w:rPr>
        <w:t>PubMed</w:t>
      </w:r>
      <w:r>
        <w:rPr>
          <w:rFonts w:hint="cs"/>
          <w:rtl/>
          <w:lang w:bidi="ar-EG"/>
        </w:rPr>
        <w:t xml:space="preserve"> </w:t>
      </w:r>
      <w:r w:rsidR="00E72C6A">
        <w:rPr>
          <w:rFonts w:hint="cs"/>
          <w:rtl/>
          <w:lang w:bidi="ar-EG"/>
        </w:rPr>
        <w:t>و</w:t>
      </w:r>
      <w:r w:rsidR="00E72C6A" w:rsidRPr="00E72C6A">
        <w:rPr>
          <w:lang w:bidi="ar-EG"/>
        </w:rPr>
        <w:t>PubMed Central Canada</w:t>
      </w:r>
    </w:p>
    <w:p w:rsidR="001E2B81" w:rsidRDefault="001E2B81" w:rsidP="00B77282">
      <w:pPr>
        <w:pStyle w:val="NormalParaAR"/>
        <w:rPr>
          <w:lang w:bidi="ar-EG"/>
        </w:rPr>
      </w:pPr>
      <w:proofErr w:type="spellStart"/>
      <w:r>
        <w:rPr>
          <w:lang w:bidi="ar-EG"/>
        </w:rPr>
        <w:t>Questel</w:t>
      </w:r>
      <w:proofErr w:type="spellEnd"/>
      <w:r>
        <w:rPr>
          <w:lang w:bidi="ar-EG"/>
        </w:rPr>
        <w:t xml:space="preserve"> Orbit</w:t>
      </w:r>
    </w:p>
    <w:p w:rsidR="001E2B81" w:rsidRDefault="001E2B81" w:rsidP="00B77282">
      <w:pPr>
        <w:pStyle w:val="NormalParaAR"/>
        <w:rPr>
          <w:rtl/>
          <w:lang w:bidi="ar-EG"/>
        </w:rPr>
      </w:pPr>
      <w:r w:rsidRPr="001E2B81">
        <w:rPr>
          <w:rtl/>
          <w:lang w:bidi="ar-EG"/>
        </w:rPr>
        <w:t xml:space="preserve">شبكة المعلومات العلمية </w:t>
      </w:r>
      <w:proofErr w:type="gramStart"/>
      <w:r w:rsidRPr="001E2B81">
        <w:rPr>
          <w:rtl/>
          <w:lang w:bidi="ar-EG"/>
        </w:rPr>
        <w:t>والتقنية</w:t>
      </w:r>
      <w:proofErr w:type="gramEnd"/>
      <w:r w:rsidR="00340919">
        <w:rPr>
          <w:rtl/>
          <w:lang w:bidi="ar-EG"/>
        </w:rPr>
        <w:t xml:space="preserve"> </w:t>
      </w:r>
      <w:r>
        <w:rPr>
          <w:rFonts w:hint="cs"/>
          <w:rtl/>
          <w:lang w:bidi="ar-EG"/>
        </w:rPr>
        <w:t>(</w:t>
      </w:r>
      <w:r>
        <w:rPr>
          <w:lang w:bidi="ar-EG"/>
        </w:rPr>
        <w:t>STN</w:t>
      </w:r>
      <w:r>
        <w:rPr>
          <w:rFonts w:hint="cs"/>
          <w:rtl/>
          <w:lang w:bidi="ar-EG"/>
        </w:rPr>
        <w:t>)</w:t>
      </w:r>
    </w:p>
    <w:p w:rsidR="001E2B81" w:rsidRDefault="001E2B81" w:rsidP="00B77282">
      <w:pPr>
        <w:pStyle w:val="NormalParaAR"/>
        <w:rPr>
          <w:lang w:bidi="ar-EG"/>
        </w:rPr>
      </w:pPr>
      <w:proofErr w:type="spellStart"/>
      <w:r>
        <w:rPr>
          <w:lang w:bidi="ar-EG"/>
        </w:rPr>
        <w:t>ScienceDirect</w:t>
      </w:r>
      <w:proofErr w:type="spellEnd"/>
    </w:p>
    <w:p w:rsidR="001E2B81" w:rsidRDefault="001E2B81" w:rsidP="00B77282">
      <w:pPr>
        <w:pStyle w:val="NormalParaAR"/>
        <w:rPr>
          <w:lang w:bidi="ar-EG"/>
        </w:rPr>
      </w:pPr>
      <w:r>
        <w:rPr>
          <w:lang w:bidi="ar-EG"/>
        </w:rPr>
        <w:t>Scientific American</w:t>
      </w:r>
    </w:p>
    <w:p w:rsidR="001E2B81" w:rsidRDefault="001E2B81" w:rsidP="00B77282">
      <w:pPr>
        <w:pStyle w:val="NormalParaAR"/>
        <w:rPr>
          <w:lang w:bidi="ar-EG"/>
        </w:rPr>
      </w:pPr>
      <w:r>
        <w:rPr>
          <w:lang w:bidi="ar-EG"/>
        </w:rPr>
        <w:t xml:space="preserve">Springer </w:t>
      </w:r>
    </w:p>
    <w:p w:rsidR="001E2B81" w:rsidRDefault="001E2B81" w:rsidP="00B77282">
      <w:pPr>
        <w:pStyle w:val="NormalParaAR"/>
        <w:rPr>
          <w:lang w:bidi="ar-EG"/>
        </w:rPr>
      </w:pPr>
      <w:r>
        <w:rPr>
          <w:lang w:bidi="ar-EG"/>
        </w:rPr>
        <w:t>Wiley Online Library</w:t>
      </w:r>
    </w:p>
    <w:p w:rsidR="001E2B81" w:rsidRDefault="001E2B81" w:rsidP="00B77282">
      <w:pPr>
        <w:pStyle w:val="NormalParaAR"/>
        <w:rPr>
          <w:rtl/>
          <w:lang w:bidi="ar-EG"/>
        </w:rPr>
      </w:pPr>
      <w:r w:rsidRPr="001E2B81">
        <w:rPr>
          <w:rtl/>
          <w:lang w:bidi="ar-EG"/>
        </w:rPr>
        <w:t xml:space="preserve">نظام </w:t>
      </w:r>
      <w:proofErr w:type="spellStart"/>
      <w:r w:rsidRPr="001E2B81">
        <w:rPr>
          <w:rtl/>
          <w:lang w:bidi="ar-EG"/>
        </w:rPr>
        <w:t>الويبو</w:t>
      </w:r>
      <w:proofErr w:type="spellEnd"/>
      <w:r w:rsidRPr="001E2B81">
        <w:rPr>
          <w:rtl/>
          <w:lang w:bidi="ar-EG"/>
        </w:rPr>
        <w:t xml:space="preserve"> للنفاذ المركزي إلى نتائج البحث والفحص</w:t>
      </w:r>
      <w:r w:rsidR="00340919">
        <w:rPr>
          <w:rtl/>
          <w:lang w:bidi="ar-EG"/>
        </w:rPr>
        <w:t xml:space="preserve"> </w:t>
      </w:r>
      <w:r>
        <w:rPr>
          <w:rFonts w:hint="cs"/>
          <w:rtl/>
          <w:lang w:bidi="ar-EG"/>
        </w:rPr>
        <w:t>(</w:t>
      </w:r>
      <w:r>
        <w:rPr>
          <w:lang w:bidi="ar-EG"/>
        </w:rPr>
        <w:t>WIPO CASE</w:t>
      </w:r>
      <w:r>
        <w:rPr>
          <w:rFonts w:hint="cs"/>
          <w:rtl/>
          <w:lang w:bidi="ar-EG"/>
        </w:rPr>
        <w:t>)</w:t>
      </w:r>
    </w:p>
    <w:p w:rsidR="001E2B81" w:rsidRDefault="001E2B81" w:rsidP="00B77282">
      <w:pPr>
        <w:pStyle w:val="NormalParaAR"/>
        <w:rPr>
          <w:rtl/>
          <w:lang w:bidi="ar-EG"/>
        </w:rPr>
      </w:pPr>
      <w:r>
        <w:rPr>
          <w:rFonts w:hint="cs"/>
          <w:rtl/>
          <w:lang w:bidi="ar-EG"/>
        </w:rPr>
        <w:t>معلومات البراءات العالمية (</w:t>
      </w:r>
      <w:r>
        <w:rPr>
          <w:lang w:bidi="ar-EG"/>
        </w:rPr>
        <w:t>WPI</w:t>
      </w:r>
      <w:r>
        <w:rPr>
          <w:rFonts w:hint="cs"/>
          <w:rtl/>
          <w:lang w:bidi="ar-EG"/>
        </w:rPr>
        <w:t>)</w:t>
      </w:r>
    </w:p>
    <w:p w:rsidR="001E2B81" w:rsidRDefault="001E2B81" w:rsidP="00B77282">
      <w:pPr>
        <w:pStyle w:val="NormalParaAR"/>
        <w:rPr>
          <w:rtl/>
          <w:lang w:bidi="ar-EG"/>
        </w:rPr>
      </w:pPr>
      <w:r>
        <w:rPr>
          <w:rFonts w:hint="cs"/>
          <w:rtl/>
          <w:lang w:bidi="ar-EG"/>
        </w:rPr>
        <w:t>والعديد من قواعد البيانات الخاصة بمكاتب بعينها تتعلق بالطلبات الوطنية (مثل: أستراليا واليابان والولايات المتحدة الأمريكية وفرنسا وكوريا وتركيا والمكتب الأوروبي للبراءات والدنمارك من بين مكاتب أخرى)</w:t>
      </w:r>
    </w:p>
    <w:p w:rsidR="00D809AE" w:rsidRDefault="00D809AE" w:rsidP="00E72C6A">
      <w:pPr>
        <w:pStyle w:val="NormalParaAR"/>
        <w:rPr>
          <w:rtl/>
          <w:lang w:bidi="ar-EG"/>
        </w:rPr>
      </w:pPr>
      <w:r>
        <w:rPr>
          <w:rFonts w:hint="cs"/>
          <w:rtl/>
          <w:lang w:bidi="ar-EG"/>
        </w:rPr>
        <w:t xml:space="preserve">وعدد من </w:t>
      </w:r>
      <w:r w:rsidRPr="00D809AE">
        <w:rPr>
          <w:rtl/>
          <w:lang w:bidi="ar-EG"/>
        </w:rPr>
        <w:t xml:space="preserve">قواعد البيانات بشأن الوثائق </w:t>
      </w:r>
      <w:r w:rsidR="00E72C6A">
        <w:rPr>
          <w:rFonts w:hint="cs"/>
          <w:rtl/>
          <w:lang w:bidi="ar-EG"/>
        </w:rPr>
        <w:t>بخلاف</w:t>
      </w:r>
      <w:r w:rsidRPr="00D809AE">
        <w:rPr>
          <w:rtl/>
          <w:lang w:bidi="ar-EG"/>
        </w:rPr>
        <w:t xml:space="preserve"> البراءات</w:t>
      </w:r>
      <w:r>
        <w:rPr>
          <w:rFonts w:hint="cs"/>
          <w:rtl/>
          <w:lang w:bidi="ar-EG"/>
        </w:rPr>
        <w:t xml:space="preserve"> التي يمكن النفاذ إليها مباشرة وفقا للقسم 4.2 من </w:t>
      </w:r>
      <w:r w:rsidR="00D50AB1">
        <w:rPr>
          <w:rFonts w:hint="cs"/>
          <w:rtl/>
          <w:lang w:bidi="ar-EG"/>
        </w:rPr>
        <w:t>"</w:t>
      </w:r>
      <w:r>
        <w:rPr>
          <w:rFonts w:hint="cs"/>
          <w:rtl/>
          <w:lang w:bidi="ar-EG"/>
        </w:rPr>
        <w:t>دليل</w:t>
      </w:r>
      <w:r w:rsidRPr="00D809AE">
        <w:rPr>
          <w:rtl/>
          <w:lang w:bidi="ar-EG"/>
        </w:rPr>
        <w:t xml:space="preserve"> </w:t>
      </w:r>
      <w:proofErr w:type="spellStart"/>
      <w:r w:rsidRPr="00D809AE">
        <w:rPr>
          <w:rtl/>
          <w:lang w:bidi="ar-EG"/>
        </w:rPr>
        <w:t>الويبو</w:t>
      </w:r>
      <w:proofErr w:type="spellEnd"/>
      <w:r w:rsidRPr="00D809AE">
        <w:rPr>
          <w:rtl/>
          <w:lang w:bidi="ar-EG"/>
        </w:rPr>
        <w:t xml:space="preserve"> بشأن المعلومات والوثائق المتعلقة بالملكية الصناعية</w:t>
      </w:r>
      <w:r w:rsidR="00D50AB1">
        <w:rPr>
          <w:rFonts w:hint="cs"/>
          <w:rtl/>
          <w:lang w:bidi="ar-EG"/>
        </w:rPr>
        <w:t xml:space="preserve">" </w:t>
      </w:r>
      <w:r>
        <w:rPr>
          <w:rFonts w:hint="cs"/>
          <w:rtl/>
          <w:lang w:bidi="ar-EG"/>
        </w:rPr>
        <w:t>(مثل المطبوعات الآتية:</w:t>
      </w:r>
      <w:r w:rsidR="00D50AB1">
        <w:rPr>
          <w:rtl/>
          <w:lang w:bidi="ar-EG"/>
        </w:rPr>
        <w:br/>
      </w:r>
      <w:r>
        <w:rPr>
          <w:rFonts w:hint="cs"/>
          <w:rtl/>
          <w:lang w:bidi="ar-EG"/>
        </w:rPr>
        <w:t xml:space="preserve"> </w:t>
      </w:r>
      <w:r>
        <w:rPr>
          <w:lang w:bidi="ar-EG"/>
        </w:rPr>
        <w:t>Science, Playthings, Bioscience, Biotechnology and Biochemistry</w:t>
      </w:r>
      <w:r>
        <w:rPr>
          <w:rFonts w:hint="cs"/>
          <w:rtl/>
          <w:lang w:bidi="ar-EG"/>
        </w:rPr>
        <w:t>)</w:t>
      </w:r>
      <w:r w:rsidR="00D50AB1">
        <w:rPr>
          <w:rFonts w:hint="cs"/>
          <w:rtl/>
          <w:lang w:bidi="ar-EG"/>
        </w:rPr>
        <w:t>.</w:t>
      </w:r>
    </w:p>
    <w:p w:rsidR="00D809AE" w:rsidRDefault="00D809AE" w:rsidP="00D50AB1">
      <w:pPr>
        <w:pStyle w:val="NormalParaAR"/>
        <w:rPr>
          <w:rtl/>
          <w:lang w:bidi="ar-EG"/>
        </w:rPr>
      </w:pPr>
      <w:r>
        <w:rPr>
          <w:rFonts w:hint="cs"/>
          <w:rtl/>
          <w:lang w:bidi="ar-EG"/>
        </w:rPr>
        <w:t>ويمتلك المكتب الكندي للملكية الفكرية مكتبة داخلية (أداة الاكتشاف المتاحة من خلال المكتبة) تتيح للفاحصين فرصة النفاذ إلى مقالات كاملة من مصادر متعددة أو طلب المقالات على وجه السرعة.</w:t>
      </w:r>
    </w:p>
    <w:p w:rsidR="00D809AE" w:rsidRDefault="00D50AB1" w:rsidP="00FA2AF3">
      <w:pPr>
        <w:pStyle w:val="NormalParaAR"/>
        <w:rPr>
          <w:rtl/>
          <w:lang w:bidi="ar-EG"/>
        </w:rPr>
      </w:pPr>
      <w:r>
        <w:rPr>
          <w:rFonts w:hint="cs"/>
          <w:rtl/>
          <w:lang w:bidi="ar-EG"/>
        </w:rPr>
        <w:t>ولدى المكتب الكندي صفحة إل</w:t>
      </w:r>
      <w:r w:rsidR="00D809AE">
        <w:rPr>
          <w:rFonts w:hint="cs"/>
          <w:rtl/>
          <w:lang w:bidi="ar-EG"/>
        </w:rPr>
        <w:t>كترونية داخلية وموقع ويكي يمكن للفاحصين من خلالهما نشر مواقع تهم العاملين في مجال البحث. وأس</w:t>
      </w:r>
      <w:r>
        <w:rPr>
          <w:rFonts w:hint="cs"/>
          <w:rtl/>
          <w:lang w:bidi="ar-EG"/>
        </w:rPr>
        <w:t>ّ</w:t>
      </w:r>
      <w:r w:rsidR="00D809AE">
        <w:rPr>
          <w:rFonts w:hint="cs"/>
          <w:rtl/>
          <w:lang w:bidi="ar-EG"/>
        </w:rPr>
        <w:t xml:space="preserve">س المكتب الكندي للملكية الفكرية كذلك "حلقة عمل للتعاون في مجال البحث"، في كل </w:t>
      </w:r>
      <w:r w:rsidR="00FA2AF3">
        <w:rPr>
          <w:rFonts w:hint="cs"/>
          <w:rtl/>
          <w:lang w:bidi="ar-EG"/>
        </w:rPr>
        <w:t>شعبة</w:t>
      </w:r>
      <w:r w:rsidR="00D809AE">
        <w:rPr>
          <w:rFonts w:hint="cs"/>
          <w:rtl/>
          <w:lang w:bidi="ar-EG"/>
        </w:rPr>
        <w:t xml:space="preserve"> من </w:t>
      </w:r>
      <w:r w:rsidR="00FA2AF3">
        <w:rPr>
          <w:rFonts w:hint="cs"/>
          <w:rtl/>
          <w:lang w:bidi="ar-EG"/>
        </w:rPr>
        <w:t>شعبه</w:t>
      </w:r>
      <w:r w:rsidR="00D809AE">
        <w:rPr>
          <w:rFonts w:hint="cs"/>
          <w:rtl/>
          <w:lang w:bidi="ar-EG"/>
        </w:rPr>
        <w:t>، تضم وتنشر الممارسات الفضلى في مجال البحث.</w:t>
      </w:r>
    </w:p>
    <w:p w:rsidR="00D809AE" w:rsidRPr="00047CD5" w:rsidRDefault="00D809AE" w:rsidP="00047CD5">
      <w:pPr>
        <w:pStyle w:val="NormalParaAR"/>
        <w:rPr>
          <w:b/>
          <w:bCs/>
          <w:i/>
          <w:iCs/>
          <w:rtl/>
          <w:lang w:bidi="ar-EG"/>
        </w:rPr>
      </w:pPr>
      <w:r w:rsidRPr="00047CD5">
        <w:rPr>
          <w:rFonts w:hint="cs"/>
          <w:b/>
          <w:bCs/>
          <w:i/>
          <w:iCs/>
          <w:rtl/>
          <w:lang w:bidi="ar-EG"/>
        </w:rPr>
        <w:lastRenderedPageBreak/>
        <w:t xml:space="preserve">القاعدتان </w:t>
      </w:r>
      <w:r w:rsidR="00047CD5" w:rsidRPr="00047CD5">
        <w:rPr>
          <w:rFonts w:hint="cs"/>
          <w:b/>
          <w:bCs/>
          <w:i/>
          <w:iCs/>
          <w:rtl/>
          <w:lang w:bidi="ar-EG"/>
        </w:rPr>
        <w:t>1.36</w:t>
      </w:r>
      <w:r w:rsidRPr="00047CD5">
        <w:rPr>
          <w:rFonts w:hint="cs"/>
          <w:b/>
          <w:bCs/>
          <w:i/>
          <w:iCs/>
          <w:rtl/>
          <w:lang w:bidi="ar-EG"/>
        </w:rPr>
        <w:t xml:space="preserve"> </w:t>
      </w:r>
      <w:r w:rsidR="00047CD5" w:rsidRPr="00047CD5">
        <w:rPr>
          <w:rFonts w:hint="cs"/>
          <w:b/>
          <w:bCs/>
          <w:i/>
          <w:iCs/>
          <w:rtl/>
          <w:lang w:bidi="ar-EG"/>
        </w:rPr>
        <w:t>"3"</w:t>
      </w:r>
      <w:r w:rsidRPr="00047CD5">
        <w:rPr>
          <w:rFonts w:hint="cs"/>
          <w:b/>
          <w:bCs/>
          <w:i/>
          <w:iCs/>
          <w:rtl/>
          <w:lang w:bidi="ar-EG"/>
        </w:rPr>
        <w:t xml:space="preserve"> </w:t>
      </w:r>
      <w:r w:rsidR="00047CD5" w:rsidRPr="00047CD5">
        <w:rPr>
          <w:rFonts w:hint="cs"/>
          <w:b/>
          <w:bCs/>
          <w:i/>
          <w:iCs/>
          <w:rtl/>
          <w:lang w:bidi="ar-EG"/>
        </w:rPr>
        <w:t>و1.63</w:t>
      </w:r>
      <w:r w:rsidRPr="00047CD5">
        <w:rPr>
          <w:rFonts w:hint="cs"/>
          <w:b/>
          <w:bCs/>
          <w:i/>
          <w:iCs/>
          <w:rtl/>
          <w:lang w:bidi="ar-EG"/>
        </w:rPr>
        <w:t xml:space="preserve"> </w:t>
      </w:r>
      <w:r w:rsidR="00047CD5" w:rsidRPr="00047CD5">
        <w:rPr>
          <w:rFonts w:hint="cs"/>
          <w:b/>
          <w:bCs/>
          <w:i/>
          <w:iCs/>
          <w:rtl/>
          <w:lang w:bidi="ar-EG"/>
        </w:rPr>
        <w:t>"3"</w:t>
      </w:r>
      <w:r w:rsidRPr="00047CD5">
        <w:rPr>
          <w:rFonts w:hint="cs"/>
          <w:b/>
          <w:bCs/>
          <w:i/>
          <w:iCs/>
          <w:rtl/>
          <w:lang w:bidi="ar-EG"/>
        </w:rPr>
        <w:t xml:space="preserve">: </w:t>
      </w:r>
      <w:proofErr w:type="gramStart"/>
      <w:r w:rsidRPr="00047CD5">
        <w:rPr>
          <w:b/>
          <w:bCs/>
          <w:i/>
          <w:iCs/>
          <w:rtl/>
          <w:lang w:bidi="ar-EG"/>
        </w:rPr>
        <w:t>يجب</w:t>
      </w:r>
      <w:proofErr w:type="gramEnd"/>
      <w:r w:rsidRPr="00047CD5">
        <w:rPr>
          <w:b/>
          <w:bCs/>
          <w:i/>
          <w:iCs/>
          <w:rtl/>
          <w:lang w:bidi="ar-EG"/>
        </w:rPr>
        <w:t xml:space="preserve"> أن يكون تحت تصرف المكتب الوطني أو المنظمة الحكومية الدولية موظفون قادرون على البحث في المجالات التقنية المطلوب بحثها، وملمون باللغات الضرورية على الأقل لفهم اللغات المحرر بها أو المترجم إليها الحد الأدنى لمجموعة الوثائق المشار إليها في القاعدة 34</w:t>
      </w:r>
      <w:r w:rsidR="00047CD5" w:rsidRPr="00047CD5">
        <w:rPr>
          <w:rFonts w:hint="cs"/>
          <w:b/>
          <w:bCs/>
          <w:i/>
          <w:iCs/>
          <w:rtl/>
          <w:lang w:bidi="ar-EG"/>
        </w:rPr>
        <w:t>.</w:t>
      </w:r>
    </w:p>
    <w:p w:rsidR="000B274C" w:rsidRDefault="00047CD5" w:rsidP="00047CD5">
      <w:pPr>
        <w:pStyle w:val="NormalParaAR"/>
        <w:keepNext/>
        <w:rPr>
          <w:b/>
          <w:bCs/>
          <w:rtl/>
          <w:lang w:bidi="ar-EG"/>
        </w:rPr>
      </w:pPr>
      <w:r>
        <w:rPr>
          <w:rFonts w:hint="cs"/>
          <w:b/>
          <w:bCs/>
          <w:rtl/>
          <w:lang w:bidi="ar-EG"/>
        </w:rPr>
        <w:t>ا</w:t>
      </w:r>
      <w:r w:rsidR="000B274C" w:rsidRPr="000B274C">
        <w:rPr>
          <w:b/>
          <w:bCs/>
          <w:rtl/>
          <w:lang w:bidi="ar-EG"/>
        </w:rPr>
        <w:t xml:space="preserve">للغة(اللغات) التي يمكن بها إيداع الطلبات الوطنية </w:t>
      </w:r>
      <w:proofErr w:type="gramStart"/>
      <w:r w:rsidR="000B274C" w:rsidRPr="000B274C">
        <w:rPr>
          <w:b/>
          <w:bCs/>
          <w:rtl/>
          <w:lang w:bidi="ar-EG"/>
        </w:rPr>
        <w:t>ومعالجتها</w:t>
      </w:r>
      <w:proofErr w:type="gramEnd"/>
      <w:r w:rsidR="000B274C" w:rsidRPr="000B274C">
        <w:rPr>
          <w:b/>
          <w:bCs/>
          <w:rtl/>
          <w:lang w:bidi="ar-EG"/>
        </w:rPr>
        <w:t>:</w:t>
      </w:r>
    </w:p>
    <w:p w:rsidR="000B274C" w:rsidRDefault="000B274C" w:rsidP="00D809AE">
      <w:pPr>
        <w:pStyle w:val="NormalParaAR"/>
        <w:rPr>
          <w:rtl/>
          <w:lang w:bidi="ar-EG"/>
        </w:rPr>
      </w:pPr>
      <w:r>
        <w:rPr>
          <w:rFonts w:hint="cs"/>
          <w:rtl/>
          <w:lang w:bidi="ar-EG"/>
        </w:rPr>
        <w:t>يجوز إيداع الطلبات الدولية لدى</w:t>
      </w:r>
      <w:r w:rsidR="00047CD5">
        <w:rPr>
          <w:rFonts w:hint="cs"/>
          <w:rtl/>
          <w:lang w:bidi="ar-EG"/>
        </w:rPr>
        <w:t xml:space="preserve"> المكتب الكندي للملكية الفكرية باعتباره </w:t>
      </w:r>
      <w:r>
        <w:rPr>
          <w:rFonts w:hint="cs"/>
          <w:rtl/>
          <w:lang w:bidi="ar-EG"/>
        </w:rPr>
        <w:t>إد</w:t>
      </w:r>
      <w:r w:rsidR="00047CD5">
        <w:rPr>
          <w:rFonts w:hint="cs"/>
          <w:rtl/>
          <w:lang w:bidi="ar-EG"/>
        </w:rPr>
        <w:t>ار</w:t>
      </w:r>
      <w:r>
        <w:rPr>
          <w:rFonts w:hint="cs"/>
          <w:rtl/>
          <w:lang w:bidi="ar-EG"/>
        </w:rPr>
        <w:t xml:space="preserve">ة دولية </w:t>
      </w:r>
      <w:proofErr w:type="gramStart"/>
      <w:r>
        <w:rPr>
          <w:rFonts w:hint="cs"/>
          <w:rtl/>
          <w:lang w:bidi="ar-EG"/>
        </w:rPr>
        <w:t>إما</w:t>
      </w:r>
      <w:proofErr w:type="gramEnd"/>
      <w:r>
        <w:rPr>
          <w:rFonts w:hint="cs"/>
          <w:rtl/>
          <w:lang w:bidi="ar-EG"/>
        </w:rPr>
        <w:t xml:space="preserve"> باللغة الإنكليزية أو اللغة الفرنسية.</w:t>
      </w:r>
    </w:p>
    <w:p w:rsidR="000B274C" w:rsidRDefault="000B274C" w:rsidP="00047CD5">
      <w:pPr>
        <w:pStyle w:val="NormalParaAR"/>
        <w:keepNext/>
        <w:rPr>
          <w:b/>
          <w:bCs/>
          <w:rtl/>
          <w:lang w:bidi="ar-EG"/>
        </w:rPr>
      </w:pPr>
      <w:r w:rsidRPr="000B274C">
        <w:rPr>
          <w:b/>
          <w:bCs/>
          <w:rtl/>
          <w:lang w:bidi="ar-EG"/>
        </w:rPr>
        <w:t xml:space="preserve">اللغات الأخرى التي يتقنها </w:t>
      </w:r>
      <w:proofErr w:type="gramStart"/>
      <w:r w:rsidRPr="000B274C">
        <w:rPr>
          <w:b/>
          <w:bCs/>
          <w:rtl/>
          <w:lang w:bidi="ar-EG"/>
        </w:rPr>
        <w:t>عدد</w:t>
      </w:r>
      <w:proofErr w:type="gramEnd"/>
      <w:r w:rsidRPr="000B274C">
        <w:rPr>
          <w:b/>
          <w:bCs/>
          <w:rtl/>
          <w:lang w:bidi="ar-EG"/>
        </w:rPr>
        <w:t xml:space="preserve"> كبير من الفاحصين:</w:t>
      </w:r>
    </w:p>
    <w:p w:rsidR="000B274C" w:rsidRDefault="000B274C" w:rsidP="00047CD5">
      <w:pPr>
        <w:pStyle w:val="NormalParaAR"/>
        <w:rPr>
          <w:rtl/>
          <w:lang w:bidi="ar-EG"/>
        </w:rPr>
      </w:pPr>
      <w:r>
        <w:rPr>
          <w:rFonts w:hint="cs"/>
          <w:rtl/>
          <w:lang w:bidi="ar-EG"/>
        </w:rPr>
        <w:t>لدى الم</w:t>
      </w:r>
      <w:r w:rsidR="00047CD5">
        <w:rPr>
          <w:rFonts w:hint="cs"/>
          <w:rtl/>
          <w:lang w:bidi="ar-EG"/>
        </w:rPr>
        <w:t xml:space="preserve">كتب الكندي للملكية الفكرية </w:t>
      </w:r>
      <w:proofErr w:type="gramStart"/>
      <w:r w:rsidR="00047CD5">
        <w:rPr>
          <w:rFonts w:hint="cs"/>
          <w:rtl/>
          <w:lang w:bidi="ar-EG"/>
        </w:rPr>
        <w:t>فاحصو</w:t>
      </w:r>
      <w:r>
        <w:rPr>
          <w:rFonts w:hint="cs"/>
          <w:rtl/>
          <w:lang w:bidi="ar-EG"/>
        </w:rPr>
        <w:t>ن</w:t>
      </w:r>
      <w:proofErr w:type="gramEnd"/>
      <w:r>
        <w:rPr>
          <w:rFonts w:hint="cs"/>
          <w:rtl/>
          <w:lang w:bidi="ar-EG"/>
        </w:rPr>
        <w:t xml:space="preserve"> </w:t>
      </w:r>
      <w:r w:rsidR="00047CD5">
        <w:rPr>
          <w:rFonts w:hint="cs"/>
          <w:rtl/>
          <w:lang w:bidi="ar-EG"/>
        </w:rPr>
        <w:t>يتقنون</w:t>
      </w:r>
      <w:r>
        <w:rPr>
          <w:rFonts w:hint="cs"/>
          <w:rtl/>
          <w:lang w:bidi="ar-EG"/>
        </w:rPr>
        <w:t xml:space="preserve"> اللغات </w:t>
      </w:r>
      <w:r w:rsidR="00047CD5">
        <w:rPr>
          <w:rFonts w:hint="cs"/>
          <w:rtl/>
          <w:lang w:bidi="ar-EG"/>
        </w:rPr>
        <w:t>التالية</w:t>
      </w:r>
      <w:r>
        <w:rPr>
          <w:rFonts w:hint="cs"/>
          <w:rtl/>
          <w:lang w:bidi="ar-EG"/>
        </w:rPr>
        <w:t xml:space="preserve">: </w:t>
      </w:r>
    </w:p>
    <w:p w:rsidR="000B274C" w:rsidRDefault="000B274C" w:rsidP="000B274C">
      <w:pPr>
        <w:pStyle w:val="NormalParaAR"/>
        <w:numPr>
          <w:ilvl w:val="0"/>
          <w:numId w:val="24"/>
        </w:numPr>
        <w:rPr>
          <w:lang w:bidi="ar-EG"/>
        </w:rPr>
      </w:pPr>
      <w:r>
        <w:rPr>
          <w:rFonts w:hint="cs"/>
          <w:rtl/>
          <w:lang w:bidi="ar-EG"/>
        </w:rPr>
        <w:t>العربية (3)</w:t>
      </w:r>
    </w:p>
    <w:p w:rsidR="000B274C" w:rsidRDefault="000B274C" w:rsidP="000B274C">
      <w:pPr>
        <w:pStyle w:val="NormalParaAR"/>
        <w:numPr>
          <w:ilvl w:val="0"/>
          <w:numId w:val="24"/>
        </w:numPr>
        <w:rPr>
          <w:lang w:bidi="ar-EG"/>
        </w:rPr>
      </w:pPr>
      <w:r>
        <w:rPr>
          <w:rFonts w:hint="cs"/>
          <w:rtl/>
          <w:lang w:bidi="ar-EG"/>
        </w:rPr>
        <w:t>البوسنية (4)</w:t>
      </w:r>
    </w:p>
    <w:p w:rsidR="000B274C" w:rsidRDefault="000B274C" w:rsidP="00047CD5">
      <w:pPr>
        <w:pStyle w:val="NormalParaAR"/>
        <w:numPr>
          <w:ilvl w:val="0"/>
          <w:numId w:val="24"/>
        </w:numPr>
        <w:rPr>
          <w:lang w:bidi="ar-EG"/>
        </w:rPr>
      </w:pPr>
      <w:r>
        <w:rPr>
          <w:rFonts w:hint="cs"/>
          <w:rtl/>
          <w:lang w:bidi="ar-EG"/>
        </w:rPr>
        <w:t>الصينية (</w:t>
      </w:r>
      <w:r w:rsidR="00047CD5">
        <w:rPr>
          <w:rFonts w:hint="cs"/>
          <w:rtl/>
          <w:lang w:bidi="ar-EG"/>
        </w:rPr>
        <w:t>11</w:t>
      </w:r>
      <w:r>
        <w:rPr>
          <w:rFonts w:hint="cs"/>
          <w:rtl/>
          <w:lang w:bidi="ar-EG"/>
        </w:rPr>
        <w:t>)</w:t>
      </w:r>
    </w:p>
    <w:p w:rsidR="000B274C" w:rsidRDefault="000B274C" w:rsidP="000B274C">
      <w:pPr>
        <w:pStyle w:val="NormalParaAR"/>
        <w:numPr>
          <w:ilvl w:val="0"/>
          <w:numId w:val="24"/>
        </w:numPr>
        <w:rPr>
          <w:lang w:bidi="ar-EG"/>
        </w:rPr>
      </w:pPr>
      <w:r>
        <w:rPr>
          <w:rFonts w:hint="cs"/>
          <w:rtl/>
          <w:lang w:bidi="ar-EG"/>
        </w:rPr>
        <w:t>الكرواتية (4)</w:t>
      </w:r>
    </w:p>
    <w:p w:rsidR="000B274C" w:rsidRDefault="000B274C" w:rsidP="000B274C">
      <w:pPr>
        <w:pStyle w:val="NormalParaAR"/>
        <w:numPr>
          <w:ilvl w:val="0"/>
          <w:numId w:val="24"/>
        </w:numPr>
        <w:rPr>
          <w:lang w:bidi="ar-EG"/>
        </w:rPr>
      </w:pPr>
      <w:r>
        <w:rPr>
          <w:rFonts w:hint="cs"/>
          <w:rtl/>
          <w:lang w:bidi="ar-EG"/>
        </w:rPr>
        <w:t xml:space="preserve">الهولندية / </w:t>
      </w:r>
      <w:proofErr w:type="spellStart"/>
      <w:r>
        <w:rPr>
          <w:rFonts w:hint="cs"/>
          <w:rtl/>
          <w:lang w:bidi="ar-EG"/>
        </w:rPr>
        <w:t>الفلمندية</w:t>
      </w:r>
      <w:proofErr w:type="spellEnd"/>
      <w:r>
        <w:rPr>
          <w:rFonts w:hint="cs"/>
          <w:rtl/>
          <w:lang w:bidi="ar-EG"/>
        </w:rPr>
        <w:t xml:space="preserve"> (1)</w:t>
      </w:r>
    </w:p>
    <w:p w:rsidR="000B274C" w:rsidRDefault="000B274C" w:rsidP="000B274C">
      <w:pPr>
        <w:pStyle w:val="NormalParaAR"/>
        <w:numPr>
          <w:ilvl w:val="0"/>
          <w:numId w:val="24"/>
        </w:numPr>
        <w:rPr>
          <w:lang w:bidi="ar-EG"/>
        </w:rPr>
      </w:pPr>
      <w:r>
        <w:rPr>
          <w:rFonts w:hint="cs"/>
          <w:rtl/>
          <w:lang w:bidi="ar-EG"/>
        </w:rPr>
        <w:t>الألمانية (4)</w:t>
      </w:r>
    </w:p>
    <w:p w:rsidR="000B274C" w:rsidRDefault="000B274C" w:rsidP="000B274C">
      <w:pPr>
        <w:pStyle w:val="NormalParaAR"/>
        <w:numPr>
          <w:ilvl w:val="0"/>
          <w:numId w:val="24"/>
        </w:numPr>
        <w:rPr>
          <w:lang w:bidi="ar-EG"/>
        </w:rPr>
      </w:pPr>
      <w:r>
        <w:rPr>
          <w:rFonts w:hint="cs"/>
          <w:rtl/>
          <w:lang w:bidi="ar-EG"/>
        </w:rPr>
        <w:t>اليونانية (1)</w:t>
      </w:r>
    </w:p>
    <w:p w:rsidR="000B274C" w:rsidRDefault="000B274C" w:rsidP="00047CD5">
      <w:pPr>
        <w:pStyle w:val="NormalParaAR"/>
        <w:numPr>
          <w:ilvl w:val="0"/>
          <w:numId w:val="24"/>
        </w:numPr>
        <w:rPr>
          <w:lang w:bidi="ar-EG"/>
        </w:rPr>
      </w:pPr>
      <w:r>
        <w:rPr>
          <w:rFonts w:hint="cs"/>
          <w:rtl/>
          <w:lang w:bidi="ar-EG"/>
        </w:rPr>
        <w:t>الهندية (</w:t>
      </w:r>
      <w:r w:rsidR="00047CD5">
        <w:rPr>
          <w:rFonts w:hint="cs"/>
          <w:rtl/>
          <w:lang w:bidi="ar-EG"/>
        </w:rPr>
        <w:t>3</w:t>
      </w:r>
      <w:r>
        <w:rPr>
          <w:rFonts w:hint="cs"/>
          <w:rtl/>
          <w:lang w:bidi="ar-EG"/>
        </w:rPr>
        <w:t>)</w:t>
      </w:r>
    </w:p>
    <w:p w:rsidR="00047CD5" w:rsidRDefault="00047CD5" w:rsidP="00047CD5">
      <w:pPr>
        <w:pStyle w:val="NormalParaAR"/>
        <w:numPr>
          <w:ilvl w:val="0"/>
          <w:numId w:val="24"/>
        </w:numPr>
        <w:rPr>
          <w:lang w:bidi="ar-EG"/>
        </w:rPr>
      </w:pPr>
      <w:r>
        <w:rPr>
          <w:rFonts w:hint="cs"/>
          <w:rtl/>
          <w:lang w:bidi="ar-EG"/>
        </w:rPr>
        <w:t>الإيطالية (4)</w:t>
      </w:r>
    </w:p>
    <w:p w:rsidR="000B274C" w:rsidRDefault="000B274C" w:rsidP="000B274C">
      <w:pPr>
        <w:pStyle w:val="NormalParaAR"/>
        <w:numPr>
          <w:ilvl w:val="0"/>
          <w:numId w:val="24"/>
        </w:numPr>
        <w:rPr>
          <w:lang w:bidi="ar-EG"/>
        </w:rPr>
      </w:pPr>
      <w:r>
        <w:rPr>
          <w:rFonts w:hint="cs"/>
          <w:rtl/>
          <w:lang w:bidi="ar-EG"/>
        </w:rPr>
        <w:t>اليابانية (1)</w:t>
      </w:r>
    </w:p>
    <w:p w:rsidR="000B274C" w:rsidRDefault="000B274C" w:rsidP="000B274C">
      <w:pPr>
        <w:pStyle w:val="NormalParaAR"/>
        <w:numPr>
          <w:ilvl w:val="0"/>
          <w:numId w:val="24"/>
        </w:numPr>
        <w:rPr>
          <w:lang w:bidi="ar-EG"/>
        </w:rPr>
      </w:pPr>
      <w:proofErr w:type="gramStart"/>
      <w:r>
        <w:rPr>
          <w:rFonts w:hint="cs"/>
          <w:rtl/>
          <w:lang w:bidi="ar-EG"/>
        </w:rPr>
        <w:t>لغة</w:t>
      </w:r>
      <w:proofErr w:type="gramEnd"/>
      <w:r>
        <w:rPr>
          <w:rFonts w:hint="cs"/>
          <w:rtl/>
          <w:lang w:bidi="ar-EG"/>
        </w:rPr>
        <w:t xml:space="preserve"> أهل الجبل الأسود (2)</w:t>
      </w:r>
    </w:p>
    <w:p w:rsidR="000B274C" w:rsidRDefault="000B274C" w:rsidP="000B274C">
      <w:pPr>
        <w:pStyle w:val="NormalParaAR"/>
        <w:numPr>
          <w:ilvl w:val="0"/>
          <w:numId w:val="24"/>
        </w:numPr>
        <w:rPr>
          <w:lang w:bidi="ar-EG"/>
        </w:rPr>
      </w:pPr>
      <w:r>
        <w:rPr>
          <w:rFonts w:hint="cs"/>
          <w:rtl/>
          <w:lang w:bidi="ar-EG"/>
        </w:rPr>
        <w:t>البولندية (6)</w:t>
      </w:r>
    </w:p>
    <w:p w:rsidR="000B274C" w:rsidRDefault="000B274C" w:rsidP="000B274C">
      <w:pPr>
        <w:pStyle w:val="NormalParaAR"/>
        <w:numPr>
          <w:ilvl w:val="0"/>
          <w:numId w:val="24"/>
        </w:numPr>
        <w:rPr>
          <w:lang w:bidi="ar-EG"/>
        </w:rPr>
      </w:pPr>
      <w:r>
        <w:rPr>
          <w:rFonts w:hint="cs"/>
          <w:rtl/>
          <w:lang w:bidi="ar-EG"/>
        </w:rPr>
        <w:t>الرومانية (3)</w:t>
      </w:r>
    </w:p>
    <w:p w:rsidR="000B274C" w:rsidRDefault="000B274C" w:rsidP="000B274C">
      <w:pPr>
        <w:pStyle w:val="NormalParaAR"/>
        <w:numPr>
          <w:ilvl w:val="0"/>
          <w:numId w:val="24"/>
        </w:numPr>
        <w:rPr>
          <w:lang w:bidi="ar-EG"/>
        </w:rPr>
      </w:pPr>
      <w:r>
        <w:rPr>
          <w:rFonts w:hint="cs"/>
          <w:rtl/>
          <w:lang w:bidi="ar-EG"/>
        </w:rPr>
        <w:t>الروسية (6)</w:t>
      </w:r>
    </w:p>
    <w:p w:rsidR="000B274C" w:rsidRDefault="000B274C" w:rsidP="000B274C">
      <w:pPr>
        <w:pStyle w:val="NormalParaAR"/>
        <w:numPr>
          <w:ilvl w:val="0"/>
          <w:numId w:val="24"/>
        </w:numPr>
        <w:rPr>
          <w:lang w:bidi="ar-EG"/>
        </w:rPr>
      </w:pPr>
      <w:proofErr w:type="spellStart"/>
      <w:r>
        <w:rPr>
          <w:rFonts w:hint="cs"/>
          <w:rtl/>
          <w:lang w:bidi="ar-EG"/>
        </w:rPr>
        <w:t>السانسكريتية</w:t>
      </w:r>
      <w:proofErr w:type="spellEnd"/>
      <w:r>
        <w:rPr>
          <w:rFonts w:hint="cs"/>
          <w:rtl/>
          <w:lang w:bidi="ar-EG"/>
        </w:rPr>
        <w:t xml:space="preserve"> (1)</w:t>
      </w:r>
    </w:p>
    <w:p w:rsidR="000B274C" w:rsidRDefault="000B274C" w:rsidP="000B274C">
      <w:pPr>
        <w:pStyle w:val="NormalParaAR"/>
        <w:numPr>
          <w:ilvl w:val="0"/>
          <w:numId w:val="24"/>
        </w:numPr>
        <w:rPr>
          <w:lang w:bidi="ar-EG"/>
        </w:rPr>
      </w:pPr>
      <w:r>
        <w:rPr>
          <w:rFonts w:hint="cs"/>
          <w:rtl/>
          <w:lang w:bidi="ar-EG"/>
        </w:rPr>
        <w:t>الصربية (4)</w:t>
      </w:r>
    </w:p>
    <w:p w:rsidR="000B274C" w:rsidRDefault="000B274C" w:rsidP="000B274C">
      <w:pPr>
        <w:pStyle w:val="NormalParaAR"/>
        <w:numPr>
          <w:ilvl w:val="0"/>
          <w:numId w:val="24"/>
        </w:numPr>
        <w:rPr>
          <w:lang w:bidi="ar-EG"/>
        </w:rPr>
      </w:pPr>
      <w:proofErr w:type="gramStart"/>
      <w:r>
        <w:rPr>
          <w:rFonts w:hint="cs"/>
          <w:rtl/>
          <w:lang w:bidi="ar-EG"/>
        </w:rPr>
        <w:t>الصربية</w:t>
      </w:r>
      <w:proofErr w:type="gramEnd"/>
      <w:r>
        <w:rPr>
          <w:rFonts w:hint="cs"/>
          <w:rtl/>
          <w:lang w:bidi="ar-EG"/>
        </w:rPr>
        <w:t xml:space="preserve"> الكرواتية (3)</w:t>
      </w:r>
    </w:p>
    <w:p w:rsidR="000B274C" w:rsidRDefault="00047CD5" w:rsidP="000B274C">
      <w:pPr>
        <w:pStyle w:val="NormalParaAR"/>
        <w:numPr>
          <w:ilvl w:val="0"/>
          <w:numId w:val="24"/>
        </w:numPr>
        <w:rPr>
          <w:lang w:bidi="ar-EG"/>
        </w:rPr>
      </w:pPr>
      <w:r>
        <w:rPr>
          <w:rFonts w:hint="cs"/>
          <w:rtl/>
          <w:lang w:bidi="ar-EG"/>
        </w:rPr>
        <w:lastRenderedPageBreak/>
        <w:t>الإ</w:t>
      </w:r>
      <w:r w:rsidR="000B274C">
        <w:rPr>
          <w:rFonts w:hint="cs"/>
          <w:rtl/>
          <w:lang w:bidi="ar-EG"/>
        </w:rPr>
        <w:t>سبانية (6)</w:t>
      </w:r>
    </w:p>
    <w:p w:rsidR="000B274C" w:rsidRDefault="000B274C" w:rsidP="003E0B3D">
      <w:pPr>
        <w:pStyle w:val="NormalParaAR"/>
        <w:numPr>
          <w:ilvl w:val="0"/>
          <w:numId w:val="24"/>
        </w:numPr>
        <w:rPr>
          <w:rtl/>
          <w:lang w:bidi="ar-EG"/>
        </w:rPr>
      </w:pPr>
      <w:r>
        <w:rPr>
          <w:rFonts w:hint="cs"/>
          <w:rtl/>
          <w:lang w:bidi="ar-EG"/>
        </w:rPr>
        <w:t>الأوردو (1)</w:t>
      </w:r>
    </w:p>
    <w:p w:rsidR="000B274C" w:rsidRDefault="000B274C" w:rsidP="000B274C">
      <w:pPr>
        <w:pStyle w:val="NormalParaAR"/>
        <w:rPr>
          <w:rtl/>
          <w:lang w:bidi="ar-EG"/>
        </w:rPr>
      </w:pPr>
      <w:proofErr w:type="gramStart"/>
      <w:r w:rsidRPr="000B274C">
        <w:rPr>
          <w:rFonts w:hint="cs"/>
          <w:b/>
          <w:bCs/>
          <w:rtl/>
          <w:lang w:bidi="ar-EG"/>
        </w:rPr>
        <w:t>ا</w:t>
      </w:r>
      <w:r w:rsidRPr="000B274C">
        <w:rPr>
          <w:b/>
          <w:bCs/>
          <w:rtl/>
          <w:lang w:bidi="ar-EG"/>
        </w:rPr>
        <w:t>لخدمات</w:t>
      </w:r>
      <w:proofErr w:type="gramEnd"/>
      <w:r w:rsidRPr="000B274C">
        <w:rPr>
          <w:b/>
          <w:bCs/>
          <w:rtl/>
          <w:lang w:bidi="ar-EG"/>
        </w:rPr>
        <w:t xml:space="preserve"> المتاحة للمساعدة في البحث أو فهم حالة التقنية السابقة بلغات أخرى:</w:t>
      </w:r>
      <w:r>
        <w:rPr>
          <w:rFonts w:hint="cs"/>
          <w:b/>
          <w:bCs/>
          <w:rtl/>
          <w:lang w:bidi="ar-EG"/>
        </w:rPr>
        <w:t xml:space="preserve"> </w:t>
      </w:r>
      <w:r>
        <w:rPr>
          <w:rFonts w:hint="cs"/>
          <w:rtl/>
          <w:lang w:bidi="ar-EG"/>
        </w:rPr>
        <w:t>يمتلك فاحصو المكتب الكندي للملكية الفكرية الموارد الآتية التي تعينهم في عملية البحث وفهم حالة التقنية الصناعية السابقة بلغات أخرى:</w:t>
      </w:r>
    </w:p>
    <w:p w:rsidR="000B274C" w:rsidRDefault="000B274C" w:rsidP="000B274C">
      <w:pPr>
        <w:pStyle w:val="NormalParaAR"/>
        <w:numPr>
          <w:ilvl w:val="0"/>
          <w:numId w:val="24"/>
        </w:numPr>
        <w:rPr>
          <w:lang w:bidi="ar-EG"/>
        </w:rPr>
      </w:pPr>
      <w:r>
        <w:rPr>
          <w:rFonts w:hint="cs"/>
          <w:rtl/>
          <w:lang w:bidi="ar-EG"/>
        </w:rPr>
        <w:t>مكتب الترجمة التابع إلى خدمات الأشغال العامة والخدمات الحكومية الكندية، ا</w:t>
      </w:r>
      <w:r w:rsidR="00975D8C">
        <w:rPr>
          <w:rFonts w:hint="cs"/>
          <w:rtl/>
          <w:lang w:bidi="ar-EG"/>
        </w:rPr>
        <w:t>لذي يوفر خدمات ترجمة لما يزيد على</w:t>
      </w:r>
      <w:r>
        <w:rPr>
          <w:rFonts w:hint="cs"/>
          <w:rtl/>
          <w:lang w:bidi="ar-EG"/>
        </w:rPr>
        <w:t xml:space="preserve"> 100 لغة </w:t>
      </w:r>
      <w:proofErr w:type="gramStart"/>
      <w:r>
        <w:rPr>
          <w:rFonts w:hint="cs"/>
          <w:rtl/>
          <w:lang w:bidi="ar-EG"/>
        </w:rPr>
        <w:t>ولهجة</w:t>
      </w:r>
      <w:proofErr w:type="gramEnd"/>
    </w:p>
    <w:p w:rsidR="00B77282" w:rsidRDefault="00A00E3E" w:rsidP="00B77282">
      <w:pPr>
        <w:pStyle w:val="NormalParaAR"/>
        <w:numPr>
          <w:ilvl w:val="0"/>
          <w:numId w:val="24"/>
        </w:numPr>
        <w:rPr>
          <w:lang w:bidi="ar-EG"/>
        </w:rPr>
      </w:pPr>
      <w:r>
        <w:rPr>
          <w:rFonts w:hint="cs"/>
          <w:rtl/>
          <w:lang w:bidi="ar-EG"/>
        </w:rPr>
        <w:t xml:space="preserve">أداة </w:t>
      </w:r>
      <w:proofErr w:type="spellStart"/>
      <w:r>
        <w:rPr>
          <w:rFonts w:hint="cs"/>
          <w:rtl/>
          <w:lang w:bidi="ar-EG"/>
        </w:rPr>
        <w:t>الويبو</w:t>
      </w:r>
      <w:proofErr w:type="spellEnd"/>
      <w:r>
        <w:rPr>
          <w:rFonts w:hint="cs"/>
          <w:rtl/>
          <w:lang w:bidi="ar-EG"/>
        </w:rPr>
        <w:t xml:space="preserve"> للترجمة </w:t>
      </w:r>
    </w:p>
    <w:p w:rsidR="00A00E3E" w:rsidRDefault="00975D8C" w:rsidP="00B77282">
      <w:pPr>
        <w:pStyle w:val="NormalParaAR"/>
        <w:numPr>
          <w:ilvl w:val="0"/>
          <w:numId w:val="24"/>
        </w:numPr>
        <w:rPr>
          <w:lang w:bidi="ar-EG"/>
        </w:rPr>
      </w:pPr>
      <w:r>
        <w:rPr>
          <w:rFonts w:hint="cs"/>
          <w:rtl/>
          <w:lang w:bidi="ar-EG"/>
        </w:rPr>
        <w:t xml:space="preserve">لؤلؤة </w:t>
      </w:r>
      <w:proofErr w:type="spellStart"/>
      <w:r>
        <w:rPr>
          <w:rFonts w:hint="cs"/>
          <w:rtl/>
          <w:lang w:bidi="ar-EG"/>
        </w:rPr>
        <w:t>الويبو</w:t>
      </w:r>
      <w:proofErr w:type="spellEnd"/>
    </w:p>
    <w:p w:rsidR="00A00E3E" w:rsidRDefault="00A00E3E" w:rsidP="00B77282">
      <w:pPr>
        <w:pStyle w:val="NormalParaAR"/>
        <w:numPr>
          <w:ilvl w:val="0"/>
          <w:numId w:val="24"/>
        </w:numPr>
        <w:rPr>
          <w:lang w:bidi="ar-EG"/>
        </w:rPr>
      </w:pPr>
      <w:r>
        <w:rPr>
          <w:rFonts w:hint="cs"/>
          <w:rtl/>
          <w:lang w:bidi="ar-EG"/>
        </w:rPr>
        <w:t>ترجمة غوغل</w:t>
      </w:r>
    </w:p>
    <w:p w:rsidR="00A00E3E" w:rsidRDefault="00A00E3E" w:rsidP="00B77282">
      <w:pPr>
        <w:pStyle w:val="NormalParaAR"/>
        <w:numPr>
          <w:ilvl w:val="0"/>
          <w:numId w:val="24"/>
        </w:numPr>
        <w:rPr>
          <w:lang w:bidi="ar-EG"/>
        </w:rPr>
      </w:pPr>
      <w:proofErr w:type="spellStart"/>
      <w:r>
        <w:rPr>
          <w:lang w:bidi="ar-EG"/>
        </w:rPr>
        <w:t>Esp@cenet</w:t>
      </w:r>
      <w:proofErr w:type="spellEnd"/>
      <w:r>
        <w:rPr>
          <w:rFonts w:hint="cs"/>
          <w:rtl/>
          <w:lang w:bidi="ar-EG"/>
        </w:rPr>
        <w:t xml:space="preserve"> </w:t>
      </w:r>
      <w:r>
        <w:rPr>
          <w:rtl/>
          <w:lang w:bidi="ar-EG"/>
        </w:rPr>
        <w:t>–</w:t>
      </w:r>
      <w:r>
        <w:rPr>
          <w:rFonts w:hint="cs"/>
          <w:rtl/>
          <w:lang w:bidi="ar-EG"/>
        </w:rPr>
        <w:t xml:space="preserve"> أداة لترجمة البراءات (تستخدم </w:t>
      </w:r>
      <w:r w:rsidR="00975D8C">
        <w:rPr>
          <w:rFonts w:hint="cs"/>
          <w:rtl/>
          <w:lang w:bidi="ar-EG"/>
        </w:rPr>
        <w:t xml:space="preserve">خدمة </w:t>
      </w:r>
      <w:r>
        <w:rPr>
          <w:rFonts w:hint="cs"/>
          <w:rtl/>
          <w:lang w:bidi="ar-EG"/>
        </w:rPr>
        <w:t>ترجمة غوغل)</w:t>
      </w:r>
    </w:p>
    <w:p w:rsidR="00A00E3E" w:rsidRPr="001168FC" w:rsidRDefault="00A00E3E" w:rsidP="00B77282">
      <w:pPr>
        <w:pStyle w:val="NormalParaAR"/>
        <w:numPr>
          <w:ilvl w:val="0"/>
          <w:numId w:val="24"/>
        </w:numPr>
        <w:rPr>
          <w:b/>
          <w:bCs/>
          <w:sz w:val="40"/>
          <w:szCs w:val="40"/>
          <w:lang w:bidi="ar-EG"/>
        </w:rPr>
      </w:pPr>
      <w:proofErr w:type="spellStart"/>
      <w:r>
        <w:rPr>
          <w:lang w:bidi="ar-EG"/>
        </w:rPr>
        <w:t>Questel</w:t>
      </w:r>
      <w:proofErr w:type="spellEnd"/>
      <w:r>
        <w:rPr>
          <w:lang w:bidi="ar-EG"/>
        </w:rPr>
        <w:t xml:space="preserve"> Orbit</w:t>
      </w:r>
      <w:r w:rsidR="00975D8C">
        <w:rPr>
          <w:rFonts w:hint="cs"/>
          <w:rtl/>
          <w:lang w:bidi="ar-EG"/>
        </w:rPr>
        <w:t>- خدمة ترجمة (تستخدم خدمة</w:t>
      </w:r>
      <w:r>
        <w:rPr>
          <w:rFonts w:hint="cs"/>
          <w:rtl/>
          <w:lang w:bidi="ar-EG"/>
        </w:rPr>
        <w:t xml:space="preserve"> ترجمة غوغل)</w:t>
      </w:r>
    </w:p>
    <w:p w:rsidR="00975D8C" w:rsidRPr="00DB436A" w:rsidRDefault="00975D8C" w:rsidP="00975D8C">
      <w:pPr>
        <w:pStyle w:val="SectionHeading"/>
        <w:bidi/>
        <w:rPr>
          <w:rFonts w:ascii="Arabic Typesetting" w:hAnsi="Arabic Typesetting" w:cs="Arabic Typesetting"/>
          <w:sz w:val="40"/>
          <w:szCs w:val="40"/>
        </w:rPr>
      </w:pPr>
      <w:r>
        <w:rPr>
          <w:rFonts w:ascii="Arabic Typesetting" w:hAnsi="Arabic Typesetting" w:cs="Arabic Typesetting" w:hint="cs"/>
          <w:sz w:val="40"/>
          <w:szCs w:val="40"/>
          <w:rtl/>
        </w:rPr>
        <w:t xml:space="preserve">2.2 - </w:t>
      </w:r>
      <w:proofErr w:type="gramStart"/>
      <w:r w:rsidRPr="00975D8C">
        <w:rPr>
          <w:rFonts w:ascii="Arabic Typesetting" w:hAnsi="Arabic Typesetting" w:cs="Arabic Typesetting" w:hint="cs"/>
          <w:sz w:val="40"/>
          <w:szCs w:val="40"/>
          <w:rtl/>
          <w:lang w:bidi="ar-EG"/>
        </w:rPr>
        <w:t>إدارة</w:t>
      </w:r>
      <w:proofErr w:type="gramEnd"/>
      <w:r w:rsidRPr="00975D8C">
        <w:rPr>
          <w:rFonts w:ascii="Arabic Typesetting" w:hAnsi="Arabic Typesetting" w:cs="Arabic Typesetting" w:hint="cs"/>
          <w:sz w:val="40"/>
          <w:szCs w:val="40"/>
          <w:rtl/>
          <w:lang w:bidi="ar-EG"/>
        </w:rPr>
        <w:t xml:space="preserve"> الجودة</w:t>
      </w:r>
    </w:p>
    <w:p w:rsidR="00A00E3E" w:rsidRPr="00975D8C" w:rsidRDefault="008F1DAF" w:rsidP="00975D8C">
      <w:pPr>
        <w:pStyle w:val="NormalParaAR"/>
        <w:rPr>
          <w:b/>
          <w:bCs/>
          <w:i/>
          <w:iCs/>
          <w:rtl/>
          <w:lang w:bidi="ar-EG"/>
        </w:rPr>
      </w:pPr>
      <w:r w:rsidRPr="00975D8C">
        <w:rPr>
          <w:rFonts w:hint="cs"/>
          <w:b/>
          <w:bCs/>
          <w:i/>
          <w:iCs/>
          <w:rtl/>
          <w:lang w:bidi="ar-EG"/>
        </w:rPr>
        <w:t xml:space="preserve">القاعدتان </w:t>
      </w:r>
      <w:r w:rsidR="00975D8C" w:rsidRPr="00975D8C">
        <w:rPr>
          <w:rFonts w:hint="cs"/>
          <w:b/>
          <w:bCs/>
          <w:i/>
          <w:iCs/>
          <w:rtl/>
          <w:lang w:bidi="ar-EG"/>
        </w:rPr>
        <w:t>1.36</w:t>
      </w:r>
      <w:r w:rsidRPr="00975D8C">
        <w:rPr>
          <w:rFonts w:hint="cs"/>
          <w:b/>
          <w:bCs/>
          <w:i/>
          <w:iCs/>
          <w:rtl/>
          <w:lang w:bidi="ar-EG"/>
        </w:rPr>
        <w:t xml:space="preserve"> </w:t>
      </w:r>
      <w:r w:rsidR="00975D8C" w:rsidRPr="00975D8C">
        <w:rPr>
          <w:rFonts w:hint="cs"/>
          <w:b/>
          <w:bCs/>
          <w:i/>
          <w:iCs/>
          <w:rtl/>
          <w:lang w:bidi="ar-EG"/>
        </w:rPr>
        <w:t>"</w:t>
      </w:r>
      <w:r w:rsidRPr="00975D8C">
        <w:rPr>
          <w:rFonts w:hint="cs"/>
          <w:b/>
          <w:bCs/>
          <w:i/>
          <w:iCs/>
          <w:rtl/>
          <w:lang w:bidi="ar-EG"/>
        </w:rPr>
        <w:t>4</w:t>
      </w:r>
      <w:r w:rsidR="00975D8C" w:rsidRPr="00975D8C">
        <w:rPr>
          <w:rFonts w:hint="cs"/>
          <w:b/>
          <w:bCs/>
          <w:i/>
          <w:iCs/>
          <w:rtl/>
          <w:lang w:bidi="ar-EG"/>
        </w:rPr>
        <w:t>"</w:t>
      </w:r>
      <w:r w:rsidRPr="00975D8C">
        <w:rPr>
          <w:rFonts w:hint="cs"/>
          <w:b/>
          <w:bCs/>
          <w:i/>
          <w:iCs/>
          <w:rtl/>
          <w:lang w:bidi="ar-EG"/>
        </w:rPr>
        <w:t xml:space="preserve"> و</w:t>
      </w:r>
      <w:r w:rsidR="00975D8C" w:rsidRPr="00975D8C">
        <w:rPr>
          <w:rFonts w:hint="cs"/>
          <w:b/>
          <w:bCs/>
          <w:i/>
          <w:iCs/>
          <w:rtl/>
          <w:lang w:bidi="ar-EG"/>
        </w:rPr>
        <w:t>1.63</w:t>
      </w:r>
      <w:r w:rsidRPr="00975D8C">
        <w:rPr>
          <w:rFonts w:hint="cs"/>
          <w:b/>
          <w:bCs/>
          <w:i/>
          <w:iCs/>
          <w:rtl/>
          <w:lang w:bidi="ar-EG"/>
        </w:rPr>
        <w:t xml:space="preserve"> </w:t>
      </w:r>
      <w:r w:rsidR="00975D8C" w:rsidRPr="00975D8C">
        <w:rPr>
          <w:rFonts w:hint="cs"/>
          <w:b/>
          <w:bCs/>
          <w:i/>
          <w:iCs/>
          <w:rtl/>
          <w:lang w:bidi="ar-EG"/>
        </w:rPr>
        <w:t>"</w:t>
      </w:r>
      <w:r w:rsidRPr="00975D8C">
        <w:rPr>
          <w:rFonts w:hint="cs"/>
          <w:b/>
          <w:bCs/>
          <w:i/>
          <w:iCs/>
          <w:rtl/>
          <w:lang w:bidi="ar-EG"/>
        </w:rPr>
        <w:t>4</w:t>
      </w:r>
      <w:r w:rsidR="00975D8C" w:rsidRPr="00975D8C">
        <w:rPr>
          <w:rFonts w:hint="cs"/>
          <w:b/>
          <w:bCs/>
          <w:i/>
          <w:iCs/>
          <w:rtl/>
          <w:lang w:bidi="ar-EG"/>
        </w:rPr>
        <w:t>"</w:t>
      </w:r>
      <w:r w:rsidRPr="00975D8C">
        <w:rPr>
          <w:rFonts w:hint="cs"/>
          <w:b/>
          <w:bCs/>
          <w:i/>
          <w:iCs/>
          <w:rtl/>
          <w:lang w:bidi="ar-EG"/>
        </w:rPr>
        <w:t xml:space="preserve">: </w:t>
      </w:r>
      <w:r w:rsidRPr="00975D8C">
        <w:rPr>
          <w:b/>
          <w:bCs/>
          <w:i/>
          <w:iCs/>
          <w:rtl/>
          <w:lang w:bidi="ar-EG"/>
        </w:rPr>
        <w:t>يجب أن يكون لدى المكتب الوطني أو المنظمة الحكومية الدولية نظام لإدارة الجودة وترتيبات داخلية للمراجعة وفقا لقواعد البحث الدولي المشتركة</w:t>
      </w:r>
      <w:r w:rsidRPr="00975D8C">
        <w:rPr>
          <w:rFonts w:hint="cs"/>
          <w:b/>
          <w:bCs/>
          <w:i/>
          <w:iCs/>
          <w:rtl/>
          <w:lang w:bidi="ar-EG"/>
        </w:rPr>
        <w:t>.</w:t>
      </w:r>
    </w:p>
    <w:p w:rsidR="008F1DAF" w:rsidRPr="003E0B3D" w:rsidRDefault="008F1DAF" w:rsidP="008F1DAF">
      <w:pPr>
        <w:pStyle w:val="NormalParaAR"/>
        <w:rPr>
          <w:b/>
          <w:bCs/>
          <w:rtl/>
          <w:lang w:bidi="ar-EG"/>
        </w:rPr>
      </w:pPr>
      <w:r w:rsidRPr="003E0B3D">
        <w:rPr>
          <w:rFonts w:hint="cs"/>
          <w:b/>
          <w:bCs/>
          <w:rtl/>
          <w:lang w:bidi="ar-EG"/>
        </w:rPr>
        <w:t xml:space="preserve">نظام إدارة الجودة </w:t>
      </w:r>
      <w:r w:rsidR="00975D8C">
        <w:rPr>
          <w:rFonts w:hint="cs"/>
          <w:b/>
          <w:bCs/>
          <w:rtl/>
          <w:lang w:bidi="ar-EG"/>
        </w:rPr>
        <w:t xml:space="preserve">على الصعيدين الوطني </w:t>
      </w:r>
      <w:proofErr w:type="gramStart"/>
      <w:r w:rsidR="00975D8C">
        <w:rPr>
          <w:rFonts w:hint="cs"/>
          <w:b/>
          <w:bCs/>
          <w:rtl/>
          <w:lang w:bidi="ar-EG"/>
        </w:rPr>
        <w:t>والدولي</w:t>
      </w:r>
      <w:proofErr w:type="gramEnd"/>
      <w:r w:rsidR="00975D8C">
        <w:rPr>
          <w:rFonts w:hint="cs"/>
          <w:b/>
          <w:bCs/>
          <w:rtl/>
          <w:lang w:bidi="ar-EG"/>
        </w:rPr>
        <w:t>:</w:t>
      </w:r>
    </w:p>
    <w:p w:rsidR="008F1DAF" w:rsidRDefault="008F1DAF" w:rsidP="008F1DAF">
      <w:pPr>
        <w:pStyle w:val="NormalParaAR"/>
        <w:rPr>
          <w:rtl/>
          <w:lang w:bidi="ar-EG"/>
        </w:rPr>
      </w:pPr>
      <w:proofErr w:type="gramStart"/>
      <w:r>
        <w:rPr>
          <w:rFonts w:hint="cs"/>
          <w:rtl/>
          <w:lang w:bidi="ar-EG"/>
        </w:rPr>
        <w:t>يمتلك</w:t>
      </w:r>
      <w:proofErr w:type="gramEnd"/>
      <w:r>
        <w:rPr>
          <w:rFonts w:hint="cs"/>
          <w:rtl/>
          <w:lang w:bidi="ar-EG"/>
        </w:rPr>
        <w:t xml:space="preserve"> المكتب الكندي للملكية الفكرية نظامًا دوليًا لإدارة الجودة منذ عام 2007 ونظامًا وطنيًا رسميًا اعتبارًا من عام 2012. </w:t>
      </w:r>
      <w:proofErr w:type="gramStart"/>
      <w:r>
        <w:rPr>
          <w:rFonts w:hint="cs"/>
          <w:rtl/>
          <w:lang w:bidi="ar-EG"/>
        </w:rPr>
        <w:t>وقبل</w:t>
      </w:r>
      <w:proofErr w:type="gramEnd"/>
      <w:r>
        <w:rPr>
          <w:rFonts w:hint="cs"/>
          <w:rtl/>
          <w:lang w:bidi="ar-EG"/>
        </w:rPr>
        <w:t xml:space="preserve"> عامي 2007 و2012 على التوالي كان رؤساء أقسام الفحص هم الذين يضطلعون بإدارة الجود، وكان جميع رؤساء الأقسام فاحصين سابقين يتمتعون بالعديد من سنوات الخبرة.</w:t>
      </w:r>
    </w:p>
    <w:p w:rsidR="008F1DAF" w:rsidRDefault="008F1DAF" w:rsidP="00975D8C">
      <w:pPr>
        <w:pStyle w:val="NormalParaAR"/>
        <w:rPr>
          <w:rtl/>
          <w:lang w:bidi="ar-EG"/>
        </w:rPr>
      </w:pPr>
      <w:r>
        <w:rPr>
          <w:rFonts w:hint="cs"/>
          <w:rtl/>
          <w:lang w:bidi="ar-EG"/>
        </w:rPr>
        <w:t xml:space="preserve">وتوضح التقارير الصادرة عن نظام إدارة الجودة للمكتب الكندي للملكية الفكرية المرفوعة بموجب الفصل 21 من </w:t>
      </w:r>
      <w:r w:rsidRPr="008F1DAF">
        <w:rPr>
          <w:rtl/>
          <w:lang w:bidi="ar-EG"/>
        </w:rPr>
        <w:t>المبادئ التوجيهية الخاصة بالبحث والفحص التمهيدي الدوليين</w:t>
      </w:r>
      <w:r>
        <w:rPr>
          <w:rFonts w:hint="cs"/>
          <w:rtl/>
          <w:lang w:bidi="ar-EG"/>
        </w:rPr>
        <w:t xml:space="preserve"> (يمكن الاطلاع عليها من خلال تقارير الجودة المرفوعة من </w:t>
      </w:r>
      <w:r w:rsidR="00975D8C">
        <w:rPr>
          <w:rFonts w:hint="cs"/>
          <w:rtl/>
          <w:lang w:bidi="ar-EG"/>
        </w:rPr>
        <w:t>الإدارات</w:t>
      </w:r>
      <w:r>
        <w:rPr>
          <w:rFonts w:hint="cs"/>
          <w:rtl/>
          <w:lang w:bidi="ar-EG"/>
        </w:rPr>
        <w:t xml:space="preserve"> الدولية</w:t>
      </w:r>
      <w:r>
        <w:rPr>
          <w:rStyle w:val="FootnoteReference"/>
          <w:rtl/>
          <w:lang w:bidi="ar-EG"/>
        </w:rPr>
        <w:footnoteReference w:id="1"/>
      </w:r>
      <w:r>
        <w:rPr>
          <w:rFonts w:hint="cs"/>
          <w:rtl/>
          <w:lang w:bidi="ar-EG"/>
        </w:rPr>
        <w:t>) تفاصيل نظام إدارة الجودة الدولي الذي يتبعه المكتب الكندي للملكية الفكرية</w:t>
      </w:r>
      <w:r w:rsidR="00975D8C">
        <w:rPr>
          <w:rFonts w:hint="cs"/>
          <w:rtl/>
          <w:lang w:bidi="ar-EG"/>
        </w:rPr>
        <w:t>،</w:t>
      </w:r>
      <w:r>
        <w:rPr>
          <w:rFonts w:hint="cs"/>
          <w:rtl/>
          <w:lang w:bidi="ar-EG"/>
        </w:rPr>
        <w:t xml:space="preserve"> وتوضح بالأمثلة مدى التزام</w:t>
      </w:r>
      <w:r w:rsidR="00631D9F">
        <w:rPr>
          <w:rFonts w:hint="cs"/>
          <w:rtl/>
          <w:lang w:bidi="ar-EG"/>
        </w:rPr>
        <w:t xml:space="preserve"> المكتب الكندي بالامتياز في تطبيق معايير الجودة.</w:t>
      </w:r>
    </w:p>
    <w:p w:rsidR="00631D9F" w:rsidRDefault="00631D9F" w:rsidP="00975D8C">
      <w:pPr>
        <w:pStyle w:val="NormalParaAR"/>
        <w:rPr>
          <w:rtl/>
          <w:lang w:bidi="ar-EG"/>
        </w:rPr>
      </w:pPr>
      <w:r>
        <w:rPr>
          <w:rFonts w:hint="cs"/>
          <w:rtl/>
          <w:lang w:bidi="ar-EG"/>
        </w:rPr>
        <w:t>ويعكف الف</w:t>
      </w:r>
      <w:r w:rsidR="00975D8C">
        <w:rPr>
          <w:rFonts w:hint="cs"/>
          <w:rtl/>
          <w:lang w:bidi="ar-EG"/>
        </w:rPr>
        <w:t>رع المعني بالبراءات التابع ل</w:t>
      </w:r>
      <w:r>
        <w:rPr>
          <w:rFonts w:hint="cs"/>
          <w:rtl/>
          <w:lang w:bidi="ar-EG"/>
        </w:rPr>
        <w:t xml:space="preserve">لمكتب الكندي للملكية الفكرية على </w:t>
      </w:r>
      <w:r w:rsidR="00082A3F">
        <w:rPr>
          <w:rFonts w:hint="cs"/>
          <w:rtl/>
          <w:lang w:bidi="ar-EG"/>
        </w:rPr>
        <w:t xml:space="preserve">اعتماد العمليات الشاملة "لطلب منح البراءة/ منتج العمل الدولي" لكل من الفحص الوطني والدولي بموجب شهادة </w:t>
      </w:r>
      <w:r w:rsidR="00082A3F">
        <w:rPr>
          <w:lang w:bidi="ar-EG"/>
        </w:rPr>
        <w:t>ISO9001:2015</w:t>
      </w:r>
      <w:r w:rsidR="00082A3F">
        <w:rPr>
          <w:rFonts w:hint="cs"/>
          <w:rtl/>
          <w:lang w:bidi="ar-EG"/>
        </w:rPr>
        <w:t>.</w:t>
      </w:r>
      <w:r w:rsidR="00340919">
        <w:rPr>
          <w:rFonts w:hint="cs"/>
          <w:rtl/>
          <w:lang w:bidi="ar-EG"/>
        </w:rPr>
        <w:t xml:space="preserve"> </w:t>
      </w:r>
      <w:proofErr w:type="gramStart"/>
      <w:r w:rsidR="00975D8C">
        <w:rPr>
          <w:rFonts w:hint="cs"/>
          <w:rtl/>
          <w:lang w:bidi="ar-EG"/>
        </w:rPr>
        <w:t>واستُكملت</w:t>
      </w:r>
      <w:proofErr w:type="gramEnd"/>
      <w:r w:rsidR="00082A3F">
        <w:rPr>
          <w:rFonts w:hint="cs"/>
          <w:rtl/>
          <w:lang w:bidi="ar-EG"/>
        </w:rPr>
        <w:t xml:space="preserve"> المرحلة 1</w:t>
      </w:r>
      <w:r w:rsidR="00340919">
        <w:rPr>
          <w:rFonts w:hint="cs"/>
          <w:rtl/>
          <w:lang w:bidi="ar-EG"/>
        </w:rPr>
        <w:t xml:space="preserve"> </w:t>
      </w:r>
      <w:r w:rsidR="00082A3F">
        <w:rPr>
          <w:rFonts w:hint="cs"/>
          <w:rtl/>
          <w:lang w:bidi="ar-EG"/>
        </w:rPr>
        <w:t>من المراجعة الخارجية في 9 ديسمبر 2016 وحُد</w:t>
      </w:r>
      <w:r w:rsidR="00975D8C">
        <w:rPr>
          <w:rFonts w:hint="cs"/>
          <w:rtl/>
          <w:lang w:bidi="ar-EG"/>
        </w:rPr>
        <w:t>ّ</w:t>
      </w:r>
      <w:r w:rsidR="00082A3F">
        <w:rPr>
          <w:rFonts w:hint="cs"/>
          <w:rtl/>
          <w:lang w:bidi="ar-EG"/>
        </w:rPr>
        <w:t>د موعد 6 إلى 8 مارس 2017 للمر</w:t>
      </w:r>
      <w:r w:rsidR="00975D8C">
        <w:rPr>
          <w:rFonts w:hint="cs"/>
          <w:rtl/>
          <w:lang w:bidi="ar-EG"/>
        </w:rPr>
        <w:t xml:space="preserve">حلة 2 من المراجعة الخارجية. وتلك هي </w:t>
      </w:r>
      <w:r w:rsidR="00082A3F">
        <w:rPr>
          <w:rFonts w:hint="cs"/>
          <w:rtl/>
          <w:lang w:bidi="ar-EG"/>
        </w:rPr>
        <w:t>المرة الأولى التي يسعى فيها فرع</w:t>
      </w:r>
      <w:r w:rsidR="00397B21">
        <w:rPr>
          <w:rFonts w:hint="cs"/>
          <w:rtl/>
          <w:lang w:bidi="ar-EG"/>
        </w:rPr>
        <w:t xml:space="preserve"> ا</w:t>
      </w:r>
      <w:r w:rsidR="00082A3F">
        <w:rPr>
          <w:rFonts w:hint="cs"/>
          <w:rtl/>
          <w:lang w:bidi="ar-EG"/>
        </w:rPr>
        <w:t xml:space="preserve">لبراءات للحصول على اعتماد رسمي. وتلتزم إدارة المكتب الكندي للبراءات </w:t>
      </w:r>
      <w:r w:rsidR="00975D8C">
        <w:rPr>
          <w:rFonts w:hint="cs"/>
          <w:rtl/>
          <w:lang w:bidi="ar-EG"/>
        </w:rPr>
        <w:t>بمواصلة تحسين عملياته ومنتجاته.</w:t>
      </w:r>
    </w:p>
    <w:p w:rsidR="00937A65" w:rsidRPr="00DB436A" w:rsidRDefault="00937A65" w:rsidP="00937A65">
      <w:pPr>
        <w:pStyle w:val="SectionHeading"/>
        <w:bidi/>
        <w:rPr>
          <w:rFonts w:ascii="Arabic Typesetting" w:hAnsi="Arabic Typesetting" w:cs="Arabic Typesetting"/>
          <w:sz w:val="40"/>
          <w:szCs w:val="40"/>
        </w:rPr>
      </w:pPr>
      <w:r>
        <w:rPr>
          <w:rFonts w:ascii="Arabic Typesetting" w:hAnsi="Arabic Typesetting" w:cs="Arabic Typesetting" w:hint="cs"/>
          <w:sz w:val="40"/>
          <w:szCs w:val="40"/>
          <w:rtl/>
        </w:rPr>
        <w:lastRenderedPageBreak/>
        <w:t xml:space="preserve">3 - </w:t>
      </w:r>
      <w:proofErr w:type="gramStart"/>
      <w:r w:rsidRPr="00937A65">
        <w:rPr>
          <w:rFonts w:ascii="Arabic Typesetting" w:hAnsi="Arabic Typesetting" w:cs="Arabic Typesetting" w:hint="cs"/>
          <w:sz w:val="40"/>
          <w:szCs w:val="40"/>
          <w:rtl/>
          <w:lang w:bidi="ar-EG"/>
        </w:rPr>
        <w:t>نطاق</w:t>
      </w:r>
      <w:proofErr w:type="gramEnd"/>
      <w:r w:rsidRPr="00937A65">
        <w:rPr>
          <w:rFonts w:ascii="Arabic Typesetting" w:hAnsi="Arabic Typesetting" w:cs="Arabic Typesetting" w:hint="cs"/>
          <w:sz w:val="40"/>
          <w:szCs w:val="40"/>
          <w:rtl/>
          <w:lang w:bidi="ar-EG"/>
        </w:rPr>
        <w:t xml:space="preserve"> </w:t>
      </w:r>
      <w:r>
        <w:rPr>
          <w:rFonts w:ascii="Arabic Typesetting" w:hAnsi="Arabic Typesetting" w:cs="Arabic Typesetting" w:hint="cs"/>
          <w:sz w:val="40"/>
          <w:szCs w:val="40"/>
          <w:rtl/>
          <w:lang w:bidi="ar-EG"/>
        </w:rPr>
        <w:t>العمل</w:t>
      </w:r>
      <w:r w:rsidRPr="00937A65">
        <w:rPr>
          <w:rFonts w:ascii="Arabic Typesetting" w:hAnsi="Arabic Typesetting" w:cs="Arabic Typesetting" w:hint="cs"/>
          <w:sz w:val="40"/>
          <w:szCs w:val="40"/>
          <w:rtl/>
          <w:lang w:bidi="ar-EG"/>
        </w:rPr>
        <w:t xml:space="preserve"> المزمع</w:t>
      </w:r>
    </w:p>
    <w:p w:rsidR="00082A3F" w:rsidRDefault="006233E4" w:rsidP="006233E4">
      <w:pPr>
        <w:pStyle w:val="NormalParaAR"/>
        <w:keepNext/>
        <w:rPr>
          <w:b/>
          <w:bCs/>
          <w:rtl/>
          <w:lang w:bidi="ar-EG"/>
        </w:rPr>
      </w:pPr>
      <w:r>
        <w:rPr>
          <w:rFonts w:hint="cs"/>
          <w:b/>
          <w:bCs/>
          <w:rtl/>
          <w:lang w:bidi="ar-EG"/>
        </w:rPr>
        <w:t xml:space="preserve">اللغة (اللغات) التي </w:t>
      </w:r>
      <w:proofErr w:type="gramStart"/>
      <w:r w:rsidR="00082A3F">
        <w:rPr>
          <w:rFonts w:hint="cs"/>
          <w:b/>
          <w:bCs/>
          <w:rtl/>
          <w:lang w:bidi="ar-EG"/>
        </w:rPr>
        <w:t>تقدم</w:t>
      </w:r>
      <w:proofErr w:type="gramEnd"/>
      <w:r w:rsidR="00082A3F">
        <w:rPr>
          <w:rFonts w:hint="cs"/>
          <w:b/>
          <w:bCs/>
          <w:rtl/>
          <w:lang w:bidi="ar-EG"/>
        </w:rPr>
        <w:t xml:space="preserve"> بها الخدمات:</w:t>
      </w:r>
    </w:p>
    <w:p w:rsidR="00082A3F" w:rsidRDefault="00082A3F" w:rsidP="00082A3F">
      <w:pPr>
        <w:pStyle w:val="NormalParaAR"/>
        <w:rPr>
          <w:rtl/>
          <w:lang w:bidi="ar-EG"/>
        </w:rPr>
      </w:pPr>
      <w:r>
        <w:rPr>
          <w:rFonts w:hint="cs"/>
          <w:rtl/>
          <w:lang w:bidi="ar-EG"/>
        </w:rPr>
        <w:t xml:space="preserve">يقدم المكتب الكندي للملكية الفكرية خدماته إلى عملائه باللغتين الإنكليزية </w:t>
      </w:r>
      <w:proofErr w:type="gramStart"/>
      <w:r>
        <w:rPr>
          <w:rFonts w:hint="cs"/>
          <w:rtl/>
          <w:lang w:bidi="ar-EG"/>
        </w:rPr>
        <w:t>والفرنسية</w:t>
      </w:r>
      <w:proofErr w:type="gramEnd"/>
      <w:r>
        <w:rPr>
          <w:rFonts w:hint="cs"/>
          <w:rtl/>
          <w:lang w:bidi="ar-EG"/>
        </w:rPr>
        <w:t>.</w:t>
      </w:r>
    </w:p>
    <w:p w:rsidR="00082A3F" w:rsidRDefault="00082A3F" w:rsidP="008506B0">
      <w:pPr>
        <w:pStyle w:val="NormalParaAR"/>
        <w:keepNext/>
        <w:rPr>
          <w:b/>
          <w:bCs/>
          <w:rtl/>
          <w:lang w:bidi="ar-EG"/>
        </w:rPr>
      </w:pPr>
      <w:proofErr w:type="gramStart"/>
      <w:r>
        <w:rPr>
          <w:rFonts w:hint="cs"/>
          <w:b/>
          <w:bCs/>
          <w:rtl/>
          <w:lang w:bidi="ar-EG"/>
        </w:rPr>
        <w:t>الدولة</w:t>
      </w:r>
      <w:proofErr w:type="gramEnd"/>
      <w:r>
        <w:rPr>
          <w:rFonts w:hint="cs"/>
          <w:b/>
          <w:bCs/>
          <w:rtl/>
          <w:lang w:bidi="ar-EG"/>
        </w:rPr>
        <w:t xml:space="preserve"> (الدول) أو مكتب (مكاتب) تسلم الطلبات التي </w:t>
      </w:r>
      <w:r w:rsidR="00E83C4D">
        <w:rPr>
          <w:rFonts w:hint="cs"/>
          <w:b/>
          <w:bCs/>
          <w:rtl/>
          <w:lang w:bidi="ar-EG"/>
        </w:rPr>
        <w:t xml:space="preserve">تعرض الإدارة أن تكون </w:t>
      </w:r>
      <w:r w:rsidR="008506B0">
        <w:rPr>
          <w:rFonts w:hint="cs"/>
          <w:b/>
          <w:bCs/>
          <w:rtl/>
          <w:lang w:bidi="ar-EG"/>
        </w:rPr>
        <w:t>الإدارة</w:t>
      </w:r>
      <w:r w:rsidR="00E83C4D">
        <w:rPr>
          <w:rFonts w:hint="cs"/>
          <w:b/>
          <w:bCs/>
          <w:rtl/>
          <w:lang w:bidi="ar-EG"/>
        </w:rPr>
        <w:t xml:space="preserve"> المختصة لها:</w:t>
      </w:r>
    </w:p>
    <w:p w:rsidR="00E83C4D" w:rsidRDefault="00E83C4D" w:rsidP="008506B0">
      <w:pPr>
        <w:pStyle w:val="NormalParaAR"/>
        <w:rPr>
          <w:rtl/>
          <w:lang w:bidi="ar-EG"/>
        </w:rPr>
      </w:pPr>
      <w:r>
        <w:rPr>
          <w:rFonts w:hint="cs"/>
          <w:rtl/>
          <w:lang w:bidi="ar-EG"/>
        </w:rPr>
        <w:t xml:space="preserve">المكتب الكندي للملكية الفكرية في الوقت الحالي هو </w:t>
      </w:r>
      <w:r w:rsidR="008506B0">
        <w:rPr>
          <w:rFonts w:hint="cs"/>
          <w:rtl/>
          <w:lang w:bidi="ar-EG"/>
        </w:rPr>
        <w:t>الإدارة</w:t>
      </w:r>
      <w:r>
        <w:rPr>
          <w:rFonts w:hint="cs"/>
          <w:rtl/>
          <w:lang w:bidi="ar-EG"/>
        </w:rPr>
        <w:t xml:space="preserve"> المختصة لكل </w:t>
      </w:r>
      <w:proofErr w:type="gramStart"/>
      <w:r>
        <w:rPr>
          <w:rFonts w:hint="cs"/>
          <w:rtl/>
          <w:lang w:bidi="ar-EG"/>
        </w:rPr>
        <w:t>من</w:t>
      </w:r>
      <w:proofErr w:type="gramEnd"/>
      <w:r>
        <w:rPr>
          <w:rFonts w:hint="cs"/>
          <w:rtl/>
          <w:lang w:bidi="ar-EG"/>
        </w:rPr>
        <w:t>:</w:t>
      </w:r>
    </w:p>
    <w:p w:rsidR="00E83C4D" w:rsidRDefault="00E83C4D" w:rsidP="00E83C4D">
      <w:pPr>
        <w:pStyle w:val="NormalParaAR"/>
        <w:numPr>
          <w:ilvl w:val="0"/>
          <w:numId w:val="24"/>
        </w:numPr>
        <w:rPr>
          <w:lang w:bidi="ar-EG"/>
        </w:rPr>
      </w:pPr>
      <w:r>
        <w:rPr>
          <w:rFonts w:hint="cs"/>
          <w:rtl/>
          <w:lang w:bidi="ar-EG"/>
        </w:rPr>
        <w:t>أ</w:t>
      </w:r>
      <w:r w:rsidRPr="00E83C4D">
        <w:rPr>
          <w:rtl/>
          <w:lang w:bidi="ar-EG"/>
        </w:rPr>
        <w:t xml:space="preserve">نتيغوا </w:t>
      </w:r>
      <w:proofErr w:type="spellStart"/>
      <w:r w:rsidRPr="00E83C4D">
        <w:rPr>
          <w:rtl/>
          <w:lang w:bidi="ar-EG"/>
        </w:rPr>
        <w:t>وبربودا</w:t>
      </w:r>
      <w:proofErr w:type="spellEnd"/>
    </w:p>
    <w:p w:rsidR="00E83C4D" w:rsidRDefault="00E83C4D" w:rsidP="00E83C4D">
      <w:pPr>
        <w:pStyle w:val="NormalParaAR"/>
        <w:numPr>
          <w:ilvl w:val="0"/>
          <w:numId w:val="24"/>
        </w:numPr>
        <w:rPr>
          <w:lang w:bidi="ar-EG"/>
        </w:rPr>
      </w:pPr>
      <w:r>
        <w:rPr>
          <w:rFonts w:hint="cs"/>
          <w:rtl/>
          <w:lang w:bidi="ar-EG"/>
        </w:rPr>
        <w:t>بيليز</w:t>
      </w:r>
    </w:p>
    <w:p w:rsidR="00E83C4D" w:rsidRDefault="00E83C4D" w:rsidP="00E83C4D">
      <w:pPr>
        <w:pStyle w:val="NormalParaAR"/>
        <w:numPr>
          <w:ilvl w:val="0"/>
          <w:numId w:val="24"/>
        </w:numPr>
        <w:rPr>
          <w:lang w:bidi="ar-EG"/>
        </w:rPr>
      </w:pPr>
      <w:r>
        <w:rPr>
          <w:rFonts w:hint="cs"/>
          <w:rtl/>
          <w:lang w:bidi="ar-EG"/>
        </w:rPr>
        <w:t>كندا</w:t>
      </w:r>
    </w:p>
    <w:p w:rsidR="00E83C4D" w:rsidRDefault="00E83C4D" w:rsidP="00E83C4D">
      <w:pPr>
        <w:pStyle w:val="NormalParaAR"/>
        <w:numPr>
          <w:ilvl w:val="0"/>
          <w:numId w:val="24"/>
        </w:numPr>
        <w:rPr>
          <w:lang w:bidi="ar-EG"/>
        </w:rPr>
      </w:pPr>
      <w:r>
        <w:rPr>
          <w:rFonts w:hint="cs"/>
          <w:rtl/>
          <w:lang w:bidi="ar-EG"/>
        </w:rPr>
        <w:t>نيجيريا</w:t>
      </w:r>
    </w:p>
    <w:p w:rsidR="00E83C4D" w:rsidRDefault="00E83C4D" w:rsidP="00E83C4D">
      <w:pPr>
        <w:pStyle w:val="NormalParaAR"/>
        <w:numPr>
          <w:ilvl w:val="0"/>
          <w:numId w:val="24"/>
        </w:numPr>
        <w:rPr>
          <w:lang w:bidi="ar-EG"/>
        </w:rPr>
      </w:pPr>
      <w:r w:rsidRPr="00E83C4D">
        <w:rPr>
          <w:rtl/>
          <w:lang w:bidi="ar-EG"/>
        </w:rPr>
        <w:t>سانت فنسنت وجزر غرينادين</w:t>
      </w:r>
    </w:p>
    <w:p w:rsidR="00E83C4D" w:rsidRDefault="00E83C4D" w:rsidP="00E83C4D">
      <w:pPr>
        <w:pStyle w:val="NormalParaAR"/>
        <w:numPr>
          <w:ilvl w:val="0"/>
          <w:numId w:val="24"/>
        </w:numPr>
        <w:rPr>
          <w:lang w:bidi="ar-EG"/>
        </w:rPr>
      </w:pPr>
      <w:proofErr w:type="gramStart"/>
      <w:r>
        <w:rPr>
          <w:rFonts w:hint="cs"/>
          <w:rtl/>
          <w:lang w:bidi="ar-EG"/>
        </w:rPr>
        <w:t>المملكة</w:t>
      </w:r>
      <w:proofErr w:type="gramEnd"/>
      <w:r>
        <w:rPr>
          <w:rFonts w:hint="cs"/>
          <w:rtl/>
          <w:lang w:bidi="ar-EG"/>
        </w:rPr>
        <w:t xml:space="preserve"> العربية السعودية</w:t>
      </w:r>
    </w:p>
    <w:p w:rsidR="00E83C4D" w:rsidRDefault="00E83C4D" w:rsidP="006233E4">
      <w:pPr>
        <w:pStyle w:val="NormalParaAR"/>
        <w:rPr>
          <w:rtl/>
          <w:lang w:bidi="ar-EG"/>
        </w:rPr>
      </w:pPr>
      <w:proofErr w:type="gramStart"/>
      <w:r>
        <w:rPr>
          <w:rFonts w:hint="cs"/>
          <w:rtl/>
          <w:lang w:bidi="ar-EG"/>
        </w:rPr>
        <w:t>ويقدم</w:t>
      </w:r>
      <w:proofErr w:type="gramEnd"/>
      <w:r>
        <w:rPr>
          <w:rFonts w:hint="cs"/>
          <w:rtl/>
          <w:lang w:bidi="ar-EG"/>
        </w:rPr>
        <w:t xml:space="preserve"> المكتب الكندي للملكية الفكرية خدماته إلى أي دولة تعتبر بلد</w:t>
      </w:r>
      <w:r w:rsidR="006233E4">
        <w:rPr>
          <w:rFonts w:hint="cs"/>
          <w:rtl/>
          <w:lang w:bidi="ar-EG"/>
        </w:rPr>
        <w:t>ا</w:t>
      </w:r>
      <w:r>
        <w:rPr>
          <w:rFonts w:hint="cs"/>
          <w:rtl/>
          <w:lang w:bidi="ar-EG"/>
        </w:rPr>
        <w:t xml:space="preserve"> نام</w:t>
      </w:r>
      <w:r w:rsidR="006233E4">
        <w:rPr>
          <w:rFonts w:hint="cs"/>
          <w:rtl/>
          <w:lang w:bidi="ar-EG"/>
        </w:rPr>
        <w:t>يا</w:t>
      </w:r>
      <w:r>
        <w:rPr>
          <w:rFonts w:hint="cs"/>
          <w:rtl/>
          <w:lang w:bidi="ar-EG"/>
        </w:rPr>
        <w:t>ٍ وفقا للم</w:t>
      </w:r>
      <w:r w:rsidR="006233E4">
        <w:rPr>
          <w:rFonts w:hint="cs"/>
          <w:rtl/>
          <w:lang w:bidi="ar-EG"/>
        </w:rPr>
        <w:t>م</w:t>
      </w:r>
      <w:r>
        <w:rPr>
          <w:rFonts w:hint="cs"/>
          <w:rtl/>
          <w:lang w:bidi="ar-EG"/>
        </w:rPr>
        <w:t xml:space="preserve">ارسات المعمول بها في الجمعية العامة </w:t>
      </w:r>
      <w:r w:rsidR="006233E4">
        <w:rPr>
          <w:rFonts w:hint="cs"/>
          <w:rtl/>
          <w:lang w:bidi="ar-EG"/>
        </w:rPr>
        <w:t>ل</w:t>
      </w:r>
      <w:r>
        <w:rPr>
          <w:rFonts w:hint="cs"/>
          <w:rtl/>
          <w:lang w:bidi="ar-EG"/>
        </w:rPr>
        <w:t>لأمم المتحدة.</w:t>
      </w:r>
    </w:p>
    <w:p w:rsidR="00A57973" w:rsidRDefault="00A57973" w:rsidP="008506B0">
      <w:pPr>
        <w:pStyle w:val="NormalParaAR"/>
        <w:rPr>
          <w:rtl/>
          <w:lang w:bidi="ar-EG"/>
        </w:rPr>
      </w:pPr>
      <w:proofErr w:type="gramStart"/>
      <w:r>
        <w:rPr>
          <w:rFonts w:hint="cs"/>
          <w:rtl/>
          <w:lang w:bidi="ar-EG"/>
        </w:rPr>
        <w:t>و</w:t>
      </w:r>
      <w:r w:rsidR="00E02B93">
        <w:rPr>
          <w:rFonts w:hint="cs"/>
          <w:rtl/>
          <w:lang w:bidi="ar-EG"/>
        </w:rPr>
        <w:t>المكتب</w:t>
      </w:r>
      <w:proofErr w:type="gramEnd"/>
      <w:r w:rsidR="00E02B93">
        <w:rPr>
          <w:rFonts w:hint="cs"/>
          <w:rtl/>
          <w:lang w:bidi="ar-EG"/>
        </w:rPr>
        <w:t xml:space="preserve"> الكندي للملكية الفكرية على استعداد للنظر في أي طلبات ترد لكي يكون </w:t>
      </w:r>
      <w:r w:rsidR="008506B0">
        <w:rPr>
          <w:rFonts w:hint="cs"/>
          <w:rtl/>
          <w:lang w:bidi="ar-EG"/>
        </w:rPr>
        <w:t>الإدارة</w:t>
      </w:r>
      <w:r w:rsidR="00E02B93">
        <w:rPr>
          <w:rFonts w:hint="cs"/>
          <w:rtl/>
          <w:lang w:bidi="ar-EG"/>
        </w:rPr>
        <w:t xml:space="preserve"> المختصة لأي مكتب من مكاتب </w:t>
      </w:r>
      <w:r w:rsidR="006233E4">
        <w:rPr>
          <w:rFonts w:hint="cs"/>
          <w:rtl/>
          <w:lang w:bidi="ar-EG"/>
        </w:rPr>
        <w:t>تسلم</w:t>
      </w:r>
      <w:r w:rsidR="00E02B93">
        <w:rPr>
          <w:rFonts w:hint="cs"/>
          <w:rtl/>
          <w:lang w:bidi="ar-EG"/>
        </w:rPr>
        <w:t xml:space="preserve"> الطلبات الأخرى الراغبة في تقديم خدماتها باللغة الفرنسية.</w:t>
      </w:r>
    </w:p>
    <w:p w:rsidR="00E02B93" w:rsidRDefault="00937A65" w:rsidP="008506B0">
      <w:pPr>
        <w:pStyle w:val="NormalParaAR"/>
        <w:keepNext/>
        <w:rPr>
          <w:b/>
          <w:bCs/>
          <w:rtl/>
          <w:lang w:bidi="ar-EG"/>
        </w:rPr>
      </w:pPr>
      <w:r>
        <w:rPr>
          <w:rFonts w:hint="cs"/>
          <w:b/>
          <w:bCs/>
          <w:rtl/>
          <w:lang w:bidi="ar-EG"/>
        </w:rPr>
        <w:t>القيود على نطاق العمل</w:t>
      </w:r>
      <w:r w:rsidR="00E02B93">
        <w:rPr>
          <w:rFonts w:hint="cs"/>
          <w:b/>
          <w:bCs/>
          <w:rtl/>
          <w:lang w:bidi="ar-EG"/>
        </w:rPr>
        <w:t>:</w:t>
      </w:r>
    </w:p>
    <w:p w:rsidR="00E02B93" w:rsidRDefault="00E02B93" w:rsidP="00E02B93">
      <w:pPr>
        <w:pStyle w:val="NormalParaAR"/>
        <w:rPr>
          <w:rtl/>
          <w:lang w:bidi="ar-EG"/>
        </w:rPr>
      </w:pPr>
      <w:r>
        <w:rPr>
          <w:rFonts w:hint="cs"/>
          <w:rtl/>
          <w:lang w:bidi="ar-EG"/>
        </w:rPr>
        <w:t>لا يعاني المكتب الكندي للملكية الفكرية من أية قيود على نطاق عمله باستثناء ما قد يو</w:t>
      </w:r>
      <w:r w:rsidR="008506B0">
        <w:rPr>
          <w:rFonts w:hint="cs"/>
          <w:rtl/>
          <w:lang w:bidi="ar-EG"/>
        </w:rPr>
        <w:t>اجه الدول التي يعمل بصفته الإدارة</w:t>
      </w:r>
      <w:r>
        <w:rPr>
          <w:rFonts w:hint="cs"/>
          <w:rtl/>
          <w:lang w:bidi="ar-EG"/>
        </w:rPr>
        <w:t xml:space="preserve"> المختصة لها أو التي عرض عليها العمل بهذه الصفة.</w:t>
      </w:r>
    </w:p>
    <w:p w:rsidR="008506B0" w:rsidRPr="00DB436A" w:rsidRDefault="008506B0" w:rsidP="008506B0">
      <w:pPr>
        <w:pStyle w:val="SectionHeading"/>
        <w:bidi/>
        <w:rPr>
          <w:rFonts w:ascii="Arabic Typesetting" w:hAnsi="Arabic Typesetting" w:cs="Arabic Typesetting"/>
          <w:sz w:val="40"/>
          <w:szCs w:val="40"/>
        </w:rPr>
      </w:pPr>
      <w:r>
        <w:rPr>
          <w:rFonts w:ascii="Arabic Typesetting" w:hAnsi="Arabic Typesetting" w:cs="Arabic Typesetting" w:hint="cs"/>
          <w:sz w:val="40"/>
          <w:szCs w:val="40"/>
          <w:rtl/>
        </w:rPr>
        <w:t xml:space="preserve">4 - </w:t>
      </w:r>
      <w:proofErr w:type="gramStart"/>
      <w:r w:rsidRPr="008506B0">
        <w:rPr>
          <w:rFonts w:ascii="Arabic Typesetting" w:hAnsi="Arabic Typesetting" w:cs="Arabic Typesetting" w:hint="cs"/>
          <w:sz w:val="40"/>
          <w:szCs w:val="40"/>
          <w:rtl/>
          <w:lang w:bidi="ar-EG"/>
        </w:rPr>
        <w:t>دوافع</w:t>
      </w:r>
      <w:proofErr w:type="gramEnd"/>
      <w:r w:rsidRPr="008506B0">
        <w:rPr>
          <w:rFonts w:ascii="Arabic Typesetting" w:hAnsi="Arabic Typesetting" w:cs="Arabic Typesetting" w:hint="cs"/>
          <w:sz w:val="40"/>
          <w:szCs w:val="40"/>
          <w:rtl/>
          <w:lang w:bidi="ar-EG"/>
        </w:rPr>
        <w:t xml:space="preserve"> الطلب</w:t>
      </w:r>
    </w:p>
    <w:p w:rsidR="00E83C4D" w:rsidRDefault="00E02B93" w:rsidP="0081618B">
      <w:pPr>
        <w:pStyle w:val="NormalParaAR"/>
        <w:rPr>
          <w:rtl/>
          <w:lang w:bidi="ar-EG"/>
        </w:rPr>
      </w:pPr>
      <w:r>
        <w:rPr>
          <w:rFonts w:hint="cs"/>
          <w:rtl/>
          <w:lang w:bidi="ar-EG"/>
        </w:rPr>
        <w:t>يوفر المكتب الكندي للملكية الفكرية في إطار عمله بصفته إدارة للبحث ا</w:t>
      </w:r>
      <w:r w:rsidR="008506B0">
        <w:rPr>
          <w:rFonts w:hint="cs"/>
          <w:rtl/>
          <w:lang w:bidi="ar-EG"/>
        </w:rPr>
        <w:t>لدولي وإدارة للفحص التمهيدي ل</w:t>
      </w:r>
      <w:r>
        <w:rPr>
          <w:rFonts w:hint="cs"/>
          <w:rtl/>
          <w:lang w:bidi="ar-EG"/>
        </w:rPr>
        <w:t>مختلف فئات عملائه قدرة أكبر على النفاذ إلى النظام ال</w:t>
      </w:r>
      <w:r w:rsidR="0081618B">
        <w:rPr>
          <w:rFonts w:hint="cs"/>
          <w:rtl/>
          <w:lang w:bidi="ar-EG"/>
        </w:rPr>
        <w:t>دولي للبراءات. ويتيح المكتب ل</w:t>
      </w:r>
      <w:r>
        <w:rPr>
          <w:rFonts w:hint="cs"/>
          <w:rtl/>
          <w:lang w:bidi="ar-EG"/>
        </w:rPr>
        <w:t>مقدمي الطلبات الكنديين تجربة تتوافق مع احتياجاتهم الشخصية، فمن خلال المكتب المحلي والموظفين المحليين يستأنس العميل بمن يقدم له الخدمة باللغة الرسمية التي يختارها. و</w:t>
      </w:r>
      <w:r w:rsidR="00397B21">
        <w:rPr>
          <w:rFonts w:hint="cs"/>
          <w:rtl/>
          <w:lang w:bidi="ar-EG"/>
        </w:rPr>
        <w:t xml:space="preserve">يعني </w:t>
      </w:r>
      <w:r>
        <w:rPr>
          <w:rFonts w:hint="cs"/>
          <w:rtl/>
          <w:lang w:bidi="ar-EG"/>
        </w:rPr>
        <w:t>عمل المكتب في كندا أن مقدم</w:t>
      </w:r>
      <w:r w:rsidR="00397B21">
        <w:rPr>
          <w:rFonts w:hint="cs"/>
          <w:rtl/>
          <w:lang w:bidi="ar-EG"/>
        </w:rPr>
        <w:t xml:space="preserve">ي الطلبات من الكنديين بإمكانهم </w:t>
      </w:r>
      <w:r>
        <w:rPr>
          <w:rFonts w:hint="cs"/>
          <w:rtl/>
          <w:lang w:bidi="ar-EG"/>
        </w:rPr>
        <w:t>السداد بالعملة الكندية ويعملون كذلك في حدود مناطق توقيت معلومة.</w:t>
      </w:r>
      <w:r w:rsidR="00340919">
        <w:rPr>
          <w:rFonts w:hint="cs"/>
          <w:rtl/>
          <w:lang w:bidi="ar-EG"/>
        </w:rPr>
        <w:t xml:space="preserve"> </w:t>
      </w:r>
      <w:r w:rsidR="00397B21">
        <w:rPr>
          <w:rFonts w:hint="cs"/>
          <w:rtl/>
          <w:lang w:bidi="ar-EG"/>
        </w:rPr>
        <w:t xml:space="preserve">وكل هذا من شأنه أن </w:t>
      </w:r>
      <w:r>
        <w:rPr>
          <w:rFonts w:hint="cs"/>
          <w:rtl/>
          <w:lang w:bidi="ar-EG"/>
        </w:rPr>
        <w:t xml:space="preserve">ييسر </w:t>
      </w:r>
      <w:r w:rsidR="0081618B">
        <w:rPr>
          <w:rFonts w:hint="cs"/>
          <w:rtl/>
          <w:lang w:bidi="ar-EG"/>
        </w:rPr>
        <w:t>معالجة ا</w:t>
      </w:r>
      <w:r>
        <w:rPr>
          <w:rFonts w:hint="cs"/>
          <w:rtl/>
          <w:lang w:bidi="ar-EG"/>
        </w:rPr>
        <w:t xml:space="preserve">لطلبات الدولية بموجب اتفاقية التعاون بشأن البراءات </w:t>
      </w:r>
      <w:r w:rsidR="0081618B">
        <w:rPr>
          <w:rFonts w:hint="cs"/>
          <w:rtl/>
          <w:lang w:bidi="ar-EG"/>
        </w:rPr>
        <w:t xml:space="preserve">بما يخدم مصالح </w:t>
      </w:r>
      <w:r>
        <w:rPr>
          <w:rFonts w:hint="cs"/>
          <w:rtl/>
          <w:lang w:bidi="ar-EG"/>
        </w:rPr>
        <w:t xml:space="preserve">مقدمي الطلبات </w:t>
      </w:r>
      <w:r w:rsidR="0081618B">
        <w:rPr>
          <w:rFonts w:hint="cs"/>
          <w:rtl/>
          <w:lang w:bidi="ar-EG"/>
        </w:rPr>
        <w:t>ال</w:t>
      </w:r>
      <w:r>
        <w:rPr>
          <w:rFonts w:hint="cs"/>
          <w:rtl/>
          <w:lang w:bidi="ar-EG"/>
        </w:rPr>
        <w:t xml:space="preserve">كنديين، مما يمكنهم من </w:t>
      </w:r>
      <w:r w:rsidR="0081618B">
        <w:rPr>
          <w:rFonts w:hint="cs"/>
          <w:rtl/>
          <w:lang w:bidi="ar-EG"/>
        </w:rPr>
        <w:t>زيادة</w:t>
      </w:r>
      <w:r>
        <w:rPr>
          <w:rFonts w:hint="cs"/>
          <w:rtl/>
          <w:lang w:bidi="ar-EG"/>
        </w:rPr>
        <w:t xml:space="preserve"> بالإنتاجية </w:t>
      </w:r>
      <w:r w:rsidR="0081618B">
        <w:rPr>
          <w:rFonts w:hint="cs"/>
          <w:rtl/>
          <w:lang w:bidi="ar-EG"/>
        </w:rPr>
        <w:t>وتعزيز قدرتهم</w:t>
      </w:r>
      <w:r>
        <w:rPr>
          <w:rFonts w:hint="cs"/>
          <w:rtl/>
          <w:lang w:bidi="ar-EG"/>
        </w:rPr>
        <w:t xml:space="preserve"> </w:t>
      </w:r>
      <w:r w:rsidR="0081618B">
        <w:rPr>
          <w:rFonts w:hint="cs"/>
          <w:rtl/>
          <w:lang w:bidi="ar-EG"/>
        </w:rPr>
        <w:t>ال</w:t>
      </w:r>
      <w:r>
        <w:rPr>
          <w:rFonts w:hint="cs"/>
          <w:rtl/>
          <w:lang w:bidi="ar-EG"/>
        </w:rPr>
        <w:t xml:space="preserve">تنافسية في إطار اقتصاد قوامه المعرفة. </w:t>
      </w:r>
      <w:r>
        <w:rPr>
          <w:rFonts w:hint="cs"/>
          <w:rtl/>
          <w:lang w:bidi="ar-EG"/>
        </w:rPr>
        <w:lastRenderedPageBreak/>
        <w:t>وتعز</w:t>
      </w:r>
      <w:r w:rsidR="00F45D23">
        <w:rPr>
          <w:rFonts w:hint="cs"/>
          <w:rtl/>
          <w:lang w:bidi="ar-EG"/>
        </w:rPr>
        <w:t>ّ</w:t>
      </w:r>
      <w:r>
        <w:rPr>
          <w:rFonts w:hint="cs"/>
          <w:rtl/>
          <w:lang w:bidi="ar-EG"/>
        </w:rPr>
        <w:t xml:space="preserve">ز مكانة </w:t>
      </w:r>
      <w:proofErr w:type="gramStart"/>
      <w:r>
        <w:rPr>
          <w:rFonts w:hint="cs"/>
          <w:rtl/>
          <w:lang w:bidi="ar-EG"/>
        </w:rPr>
        <w:t>المكتب</w:t>
      </w:r>
      <w:proofErr w:type="gramEnd"/>
      <w:r>
        <w:rPr>
          <w:rFonts w:hint="cs"/>
          <w:rtl/>
          <w:lang w:bidi="ar-EG"/>
        </w:rPr>
        <w:t xml:space="preserve"> الكندي للملكية الفكرية كإدارة للبحث الدولي وإدارة للفحص التمهيدي الدولي التزامه بالامتياز في مجالي العلاقة بال</w:t>
      </w:r>
      <w:r w:rsidR="00397B21">
        <w:rPr>
          <w:rFonts w:hint="cs"/>
          <w:rtl/>
          <w:lang w:bidi="ar-EG"/>
        </w:rPr>
        <w:t>زبائن</w:t>
      </w:r>
      <w:r>
        <w:rPr>
          <w:rFonts w:hint="cs"/>
          <w:rtl/>
          <w:lang w:bidi="ar-EG"/>
        </w:rPr>
        <w:t xml:space="preserve"> وتقديم الخدمة.</w:t>
      </w:r>
    </w:p>
    <w:p w:rsidR="000E516C" w:rsidRDefault="000E516C" w:rsidP="00F45D23">
      <w:pPr>
        <w:pStyle w:val="NormalParaAR"/>
        <w:rPr>
          <w:rtl/>
          <w:lang w:bidi="ar-EG"/>
        </w:rPr>
      </w:pPr>
      <w:r>
        <w:rPr>
          <w:rFonts w:hint="cs"/>
          <w:rtl/>
          <w:lang w:bidi="ar-EG"/>
        </w:rPr>
        <w:t>ويتمتع المكتب الكندي للملكية الفكرية باتساع جغرافي حيث تتيح له مكانته بصفته إدارة دولية متوسطة الحجم ومتمتعة بمعارف قانونية قوامها القانون البريطاني الفرصة في سد الحاجة في منطقة أمريكا الشمالية وأمريكا ا</w:t>
      </w:r>
      <w:r w:rsidR="00397B21">
        <w:rPr>
          <w:rFonts w:hint="cs"/>
          <w:rtl/>
          <w:lang w:bidi="ar-EG"/>
        </w:rPr>
        <w:t>لجنوبية من خلال تقديم دعم موجه إ</w:t>
      </w:r>
      <w:r>
        <w:rPr>
          <w:rFonts w:hint="cs"/>
          <w:rtl/>
          <w:lang w:bidi="ar-EG"/>
        </w:rPr>
        <w:t xml:space="preserve">لى المكاتب في تلك المنطقة، وتقدم هذه الخدمات على وجه الخصوص إلى </w:t>
      </w:r>
      <w:r w:rsidR="00F45D23">
        <w:rPr>
          <w:rFonts w:hint="cs"/>
          <w:rtl/>
          <w:lang w:bidi="ar-EG"/>
        </w:rPr>
        <w:t>المكاتب</w:t>
      </w:r>
      <w:r>
        <w:rPr>
          <w:rFonts w:hint="cs"/>
          <w:rtl/>
          <w:lang w:bidi="ar-EG"/>
        </w:rPr>
        <w:t xml:space="preserve"> التي يكون المكتب </w:t>
      </w:r>
      <w:r w:rsidR="00F45D23">
        <w:rPr>
          <w:rFonts w:hint="cs"/>
          <w:rtl/>
          <w:lang w:bidi="ar-EG"/>
        </w:rPr>
        <w:t>إدارتها</w:t>
      </w:r>
      <w:r>
        <w:rPr>
          <w:rFonts w:hint="cs"/>
          <w:rtl/>
          <w:lang w:bidi="ar-EG"/>
        </w:rPr>
        <w:t xml:space="preserve"> المختصة. وقدم المكتب الكندي للملكية الفكرية دعمًا </w:t>
      </w:r>
      <w:r w:rsidR="00F45D23">
        <w:rPr>
          <w:rFonts w:hint="cs"/>
          <w:rtl/>
          <w:lang w:bidi="ar-EG"/>
        </w:rPr>
        <w:t>تقنيا</w:t>
      </w:r>
      <w:r>
        <w:rPr>
          <w:rFonts w:hint="cs"/>
          <w:rtl/>
          <w:lang w:bidi="ar-EG"/>
        </w:rPr>
        <w:t xml:space="preserve"> إلى أغلب بلدان الكاريبي من خلال عدد من الندوات المتعلقة بمعاهدة التعاون بشأن</w:t>
      </w:r>
      <w:r w:rsidR="00F45D23">
        <w:rPr>
          <w:rFonts w:hint="cs"/>
          <w:rtl/>
          <w:lang w:bidi="ar-EG"/>
        </w:rPr>
        <w:t xml:space="preserve"> البراءات التي نظمتها الويبو. و</w:t>
      </w:r>
      <w:r w:rsidR="007F45CA">
        <w:rPr>
          <w:rFonts w:hint="cs"/>
          <w:rtl/>
          <w:lang w:bidi="ar-EG"/>
        </w:rPr>
        <w:t>ال</w:t>
      </w:r>
      <w:r>
        <w:rPr>
          <w:rFonts w:hint="cs"/>
          <w:rtl/>
          <w:lang w:bidi="ar-EG"/>
        </w:rPr>
        <w:t xml:space="preserve">مساعدة التي بإمكان المكتب الكندي للملكية الفكرية تقديمها </w:t>
      </w:r>
      <w:r w:rsidR="00F45D23">
        <w:rPr>
          <w:rFonts w:hint="cs"/>
          <w:rtl/>
          <w:lang w:bidi="ar-EG"/>
        </w:rPr>
        <w:t>من حيث الحجم والنوع،</w:t>
      </w:r>
      <w:r>
        <w:rPr>
          <w:rFonts w:hint="cs"/>
          <w:rtl/>
          <w:lang w:bidi="ar-EG"/>
        </w:rPr>
        <w:t xml:space="preserve"> بل </w:t>
      </w:r>
      <w:r w:rsidR="00397B21">
        <w:rPr>
          <w:rFonts w:hint="cs"/>
          <w:rtl/>
          <w:lang w:bidi="ar-EG"/>
        </w:rPr>
        <w:t>و</w:t>
      </w:r>
      <w:r>
        <w:rPr>
          <w:rFonts w:hint="cs"/>
          <w:rtl/>
          <w:lang w:bidi="ar-EG"/>
        </w:rPr>
        <w:t>قدرته على تقديم المساعدة المكيفة في هذه المنطقة</w:t>
      </w:r>
      <w:r w:rsidR="00F45D23">
        <w:rPr>
          <w:rFonts w:hint="cs"/>
          <w:rtl/>
          <w:lang w:bidi="ar-EG"/>
        </w:rPr>
        <w:t>،</w:t>
      </w:r>
      <w:r>
        <w:rPr>
          <w:rFonts w:hint="cs"/>
          <w:rtl/>
          <w:lang w:bidi="ar-EG"/>
        </w:rPr>
        <w:t xml:space="preserve"> </w:t>
      </w:r>
      <w:r w:rsidR="007F45CA">
        <w:rPr>
          <w:rFonts w:hint="cs"/>
          <w:rtl/>
          <w:lang w:bidi="ar-EG"/>
        </w:rPr>
        <w:t xml:space="preserve">أمور </w:t>
      </w:r>
      <w:r>
        <w:rPr>
          <w:rFonts w:hint="cs"/>
          <w:rtl/>
          <w:lang w:bidi="ar-EG"/>
        </w:rPr>
        <w:t>لا طاقة للإدارات الدولية الأكبر في المنطقة بتقديمها.</w:t>
      </w:r>
    </w:p>
    <w:p w:rsidR="000E516C" w:rsidRDefault="000E516C" w:rsidP="00F45D23">
      <w:pPr>
        <w:pStyle w:val="NormalParaAR"/>
        <w:rPr>
          <w:rtl/>
          <w:lang w:bidi="ar-EG"/>
        </w:rPr>
      </w:pPr>
      <w:r>
        <w:rPr>
          <w:rFonts w:hint="cs"/>
          <w:rtl/>
          <w:lang w:bidi="ar-EG"/>
        </w:rPr>
        <w:t xml:space="preserve">ويشارك المكتب الكندي للملكية الفكرية في </w:t>
      </w:r>
      <w:r w:rsidRPr="000E516C">
        <w:rPr>
          <w:rtl/>
          <w:lang w:bidi="ar-EG"/>
        </w:rPr>
        <w:t>برنامج التعاون الدولي للبحث وفحص الاختراعات</w:t>
      </w:r>
      <w:r>
        <w:rPr>
          <w:rFonts w:hint="cs"/>
          <w:rtl/>
          <w:lang w:bidi="ar-EG"/>
        </w:rPr>
        <w:t xml:space="preserve"> (</w:t>
      </w:r>
      <w:r>
        <w:rPr>
          <w:lang w:bidi="ar-EG"/>
        </w:rPr>
        <w:t>ICSEI</w:t>
      </w:r>
      <w:r>
        <w:rPr>
          <w:rFonts w:hint="cs"/>
          <w:rtl/>
          <w:lang w:bidi="ar-EG"/>
        </w:rPr>
        <w:t>)</w:t>
      </w:r>
      <w:r w:rsidR="008E3923">
        <w:rPr>
          <w:rFonts w:hint="cs"/>
          <w:rtl/>
          <w:lang w:bidi="ar-EG"/>
        </w:rPr>
        <w:t xml:space="preserve"> الذي تقدمه </w:t>
      </w:r>
      <w:proofErr w:type="spellStart"/>
      <w:r w:rsidR="008E3923">
        <w:rPr>
          <w:rFonts w:hint="cs"/>
          <w:rtl/>
          <w:lang w:bidi="ar-EG"/>
        </w:rPr>
        <w:t>الويبو</w:t>
      </w:r>
      <w:proofErr w:type="spellEnd"/>
      <w:r w:rsidR="008E3923">
        <w:rPr>
          <w:rFonts w:hint="cs"/>
          <w:rtl/>
          <w:lang w:bidi="ar-EG"/>
        </w:rPr>
        <w:t xml:space="preserve"> إلى العديد من البلدان النامية. ووضع المكتب الكندي للملكية الفكرية كإدارة دولية، ولا</w:t>
      </w:r>
      <w:r w:rsidR="00F45D23">
        <w:rPr>
          <w:rFonts w:hint="eastAsia"/>
          <w:rtl/>
          <w:lang w:bidi="ar-EG"/>
        </w:rPr>
        <w:t> </w:t>
      </w:r>
      <w:r w:rsidR="008E3923">
        <w:rPr>
          <w:rFonts w:hint="cs"/>
          <w:rtl/>
          <w:lang w:bidi="ar-EG"/>
        </w:rPr>
        <w:t>سيما قدرته على تقديم الخدمات باللغة الفرنسية يمكناه من حسن إنجاز البحث والفحص</w:t>
      </w:r>
      <w:r w:rsidR="00F45D23">
        <w:rPr>
          <w:rFonts w:hint="cs"/>
          <w:rtl/>
          <w:lang w:bidi="ar-EG"/>
        </w:rPr>
        <w:t xml:space="preserve"> وتقييم الجدة والنشاط الابتكاري</w:t>
      </w:r>
      <w:r w:rsidR="008E3923">
        <w:rPr>
          <w:rFonts w:hint="cs"/>
          <w:rtl/>
          <w:lang w:bidi="ar-EG"/>
        </w:rPr>
        <w:t xml:space="preserve"> لطلبات البراءات المودعة لدى مكاتب الملكية الصناعية، من تلك التي </w:t>
      </w:r>
      <w:r w:rsidR="00F45D23">
        <w:rPr>
          <w:rFonts w:hint="cs"/>
          <w:rtl/>
          <w:lang w:bidi="ar-EG"/>
        </w:rPr>
        <w:t>ليست لها أولوية أو تلك التي لم ت</w:t>
      </w:r>
      <w:r w:rsidR="008E3923">
        <w:rPr>
          <w:rFonts w:hint="cs"/>
          <w:rtl/>
          <w:lang w:bidi="ar-EG"/>
        </w:rPr>
        <w:t xml:space="preserve">صدر </w:t>
      </w:r>
      <w:r w:rsidR="00F45D23">
        <w:rPr>
          <w:rFonts w:hint="cs"/>
          <w:rtl/>
          <w:lang w:bidi="ar-EG"/>
        </w:rPr>
        <w:t>بشأنها</w:t>
      </w:r>
      <w:r w:rsidR="008E3923">
        <w:rPr>
          <w:rFonts w:hint="cs"/>
          <w:rtl/>
          <w:lang w:bidi="ar-EG"/>
        </w:rPr>
        <w:t xml:space="preserve"> تقارير </w:t>
      </w:r>
      <w:r w:rsidR="00F45D23">
        <w:rPr>
          <w:rFonts w:hint="cs"/>
          <w:rtl/>
          <w:lang w:bidi="ar-EG"/>
        </w:rPr>
        <w:t xml:space="preserve">بحث </w:t>
      </w:r>
      <w:r w:rsidR="008E3923">
        <w:rPr>
          <w:rFonts w:hint="cs"/>
          <w:rtl/>
          <w:lang w:bidi="ar-EG"/>
        </w:rPr>
        <w:t>معتمدة ، والتي ترسل إليه بموجب برنامج التعاون الدولي للبحث وفحص الاختراعات.</w:t>
      </w:r>
      <w:r w:rsidR="00340919">
        <w:rPr>
          <w:rFonts w:hint="cs"/>
          <w:rtl/>
          <w:lang w:bidi="ar-EG"/>
        </w:rPr>
        <w:t xml:space="preserve"> </w:t>
      </w:r>
      <w:r w:rsidR="008E3923">
        <w:rPr>
          <w:rFonts w:hint="cs"/>
          <w:rtl/>
          <w:lang w:bidi="ar-EG"/>
        </w:rPr>
        <w:t>ويملأ المكتب الكندي للبراءات في الوقت الحالي فراغًا بصفته المكتب الوحيد الذي يقدم خدمات برنامج (</w:t>
      </w:r>
      <w:r w:rsidR="008E3923">
        <w:rPr>
          <w:lang w:bidi="ar-EG"/>
        </w:rPr>
        <w:t>ICSEI</w:t>
      </w:r>
      <w:r w:rsidR="008E3923">
        <w:rPr>
          <w:rFonts w:hint="cs"/>
          <w:rtl/>
          <w:lang w:bidi="ar-EG"/>
        </w:rPr>
        <w:t>) بالفرنسية.</w:t>
      </w:r>
    </w:p>
    <w:p w:rsidR="008E3923" w:rsidRDefault="008E3923" w:rsidP="00F45D23">
      <w:pPr>
        <w:pStyle w:val="NormalParaAR"/>
        <w:rPr>
          <w:rtl/>
          <w:lang w:bidi="ar-EG"/>
        </w:rPr>
      </w:pPr>
      <w:r>
        <w:rPr>
          <w:rFonts w:hint="cs"/>
          <w:rtl/>
          <w:lang w:bidi="ar-EG"/>
        </w:rPr>
        <w:t xml:space="preserve">ونظرًا لأن المكتب الكندي للملكية الفكرية ظل </w:t>
      </w:r>
      <w:r w:rsidR="00F45D23">
        <w:rPr>
          <w:rFonts w:hint="cs"/>
          <w:rtl/>
          <w:lang w:bidi="ar-EG"/>
        </w:rPr>
        <w:t>لفترة طويلة</w:t>
      </w:r>
      <w:r>
        <w:rPr>
          <w:rFonts w:hint="cs"/>
          <w:rtl/>
          <w:lang w:bidi="ar-EG"/>
        </w:rPr>
        <w:t xml:space="preserve"> مكتب</w:t>
      </w:r>
      <w:r w:rsidR="007F45CA">
        <w:rPr>
          <w:rFonts w:hint="cs"/>
          <w:rtl/>
          <w:lang w:bidi="ar-EG"/>
        </w:rPr>
        <w:t>ًا</w:t>
      </w:r>
      <w:r>
        <w:rPr>
          <w:rFonts w:hint="cs"/>
          <w:rtl/>
          <w:lang w:bidi="ar-EG"/>
        </w:rPr>
        <w:t xml:space="preserve"> لعمليات الإيداع الثانية (79 بالمائة من الطلبات المودعة لدى المكتب تتم من خلال </w:t>
      </w:r>
      <w:r w:rsidR="000323B1">
        <w:rPr>
          <w:rFonts w:hint="cs"/>
          <w:rtl/>
          <w:lang w:bidi="ar-EG"/>
        </w:rPr>
        <w:t xml:space="preserve">الاشتراكات الوطنية وفقا لمعاهدة التعاون بشأن البراءات) تتوافر لديه المعرفة المباشرة إلى حد كبير بما تمر به المكاتب المعينة والمكاتب المختارة. </w:t>
      </w:r>
      <w:proofErr w:type="gramStart"/>
      <w:r w:rsidR="000323B1">
        <w:rPr>
          <w:rFonts w:hint="cs"/>
          <w:rtl/>
          <w:lang w:bidi="ar-EG"/>
        </w:rPr>
        <w:t>ونظرًا</w:t>
      </w:r>
      <w:proofErr w:type="gramEnd"/>
      <w:r w:rsidR="000323B1">
        <w:rPr>
          <w:rFonts w:hint="cs"/>
          <w:rtl/>
          <w:lang w:bidi="ar-EG"/>
        </w:rPr>
        <w:t xml:space="preserve"> لكون المكتب الكندي للملكية الفكرية مكتبا متوسط الحجم للملكية الفكرية فهو يعي ويقدر طريقة استخدام المكاتب المعينة والمكاتب المختارة لعمل الإدارة الدولية بل وأهمية الجودة لمنتجات عمل الإدارة الدولية </w:t>
      </w:r>
      <w:r w:rsidR="007F45CA">
        <w:rPr>
          <w:rFonts w:hint="cs"/>
          <w:rtl/>
          <w:lang w:bidi="ar-EG"/>
        </w:rPr>
        <w:t>بناء على</w:t>
      </w:r>
      <w:r w:rsidR="000323B1">
        <w:rPr>
          <w:rFonts w:hint="cs"/>
          <w:rtl/>
          <w:lang w:bidi="ar-EG"/>
        </w:rPr>
        <w:t xml:space="preserve"> ثقة المكاتب المعينة والمكاتب المختارة فيها. وإذ مر المكتب الكندي بتجربة هذه المكاتب فإنه في موضع يتيح له توجيهها ويمكنه من إسداء المشورة العملية عند تعامله مع المكاتب </w:t>
      </w:r>
      <w:r w:rsidR="00F45D23">
        <w:rPr>
          <w:rFonts w:hint="cs"/>
          <w:rtl/>
          <w:lang w:bidi="ar-EG"/>
        </w:rPr>
        <w:t>الصغيرة</w:t>
      </w:r>
      <w:r w:rsidR="000323B1">
        <w:rPr>
          <w:rFonts w:hint="cs"/>
          <w:rtl/>
          <w:lang w:bidi="ar-EG"/>
        </w:rPr>
        <w:t xml:space="preserve"> ومتوسطة الحجم.</w:t>
      </w:r>
      <w:r w:rsidR="00340919">
        <w:rPr>
          <w:rFonts w:hint="cs"/>
          <w:rtl/>
          <w:lang w:bidi="ar-EG"/>
        </w:rPr>
        <w:t xml:space="preserve"> </w:t>
      </w:r>
      <w:r w:rsidR="000323B1">
        <w:rPr>
          <w:rFonts w:hint="cs"/>
          <w:rtl/>
          <w:lang w:bidi="ar-EG"/>
        </w:rPr>
        <w:t xml:space="preserve">وعلى هذا يستخدم المكتب الكندي للملكية الفكرية معارفه لكفالة التعامل مع انشغالات المكاتب </w:t>
      </w:r>
      <w:r w:rsidR="00F45D23">
        <w:rPr>
          <w:rFonts w:hint="cs"/>
          <w:rtl/>
          <w:lang w:bidi="ar-EG"/>
        </w:rPr>
        <w:t xml:space="preserve">الصغيرة ومتوسطة الحجم </w:t>
      </w:r>
      <w:r w:rsidR="000323B1">
        <w:rPr>
          <w:rFonts w:hint="cs"/>
          <w:rtl/>
          <w:lang w:bidi="ar-EG"/>
        </w:rPr>
        <w:t>بطريقة بناءة سعيًا لتحسين نظام الملكية الفكرية لفائدة الجميع.</w:t>
      </w:r>
    </w:p>
    <w:p w:rsidR="000323B1" w:rsidRDefault="000323B1" w:rsidP="007F45CA">
      <w:pPr>
        <w:pStyle w:val="NormalParaAR"/>
        <w:rPr>
          <w:rtl/>
          <w:lang w:bidi="ar-EG"/>
        </w:rPr>
      </w:pPr>
      <w:r>
        <w:rPr>
          <w:rFonts w:hint="cs"/>
          <w:rtl/>
          <w:lang w:bidi="ar-EG"/>
        </w:rPr>
        <w:t xml:space="preserve">وفي الوقت الحالي يستفيد المكتب الكندي للملكية الفكرية كإدارة للبحث الدولي وإدارة للفحص التمهيدي الدولي </w:t>
      </w:r>
      <w:r w:rsidR="0077612F">
        <w:rPr>
          <w:rFonts w:hint="cs"/>
          <w:rtl/>
          <w:lang w:bidi="ar-EG"/>
        </w:rPr>
        <w:t xml:space="preserve">من تزايد مجال تأثيره على نظام معاهدة التعاون بشأن البراءات ككل. ويشارك مشاركة فعالة منذ عام 2004 في </w:t>
      </w:r>
      <w:r w:rsidR="0077612F">
        <w:rPr>
          <w:rtl/>
          <w:lang w:bidi="ar-EG"/>
        </w:rPr>
        <w:t>اجتماع الإدارات الدولية العاملة في ظل معاهدة التعاون بشأن البراءات</w:t>
      </w:r>
      <w:r w:rsidR="007F45CA">
        <w:rPr>
          <w:rFonts w:hint="cs"/>
          <w:rtl/>
          <w:lang w:bidi="ar-EG"/>
        </w:rPr>
        <w:t>،</w:t>
      </w:r>
      <w:r w:rsidR="0077612F">
        <w:rPr>
          <w:rFonts w:hint="cs"/>
          <w:rtl/>
          <w:lang w:bidi="ar-EG"/>
        </w:rPr>
        <w:t xml:space="preserve"> وتمكن المكتب من خلال عمل الفريق الفرعي المعني بالجودة من ذكر مواقفه وتعزيزها على نحو بناء وتعاوني، ومن ثم اكتسب مكانة في توجيه مسار اتفاقية التعاون بشأن البراءات وزاد من درجة احترام قدرات كندا ومساهماتها. وتؤثر القرارات التي تتخذ في هذه الاجتماعات على أسل</w:t>
      </w:r>
      <w:r w:rsidR="00633086">
        <w:rPr>
          <w:rFonts w:hint="cs"/>
          <w:rtl/>
          <w:lang w:bidi="ar-EG"/>
        </w:rPr>
        <w:t xml:space="preserve">وب عمل </w:t>
      </w:r>
      <w:r w:rsidR="0077612F">
        <w:rPr>
          <w:rFonts w:hint="cs"/>
          <w:rtl/>
          <w:lang w:bidi="ar-EG"/>
        </w:rPr>
        <w:t>المكتب الكندي للملكية الفكرية ك</w:t>
      </w:r>
      <w:r w:rsidR="00633086">
        <w:rPr>
          <w:rFonts w:hint="cs"/>
          <w:rtl/>
          <w:lang w:bidi="ar-EG"/>
        </w:rPr>
        <w:t>إدارة للبحث الدولي وإدارة للفحص</w:t>
      </w:r>
      <w:r w:rsidR="0077612F">
        <w:rPr>
          <w:rFonts w:hint="cs"/>
          <w:rtl/>
          <w:lang w:bidi="ar-EG"/>
        </w:rPr>
        <w:t xml:space="preserve"> التمهيدي الدولي وتؤثر مباشر</w:t>
      </w:r>
      <w:r w:rsidR="007F45CA">
        <w:rPr>
          <w:rFonts w:hint="cs"/>
          <w:rtl/>
          <w:lang w:bidi="ar-EG"/>
        </w:rPr>
        <w:t>ة</w:t>
      </w:r>
      <w:r w:rsidR="0077612F">
        <w:rPr>
          <w:rFonts w:hint="cs"/>
          <w:rtl/>
          <w:lang w:bidi="ar-EG"/>
        </w:rPr>
        <w:t xml:space="preserve"> على طريقة عملنا اليومية. وتتيح مكانة المكتب الكندي للم</w:t>
      </w:r>
      <w:r w:rsidR="007F45CA">
        <w:rPr>
          <w:rFonts w:hint="cs"/>
          <w:rtl/>
          <w:lang w:bidi="ar-EG"/>
        </w:rPr>
        <w:t>لكية الفكرية بصفته إدارة دولية إ</w:t>
      </w:r>
      <w:r w:rsidR="0077612F">
        <w:rPr>
          <w:rFonts w:hint="cs"/>
          <w:rtl/>
          <w:lang w:bidi="ar-EG"/>
        </w:rPr>
        <w:t>مكانية مواكبته للتطورات التي تضطلع بها المكاتب الأكبر.</w:t>
      </w:r>
    </w:p>
    <w:p w:rsidR="00AD0ACD" w:rsidRDefault="00AD0ACD" w:rsidP="007F45CA">
      <w:pPr>
        <w:pStyle w:val="NormalParaAR"/>
        <w:rPr>
          <w:rtl/>
          <w:lang w:bidi="ar-EG"/>
        </w:rPr>
      </w:pPr>
      <w:r>
        <w:rPr>
          <w:rFonts w:hint="cs"/>
          <w:rtl/>
          <w:lang w:bidi="ar-EG"/>
        </w:rPr>
        <w:t>ويستفيد فاحصو المكتب الكندي للملكية الفكرية من عمل الفحص الدولي من خلال اطلاعهم ال</w:t>
      </w:r>
      <w:r w:rsidR="007F45CA">
        <w:rPr>
          <w:rFonts w:hint="cs"/>
          <w:rtl/>
          <w:lang w:bidi="ar-EG"/>
        </w:rPr>
        <w:t>موسع</w:t>
      </w:r>
      <w:r>
        <w:rPr>
          <w:rFonts w:hint="cs"/>
          <w:rtl/>
          <w:lang w:bidi="ar-EG"/>
        </w:rPr>
        <w:t xml:space="preserve"> على إطار </w:t>
      </w:r>
      <w:r w:rsidR="00C37013">
        <w:rPr>
          <w:rFonts w:hint="cs"/>
          <w:rtl/>
          <w:lang w:bidi="ar-EG"/>
        </w:rPr>
        <w:t xml:space="preserve">المواءمة </w:t>
      </w:r>
      <w:r>
        <w:rPr>
          <w:rFonts w:hint="cs"/>
          <w:rtl/>
          <w:lang w:bidi="ar-EG"/>
        </w:rPr>
        <w:t xml:space="preserve">لمعاهدة التعاون بشأن البراءات. وبالإضافة إلى ذلك تعزز مكانة الإدارة الدولية من جودة </w:t>
      </w:r>
      <w:r w:rsidR="00633086">
        <w:rPr>
          <w:rFonts w:hint="cs"/>
          <w:rtl/>
          <w:lang w:bidi="ar-EG"/>
        </w:rPr>
        <w:t>أنشطة البحث والفحص الكندية</w:t>
      </w:r>
      <w:r>
        <w:rPr>
          <w:rFonts w:hint="cs"/>
          <w:rtl/>
          <w:lang w:bidi="ar-EG"/>
        </w:rPr>
        <w:t xml:space="preserve"> من خلال تعرضها المتزايد لنظام معاهدة التعاون بشأن البراءات والنفاذ إلى المزيد من ادوات البحث. ويستفيد الباحثون أيضا من التقاسم والجهود التعاونية الناتجة عن مشروع المكتب الكندي للملكية الفكرية بالتعاون مع الإدارات الدولية الأخرى.</w:t>
      </w:r>
    </w:p>
    <w:p w:rsidR="00C37013" w:rsidRDefault="00C37013" w:rsidP="00633086">
      <w:pPr>
        <w:pStyle w:val="NormalParaAR"/>
        <w:rPr>
          <w:rtl/>
          <w:lang w:bidi="ar-EG"/>
        </w:rPr>
      </w:pPr>
      <w:r>
        <w:rPr>
          <w:rFonts w:hint="cs"/>
          <w:rtl/>
          <w:lang w:bidi="ar-EG"/>
        </w:rPr>
        <w:lastRenderedPageBreak/>
        <w:t xml:space="preserve">وبالنظر إلى نظام معاهدة التعاون بشأن البراءات ككل، يقدم المكتب الكندي للملكية الفكرية منظورًا كنديًا متفردًا. فكندا بلد </w:t>
      </w:r>
      <w:r w:rsidR="00633086">
        <w:rPr>
          <w:rFonts w:hint="cs"/>
          <w:rtl/>
          <w:lang w:bidi="ar-EG"/>
        </w:rPr>
        <w:t>يحظى بالاحترام</w:t>
      </w:r>
      <w:r>
        <w:rPr>
          <w:rFonts w:hint="cs"/>
          <w:rtl/>
          <w:lang w:bidi="ar-EG"/>
        </w:rPr>
        <w:t xml:space="preserve"> ويؤدي دورًا في العديد من ميادين العمل السياسي الكبرى، كم</w:t>
      </w:r>
      <w:r w:rsidR="00633086">
        <w:rPr>
          <w:rFonts w:hint="cs"/>
          <w:rtl/>
          <w:lang w:bidi="ar-EG"/>
        </w:rPr>
        <w:t>ا يتضح من القسم المقبل "العضوية</w:t>
      </w:r>
      <w:r>
        <w:rPr>
          <w:rFonts w:hint="cs"/>
          <w:rtl/>
          <w:lang w:bidi="ar-EG"/>
        </w:rPr>
        <w:t xml:space="preserve"> في المنظمات الدولية والإقليمية".</w:t>
      </w:r>
      <w:r w:rsidR="00340919">
        <w:rPr>
          <w:rFonts w:hint="cs"/>
          <w:rtl/>
          <w:lang w:bidi="ar-EG"/>
        </w:rPr>
        <w:t xml:space="preserve"> </w:t>
      </w:r>
      <w:r>
        <w:rPr>
          <w:rFonts w:hint="cs"/>
          <w:rtl/>
          <w:lang w:bidi="ar-EG"/>
        </w:rPr>
        <w:t xml:space="preserve">ويحقق المكتب الكندي للملكية الفكرية </w:t>
      </w:r>
      <w:proofErr w:type="gramStart"/>
      <w:r>
        <w:rPr>
          <w:rFonts w:hint="cs"/>
          <w:rtl/>
          <w:lang w:bidi="ar-EG"/>
        </w:rPr>
        <w:t>توازنًا</w:t>
      </w:r>
      <w:proofErr w:type="gramEnd"/>
      <w:r>
        <w:rPr>
          <w:rFonts w:hint="cs"/>
          <w:rtl/>
          <w:lang w:bidi="ar-EG"/>
        </w:rPr>
        <w:t xml:space="preserve"> بين نقيضين (المكاتب </w:t>
      </w:r>
      <w:r w:rsidR="00633086">
        <w:rPr>
          <w:rFonts w:hint="cs"/>
          <w:rtl/>
          <w:lang w:bidi="ar-EG"/>
        </w:rPr>
        <w:t>الكبيرة</w:t>
      </w:r>
      <w:r>
        <w:rPr>
          <w:rFonts w:hint="cs"/>
          <w:rtl/>
          <w:lang w:bidi="ar-EG"/>
        </w:rPr>
        <w:t xml:space="preserve"> والمكاتب </w:t>
      </w:r>
      <w:r w:rsidR="00633086">
        <w:rPr>
          <w:rFonts w:hint="cs"/>
          <w:rtl/>
          <w:lang w:bidi="ar-EG"/>
        </w:rPr>
        <w:t>الصغيرة</w:t>
      </w:r>
      <w:r>
        <w:rPr>
          <w:rFonts w:hint="cs"/>
          <w:rtl/>
          <w:lang w:bidi="ar-EG"/>
        </w:rPr>
        <w:t xml:space="preserve">). ويعي المكتب الكندي للملكية الفكرية تأثير الإدارات الدولية الأخرى، ويتوخاها حين يتخذ قرارته بشأن مواقفه، مع مراعاة تحقيق المصلحة الفضلى لنظام معاهدة التعاون بشأن البراءات بشكل عام. ومنذ أن أصبح المكتب إدارة للبحث الدولي وإدارة للفحص التمهيدي الدولي، آزر المكتب توفير استراتيجيات بحث كاملة، واستخدام </w:t>
      </w:r>
      <w:r w:rsidRPr="00C37013">
        <w:rPr>
          <w:rtl/>
          <w:lang w:bidi="ar-EG"/>
        </w:rPr>
        <w:t>بنود موحدة في الآراء المكتوبة</w:t>
      </w:r>
      <w:r>
        <w:rPr>
          <w:rFonts w:hint="cs"/>
          <w:rtl/>
          <w:lang w:bidi="ar-EG"/>
        </w:rPr>
        <w:t>، وأيد مؤخرًا عقد استعراضات معمقة لتقارير نظام إدارة الجودة الصادرة عن مكاتب أخرى بغية تعزيز نظام معاهدة التعاون بشأن البراءات والارتقاء بجودة المنتجات النابعة عنها، ما يسهم بدوره في تنامي ثقة مستخدمي النظام.</w:t>
      </w:r>
      <w:r w:rsidR="00340919">
        <w:rPr>
          <w:rFonts w:hint="cs"/>
          <w:rtl/>
          <w:lang w:bidi="ar-EG"/>
        </w:rPr>
        <w:t xml:space="preserve"> </w:t>
      </w:r>
      <w:r w:rsidR="00633086">
        <w:rPr>
          <w:rFonts w:hint="cs"/>
          <w:rtl/>
          <w:lang w:bidi="ar-EG"/>
        </w:rPr>
        <w:t xml:space="preserve">ويضطلع المكتب، بصفته إدارة دولية متوسطة الحجم، </w:t>
      </w:r>
      <w:r>
        <w:rPr>
          <w:rFonts w:hint="cs"/>
          <w:rtl/>
          <w:lang w:bidi="ar-EG"/>
        </w:rPr>
        <w:t xml:space="preserve">بنصيب مناسب من عبء العمل </w:t>
      </w:r>
      <w:proofErr w:type="gramStart"/>
      <w:r>
        <w:rPr>
          <w:rFonts w:hint="cs"/>
          <w:rtl/>
          <w:lang w:bidi="ar-EG"/>
        </w:rPr>
        <w:t>دوليًا</w:t>
      </w:r>
      <w:proofErr w:type="gramEnd"/>
      <w:r>
        <w:rPr>
          <w:rFonts w:hint="cs"/>
          <w:rtl/>
          <w:lang w:bidi="ar-EG"/>
        </w:rPr>
        <w:t>.</w:t>
      </w:r>
    </w:p>
    <w:p w:rsidR="00C37013" w:rsidRDefault="00633086" w:rsidP="00633086">
      <w:pPr>
        <w:pStyle w:val="NormalParaAR"/>
        <w:rPr>
          <w:rtl/>
          <w:lang w:bidi="ar-EG"/>
        </w:rPr>
      </w:pPr>
      <w:r>
        <w:rPr>
          <w:rFonts w:hint="cs"/>
          <w:rtl/>
          <w:lang w:bidi="ar-EG"/>
        </w:rPr>
        <w:t xml:space="preserve">ويتمكن المكتب، </w:t>
      </w:r>
      <w:r w:rsidR="00C37013">
        <w:rPr>
          <w:rFonts w:hint="cs"/>
          <w:rtl/>
          <w:lang w:bidi="ar-EG"/>
        </w:rPr>
        <w:t xml:space="preserve">من خلال وضعه كإدارة دولية من الانخراط في مناقشات هادفة والتركيز على الجهود العملية الرامية إلى تعزيز قيمة البحث والفحص الدوليين بموجب معاهدة التعاون بشأن البراءات، ويتولى هذا الدور مدفوعا بالحاجة إلى زيادة حسن التوقيت في </w:t>
      </w:r>
      <w:r>
        <w:rPr>
          <w:rFonts w:hint="cs"/>
          <w:rtl/>
          <w:lang w:bidi="ar-EG"/>
        </w:rPr>
        <w:t>إنفاذ</w:t>
      </w:r>
      <w:r w:rsidR="00C37013">
        <w:rPr>
          <w:rFonts w:hint="cs"/>
          <w:rtl/>
          <w:lang w:bidi="ar-EG"/>
        </w:rPr>
        <w:t xml:space="preserve"> حقوق الملكية الفكرية وتقليص التكلفة </w:t>
      </w:r>
      <w:r w:rsidR="002C214A">
        <w:rPr>
          <w:rFonts w:hint="cs"/>
          <w:rtl/>
          <w:lang w:bidi="ar-EG"/>
        </w:rPr>
        <w:t xml:space="preserve">وتقليص قوائم الانتظار الخاصة بطلبات الإيداع لجميع المستخدمين بموجب معاهدة التعاون بشأن البراءات. وبالإضافة إلى ذلك سوف تؤدي هذه الجهود إلى زيادة الجودة وتعزيز الشفافية، ما يرفع بالتالي من مستويات الثقة فيما بين جميع مستخدمي </w:t>
      </w:r>
      <w:r>
        <w:rPr>
          <w:rFonts w:hint="cs"/>
          <w:rtl/>
          <w:lang w:bidi="ar-EG"/>
        </w:rPr>
        <w:t>نظام معاهدة التعاون بشأن البراءات. (ا</w:t>
      </w:r>
      <w:r w:rsidR="002C214A">
        <w:rPr>
          <w:rFonts w:hint="cs"/>
          <w:rtl/>
          <w:lang w:bidi="ar-EG"/>
        </w:rPr>
        <w:t xml:space="preserve">نظر العرض الخاص بالإحصاءات المتصلة بمعاهدة التعاون بشأن البراءات </w:t>
      </w:r>
      <w:r>
        <w:rPr>
          <w:rFonts w:hint="cs"/>
          <w:rtl/>
          <w:lang w:bidi="ar-EG"/>
        </w:rPr>
        <w:t>من</w:t>
      </w:r>
      <w:r w:rsidR="002C214A">
        <w:rPr>
          <w:rFonts w:hint="cs"/>
          <w:rtl/>
          <w:lang w:bidi="ar-EG"/>
        </w:rPr>
        <w:t xml:space="preserve"> الدورة الرابعة والعشرين لاجتماع الإدارات الدولية).</w:t>
      </w:r>
    </w:p>
    <w:p w:rsidR="005D351E" w:rsidRPr="00DB436A" w:rsidRDefault="005D351E" w:rsidP="005D351E">
      <w:pPr>
        <w:pStyle w:val="SectionHeading"/>
        <w:bidi/>
        <w:rPr>
          <w:rFonts w:ascii="Arabic Typesetting" w:hAnsi="Arabic Typesetting" w:cs="Arabic Typesetting"/>
          <w:sz w:val="40"/>
          <w:szCs w:val="40"/>
        </w:rPr>
      </w:pPr>
      <w:r>
        <w:rPr>
          <w:rFonts w:ascii="Arabic Typesetting" w:hAnsi="Arabic Typesetting" w:cs="Arabic Typesetting" w:hint="cs"/>
          <w:sz w:val="40"/>
          <w:szCs w:val="40"/>
          <w:rtl/>
        </w:rPr>
        <w:t xml:space="preserve">5 - </w:t>
      </w:r>
      <w:proofErr w:type="gramStart"/>
      <w:r w:rsidRPr="005D351E">
        <w:rPr>
          <w:rFonts w:ascii="Arabic Typesetting" w:hAnsi="Arabic Typesetting" w:cs="Arabic Typesetting" w:hint="cs"/>
          <w:sz w:val="40"/>
          <w:szCs w:val="40"/>
          <w:rtl/>
          <w:lang w:bidi="ar-EG"/>
        </w:rPr>
        <w:t>الدولة</w:t>
      </w:r>
      <w:proofErr w:type="gramEnd"/>
      <w:r w:rsidRPr="005D351E">
        <w:rPr>
          <w:rFonts w:ascii="Arabic Typesetting" w:hAnsi="Arabic Typesetting" w:cs="Arabic Typesetting" w:hint="cs"/>
          <w:sz w:val="40"/>
          <w:szCs w:val="40"/>
          <w:rtl/>
          <w:lang w:bidi="ar-EG"/>
        </w:rPr>
        <w:t xml:space="preserve"> مقدّمة الطلب</w:t>
      </w:r>
    </w:p>
    <w:p w:rsidR="002C214A" w:rsidRDefault="002C214A" w:rsidP="005D351E">
      <w:pPr>
        <w:pStyle w:val="NormalParaAR"/>
        <w:keepNext/>
        <w:rPr>
          <w:b/>
          <w:bCs/>
          <w:rtl/>
          <w:lang w:bidi="ar-EG"/>
        </w:rPr>
      </w:pPr>
      <w:proofErr w:type="gramStart"/>
      <w:r>
        <w:rPr>
          <w:rFonts w:hint="cs"/>
          <w:b/>
          <w:bCs/>
          <w:rtl/>
          <w:lang w:bidi="ar-EG"/>
        </w:rPr>
        <w:t>الموقع</w:t>
      </w:r>
      <w:proofErr w:type="gramEnd"/>
      <w:r>
        <w:rPr>
          <w:rFonts w:hint="cs"/>
          <w:b/>
          <w:bCs/>
          <w:rtl/>
          <w:lang w:bidi="ar-EG"/>
        </w:rPr>
        <w:t xml:space="preserve"> الإقليمي</w:t>
      </w:r>
      <w:r w:rsidR="005D351E">
        <w:rPr>
          <w:rFonts w:hint="cs"/>
          <w:b/>
          <w:bCs/>
          <w:rtl/>
          <w:lang w:bidi="ar-EG"/>
        </w:rPr>
        <w:t>:</w:t>
      </w:r>
    </w:p>
    <w:p w:rsidR="002C214A" w:rsidRPr="005D351E" w:rsidRDefault="005D351E" w:rsidP="005D351E">
      <w:pPr>
        <w:pStyle w:val="NormalParaAR"/>
        <w:spacing w:line="240" w:lineRule="auto"/>
        <w:rPr>
          <w:rtl/>
          <w:lang w:bidi="ar-EG"/>
        </w:rPr>
      </w:pPr>
      <w:r w:rsidRPr="005D351E">
        <w:rPr>
          <w:noProof/>
          <w:rtl/>
        </w:rPr>
        <w:drawing>
          <wp:inline distT="0" distB="0" distL="0" distR="0">
            <wp:extent cx="3160395" cy="3635375"/>
            <wp:effectExtent l="0" t="0" r="190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0395" cy="3635375"/>
                    </a:xfrm>
                    <a:prstGeom prst="rect">
                      <a:avLst/>
                    </a:prstGeom>
                    <a:noFill/>
                    <a:ln>
                      <a:noFill/>
                    </a:ln>
                  </pic:spPr>
                </pic:pic>
              </a:graphicData>
            </a:graphic>
          </wp:inline>
        </w:drawing>
      </w:r>
    </w:p>
    <w:p w:rsidR="002C214A" w:rsidRDefault="007A265F" w:rsidP="005D351E">
      <w:pPr>
        <w:pStyle w:val="NormalParaAR"/>
        <w:keepNext/>
        <w:rPr>
          <w:b/>
          <w:bCs/>
          <w:rtl/>
          <w:lang w:bidi="ar-EG"/>
        </w:rPr>
      </w:pPr>
      <w:r>
        <w:rPr>
          <w:rFonts w:hint="cs"/>
          <w:b/>
          <w:bCs/>
          <w:rtl/>
          <w:lang w:bidi="ar-EG"/>
        </w:rPr>
        <w:lastRenderedPageBreak/>
        <w:t>المساحة:</w:t>
      </w:r>
    </w:p>
    <w:p w:rsidR="002C214A" w:rsidRPr="002C214A" w:rsidRDefault="002C214A" w:rsidP="002C214A">
      <w:pPr>
        <w:pStyle w:val="NormalParaAR"/>
        <w:numPr>
          <w:ilvl w:val="0"/>
          <w:numId w:val="25"/>
        </w:numPr>
        <w:rPr>
          <w:b/>
          <w:bCs/>
          <w:lang w:bidi="ar-EG"/>
        </w:rPr>
      </w:pPr>
      <w:r>
        <w:rPr>
          <w:rFonts w:hint="cs"/>
          <w:rtl/>
          <w:lang w:bidi="ar-EG"/>
        </w:rPr>
        <w:t xml:space="preserve">المساحة الإجمالية: </w:t>
      </w:r>
      <w:r>
        <w:rPr>
          <w:lang w:bidi="ar-EG"/>
        </w:rPr>
        <w:t>9 984 670</w:t>
      </w:r>
      <w:r>
        <w:rPr>
          <w:rFonts w:hint="cs"/>
          <w:rtl/>
          <w:lang w:bidi="ar-EG"/>
        </w:rPr>
        <w:t xml:space="preserve"> كلم مربع (</w:t>
      </w:r>
      <w:r>
        <w:rPr>
          <w:lang w:bidi="ar-EG"/>
        </w:rPr>
        <w:t>3 854 085</w:t>
      </w:r>
      <w:r>
        <w:rPr>
          <w:rFonts w:hint="cs"/>
          <w:rtl/>
          <w:lang w:bidi="ar-EG"/>
        </w:rPr>
        <w:t xml:space="preserve"> </w:t>
      </w:r>
      <w:proofErr w:type="gramStart"/>
      <w:r>
        <w:rPr>
          <w:rFonts w:hint="cs"/>
          <w:rtl/>
          <w:lang w:bidi="ar-EG"/>
        </w:rPr>
        <w:t>ميل</w:t>
      </w:r>
      <w:proofErr w:type="gramEnd"/>
      <w:r>
        <w:rPr>
          <w:rFonts w:hint="cs"/>
          <w:rtl/>
          <w:lang w:bidi="ar-EG"/>
        </w:rPr>
        <w:t xml:space="preserve"> مربع)</w:t>
      </w:r>
    </w:p>
    <w:p w:rsidR="002C214A" w:rsidRPr="007F45CA" w:rsidRDefault="002C214A" w:rsidP="007F45CA">
      <w:pPr>
        <w:pStyle w:val="NormalParaAR"/>
        <w:numPr>
          <w:ilvl w:val="0"/>
          <w:numId w:val="25"/>
        </w:numPr>
        <w:rPr>
          <w:b/>
          <w:bCs/>
          <w:rtl/>
          <w:lang w:bidi="ar-EG"/>
        </w:rPr>
      </w:pPr>
      <w:r>
        <w:rPr>
          <w:rFonts w:hint="cs"/>
          <w:rtl/>
          <w:lang w:bidi="ar-EG"/>
        </w:rPr>
        <w:t xml:space="preserve">المياه (%) </w:t>
      </w:r>
      <w:r>
        <w:rPr>
          <w:lang w:bidi="ar-EG"/>
        </w:rPr>
        <w:t>8.92</w:t>
      </w:r>
      <w:r w:rsidR="00340919">
        <w:rPr>
          <w:rtl/>
          <w:lang w:bidi="ar-EG"/>
        </w:rPr>
        <w:t xml:space="preserve"> </w:t>
      </w:r>
      <w:r>
        <w:rPr>
          <w:rFonts w:hint="cs"/>
          <w:rtl/>
          <w:lang w:bidi="ar-EG"/>
        </w:rPr>
        <w:t>(</w:t>
      </w:r>
      <w:r>
        <w:rPr>
          <w:lang w:bidi="ar-EG"/>
        </w:rPr>
        <w:t>891 163</w:t>
      </w:r>
      <w:r>
        <w:rPr>
          <w:rFonts w:hint="cs"/>
          <w:rtl/>
          <w:lang w:bidi="ar-EG"/>
        </w:rPr>
        <w:t xml:space="preserve"> كلم مربع/ </w:t>
      </w:r>
      <w:r>
        <w:rPr>
          <w:lang w:bidi="ar-EG"/>
        </w:rPr>
        <w:t>344 080</w:t>
      </w:r>
      <w:r w:rsidR="00340919">
        <w:rPr>
          <w:rtl/>
          <w:lang w:bidi="ar-EG"/>
        </w:rPr>
        <w:t xml:space="preserve"> </w:t>
      </w:r>
      <w:r>
        <w:rPr>
          <w:rFonts w:hint="cs"/>
          <w:rtl/>
          <w:lang w:bidi="ar-EG"/>
        </w:rPr>
        <w:t>ميل مربع)</w:t>
      </w:r>
    </w:p>
    <w:p w:rsidR="002C214A" w:rsidRDefault="002C214A" w:rsidP="005D351E">
      <w:pPr>
        <w:pStyle w:val="NormalParaAR"/>
        <w:keepNext/>
        <w:rPr>
          <w:b/>
          <w:bCs/>
          <w:rtl/>
          <w:lang w:bidi="ar-EG"/>
        </w:rPr>
      </w:pPr>
      <w:r>
        <w:rPr>
          <w:rFonts w:hint="cs"/>
          <w:b/>
          <w:bCs/>
          <w:rtl/>
          <w:lang w:bidi="ar-EG"/>
        </w:rPr>
        <w:t xml:space="preserve">العضوية </w:t>
      </w:r>
      <w:r w:rsidR="007A265F">
        <w:rPr>
          <w:rFonts w:hint="cs"/>
          <w:b/>
          <w:bCs/>
          <w:rtl/>
          <w:lang w:bidi="ar-EG"/>
        </w:rPr>
        <w:t xml:space="preserve">في المنظمات الدولية </w:t>
      </w:r>
      <w:proofErr w:type="gramStart"/>
      <w:r w:rsidR="007A265F">
        <w:rPr>
          <w:rFonts w:hint="cs"/>
          <w:b/>
          <w:bCs/>
          <w:rtl/>
          <w:lang w:bidi="ar-EG"/>
        </w:rPr>
        <w:t>والإقليمية</w:t>
      </w:r>
      <w:proofErr w:type="gramEnd"/>
      <w:r w:rsidR="007A265F">
        <w:rPr>
          <w:rFonts w:hint="cs"/>
          <w:b/>
          <w:bCs/>
          <w:rtl/>
          <w:lang w:bidi="ar-EG"/>
        </w:rPr>
        <w:t>:</w:t>
      </w:r>
    </w:p>
    <w:p w:rsidR="002C214A" w:rsidRDefault="002C214A" w:rsidP="002C214A">
      <w:pPr>
        <w:pStyle w:val="NormalParaAR"/>
        <w:rPr>
          <w:rtl/>
          <w:lang w:bidi="ar-EG"/>
        </w:rPr>
      </w:pPr>
      <w:r>
        <w:rPr>
          <w:rFonts w:hint="cs"/>
          <w:rtl/>
          <w:lang w:bidi="ar-EG"/>
        </w:rPr>
        <w:t xml:space="preserve">تنهض كندا بالقيم المشتركة مثل المساواة والديمقراطية وإنفاذ القانون والشفافية </w:t>
      </w:r>
      <w:proofErr w:type="spellStart"/>
      <w:r>
        <w:rPr>
          <w:rFonts w:hint="cs"/>
          <w:rtl/>
          <w:lang w:bidi="ar-EG"/>
        </w:rPr>
        <w:t>والحوكمة</w:t>
      </w:r>
      <w:proofErr w:type="spellEnd"/>
      <w:r>
        <w:rPr>
          <w:rFonts w:hint="cs"/>
          <w:rtl/>
          <w:lang w:bidi="ar-EG"/>
        </w:rPr>
        <w:t xml:space="preserve"> الرشيدة من خلال مشاركتها في العديد من المنظمات الدولية والإقليمية. وكندا إما عضو أو مراقب فيما لا يقل عن ثمان وسبعين منظمة من بينها ما يلي:</w:t>
      </w:r>
    </w:p>
    <w:p w:rsidR="002C214A" w:rsidRDefault="002C214A" w:rsidP="002C214A">
      <w:pPr>
        <w:pStyle w:val="NormalParaAR"/>
        <w:rPr>
          <w:rtl/>
          <w:lang w:bidi="ar-EG"/>
        </w:rPr>
      </w:pPr>
      <w:r>
        <w:rPr>
          <w:rFonts w:hint="cs"/>
          <w:rtl/>
          <w:lang w:bidi="ar-EG"/>
        </w:rPr>
        <w:t xml:space="preserve">منتدى التعاون الاقتصادي لدول آسيا </w:t>
      </w:r>
      <w:proofErr w:type="gramStart"/>
      <w:r>
        <w:rPr>
          <w:rFonts w:hint="cs"/>
          <w:rtl/>
          <w:lang w:bidi="ar-EG"/>
        </w:rPr>
        <w:t>والمحيط</w:t>
      </w:r>
      <w:proofErr w:type="gramEnd"/>
      <w:r>
        <w:rPr>
          <w:rFonts w:hint="cs"/>
          <w:rtl/>
          <w:lang w:bidi="ar-EG"/>
        </w:rPr>
        <w:t xml:space="preserve"> الهادي</w:t>
      </w:r>
    </w:p>
    <w:p w:rsidR="002C214A" w:rsidRDefault="002C214A" w:rsidP="002C214A">
      <w:pPr>
        <w:pStyle w:val="NormalParaAR"/>
        <w:rPr>
          <w:rtl/>
          <w:lang w:bidi="ar-EG"/>
        </w:rPr>
      </w:pPr>
      <w:proofErr w:type="gramStart"/>
      <w:r>
        <w:rPr>
          <w:rFonts w:hint="cs"/>
          <w:rtl/>
          <w:lang w:bidi="ar-EG"/>
        </w:rPr>
        <w:t>رابطة</w:t>
      </w:r>
      <w:proofErr w:type="gramEnd"/>
      <w:r>
        <w:rPr>
          <w:rFonts w:hint="cs"/>
          <w:rtl/>
          <w:lang w:bidi="ar-EG"/>
        </w:rPr>
        <w:t xml:space="preserve"> أمم جنوب شرق آسيا (شريك في الحوار) والمنتدى الإقليمي لرابطة أمم جنوب شرق آسيا</w:t>
      </w:r>
    </w:p>
    <w:p w:rsidR="002C214A" w:rsidRDefault="00D56B39" w:rsidP="002C214A">
      <w:pPr>
        <w:pStyle w:val="NormalParaAR"/>
        <w:rPr>
          <w:rtl/>
          <w:lang w:bidi="ar-EG"/>
        </w:rPr>
      </w:pPr>
      <w:r>
        <w:rPr>
          <w:rFonts w:hint="cs"/>
          <w:rtl/>
          <w:lang w:bidi="ar-EG"/>
        </w:rPr>
        <w:t>رابطة الكومنولث</w:t>
      </w:r>
    </w:p>
    <w:p w:rsidR="002C214A" w:rsidRDefault="002C214A" w:rsidP="002C214A">
      <w:pPr>
        <w:pStyle w:val="NormalParaAR"/>
        <w:rPr>
          <w:rtl/>
          <w:lang w:bidi="ar-EG"/>
        </w:rPr>
      </w:pPr>
      <w:r>
        <w:rPr>
          <w:rFonts w:hint="cs"/>
          <w:rtl/>
          <w:lang w:bidi="ar-EG"/>
        </w:rPr>
        <w:t>المصارف الإنمائية (مثل ال</w:t>
      </w:r>
      <w:r w:rsidR="008922C7">
        <w:rPr>
          <w:rFonts w:hint="cs"/>
          <w:rtl/>
          <w:lang w:bidi="ar-EG"/>
        </w:rPr>
        <w:t>مص</w:t>
      </w:r>
      <w:r w:rsidR="00D56B39">
        <w:rPr>
          <w:rFonts w:hint="cs"/>
          <w:rtl/>
          <w:lang w:bidi="ar-EG"/>
        </w:rPr>
        <w:t>ا</w:t>
      </w:r>
      <w:r w:rsidR="008922C7">
        <w:rPr>
          <w:rFonts w:hint="cs"/>
          <w:rtl/>
          <w:lang w:bidi="ar-EG"/>
        </w:rPr>
        <w:t>رف الأفريقي</w:t>
      </w:r>
      <w:r w:rsidR="00D56B39">
        <w:rPr>
          <w:rFonts w:hint="cs"/>
          <w:rtl/>
          <w:lang w:bidi="ar-EG"/>
        </w:rPr>
        <w:t>ة</w:t>
      </w:r>
      <w:r w:rsidR="008922C7">
        <w:rPr>
          <w:rFonts w:hint="cs"/>
          <w:rtl/>
          <w:lang w:bidi="ar-EG"/>
        </w:rPr>
        <w:t xml:space="preserve"> والآ</w:t>
      </w:r>
      <w:r w:rsidR="00D56B39">
        <w:rPr>
          <w:rFonts w:hint="cs"/>
          <w:rtl/>
          <w:lang w:bidi="ar-EG"/>
        </w:rPr>
        <w:t>سيوية والكاريبية والأوروبية و</w:t>
      </w:r>
      <w:r w:rsidR="008922C7">
        <w:rPr>
          <w:rFonts w:hint="cs"/>
          <w:rtl/>
          <w:lang w:bidi="ar-EG"/>
        </w:rPr>
        <w:t>الدولي</w:t>
      </w:r>
      <w:r w:rsidR="00D56B39">
        <w:rPr>
          <w:rFonts w:hint="cs"/>
          <w:rtl/>
          <w:lang w:bidi="ar-EG"/>
        </w:rPr>
        <w:t>ة</w:t>
      </w:r>
      <w:r w:rsidR="008922C7">
        <w:rPr>
          <w:rFonts w:hint="cs"/>
          <w:rtl/>
          <w:lang w:bidi="ar-EG"/>
        </w:rPr>
        <w:t xml:space="preserve"> للإنشاء والتعمير</w:t>
      </w:r>
      <w:r w:rsidR="00D56B39">
        <w:rPr>
          <w:rFonts w:hint="cs"/>
          <w:rtl/>
          <w:lang w:bidi="ar-EG"/>
        </w:rPr>
        <w:t xml:space="preserve">، ومصرف </w:t>
      </w:r>
      <w:r w:rsidR="008922C7">
        <w:rPr>
          <w:rFonts w:hint="cs"/>
          <w:rtl/>
          <w:lang w:bidi="ar-EG"/>
        </w:rPr>
        <w:t>البلدان الأمريكية)</w:t>
      </w:r>
    </w:p>
    <w:p w:rsidR="008922C7" w:rsidRDefault="008922C7" w:rsidP="002C214A">
      <w:pPr>
        <w:pStyle w:val="NormalParaAR"/>
        <w:rPr>
          <w:rtl/>
          <w:lang w:bidi="ar-EG"/>
        </w:rPr>
      </w:pPr>
      <w:proofErr w:type="gramStart"/>
      <w:r>
        <w:rPr>
          <w:rFonts w:hint="cs"/>
          <w:rtl/>
          <w:lang w:bidi="ar-EG"/>
        </w:rPr>
        <w:t>مجموعة</w:t>
      </w:r>
      <w:proofErr w:type="gramEnd"/>
      <w:r>
        <w:rPr>
          <w:rFonts w:hint="cs"/>
          <w:rtl/>
          <w:lang w:bidi="ar-EG"/>
        </w:rPr>
        <w:t xml:space="preserve"> السبعة</w:t>
      </w:r>
    </w:p>
    <w:p w:rsidR="008922C7" w:rsidRDefault="008922C7" w:rsidP="002C214A">
      <w:pPr>
        <w:pStyle w:val="NormalParaAR"/>
        <w:rPr>
          <w:rtl/>
          <w:lang w:bidi="ar-EG"/>
        </w:rPr>
      </w:pPr>
      <w:proofErr w:type="gramStart"/>
      <w:r>
        <w:rPr>
          <w:rFonts w:hint="cs"/>
          <w:rtl/>
          <w:lang w:bidi="ar-EG"/>
        </w:rPr>
        <w:t>مجموعة</w:t>
      </w:r>
      <w:proofErr w:type="gramEnd"/>
      <w:r>
        <w:rPr>
          <w:rFonts w:hint="cs"/>
          <w:rtl/>
          <w:lang w:bidi="ar-EG"/>
        </w:rPr>
        <w:t xml:space="preserve"> العشرين</w:t>
      </w:r>
    </w:p>
    <w:p w:rsidR="008922C7" w:rsidRDefault="008922C7" w:rsidP="002C214A">
      <w:pPr>
        <w:pStyle w:val="NormalParaAR"/>
        <w:rPr>
          <w:rtl/>
          <w:lang w:bidi="ar-EG"/>
        </w:rPr>
      </w:pPr>
      <w:proofErr w:type="gramStart"/>
      <w:r>
        <w:rPr>
          <w:rFonts w:hint="cs"/>
          <w:rtl/>
          <w:lang w:bidi="ar-EG"/>
        </w:rPr>
        <w:t>المحكمة</w:t>
      </w:r>
      <w:proofErr w:type="gramEnd"/>
      <w:r w:rsidR="00D56B39">
        <w:rPr>
          <w:rFonts w:hint="cs"/>
          <w:rtl/>
          <w:lang w:bidi="ar-EG"/>
        </w:rPr>
        <w:t xml:space="preserve"> الجنائية الدولية</w:t>
      </w:r>
    </w:p>
    <w:p w:rsidR="008922C7" w:rsidRDefault="008922C7" w:rsidP="002C214A">
      <w:pPr>
        <w:pStyle w:val="NormalParaAR"/>
        <w:rPr>
          <w:rtl/>
          <w:lang w:bidi="ar-EG"/>
        </w:rPr>
      </w:pPr>
      <w:r>
        <w:rPr>
          <w:rFonts w:hint="cs"/>
          <w:rtl/>
          <w:lang w:bidi="ar-EG"/>
        </w:rPr>
        <w:t xml:space="preserve">الاتحاد الدولي لجمعيات الصليب الأحمر </w:t>
      </w:r>
      <w:proofErr w:type="gramStart"/>
      <w:r>
        <w:rPr>
          <w:rFonts w:hint="cs"/>
          <w:rtl/>
          <w:lang w:bidi="ar-EG"/>
        </w:rPr>
        <w:t>والهلال</w:t>
      </w:r>
      <w:proofErr w:type="gramEnd"/>
      <w:r>
        <w:rPr>
          <w:rFonts w:hint="cs"/>
          <w:rtl/>
          <w:lang w:bidi="ar-EG"/>
        </w:rPr>
        <w:t xml:space="preserve"> الأحمر</w:t>
      </w:r>
    </w:p>
    <w:p w:rsidR="008922C7" w:rsidRDefault="008922C7" w:rsidP="002C214A">
      <w:pPr>
        <w:pStyle w:val="NormalParaAR"/>
        <w:rPr>
          <w:rtl/>
          <w:lang w:bidi="ar-EG"/>
        </w:rPr>
      </w:pPr>
      <w:r>
        <w:rPr>
          <w:rFonts w:hint="cs"/>
          <w:rtl/>
          <w:lang w:bidi="ar-EG"/>
        </w:rPr>
        <w:t xml:space="preserve">الفريق العامل الدولي لشؤون السكان </w:t>
      </w:r>
      <w:proofErr w:type="gramStart"/>
      <w:r>
        <w:rPr>
          <w:rFonts w:hint="cs"/>
          <w:rtl/>
          <w:lang w:bidi="ar-EG"/>
        </w:rPr>
        <w:t>الأصليين</w:t>
      </w:r>
      <w:proofErr w:type="gramEnd"/>
    </w:p>
    <w:p w:rsidR="008922C7" w:rsidRDefault="008922C7" w:rsidP="002C214A">
      <w:pPr>
        <w:pStyle w:val="NormalParaAR"/>
        <w:rPr>
          <w:rtl/>
          <w:lang w:bidi="ar-EG"/>
        </w:rPr>
      </w:pPr>
      <w:r>
        <w:rPr>
          <w:rFonts w:hint="cs"/>
          <w:rtl/>
          <w:lang w:bidi="ar-EG"/>
        </w:rPr>
        <w:t>الحركة الدول</w:t>
      </w:r>
      <w:r w:rsidR="00D56B39">
        <w:rPr>
          <w:rFonts w:hint="cs"/>
          <w:rtl/>
          <w:lang w:bidi="ar-EG"/>
        </w:rPr>
        <w:t xml:space="preserve">ية للصليب الأحمر </w:t>
      </w:r>
      <w:proofErr w:type="gramStart"/>
      <w:r w:rsidR="00D56B39">
        <w:rPr>
          <w:rFonts w:hint="cs"/>
          <w:rtl/>
          <w:lang w:bidi="ar-EG"/>
        </w:rPr>
        <w:t>والهلال</w:t>
      </w:r>
      <w:proofErr w:type="gramEnd"/>
      <w:r w:rsidR="00D56B39">
        <w:rPr>
          <w:rFonts w:hint="cs"/>
          <w:rtl/>
          <w:lang w:bidi="ar-EG"/>
        </w:rPr>
        <w:t xml:space="preserve"> الأحمر</w:t>
      </w:r>
    </w:p>
    <w:p w:rsidR="008922C7" w:rsidRDefault="008922C7" w:rsidP="002C214A">
      <w:pPr>
        <w:pStyle w:val="NormalParaAR"/>
        <w:rPr>
          <w:rtl/>
          <w:lang w:bidi="ar-EG"/>
        </w:rPr>
      </w:pPr>
      <w:r>
        <w:rPr>
          <w:rFonts w:hint="cs"/>
          <w:rtl/>
          <w:lang w:bidi="ar-EG"/>
        </w:rPr>
        <w:t>المنظمة الدولية للشرطة الجنائية</w:t>
      </w:r>
    </w:p>
    <w:p w:rsidR="008922C7" w:rsidRDefault="008922C7" w:rsidP="002C214A">
      <w:pPr>
        <w:pStyle w:val="NormalParaAR"/>
        <w:rPr>
          <w:rtl/>
          <w:lang w:bidi="ar-EG"/>
        </w:rPr>
      </w:pPr>
      <w:r>
        <w:rPr>
          <w:rFonts w:hint="cs"/>
          <w:rtl/>
          <w:lang w:bidi="ar-EG"/>
        </w:rPr>
        <w:t xml:space="preserve">المنظمة الدولية </w:t>
      </w:r>
      <w:proofErr w:type="spellStart"/>
      <w:r>
        <w:rPr>
          <w:rFonts w:hint="cs"/>
          <w:rtl/>
          <w:lang w:bidi="ar-EG"/>
        </w:rPr>
        <w:t>للفرنكفونية</w:t>
      </w:r>
      <w:proofErr w:type="spellEnd"/>
    </w:p>
    <w:p w:rsidR="008922C7" w:rsidRDefault="008922C7" w:rsidP="002C214A">
      <w:pPr>
        <w:pStyle w:val="NormalParaAR"/>
        <w:rPr>
          <w:rtl/>
          <w:lang w:bidi="ar-EG"/>
        </w:rPr>
      </w:pPr>
      <w:r>
        <w:rPr>
          <w:rFonts w:hint="cs"/>
          <w:rtl/>
          <w:lang w:bidi="ar-EG"/>
        </w:rPr>
        <w:t>منظمة حلف شمال الأطلسي (ناتو)</w:t>
      </w:r>
    </w:p>
    <w:p w:rsidR="008922C7" w:rsidRDefault="008922C7" w:rsidP="002C214A">
      <w:pPr>
        <w:pStyle w:val="NormalParaAR"/>
        <w:rPr>
          <w:rtl/>
          <w:lang w:bidi="ar-EG"/>
        </w:rPr>
      </w:pPr>
      <w:proofErr w:type="gramStart"/>
      <w:r>
        <w:rPr>
          <w:rFonts w:hint="cs"/>
          <w:rtl/>
          <w:lang w:bidi="ar-EG"/>
        </w:rPr>
        <w:t>منظمة</w:t>
      </w:r>
      <w:proofErr w:type="gramEnd"/>
      <w:r>
        <w:rPr>
          <w:rFonts w:hint="cs"/>
          <w:rtl/>
          <w:lang w:bidi="ar-EG"/>
        </w:rPr>
        <w:t xml:space="preserve"> التعاون والتنمية في الميدان الاقتصادي</w:t>
      </w:r>
    </w:p>
    <w:p w:rsidR="008922C7" w:rsidRDefault="008922C7" w:rsidP="002C214A">
      <w:pPr>
        <w:pStyle w:val="NormalParaAR"/>
        <w:rPr>
          <w:rtl/>
          <w:lang w:bidi="ar-EG"/>
        </w:rPr>
      </w:pPr>
      <w:proofErr w:type="gramStart"/>
      <w:r>
        <w:rPr>
          <w:rFonts w:hint="cs"/>
          <w:rtl/>
          <w:lang w:bidi="ar-EG"/>
        </w:rPr>
        <w:t>منظمة</w:t>
      </w:r>
      <w:proofErr w:type="gramEnd"/>
      <w:r>
        <w:rPr>
          <w:rFonts w:hint="cs"/>
          <w:rtl/>
          <w:lang w:bidi="ar-EG"/>
        </w:rPr>
        <w:t xml:space="preserve"> الأمن والتعاون في أوروبا</w:t>
      </w:r>
    </w:p>
    <w:p w:rsidR="008922C7" w:rsidRDefault="008922C7" w:rsidP="002C214A">
      <w:pPr>
        <w:pStyle w:val="NormalParaAR"/>
        <w:rPr>
          <w:rtl/>
          <w:lang w:bidi="ar-EG"/>
        </w:rPr>
      </w:pPr>
      <w:r>
        <w:rPr>
          <w:rFonts w:hint="cs"/>
          <w:rtl/>
          <w:lang w:bidi="ar-EG"/>
        </w:rPr>
        <w:t>المحكمة الدائمة للتحكيم</w:t>
      </w:r>
    </w:p>
    <w:p w:rsidR="008922C7" w:rsidRDefault="008922C7" w:rsidP="002C214A">
      <w:pPr>
        <w:pStyle w:val="NormalParaAR"/>
        <w:rPr>
          <w:rtl/>
          <w:lang w:bidi="ar-EG"/>
        </w:rPr>
      </w:pPr>
      <w:proofErr w:type="gramStart"/>
      <w:r>
        <w:rPr>
          <w:rFonts w:hint="cs"/>
          <w:rtl/>
          <w:lang w:bidi="ar-EG"/>
        </w:rPr>
        <w:t>الأمم</w:t>
      </w:r>
      <w:proofErr w:type="gramEnd"/>
      <w:r>
        <w:rPr>
          <w:rFonts w:hint="cs"/>
          <w:rtl/>
          <w:lang w:bidi="ar-EG"/>
        </w:rPr>
        <w:t xml:space="preserve"> المتحدة</w:t>
      </w:r>
    </w:p>
    <w:p w:rsidR="008922C7" w:rsidRDefault="008922C7" w:rsidP="002C214A">
      <w:pPr>
        <w:pStyle w:val="NormalParaAR"/>
        <w:rPr>
          <w:rtl/>
          <w:lang w:bidi="ar-EG"/>
        </w:rPr>
      </w:pPr>
      <w:r>
        <w:rPr>
          <w:rFonts w:hint="cs"/>
          <w:rtl/>
          <w:lang w:bidi="ar-EG"/>
        </w:rPr>
        <w:lastRenderedPageBreak/>
        <w:t xml:space="preserve">مؤتمر الأمم المتحدة للتجارة </w:t>
      </w:r>
      <w:proofErr w:type="gramStart"/>
      <w:r>
        <w:rPr>
          <w:rFonts w:hint="cs"/>
          <w:rtl/>
          <w:lang w:bidi="ar-EG"/>
        </w:rPr>
        <w:t>والتنمية</w:t>
      </w:r>
      <w:proofErr w:type="gramEnd"/>
    </w:p>
    <w:p w:rsidR="008922C7" w:rsidRDefault="008922C7" w:rsidP="002C214A">
      <w:pPr>
        <w:pStyle w:val="NormalParaAR"/>
        <w:rPr>
          <w:rtl/>
          <w:lang w:bidi="ar-EG"/>
        </w:rPr>
      </w:pPr>
      <w:r>
        <w:rPr>
          <w:rFonts w:hint="cs"/>
          <w:rtl/>
          <w:lang w:bidi="ar-EG"/>
        </w:rPr>
        <w:t xml:space="preserve">منظمة الأمم المتحدة للتربية </w:t>
      </w:r>
      <w:proofErr w:type="gramStart"/>
      <w:r>
        <w:rPr>
          <w:rFonts w:hint="cs"/>
          <w:rtl/>
          <w:lang w:bidi="ar-EG"/>
        </w:rPr>
        <w:t>والعلم</w:t>
      </w:r>
      <w:proofErr w:type="gramEnd"/>
      <w:r>
        <w:rPr>
          <w:rFonts w:hint="cs"/>
          <w:rtl/>
          <w:lang w:bidi="ar-EG"/>
        </w:rPr>
        <w:t xml:space="preserve"> والثقافة</w:t>
      </w:r>
      <w:r w:rsidR="00D56B39">
        <w:rPr>
          <w:rFonts w:hint="cs"/>
          <w:rtl/>
          <w:lang w:bidi="ar-EG"/>
        </w:rPr>
        <w:t xml:space="preserve"> (اليونسكو)</w:t>
      </w:r>
    </w:p>
    <w:p w:rsidR="008922C7" w:rsidRDefault="00D56B39" w:rsidP="002C214A">
      <w:pPr>
        <w:pStyle w:val="NormalParaAR"/>
        <w:rPr>
          <w:rtl/>
          <w:lang w:bidi="ar-EG"/>
        </w:rPr>
      </w:pPr>
      <w:proofErr w:type="gramStart"/>
      <w:r>
        <w:rPr>
          <w:rFonts w:hint="cs"/>
          <w:rtl/>
          <w:lang w:bidi="ar-EG"/>
        </w:rPr>
        <w:t>منظمة</w:t>
      </w:r>
      <w:proofErr w:type="gramEnd"/>
      <w:r>
        <w:rPr>
          <w:rFonts w:hint="cs"/>
          <w:rtl/>
          <w:lang w:bidi="ar-EG"/>
        </w:rPr>
        <w:t xml:space="preserve"> التجارة العالمية</w:t>
      </w:r>
    </w:p>
    <w:p w:rsidR="008922C7" w:rsidRDefault="008922C7" w:rsidP="002C214A">
      <w:pPr>
        <w:pStyle w:val="NormalParaAR"/>
        <w:rPr>
          <w:rtl/>
          <w:lang w:bidi="ar-EG"/>
        </w:rPr>
      </w:pPr>
      <w:r>
        <w:rPr>
          <w:rFonts w:hint="cs"/>
          <w:rtl/>
          <w:lang w:bidi="ar-EG"/>
        </w:rPr>
        <w:t>المنظمة العالمية للملكية الفكرية</w:t>
      </w:r>
    </w:p>
    <w:p w:rsidR="008922C7" w:rsidRPr="00D56B39" w:rsidRDefault="008922C7" w:rsidP="002C214A">
      <w:pPr>
        <w:pStyle w:val="NormalParaAR"/>
        <w:rPr>
          <w:i/>
          <w:iCs/>
          <w:lang w:bidi="ar-EG"/>
        </w:rPr>
      </w:pPr>
      <w:r w:rsidRPr="00D56B39">
        <w:rPr>
          <w:rFonts w:hint="cs"/>
          <w:i/>
          <w:iCs/>
          <w:rtl/>
          <w:lang w:bidi="ar-EG"/>
        </w:rPr>
        <w:t xml:space="preserve">المصدر: </w:t>
      </w:r>
      <w:r w:rsidRPr="00D56B39">
        <w:rPr>
          <w:i/>
          <w:iCs/>
          <w:lang w:bidi="ar-EG"/>
        </w:rPr>
        <w:t>Global Affairs Canada (2017-02-29)</w:t>
      </w:r>
    </w:p>
    <w:p w:rsidR="008922C7" w:rsidRDefault="008922C7" w:rsidP="00D56B39">
      <w:pPr>
        <w:pStyle w:val="NormalParaAR"/>
        <w:keepNext/>
        <w:rPr>
          <w:rtl/>
          <w:lang w:bidi="ar-EG"/>
        </w:rPr>
      </w:pPr>
      <w:r>
        <w:rPr>
          <w:rFonts w:hint="cs"/>
          <w:b/>
          <w:bCs/>
          <w:rtl/>
          <w:lang w:bidi="ar-EG"/>
        </w:rPr>
        <w:t xml:space="preserve">عدد السكان: </w:t>
      </w:r>
      <w:r>
        <w:rPr>
          <w:lang w:bidi="ar-EG"/>
        </w:rPr>
        <w:t>36.29</w:t>
      </w:r>
      <w:r w:rsidR="00D56B39">
        <w:rPr>
          <w:rFonts w:hint="cs"/>
          <w:rtl/>
          <w:lang w:bidi="ar-EG"/>
        </w:rPr>
        <w:t xml:space="preserve"> مليون نسمة</w:t>
      </w:r>
    </w:p>
    <w:p w:rsidR="008922C7" w:rsidRPr="000173B1" w:rsidRDefault="008922C7" w:rsidP="000173B1">
      <w:pPr>
        <w:pStyle w:val="NormalParaAR"/>
        <w:rPr>
          <w:i/>
          <w:iCs/>
          <w:rtl/>
          <w:lang w:bidi="ar-EG"/>
        </w:rPr>
      </w:pPr>
      <w:r w:rsidRPr="000173B1">
        <w:rPr>
          <w:rFonts w:hint="cs"/>
          <w:i/>
          <w:iCs/>
          <w:rtl/>
          <w:lang w:bidi="ar-EG"/>
        </w:rPr>
        <w:t xml:space="preserve">المصدر: </w:t>
      </w:r>
      <w:proofErr w:type="gramStart"/>
      <w:r w:rsidRPr="000173B1">
        <w:rPr>
          <w:rFonts w:hint="cs"/>
          <w:i/>
          <w:iCs/>
          <w:rtl/>
          <w:lang w:bidi="ar-EG"/>
        </w:rPr>
        <w:t>إحصاءات</w:t>
      </w:r>
      <w:proofErr w:type="gramEnd"/>
      <w:r w:rsidRPr="000173B1">
        <w:rPr>
          <w:rFonts w:hint="cs"/>
          <w:i/>
          <w:iCs/>
          <w:rtl/>
          <w:lang w:bidi="ar-EG"/>
        </w:rPr>
        <w:t xml:space="preserve"> كندا </w:t>
      </w:r>
      <w:r w:rsidR="000173B1" w:rsidRPr="000173B1">
        <w:rPr>
          <w:rFonts w:hint="cs"/>
          <w:i/>
          <w:iCs/>
          <w:rtl/>
          <w:lang w:bidi="ar-EG"/>
        </w:rPr>
        <w:t>(2016)</w:t>
      </w:r>
    </w:p>
    <w:p w:rsidR="008922C7" w:rsidRDefault="00D56B39" w:rsidP="00D56B39">
      <w:pPr>
        <w:pStyle w:val="NormalParaAR"/>
        <w:keepNext/>
        <w:rPr>
          <w:b/>
          <w:bCs/>
          <w:rtl/>
          <w:lang w:bidi="ar-EG"/>
        </w:rPr>
      </w:pPr>
      <w:r>
        <w:rPr>
          <w:rFonts w:hint="cs"/>
          <w:b/>
          <w:bCs/>
          <w:rtl/>
          <w:lang w:bidi="ar-EG"/>
        </w:rPr>
        <w:t>الناتج المحلي الإجمالي للفرد:</w:t>
      </w:r>
    </w:p>
    <w:p w:rsidR="008922C7" w:rsidRDefault="008922C7" w:rsidP="002C214A">
      <w:pPr>
        <w:pStyle w:val="NormalParaAR"/>
        <w:rPr>
          <w:rtl/>
          <w:lang w:bidi="ar-EG"/>
        </w:rPr>
      </w:pPr>
      <w:r>
        <w:rPr>
          <w:rFonts w:hint="cs"/>
          <w:rtl/>
          <w:lang w:bidi="ar-EG"/>
        </w:rPr>
        <w:t>الناتج المحلي الإجمالي (</w:t>
      </w:r>
      <w:proofErr w:type="gramStart"/>
      <w:r>
        <w:rPr>
          <w:rFonts w:hint="cs"/>
          <w:rtl/>
          <w:lang w:bidi="ar-EG"/>
        </w:rPr>
        <w:t>تكافؤ</w:t>
      </w:r>
      <w:proofErr w:type="gramEnd"/>
      <w:r>
        <w:rPr>
          <w:rFonts w:hint="cs"/>
          <w:rtl/>
          <w:lang w:bidi="ar-EG"/>
        </w:rPr>
        <w:t xml:space="preserve"> القوة الشرائية) (دولار دولي)</w:t>
      </w:r>
      <w:r>
        <w:rPr>
          <w:rFonts w:hint="cs"/>
          <w:rtl/>
          <w:lang w:bidi="ar-EG"/>
        </w:rPr>
        <w:tab/>
      </w:r>
      <w:r>
        <w:rPr>
          <w:rFonts w:hint="cs"/>
          <w:rtl/>
          <w:lang w:bidi="ar-EG"/>
        </w:rPr>
        <w:tab/>
      </w:r>
      <w:r>
        <w:rPr>
          <w:rFonts w:hint="cs"/>
          <w:rtl/>
          <w:lang w:bidi="ar-EG"/>
        </w:rPr>
        <w:tab/>
        <w:t>2015</w:t>
      </w:r>
    </w:p>
    <w:p w:rsidR="008922C7" w:rsidRDefault="00D56B39" w:rsidP="002C214A">
      <w:pPr>
        <w:pStyle w:val="NormalParaAR"/>
        <w:rPr>
          <w:rtl/>
          <w:lang w:bidi="ar-EG"/>
        </w:rPr>
      </w:pPr>
      <w:r>
        <w:rPr>
          <w:rFonts w:hint="cs"/>
          <w:rtl/>
          <w:lang w:bidi="ar-EG"/>
        </w:rPr>
        <w:t>الإجم</w:t>
      </w:r>
      <w:r w:rsidR="008922C7">
        <w:rPr>
          <w:rFonts w:hint="cs"/>
          <w:rtl/>
          <w:lang w:bidi="ar-EG"/>
        </w:rPr>
        <w:t xml:space="preserve">الي </w:t>
      </w:r>
      <w:r w:rsidR="008922C7">
        <w:rPr>
          <w:rFonts w:hint="cs"/>
          <w:rtl/>
          <w:lang w:bidi="ar-EG"/>
        </w:rPr>
        <w:tab/>
      </w:r>
      <w:r w:rsidR="008922C7">
        <w:rPr>
          <w:rFonts w:hint="cs"/>
          <w:rtl/>
          <w:lang w:bidi="ar-EG"/>
        </w:rPr>
        <w:tab/>
      </w:r>
      <w:r w:rsidR="008922C7">
        <w:rPr>
          <w:rFonts w:hint="cs"/>
          <w:rtl/>
          <w:lang w:bidi="ar-EG"/>
        </w:rPr>
        <w:tab/>
      </w:r>
      <w:r w:rsidR="008922C7">
        <w:rPr>
          <w:rFonts w:hint="cs"/>
          <w:rtl/>
          <w:lang w:bidi="ar-EG"/>
        </w:rPr>
        <w:tab/>
      </w:r>
      <w:r w:rsidR="008922C7">
        <w:rPr>
          <w:rFonts w:hint="cs"/>
          <w:rtl/>
          <w:lang w:bidi="ar-EG"/>
        </w:rPr>
        <w:tab/>
      </w:r>
      <w:r w:rsidR="008922C7">
        <w:rPr>
          <w:rFonts w:hint="cs"/>
          <w:rtl/>
          <w:lang w:bidi="ar-EG"/>
        </w:rPr>
        <w:tab/>
      </w:r>
      <w:r w:rsidR="008922C7">
        <w:rPr>
          <w:rFonts w:hint="cs"/>
          <w:rtl/>
          <w:lang w:bidi="ar-EG"/>
        </w:rPr>
        <w:tab/>
      </w:r>
      <w:r w:rsidR="008922C7">
        <w:rPr>
          <w:rFonts w:hint="cs"/>
          <w:rtl/>
          <w:lang w:bidi="ar-EG"/>
        </w:rPr>
        <w:tab/>
      </w:r>
      <w:r w:rsidR="008922C7">
        <w:rPr>
          <w:rFonts w:hint="cs"/>
          <w:rtl/>
          <w:lang w:bidi="ar-EG"/>
        </w:rPr>
        <w:tab/>
        <w:t>1.584 ترليون (ا</w:t>
      </w:r>
      <w:r w:rsidR="00E10C35">
        <w:rPr>
          <w:rFonts w:hint="cs"/>
          <w:rtl/>
          <w:lang w:bidi="ar-EG"/>
        </w:rPr>
        <w:t>لسادس عشر)</w:t>
      </w:r>
    </w:p>
    <w:p w:rsidR="00E10C35" w:rsidRDefault="00E10C35" w:rsidP="002C214A">
      <w:pPr>
        <w:pStyle w:val="NormalParaAR"/>
        <w:rPr>
          <w:rtl/>
          <w:lang w:bidi="ar-EG"/>
        </w:rPr>
      </w:pPr>
      <w:r>
        <w:rPr>
          <w:rFonts w:hint="cs"/>
          <w:rtl/>
          <w:lang w:bidi="ar-EG"/>
        </w:rPr>
        <w:t xml:space="preserve">للفرد </w:t>
      </w:r>
      <w:r>
        <w:rPr>
          <w:rFonts w:hint="cs"/>
          <w:rtl/>
          <w:lang w:bidi="ar-EG"/>
        </w:rPr>
        <w:tab/>
      </w:r>
      <w:r>
        <w:rPr>
          <w:rFonts w:hint="cs"/>
          <w:rtl/>
          <w:lang w:bidi="ar-EG"/>
        </w:rPr>
        <w:tab/>
      </w:r>
      <w:r>
        <w:rPr>
          <w:rFonts w:hint="cs"/>
          <w:rtl/>
          <w:lang w:bidi="ar-EG"/>
        </w:rPr>
        <w:tab/>
      </w:r>
      <w:r>
        <w:rPr>
          <w:rFonts w:hint="cs"/>
          <w:rtl/>
          <w:lang w:bidi="ar-EG"/>
        </w:rPr>
        <w:tab/>
      </w:r>
      <w:r>
        <w:rPr>
          <w:rFonts w:hint="cs"/>
          <w:rtl/>
          <w:lang w:bidi="ar-EG"/>
        </w:rPr>
        <w:tab/>
      </w:r>
      <w:r>
        <w:rPr>
          <w:rFonts w:hint="cs"/>
          <w:rtl/>
          <w:lang w:bidi="ar-EG"/>
        </w:rPr>
        <w:tab/>
      </w:r>
      <w:r>
        <w:rPr>
          <w:rFonts w:hint="cs"/>
          <w:rtl/>
          <w:lang w:bidi="ar-EG"/>
        </w:rPr>
        <w:tab/>
      </w:r>
      <w:r>
        <w:rPr>
          <w:rFonts w:hint="cs"/>
          <w:rtl/>
          <w:lang w:bidi="ar-EG"/>
        </w:rPr>
        <w:tab/>
      </w:r>
      <w:r>
        <w:rPr>
          <w:rFonts w:hint="cs"/>
          <w:rtl/>
          <w:lang w:bidi="ar-EG"/>
        </w:rPr>
        <w:tab/>
      </w:r>
      <w:r>
        <w:rPr>
          <w:rFonts w:hint="cs"/>
          <w:rtl/>
          <w:lang w:bidi="ar-EG"/>
        </w:rPr>
        <w:tab/>
      </w:r>
      <w:r>
        <w:rPr>
          <w:lang w:bidi="ar-EG"/>
        </w:rPr>
        <w:t>44 197</w:t>
      </w:r>
      <w:r>
        <w:rPr>
          <w:rFonts w:hint="cs"/>
          <w:rtl/>
          <w:lang w:bidi="ar-EG"/>
        </w:rPr>
        <w:t xml:space="preserve"> (الثالث والشرين)</w:t>
      </w:r>
    </w:p>
    <w:p w:rsidR="00E10C35" w:rsidRDefault="00E10C35" w:rsidP="00D56B39">
      <w:pPr>
        <w:pStyle w:val="NormalParaAR"/>
        <w:rPr>
          <w:rtl/>
          <w:lang w:bidi="ar-EG"/>
        </w:rPr>
      </w:pPr>
      <w:r>
        <w:rPr>
          <w:rFonts w:hint="cs"/>
          <w:rtl/>
          <w:lang w:bidi="ar-EG"/>
        </w:rPr>
        <w:t>الناتج المحلي الإجمالي (الاسمي) (</w:t>
      </w:r>
      <w:r w:rsidR="00D56B39">
        <w:rPr>
          <w:rFonts w:hint="cs"/>
          <w:rtl/>
          <w:lang w:bidi="ar-EG"/>
        </w:rPr>
        <w:t>دولار أمريكي</w:t>
      </w:r>
      <w:r>
        <w:rPr>
          <w:rFonts w:hint="cs"/>
          <w:rtl/>
          <w:lang w:bidi="ar-EG"/>
        </w:rPr>
        <w:t>)</w:t>
      </w:r>
      <w:r w:rsidR="00D56B39">
        <w:rPr>
          <w:rtl/>
          <w:lang w:bidi="ar-EG"/>
        </w:rPr>
        <w:tab/>
      </w:r>
      <w:r>
        <w:rPr>
          <w:rFonts w:hint="cs"/>
          <w:rtl/>
          <w:lang w:bidi="ar-EG"/>
        </w:rPr>
        <w:tab/>
      </w:r>
      <w:r>
        <w:rPr>
          <w:rFonts w:hint="cs"/>
          <w:rtl/>
          <w:lang w:bidi="ar-EG"/>
        </w:rPr>
        <w:tab/>
      </w:r>
      <w:r>
        <w:rPr>
          <w:rFonts w:hint="cs"/>
          <w:rtl/>
          <w:lang w:bidi="ar-EG"/>
        </w:rPr>
        <w:tab/>
        <w:t>2015</w:t>
      </w:r>
    </w:p>
    <w:p w:rsidR="00E10C35" w:rsidRDefault="00E10C35" w:rsidP="002C214A">
      <w:pPr>
        <w:pStyle w:val="NormalParaAR"/>
        <w:rPr>
          <w:rtl/>
          <w:lang w:bidi="ar-EG"/>
        </w:rPr>
      </w:pPr>
      <w:r>
        <w:rPr>
          <w:rFonts w:hint="cs"/>
          <w:rtl/>
          <w:lang w:bidi="ar-EG"/>
        </w:rPr>
        <w:t>الإجمالي</w:t>
      </w:r>
      <w:r>
        <w:rPr>
          <w:rFonts w:hint="cs"/>
          <w:rtl/>
          <w:lang w:bidi="ar-EG"/>
        </w:rPr>
        <w:tab/>
      </w:r>
      <w:r>
        <w:rPr>
          <w:rFonts w:hint="cs"/>
          <w:rtl/>
          <w:lang w:bidi="ar-EG"/>
        </w:rPr>
        <w:tab/>
      </w:r>
      <w:r>
        <w:rPr>
          <w:rFonts w:hint="cs"/>
          <w:rtl/>
          <w:lang w:bidi="ar-EG"/>
        </w:rPr>
        <w:tab/>
      </w:r>
      <w:r>
        <w:rPr>
          <w:rFonts w:hint="cs"/>
          <w:rtl/>
          <w:lang w:bidi="ar-EG"/>
        </w:rPr>
        <w:tab/>
      </w:r>
      <w:r>
        <w:rPr>
          <w:rFonts w:hint="cs"/>
          <w:rtl/>
          <w:lang w:bidi="ar-EG"/>
        </w:rPr>
        <w:tab/>
      </w:r>
      <w:r>
        <w:rPr>
          <w:rFonts w:hint="cs"/>
          <w:rtl/>
          <w:lang w:bidi="ar-EG"/>
        </w:rPr>
        <w:tab/>
      </w:r>
      <w:r>
        <w:rPr>
          <w:rFonts w:hint="cs"/>
          <w:rtl/>
          <w:lang w:bidi="ar-EG"/>
        </w:rPr>
        <w:tab/>
      </w:r>
      <w:r>
        <w:rPr>
          <w:rFonts w:hint="cs"/>
          <w:rtl/>
          <w:lang w:bidi="ar-EG"/>
        </w:rPr>
        <w:tab/>
      </w:r>
      <w:r>
        <w:rPr>
          <w:rFonts w:hint="cs"/>
          <w:rtl/>
          <w:lang w:bidi="ar-EG"/>
        </w:rPr>
        <w:tab/>
        <w:t>1.551 ترليون (العاشر)</w:t>
      </w:r>
    </w:p>
    <w:p w:rsidR="00E10C35" w:rsidRDefault="00E10C35" w:rsidP="002C214A">
      <w:pPr>
        <w:pStyle w:val="NormalParaAR"/>
        <w:rPr>
          <w:rtl/>
          <w:lang w:bidi="ar-EG"/>
        </w:rPr>
      </w:pPr>
      <w:r>
        <w:rPr>
          <w:rFonts w:hint="cs"/>
          <w:rtl/>
          <w:lang w:bidi="ar-EG"/>
        </w:rPr>
        <w:t>للفرد</w:t>
      </w:r>
      <w:r>
        <w:rPr>
          <w:rFonts w:hint="cs"/>
          <w:rtl/>
          <w:lang w:bidi="ar-EG"/>
        </w:rPr>
        <w:tab/>
      </w:r>
      <w:r>
        <w:rPr>
          <w:rFonts w:hint="cs"/>
          <w:rtl/>
          <w:lang w:bidi="ar-EG"/>
        </w:rPr>
        <w:tab/>
      </w:r>
      <w:r>
        <w:rPr>
          <w:rFonts w:hint="cs"/>
          <w:rtl/>
          <w:lang w:bidi="ar-EG"/>
        </w:rPr>
        <w:tab/>
      </w:r>
      <w:r>
        <w:rPr>
          <w:rFonts w:hint="cs"/>
          <w:rtl/>
          <w:lang w:bidi="ar-EG"/>
        </w:rPr>
        <w:tab/>
      </w:r>
      <w:r>
        <w:rPr>
          <w:rFonts w:hint="cs"/>
          <w:rtl/>
          <w:lang w:bidi="ar-EG"/>
        </w:rPr>
        <w:tab/>
      </w:r>
      <w:r>
        <w:rPr>
          <w:rFonts w:hint="cs"/>
          <w:rtl/>
          <w:lang w:bidi="ar-EG"/>
        </w:rPr>
        <w:tab/>
      </w:r>
      <w:r>
        <w:rPr>
          <w:rFonts w:hint="cs"/>
          <w:rtl/>
          <w:lang w:bidi="ar-EG"/>
        </w:rPr>
        <w:tab/>
      </w:r>
      <w:r>
        <w:rPr>
          <w:rFonts w:hint="cs"/>
          <w:rtl/>
          <w:lang w:bidi="ar-EG"/>
        </w:rPr>
        <w:tab/>
      </w:r>
      <w:r>
        <w:rPr>
          <w:rFonts w:hint="cs"/>
          <w:rtl/>
          <w:lang w:bidi="ar-EG"/>
        </w:rPr>
        <w:tab/>
      </w:r>
      <w:r>
        <w:rPr>
          <w:rFonts w:hint="cs"/>
          <w:rtl/>
          <w:lang w:bidi="ar-EG"/>
        </w:rPr>
        <w:tab/>
      </w:r>
      <w:r>
        <w:rPr>
          <w:lang w:bidi="ar-EG"/>
        </w:rPr>
        <w:t>43 249</w:t>
      </w:r>
      <w:r>
        <w:rPr>
          <w:rFonts w:hint="cs"/>
          <w:rtl/>
          <w:lang w:bidi="ar-EG"/>
        </w:rPr>
        <w:t xml:space="preserve"> (</w:t>
      </w:r>
      <w:proofErr w:type="gramStart"/>
      <w:r>
        <w:rPr>
          <w:rFonts w:hint="cs"/>
          <w:rtl/>
          <w:lang w:bidi="ar-EG"/>
        </w:rPr>
        <w:t>السادس</w:t>
      </w:r>
      <w:proofErr w:type="gramEnd"/>
      <w:r>
        <w:rPr>
          <w:rFonts w:hint="cs"/>
          <w:rtl/>
          <w:lang w:bidi="ar-EG"/>
        </w:rPr>
        <w:t xml:space="preserve"> عشر)</w:t>
      </w:r>
    </w:p>
    <w:p w:rsidR="00E10C35" w:rsidRPr="00D56B39" w:rsidRDefault="00D56B39" w:rsidP="002C214A">
      <w:pPr>
        <w:pStyle w:val="NormalParaAR"/>
        <w:rPr>
          <w:i/>
          <w:iCs/>
          <w:rtl/>
          <w:lang w:bidi="ar-EG"/>
        </w:rPr>
      </w:pPr>
      <w:r w:rsidRPr="00D56B39">
        <w:rPr>
          <w:rFonts w:hint="cs"/>
          <w:i/>
          <w:iCs/>
          <w:rtl/>
          <w:lang w:bidi="ar-EG"/>
        </w:rPr>
        <w:t xml:space="preserve">المصدر: </w:t>
      </w:r>
      <w:proofErr w:type="gramStart"/>
      <w:r w:rsidRPr="00D56B39">
        <w:rPr>
          <w:rFonts w:hint="cs"/>
          <w:i/>
          <w:iCs/>
          <w:rtl/>
          <w:lang w:bidi="ar-EG"/>
        </w:rPr>
        <w:t>البنك</w:t>
      </w:r>
      <w:proofErr w:type="gramEnd"/>
      <w:r w:rsidRPr="00D56B39">
        <w:rPr>
          <w:rFonts w:hint="cs"/>
          <w:i/>
          <w:iCs/>
          <w:rtl/>
          <w:lang w:bidi="ar-EG"/>
        </w:rPr>
        <w:t xml:space="preserve"> الدولي</w:t>
      </w:r>
    </w:p>
    <w:p w:rsidR="00E10C35" w:rsidRDefault="00E10C35" w:rsidP="00D56B39">
      <w:pPr>
        <w:pStyle w:val="NormalParaAR"/>
        <w:keepNext/>
        <w:rPr>
          <w:b/>
          <w:bCs/>
          <w:rtl/>
          <w:lang w:bidi="ar-EG"/>
        </w:rPr>
      </w:pPr>
      <w:r>
        <w:rPr>
          <w:rFonts w:hint="cs"/>
          <w:b/>
          <w:bCs/>
          <w:rtl/>
          <w:lang w:bidi="ar-EG"/>
        </w:rPr>
        <w:t xml:space="preserve">الإنفاق الوطني </w:t>
      </w:r>
      <w:r w:rsidR="00D56B39">
        <w:rPr>
          <w:rFonts w:hint="cs"/>
          <w:b/>
          <w:bCs/>
          <w:rtl/>
          <w:lang w:bidi="ar-EG"/>
        </w:rPr>
        <w:t xml:space="preserve">المقدر </w:t>
      </w:r>
      <w:r>
        <w:rPr>
          <w:rFonts w:hint="cs"/>
          <w:b/>
          <w:bCs/>
          <w:rtl/>
          <w:lang w:bidi="ar-EG"/>
        </w:rPr>
        <w:t>على البحث والتطوير (% من الناتج المحلي الإجمالي)</w:t>
      </w:r>
      <w:r w:rsidR="00D56B39">
        <w:rPr>
          <w:rFonts w:hint="cs"/>
          <w:b/>
          <w:bCs/>
          <w:rtl/>
          <w:lang w:bidi="ar-EG"/>
        </w:rPr>
        <w:t>:</w:t>
      </w:r>
    </w:p>
    <w:p w:rsidR="00E10C35" w:rsidRDefault="00E10C35" w:rsidP="00D56B39">
      <w:pPr>
        <w:pStyle w:val="NormalParaAR"/>
        <w:rPr>
          <w:rtl/>
          <w:lang w:bidi="ar-EG"/>
        </w:rPr>
      </w:pPr>
      <w:proofErr w:type="gramStart"/>
      <w:r>
        <w:rPr>
          <w:rFonts w:hint="cs"/>
          <w:rtl/>
          <w:lang w:bidi="ar-EG"/>
        </w:rPr>
        <w:t>وفقا</w:t>
      </w:r>
      <w:proofErr w:type="gramEnd"/>
      <w:r>
        <w:rPr>
          <w:rFonts w:hint="cs"/>
          <w:rtl/>
          <w:lang w:bidi="ar-EG"/>
        </w:rPr>
        <w:t xml:space="preserve"> للإحصاءات الكندية </w:t>
      </w:r>
      <w:r w:rsidR="00D56B39">
        <w:rPr>
          <w:rFonts w:hint="cs"/>
          <w:rtl/>
          <w:lang w:bidi="ar-EG"/>
        </w:rPr>
        <w:t xml:space="preserve">كان </w:t>
      </w:r>
      <w:r>
        <w:rPr>
          <w:rFonts w:hint="cs"/>
          <w:rtl/>
          <w:lang w:bidi="ar-EG"/>
        </w:rPr>
        <w:t>من المتوقع أن يصل الإنفاق المحلي الإجمالي على البحث والتطوير (</w:t>
      </w:r>
      <w:r>
        <w:rPr>
          <w:lang w:bidi="ar-EG"/>
        </w:rPr>
        <w:t>GERD</w:t>
      </w:r>
      <w:r>
        <w:rPr>
          <w:rFonts w:hint="cs"/>
          <w:rtl/>
          <w:lang w:bidi="ar-EG"/>
        </w:rPr>
        <w:t>) في كندا إلى 31.6</w:t>
      </w:r>
      <w:r w:rsidR="00D56B39">
        <w:rPr>
          <w:rFonts w:hint="eastAsia"/>
          <w:rtl/>
          <w:lang w:bidi="ar-EG"/>
        </w:rPr>
        <w:t> </w:t>
      </w:r>
      <w:r>
        <w:rPr>
          <w:rFonts w:hint="cs"/>
          <w:rtl/>
          <w:lang w:bidi="ar-EG"/>
        </w:rPr>
        <w:t xml:space="preserve">مليار دولار. </w:t>
      </w:r>
      <w:proofErr w:type="gramStart"/>
      <w:r>
        <w:rPr>
          <w:rFonts w:hint="cs"/>
          <w:rtl/>
          <w:lang w:bidi="ar-EG"/>
        </w:rPr>
        <w:t>وبالتالي</w:t>
      </w:r>
      <w:proofErr w:type="gramEnd"/>
      <w:r>
        <w:rPr>
          <w:rFonts w:hint="cs"/>
          <w:rtl/>
          <w:lang w:bidi="ar-EG"/>
        </w:rPr>
        <w:t xml:space="preserve"> كان من المتوقع أن يصل الإنفاق المح</w:t>
      </w:r>
      <w:r w:rsidR="00D56B39">
        <w:rPr>
          <w:rFonts w:hint="cs"/>
          <w:rtl/>
          <w:lang w:bidi="ar-EG"/>
        </w:rPr>
        <w:t xml:space="preserve">لي الإجمالي على البحث والتطوير في </w:t>
      </w:r>
      <w:r>
        <w:rPr>
          <w:rFonts w:hint="cs"/>
          <w:rtl/>
          <w:lang w:bidi="ar-EG"/>
        </w:rPr>
        <w:t>عام</w:t>
      </w:r>
      <w:r w:rsidR="00D56B39">
        <w:rPr>
          <w:rFonts w:hint="eastAsia"/>
          <w:rtl/>
          <w:lang w:bidi="ar-EG"/>
        </w:rPr>
        <w:t> </w:t>
      </w:r>
      <w:r>
        <w:rPr>
          <w:rFonts w:hint="cs"/>
          <w:rtl/>
          <w:lang w:bidi="ar-EG"/>
        </w:rPr>
        <w:t>2015 كنسبة من الناتج المحلي الإجمالي إلى 1.99 بالمائة.</w:t>
      </w:r>
    </w:p>
    <w:p w:rsidR="00E10C35" w:rsidRDefault="00E10C35" w:rsidP="00D56B39">
      <w:pPr>
        <w:pStyle w:val="NormalParaAR"/>
        <w:rPr>
          <w:rtl/>
          <w:lang w:bidi="ar-EG"/>
        </w:rPr>
      </w:pPr>
      <w:r>
        <w:rPr>
          <w:rFonts w:hint="cs"/>
          <w:rtl/>
          <w:lang w:bidi="ar-EG"/>
        </w:rPr>
        <w:t>وكان من المتوقع أن يصل التمويل من قطاع المشروعات التجارية</w:t>
      </w:r>
      <w:r w:rsidR="00D56B39">
        <w:rPr>
          <w:rFonts w:hint="cs"/>
          <w:rtl/>
          <w:lang w:bidi="ar-EG"/>
        </w:rPr>
        <w:t xml:space="preserve"> إلى </w:t>
      </w:r>
      <w:r>
        <w:rPr>
          <w:rFonts w:hint="cs"/>
          <w:rtl/>
          <w:lang w:bidi="ar-EG"/>
        </w:rPr>
        <w:t xml:space="preserve"> 14 مليار دولار في عام</w:t>
      </w:r>
      <w:r w:rsidR="00D56B39">
        <w:rPr>
          <w:rFonts w:hint="eastAsia"/>
          <w:rtl/>
          <w:lang w:bidi="ar-EG"/>
        </w:rPr>
        <w:t> </w:t>
      </w:r>
      <w:r>
        <w:rPr>
          <w:rFonts w:hint="cs"/>
          <w:rtl/>
          <w:lang w:bidi="ar-EG"/>
        </w:rPr>
        <w:t>2015.</w:t>
      </w:r>
      <w:r w:rsidR="00340919">
        <w:rPr>
          <w:rFonts w:hint="cs"/>
          <w:rtl/>
          <w:lang w:bidi="ar-EG"/>
        </w:rPr>
        <w:t xml:space="preserve"> </w:t>
      </w:r>
      <w:r w:rsidR="00D56B39">
        <w:rPr>
          <w:rFonts w:hint="cs"/>
          <w:rtl/>
          <w:lang w:bidi="ar-EG"/>
        </w:rPr>
        <w:t xml:space="preserve">ويظل هذا القطاع هو </w:t>
      </w:r>
      <w:proofErr w:type="gramStart"/>
      <w:r w:rsidR="00D56B39">
        <w:rPr>
          <w:rFonts w:hint="cs"/>
          <w:rtl/>
          <w:lang w:bidi="ar-EG"/>
        </w:rPr>
        <w:t>الأكبر</w:t>
      </w:r>
      <w:proofErr w:type="gramEnd"/>
      <w:r>
        <w:rPr>
          <w:rFonts w:hint="cs"/>
          <w:rtl/>
          <w:lang w:bidi="ar-EG"/>
        </w:rPr>
        <w:t xml:space="preserve"> في مجال تمويل البحث والتطوير في كندا، إذ يمثل تمويله 44.4 بالمائة من تمويل البحث </w:t>
      </w:r>
      <w:proofErr w:type="gramStart"/>
      <w:r>
        <w:rPr>
          <w:rFonts w:hint="cs"/>
          <w:rtl/>
          <w:lang w:bidi="ar-EG"/>
        </w:rPr>
        <w:t>والتطوير</w:t>
      </w:r>
      <w:proofErr w:type="gramEnd"/>
      <w:r>
        <w:rPr>
          <w:rFonts w:hint="cs"/>
          <w:rtl/>
          <w:lang w:bidi="ar-EG"/>
        </w:rPr>
        <w:t>.</w:t>
      </w:r>
    </w:p>
    <w:p w:rsidR="00E10C35" w:rsidRDefault="00E10C35" w:rsidP="00D56B39">
      <w:pPr>
        <w:pStyle w:val="NormalParaAR"/>
        <w:rPr>
          <w:rtl/>
          <w:lang w:bidi="ar-EG"/>
        </w:rPr>
      </w:pPr>
      <w:proofErr w:type="gramStart"/>
      <w:r>
        <w:rPr>
          <w:rFonts w:hint="cs"/>
          <w:rtl/>
          <w:lang w:bidi="ar-EG"/>
        </w:rPr>
        <w:t>ومن</w:t>
      </w:r>
      <w:proofErr w:type="gramEnd"/>
      <w:r>
        <w:rPr>
          <w:rFonts w:hint="cs"/>
          <w:rtl/>
          <w:lang w:bidi="ar-EG"/>
        </w:rPr>
        <w:t xml:space="preserve"> أكبر قطاعات التمويل التالية قطاع التعليم العالي والحكومة الاتحادية، حيث من المتوقع أن يمثل التمويل منهما 22.02</w:t>
      </w:r>
      <w:r w:rsidR="00D56B39">
        <w:rPr>
          <w:rFonts w:hint="eastAsia"/>
          <w:rtl/>
          <w:lang w:bidi="ar-EG"/>
        </w:rPr>
        <w:t> </w:t>
      </w:r>
      <w:r w:rsidR="00D56B39">
        <w:rPr>
          <w:rFonts w:hint="cs"/>
          <w:rtl/>
          <w:lang w:bidi="ar-EG"/>
        </w:rPr>
        <w:t>بالمائة و</w:t>
      </w:r>
      <w:r>
        <w:rPr>
          <w:rFonts w:hint="cs"/>
          <w:rtl/>
          <w:lang w:bidi="ar-EG"/>
        </w:rPr>
        <w:t xml:space="preserve">19.6 بالمائة على التوالي من إجمالي تمويل البحث والتطوير </w:t>
      </w:r>
      <w:proofErr w:type="gramStart"/>
      <w:r>
        <w:rPr>
          <w:rFonts w:hint="cs"/>
          <w:rtl/>
          <w:lang w:bidi="ar-EG"/>
        </w:rPr>
        <w:t>في</w:t>
      </w:r>
      <w:proofErr w:type="gramEnd"/>
      <w:r w:rsidR="00D56B39">
        <w:rPr>
          <w:rFonts w:hint="cs"/>
          <w:rtl/>
          <w:lang w:bidi="ar-EG"/>
        </w:rPr>
        <w:t xml:space="preserve"> عام</w:t>
      </w:r>
      <w:r w:rsidR="00D56B39">
        <w:rPr>
          <w:rFonts w:hint="eastAsia"/>
          <w:rtl/>
          <w:lang w:bidi="ar-EG"/>
        </w:rPr>
        <w:t> </w:t>
      </w:r>
      <w:r w:rsidR="00D56B39">
        <w:rPr>
          <w:rFonts w:hint="cs"/>
          <w:rtl/>
          <w:lang w:bidi="ar-EG"/>
        </w:rPr>
        <w:t>2015.</w:t>
      </w:r>
    </w:p>
    <w:p w:rsidR="00E10C35" w:rsidRDefault="00E10C35" w:rsidP="000173B1">
      <w:pPr>
        <w:pStyle w:val="NormalParaAR"/>
        <w:rPr>
          <w:rtl/>
          <w:lang w:bidi="ar-EG"/>
        </w:rPr>
      </w:pPr>
      <w:proofErr w:type="gramStart"/>
      <w:r>
        <w:rPr>
          <w:rFonts w:hint="cs"/>
          <w:rtl/>
          <w:lang w:bidi="ar-EG"/>
        </w:rPr>
        <w:t>ومن</w:t>
      </w:r>
      <w:proofErr w:type="gramEnd"/>
      <w:r>
        <w:rPr>
          <w:rFonts w:hint="cs"/>
          <w:rtl/>
          <w:lang w:bidi="ar-EG"/>
        </w:rPr>
        <w:t xml:space="preserve"> المتوقع أن يزيد قطاع التعليم العالي من تمويل البحث والتطوير بنسبة 1.0 بالمائة </w:t>
      </w:r>
      <w:proofErr w:type="gramStart"/>
      <w:r w:rsidR="000173B1">
        <w:rPr>
          <w:rFonts w:hint="cs"/>
          <w:rtl/>
          <w:lang w:bidi="ar-EG"/>
        </w:rPr>
        <w:t>ليصل</w:t>
      </w:r>
      <w:proofErr w:type="gramEnd"/>
      <w:r w:rsidR="000173B1">
        <w:rPr>
          <w:rFonts w:hint="cs"/>
          <w:rtl/>
          <w:lang w:bidi="ar-EG"/>
        </w:rPr>
        <w:t xml:space="preserve"> إلى</w:t>
      </w:r>
      <w:r>
        <w:rPr>
          <w:rFonts w:hint="cs"/>
          <w:rtl/>
          <w:lang w:bidi="ar-EG"/>
        </w:rPr>
        <w:t xml:space="preserve"> 6.4 مليار دولار، بينما من المتوقع أن تزيد الحكومة الاتحادية من </w:t>
      </w:r>
      <w:r w:rsidR="005D39F4">
        <w:rPr>
          <w:rFonts w:hint="cs"/>
          <w:rtl/>
          <w:lang w:bidi="ar-EG"/>
        </w:rPr>
        <w:t xml:space="preserve">تمويلها بنسبة </w:t>
      </w:r>
      <w:r w:rsidR="000173B1">
        <w:rPr>
          <w:rFonts w:hint="cs"/>
          <w:rtl/>
          <w:lang w:bidi="ar-EG"/>
        </w:rPr>
        <w:t xml:space="preserve">1.8 بالمائة </w:t>
      </w:r>
      <w:proofErr w:type="gramStart"/>
      <w:r w:rsidR="000173B1">
        <w:rPr>
          <w:rFonts w:hint="cs"/>
          <w:rtl/>
          <w:lang w:bidi="ar-EG"/>
        </w:rPr>
        <w:t>ليصل</w:t>
      </w:r>
      <w:proofErr w:type="gramEnd"/>
      <w:r w:rsidR="000173B1">
        <w:rPr>
          <w:rFonts w:hint="cs"/>
          <w:rtl/>
          <w:lang w:bidi="ar-EG"/>
        </w:rPr>
        <w:t xml:space="preserve"> إلى 6.2 مليار دولار.</w:t>
      </w:r>
    </w:p>
    <w:p w:rsidR="005D39F4" w:rsidRPr="000173B1" w:rsidRDefault="005D39F4" w:rsidP="000173B1">
      <w:pPr>
        <w:pStyle w:val="NormalParaAR"/>
        <w:rPr>
          <w:i/>
          <w:iCs/>
          <w:rtl/>
          <w:lang w:bidi="ar-EG"/>
        </w:rPr>
      </w:pPr>
      <w:r w:rsidRPr="000173B1">
        <w:rPr>
          <w:rFonts w:hint="cs"/>
          <w:i/>
          <w:iCs/>
          <w:rtl/>
          <w:lang w:bidi="ar-EG"/>
        </w:rPr>
        <w:lastRenderedPageBreak/>
        <w:t xml:space="preserve">المصدر: إحصاءات كندا </w:t>
      </w:r>
      <w:r w:rsidR="000173B1" w:rsidRPr="000173B1">
        <w:rPr>
          <w:rFonts w:hint="cs"/>
          <w:i/>
          <w:iCs/>
          <w:rtl/>
          <w:lang w:bidi="ar-EG"/>
        </w:rPr>
        <w:t>بتاريخ 23-09-2014</w:t>
      </w:r>
      <w:r w:rsidRPr="000173B1">
        <w:rPr>
          <w:rFonts w:hint="cs"/>
          <w:i/>
          <w:iCs/>
          <w:rtl/>
          <w:lang w:bidi="ar-EG"/>
        </w:rPr>
        <w:t xml:space="preserve"> (</w:t>
      </w:r>
      <w:r w:rsidR="000173B1" w:rsidRPr="000173B1">
        <w:rPr>
          <w:rFonts w:hint="cs"/>
          <w:i/>
          <w:iCs/>
          <w:rtl/>
          <w:lang w:bidi="ar-EG"/>
        </w:rPr>
        <w:t>استُخرجت</w:t>
      </w:r>
      <w:r w:rsidRPr="000173B1">
        <w:rPr>
          <w:rFonts w:hint="cs"/>
          <w:i/>
          <w:iCs/>
          <w:rtl/>
          <w:lang w:bidi="ar-EG"/>
        </w:rPr>
        <w:t xml:space="preserve"> البيانات في 29 يناير 2017)</w:t>
      </w:r>
    </w:p>
    <w:p w:rsidR="005D39F4" w:rsidRDefault="000173B1" w:rsidP="005D39F4">
      <w:pPr>
        <w:pStyle w:val="NormalParaAR"/>
        <w:rPr>
          <w:b/>
          <w:bCs/>
          <w:rtl/>
          <w:lang w:bidi="ar-EG"/>
        </w:rPr>
      </w:pPr>
      <w:r>
        <w:rPr>
          <w:rFonts w:hint="cs"/>
          <w:b/>
          <w:bCs/>
          <w:rtl/>
          <w:lang w:bidi="ar-EG"/>
        </w:rPr>
        <w:t xml:space="preserve">عدد </w:t>
      </w:r>
      <w:proofErr w:type="gramStart"/>
      <w:r>
        <w:rPr>
          <w:rFonts w:hint="cs"/>
          <w:b/>
          <w:bCs/>
          <w:rtl/>
          <w:lang w:bidi="ar-EG"/>
        </w:rPr>
        <w:t>جامعات</w:t>
      </w:r>
      <w:proofErr w:type="gramEnd"/>
      <w:r>
        <w:rPr>
          <w:rFonts w:hint="cs"/>
          <w:b/>
          <w:bCs/>
          <w:rtl/>
          <w:lang w:bidi="ar-EG"/>
        </w:rPr>
        <w:t xml:space="preserve"> البحث:</w:t>
      </w:r>
    </w:p>
    <w:p w:rsidR="005D39F4" w:rsidRDefault="005D39F4" w:rsidP="000173B1">
      <w:pPr>
        <w:pStyle w:val="NormalParaAR"/>
        <w:rPr>
          <w:rtl/>
          <w:lang w:bidi="ar-EG"/>
        </w:rPr>
      </w:pPr>
      <w:r>
        <w:rPr>
          <w:rFonts w:hint="cs"/>
          <w:rtl/>
          <w:lang w:bidi="ar-EG"/>
        </w:rPr>
        <w:t>تمتلك كندا 97 جام</w:t>
      </w:r>
      <w:r w:rsidR="000173B1">
        <w:rPr>
          <w:rFonts w:hint="cs"/>
          <w:rtl/>
          <w:lang w:bidi="ar-EG"/>
        </w:rPr>
        <w:t>عة بحث تنتشر على المستوى الوطني،</w:t>
      </w:r>
      <w:r>
        <w:rPr>
          <w:rFonts w:hint="cs"/>
          <w:rtl/>
          <w:lang w:bidi="ar-EG"/>
        </w:rPr>
        <w:t xml:space="preserve"> فلدينا: 8 جامعات في ألبرتا، و11 في كولومبيا البريطانية، و6 في </w:t>
      </w:r>
      <w:proofErr w:type="spellStart"/>
      <w:r>
        <w:rPr>
          <w:rFonts w:hint="cs"/>
          <w:rtl/>
          <w:lang w:bidi="ar-EG"/>
        </w:rPr>
        <w:t>مانيتوبا</w:t>
      </w:r>
      <w:proofErr w:type="spellEnd"/>
      <w:r>
        <w:rPr>
          <w:rFonts w:hint="cs"/>
          <w:rtl/>
          <w:lang w:bidi="ar-EG"/>
        </w:rPr>
        <w:t>، و4 ف</w:t>
      </w:r>
      <w:r w:rsidR="000D69B1">
        <w:rPr>
          <w:rFonts w:hint="cs"/>
          <w:rtl/>
          <w:lang w:bidi="ar-EG"/>
        </w:rPr>
        <w:t xml:space="preserve">ي </w:t>
      </w:r>
      <w:proofErr w:type="spellStart"/>
      <w:r w:rsidR="000D69B1">
        <w:rPr>
          <w:rFonts w:hint="cs"/>
          <w:rtl/>
          <w:lang w:bidi="ar-EG"/>
        </w:rPr>
        <w:t>نيوبرونزويك</w:t>
      </w:r>
      <w:proofErr w:type="spellEnd"/>
      <w:r w:rsidR="000D69B1">
        <w:rPr>
          <w:rFonts w:hint="cs"/>
          <w:rtl/>
          <w:lang w:bidi="ar-EG"/>
        </w:rPr>
        <w:t xml:space="preserve">، و9 في نوفا </w:t>
      </w:r>
      <w:proofErr w:type="spellStart"/>
      <w:r w:rsidR="000D69B1">
        <w:rPr>
          <w:rFonts w:hint="cs"/>
          <w:rtl/>
          <w:lang w:bidi="ar-EG"/>
        </w:rPr>
        <w:t>سكوشا</w:t>
      </w:r>
      <w:proofErr w:type="spellEnd"/>
      <w:r>
        <w:rPr>
          <w:rFonts w:hint="cs"/>
          <w:rtl/>
          <w:lang w:bidi="ar-EG"/>
        </w:rPr>
        <w:t xml:space="preserve">، و1 في </w:t>
      </w:r>
      <w:proofErr w:type="spellStart"/>
      <w:r>
        <w:rPr>
          <w:rFonts w:hint="cs"/>
          <w:rtl/>
          <w:lang w:bidi="ar-EG"/>
        </w:rPr>
        <w:t>نيوفاوندلاند</w:t>
      </w:r>
      <w:proofErr w:type="spellEnd"/>
      <w:r>
        <w:rPr>
          <w:rFonts w:hint="cs"/>
          <w:rtl/>
          <w:lang w:bidi="ar-EG"/>
        </w:rPr>
        <w:t>، و33 في أونتاريو، و1 في جزيرة برنس إدوارد، و19</w:t>
      </w:r>
      <w:r w:rsidR="000173B1">
        <w:rPr>
          <w:rFonts w:hint="eastAsia"/>
          <w:rtl/>
          <w:lang w:bidi="ar-EG"/>
        </w:rPr>
        <w:t> </w:t>
      </w:r>
      <w:r>
        <w:rPr>
          <w:rFonts w:hint="cs"/>
          <w:rtl/>
          <w:lang w:bidi="ar-EG"/>
        </w:rPr>
        <w:t xml:space="preserve">في </w:t>
      </w:r>
      <w:proofErr w:type="spellStart"/>
      <w:r>
        <w:rPr>
          <w:rFonts w:hint="cs"/>
          <w:rtl/>
          <w:lang w:bidi="ar-EG"/>
        </w:rPr>
        <w:t>كيبك</w:t>
      </w:r>
      <w:proofErr w:type="spellEnd"/>
      <w:r>
        <w:rPr>
          <w:rFonts w:hint="cs"/>
          <w:rtl/>
          <w:lang w:bidi="ar-EG"/>
        </w:rPr>
        <w:t xml:space="preserve">، و6 في </w:t>
      </w:r>
      <w:proofErr w:type="spellStart"/>
      <w:r>
        <w:rPr>
          <w:rFonts w:hint="cs"/>
          <w:rtl/>
          <w:lang w:bidi="ar-EG"/>
        </w:rPr>
        <w:t>ساسكتشوا</w:t>
      </w:r>
      <w:proofErr w:type="spellEnd"/>
      <w:r>
        <w:rPr>
          <w:rFonts w:hint="cs"/>
          <w:rtl/>
          <w:lang w:bidi="ar-EG"/>
        </w:rPr>
        <w:t>. ووفقا لتقرير أصدرته منظمة التعاون والتنمية في الميدان الاقتصادي في عام</w:t>
      </w:r>
      <w:r w:rsidR="000173B1">
        <w:rPr>
          <w:rFonts w:hint="eastAsia"/>
          <w:rtl/>
          <w:lang w:bidi="ar-EG"/>
        </w:rPr>
        <w:t> </w:t>
      </w:r>
      <w:r>
        <w:rPr>
          <w:rFonts w:hint="cs"/>
          <w:rtl/>
          <w:lang w:bidi="ar-EG"/>
        </w:rPr>
        <w:t>2016، تمتلك كندا النصيب الأكبر بنسبة 55 بالمائة من الكبار</w:t>
      </w:r>
      <w:r w:rsidR="00B13EE8">
        <w:rPr>
          <w:rFonts w:hint="cs"/>
          <w:rtl/>
          <w:lang w:bidi="ar-EG"/>
        </w:rPr>
        <w:t xml:space="preserve"> البالغين</w:t>
      </w:r>
      <w:r>
        <w:rPr>
          <w:rFonts w:hint="cs"/>
          <w:rtl/>
          <w:lang w:bidi="ar-EG"/>
        </w:rPr>
        <w:t xml:space="preserve"> الحاصلين على تعليم جامعي من بين جميع البلدان الأعضاء بالمنظمة. وتنفق كندا أيضا على كل طالب جامعي </w:t>
      </w:r>
      <w:r w:rsidR="00A44521">
        <w:rPr>
          <w:rFonts w:hint="cs"/>
          <w:rtl/>
          <w:lang w:bidi="ar-EG"/>
        </w:rPr>
        <w:t>أعلى من مثيلاتها من الدول الأعضاء بمنظمة التعاون و</w:t>
      </w:r>
      <w:r w:rsidR="000173B1">
        <w:rPr>
          <w:rFonts w:hint="cs"/>
          <w:rtl/>
          <w:lang w:bidi="ar-EG"/>
        </w:rPr>
        <w:t>التنمية في الميدان الاقتصادي. و</w:t>
      </w:r>
      <w:r w:rsidR="00A44521">
        <w:rPr>
          <w:rFonts w:hint="cs"/>
          <w:rtl/>
          <w:lang w:bidi="ar-EG"/>
        </w:rPr>
        <w:t xml:space="preserve">بلغ الإنفاق السنوي على كل طالب جامعي </w:t>
      </w:r>
      <w:r w:rsidR="000173B1">
        <w:rPr>
          <w:rFonts w:hint="cs"/>
          <w:rtl/>
          <w:lang w:bidi="ar-EG"/>
        </w:rPr>
        <w:t>بحسب المؤسسات</w:t>
      </w:r>
      <w:r w:rsidR="00A44521">
        <w:rPr>
          <w:rFonts w:hint="cs"/>
          <w:rtl/>
          <w:lang w:bidi="ar-EG"/>
        </w:rPr>
        <w:t xml:space="preserve"> التعليمية عن جميع الخدمات 51 بالمائة من الناتج المحلي الإجمالي للفرد في عام</w:t>
      </w:r>
      <w:r w:rsidR="000173B1">
        <w:rPr>
          <w:rFonts w:hint="eastAsia"/>
          <w:rtl/>
          <w:lang w:bidi="ar-EG"/>
        </w:rPr>
        <w:t> </w:t>
      </w:r>
      <w:r w:rsidR="000173B1">
        <w:rPr>
          <w:rFonts w:hint="cs"/>
          <w:rtl/>
          <w:lang w:bidi="ar-EG"/>
        </w:rPr>
        <w:t>2012.</w:t>
      </w:r>
    </w:p>
    <w:p w:rsidR="00A44521" w:rsidRPr="005D39F4" w:rsidRDefault="00A44521" w:rsidP="005D39F4">
      <w:pPr>
        <w:pStyle w:val="NormalParaAR"/>
        <w:rPr>
          <w:rtl/>
          <w:lang w:bidi="ar-EG"/>
        </w:rPr>
      </w:pPr>
      <w:r>
        <w:rPr>
          <w:rFonts w:hint="cs"/>
          <w:rtl/>
          <w:lang w:bidi="ar-EG"/>
        </w:rPr>
        <w:t xml:space="preserve">المصدر: </w:t>
      </w:r>
      <w:r w:rsidRPr="000173B1">
        <w:rPr>
          <w:i/>
        </w:rPr>
        <w:t>OECD (2016) “Canada”, in Education at a Glance 2016:</w:t>
      </w:r>
      <w:r w:rsidR="00340919" w:rsidRPr="000173B1">
        <w:rPr>
          <w:i/>
        </w:rPr>
        <w:t xml:space="preserve"> </w:t>
      </w:r>
      <w:r w:rsidRPr="000173B1">
        <w:rPr>
          <w:i/>
        </w:rPr>
        <w:t>OECD Indicators, OECD Publishing, Paris</w:t>
      </w:r>
      <w:r w:rsidR="00340919" w:rsidRPr="000173B1">
        <w:rPr>
          <w:i/>
        </w:rPr>
        <w:t xml:space="preserve"> </w:t>
      </w:r>
      <w:r w:rsidRPr="000173B1">
        <w:rPr>
          <w:i/>
        </w:rPr>
        <w:t>[DOI:</w:t>
      </w:r>
      <w:r w:rsidR="00340919" w:rsidRPr="000173B1">
        <w:rPr>
          <w:i/>
        </w:rPr>
        <w:t xml:space="preserve"> </w:t>
      </w:r>
      <w:r w:rsidR="00C22F8A">
        <w:fldChar w:fldCharType="begin"/>
      </w:r>
      <w:r w:rsidR="00C22F8A">
        <w:instrText xml:space="preserve"> HYPERLINK "http://dx.doi.org/10.1787/eag-2016-45-en" </w:instrText>
      </w:r>
      <w:r w:rsidR="00C22F8A">
        <w:fldChar w:fldCharType="separate"/>
      </w:r>
      <w:r w:rsidRPr="000173B1">
        <w:rPr>
          <w:rStyle w:val="Hyperlink"/>
          <w:i/>
          <w:color w:val="auto"/>
          <w:u w:val="none"/>
        </w:rPr>
        <w:t>http://dx.doi.org/10.1787/eag-2016-45-en</w:t>
      </w:r>
      <w:r w:rsidR="00C22F8A">
        <w:rPr>
          <w:rStyle w:val="Hyperlink"/>
          <w:i/>
          <w:color w:val="auto"/>
          <w:u w:val="none"/>
        </w:rPr>
        <w:fldChar w:fldCharType="end"/>
      </w:r>
    </w:p>
    <w:p w:rsidR="008922C7" w:rsidRDefault="00A44521" w:rsidP="000173B1">
      <w:pPr>
        <w:pStyle w:val="NormalParaAR"/>
        <w:rPr>
          <w:rtl/>
          <w:lang w:bidi="ar-EG"/>
        </w:rPr>
      </w:pPr>
      <w:r>
        <w:rPr>
          <w:rFonts w:hint="cs"/>
          <w:rtl/>
          <w:lang w:bidi="ar-EG"/>
        </w:rPr>
        <w:t xml:space="preserve">وفي عام </w:t>
      </w:r>
      <w:r w:rsidR="00B13EE8">
        <w:rPr>
          <w:rFonts w:hint="cs"/>
          <w:rtl/>
          <w:lang w:bidi="ar-EG"/>
        </w:rPr>
        <w:t xml:space="preserve">2014 </w:t>
      </w:r>
      <w:r>
        <w:rPr>
          <w:rFonts w:hint="cs"/>
          <w:rtl/>
          <w:lang w:bidi="ar-EG"/>
        </w:rPr>
        <w:t>بلغت قيمة البحث والتطوير الذي أجرته الجامعات 13 مليار دولار، ما يعادل 40 بالمائة من إجمالي البحث والتطوير في كندا. وتجري الجامعات الكندية بحوث</w:t>
      </w:r>
      <w:r w:rsidR="000173B1">
        <w:rPr>
          <w:rFonts w:hint="cs"/>
          <w:rtl/>
          <w:lang w:bidi="ar-EG"/>
        </w:rPr>
        <w:t>ا</w:t>
      </w:r>
      <w:r>
        <w:rPr>
          <w:rFonts w:hint="cs"/>
          <w:rtl/>
          <w:lang w:bidi="ar-EG"/>
        </w:rPr>
        <w:t xml:space="preserve"> تبلغ قيمتها مليار دولار لصالح الأعمال وتساعدها على بناء قدرتها التنافس</w:t>
      </w:r>
      <w:r w:rsidR="000173B1">
        <w:rPr>
          <w:rFonts w:hint="cs"/>
          <w:rtl/>
          <w:lang w:bidi="ar-EG"/>
        </w:rPr>
        <w:t>ي</w:t>
      </w:r>
      <w:r>
        <w:rPr>
          <w:rFonts w:hint="cs"/>
          <w:rtl/>
          <w:lang w:bidi="ar-EG"/>
        </w:rPr>
        <w:t>ة. وتجري الجامعات بحوث</w:t>
      </w:r>
      <w:r w:rsidR="000173B1">
        <w:rPr>
          <w:rFonts w:hint="cs"/>
          <w:rtl/>
          <w:lang w:bidi="ar-EG"/>
        </w:rPr>
        <w:t>ا</w:t>
      </w:r>
      <w:r>
        <w:rPr>
          <w:rFonts w:hint="cs"/>
          <w:rtl/>
          <w:lang w:bidi="ar-EG"/>
        </w:rPr>
        <w:t xml:space="preserve"> </w:t>
      </w:r>
      <w:proofErr w:type="gramStart"/>
      <w:r>
        <w:rPr>
          <w:rFonts w:hint="cs"/>
          <w:rtl/>
          <w:lang w:bidi="ar-EG"/>
        </w:rPr>
        <w:t>قيمتها</w:t>
      </w:r>
      <w:proofErr w:type="gramEnd"/>
      <w:r>
        <w:rPr>
          <w:rFonts w:hint="cs"/>
          <w:rtl/>
          <w:lang w:bidi="ar-EG"/>
        </w:rPr>
        <w:t xml:space="preserve"> 1.2 مليار دولار سنويًا لصالح القطاع غير الهادف للربح، وهي القيمة التي </w:t>
      </w:r>
      <w:r w:rsidR="000173B1">
        <w:rPr>
          <w:rFonts w:hint="cs"/>
          <w:rtl/>
          <w:lang w:bidi="ar-EG"/>
        </w:rPr>
        <w:t>زادت بثلاثة أضعاف منذ عام</w:t>
      </w:r>
      <w:r w:rsidR="000173B1">
        <w:rPr>
          <w:rFonts w:hint="eastAsia"/>
          <w:rtl/>
          <w:lang w:bidi="ar-EG"/>
        </w:rPr>
        <w:t> </w:t>
      </w:r>
      <w:r w:rsidR="000173B1">
        <w:rPr>
          <w:rFonts w:hint="cs"/>
          <w:rtl/>
          <w:lang w:bidi="ar-EG"/>
        </w:rPr>
        <w:t>2000.</w:t>
      </w:r>
    </w:p>
    <w:p w:rsidR="0020279E" w:rsidRPr="000173B1" w:rsidRDefault="0020279E" w:rsidP="002C214A">
      <w:pPr>
        <w:pStyle w:val="NormalParaAR"/>
        <w:rPr>
          <w:i/>
          <w:iCs/>
          <w:rtl/>
          <w:lang w:bidi="ar-EG"/>
        </w:rPr>
      </w:pPr>
      <w:r w:rsidRPr="000173B1">
        <w:rPr>
          <w:rFonts w:hint="cs"/>
          <w:i/>
          <w:iCs/>
          <w:rtl/>
          <w:lang w:bidi="ar-EG"/>
        </w:rPr>
        <w:t xml:space="preserve">المصدر: </w:t>
      </w:r>
      <w:proofErr w:type="gramStart"/>
      <w:r w:rsidRPr="000173B1">
        <w:rPr>
          <w:rFonts w:hint="cs"/>
          <w:i/>
          <w:iCs/>
          <w:rtl/>
          <w:lang w:bidi="ar-EG"/>
        </w:rPr>
        <w:t>إحصاءات</w:t>
      </w:r>
      <w:proofErr w:type="gramEnd"/>
      <w:r w:rsidRPr="000173B1">
        <w:rPr>
          <w:rFonts w:hint="cs"/>
          <w:i/>
          <w:iCs/>
          <w:rtl/>
          <w:lang w:bidi="ar-EG"/>
        </w:rPr>
        <w:t xml:space="preserve"> كندا، الإنفاق المحلي الإجمالي على البحث والتطوير في كندا، 2016.</w:t>
      </w:r>
    </w:p>
    <w:p w:rsidR="0020279E" w:rsidRDefault="00135E8E" w:rsidP="000173B1">
      <w:pPr>
        <w:pStyle w:val="NormalParaAR"/>
        <w:rPr>
          <w:rtl/>
          <w:lang w:bidi="ar-EG"/>
        </w:rPr>
      </w:pPr>
      <w:r>
        <w:rPr>
          <w:rFonts w:hint="cs"/>
          <w:rtl/>
          <w:lang w:bidi="ar-EG"/>
        </w:rPr>
        <w:t>يوجد قرابة</w:t>
      </w:r>
      <w:r w:rsidR="00340919">
        <w:rPr>
          <w:rFonts w:hint="cs"/>
          <w:rtl/>
          <w:lang w:bidi="ar-EG"/>
        </w:rPr>
        <w:t xml:space="preserve"> </w:t>
      </w:r>
      <w:r>
        <w:rPr>
          <w:lang w:bidi="ar-EG"/>
        </w:rPr>
        <w:t>1500</w:t>
      </w:r>
      <w:r>
        <w:rPr>
          <w:rFonts w:hint="cs"/>
          <w:rtl/>
          <w:lang w:bidi="ar-EG"/>
        </w:rPr>
        <w:t xml:space="preserve"> مختبر خاص بالشركات والحكومة في 26 جامعة بحث ومجمع للتكنولوجيا. وتوظف هذه مجتمعة قرابة 65</w:t>
      </w:r>
      <w:r w:rsidR="000173B1">
        <w:rPr>
          <w:rFonts w:hint="eastAsia"/>
          <w:rtl/>
          <w:lang w:bidi="ar-EG"/>
        </w:rPr>
        <w:t> </w:t>
      </w:r>
      <w:r>
        <w:rPr>
          <w:rFonts w:hint="cs"/>
          <w:rtl/>
          <w:lang w:bidi="ar-EG"/>
        </w:rPr>
        <w:t xml:space="preserve">ألف </w:t>
      </w:r>
      <w:proofErr w:type="gramStart"/>
      <w:r>
        <w:rPr>
          <w:rFonts w:hint="cs"/>
          <w:rtl/>
          <w:lang w:bidi="ar-EG"/>
        </w:rPr>
        <w:t>شخص</w:t>
      </w:r>
      <w:proofErr w:type="gramEnd"/>
      <w:r>
        <w:rPr>
          <w:rFonts w:hint="cs"/>
          <w:rtl/>
          <w:lang w:bidi="ar-EG"/>
        </w:rPr>
        <w:t>، وتبلغ مساهمتها في الناتج ا</w:t>
      </w:r>
      <w:r w:rsidR="000173B1">
        <w:rPr>
          <w:rFonts w:hint="cs"/>
          <w:rtl/>
          <w:lang w:bidi="ar-EG"/>
        </w:rPr>
        <w:t>لمحلي الإجمالي 4.3 مليار دولار.</w:t>
      </w:r>
    </w:p>
    <w:p w:rsidR="00135E8E" w:rsidRPr="000173B1" w:rsidRDefault="00135E8E" w:rsidP="00135E8E">
      <w:pPr>
        <w:pStyle w:val="NormalParaAR"/>
        <w:rPr>
          <w:i/>
          <w:iCs/>
          <w:rtl/>
        </w:rPr>
      </w:pPr>
      <w:r w:rsidRPr="000173B1">
        <w:rPr>
          <w:rFonts w:hint="cs"/>
          <w:i/>
          <w:iCs/>
          <w:rtl/>
          <w:lang w:bidi="ar-EG"/>
        </w:rPr>
        <w:t xml:space="preserve">المصدر: </w:t>
      </w:r>
      <w:r w:rsidRPr="000173B1">
        <w:rPr>
          <w:i/>
          <w:iCs/>
        </w:rPr>
        <w:t>Association of University Research Parks Canada, National Economic Impact Study, 2013.</w:t>
      </w:r>
    </w:p>
    <w:p w:rsidR="00135E8E" w:rsidRDefault="000173B1" w:rsidP="00135E8E">
      <w:pPr>
        <w:pStyle w:val="NormalParaAR"/>
        <w:rPr>
          <w:rtl/>
          <w:lang w:bidi="ar-EG"/>
        </w:rPr>
      </w:pPr>
      <w:proofErr w:type="gramStart"/>
      <w:r>
        <w:rPr>
          <w:rFonts w:hint="cs"/>
          <w:rtl/>
          <w:lang w:bidi="ar-EG"/>
        </w:rPr>
        <w:t>تدخل</w:t>
      </w:r>
      <w:proofErr w:type="gramEnd"/>
      <w:r w:rsidR="00135E8E">
        <w:rPr>
          <w:rFonts w:hint="cs"/>
          <w:rtl/>
          <w:lang w:bidi="ar-EG"/>
        </w:rPr>
        <w:t xml:space="preserve"> 32 جامعة </w:t>
      </w:r>
      <w:r>
        <w:rPr>
          <w:rFonts w:hint="cs"/>
          <w:rtl/>
          <w:lang w:bidi="ar-EG"/>
        </w:rPr>
        <w:t xml:space="preserve">في </w:t>
      </w:r>
      <w:r w:rsidR="00135E8E">
        <w:rPr>
          <w:rFonts w:hint="cs"/>
          <w:rtl/>
          <w:lang w:bidi="ar-EG"/>
        </w:rPr>
        <w:t>عضوية الاتحاد الكندي لحاضنات الأعمال، وهو عبارة عن اتحاد وطني يدع</w:t>
      </w:r>
      <w:r>
        <w:rPr>
          <w:rFonts w:hint="cs"/>
          <w:rtl/>
          <w:lang w:bidi="ar-EG"/>
        </w:rPr>
        <w:t>م نمو الأعمال الجديدة والناشئة.</w:t>
      </w:r>
    </w:p>
    <w:p w:rsidR="00135E8E" w:rsidRPr="000173B1" w:rsidRDefault="00135E8E" w:rsidP="00135E8E">
      <w:pPr>
        <w:pStyle w:val="NormalParaAR"/>
        <w:rPr>
          <w:i/>
          <w:iCs/>
          <w:rtl/>
          <w:lang w:bidi="ar-EG"/>
        </w:rPr>
      </w:pPr>
      <w:r w:rsidRPr="000173B1">
        <w:rPr>
          <w:rFonts w:hint="cs"/>
          <w:i/>
          <w:iCs/>
          <w:rtl/>
          <w:lang w:bidi="ar-EG"/>
        </w:rPr>
        <w:t>المصدر: الاتحاد الكندي لحاضنات الأعمال، 2015.</w:t>
      </w:r>
    </w:p>
    <w:p w:rsidR="00135E8E" w:rsidRDefault="00135E8E" w:rsidP="00DD4581">
      <w:pPr>
        <w:pStyle w:val="NormalParaAR"/>
        <w:keepNext/>
        <w:rPr>
          <w:b/>
          <w:bCs/>
          <w:rtl/>
          <w:lang w:bidi="ar-EG"/>
        </w:rPr>
      </w:pPr>
      <w:r w:rsidRPr="00135E8E">
        <w:rPr>
          <w:b/>
          <w:bCs/>
          <w:rtl/>
          <w:lang w:bidi="ar-EG"/>
        </w:rPr>
        <w:t>موجز عن الشبكة الوطنية للمعلومات المتعلقة بالبراءات (مثلا، مكتبات البراءات ومراكز دعم التكنولوجيا والابتكار):</w:t>
      </w:r>
    </w:p>
    <w:p w:rsidR="00135E8E" w:rsidRDefault="00135E8E" w:rsidP="00DD4581">
      <w:pPr>
        <w:pStyle w:val="NormalParaAR"/>
        <w:rPr>
          <w:rtl/>
          <w:lang w:bidi="ar-EG"/>
        </w:rPr>
      </w:pPr>
      <w:r>
        <w:rPr>
          <w:rFonts w:hint="cs"/>
          <w:rtl/>
          <w:lang w:bidi="ar-EG"/>
        </w:rPr>
        <w:t xml:space="preserve">يمتلك المكتب الكندي للملكية الفكرية شبكة وطنية متنامية من مسؤولي تطوير الأعمال، وتقدم هذه الشبكة جلسات إذكاء للوعي بشأن الملكية الفكرية وإرشاد موجه للمجتمع الأكاديمي، ومحفزي التطور التكنولوجي والأعمال الصغيرة. ويشمل هذا العمل تثقيف الزبائن عند استكشاف عملية إيداع طلب </w:t>
      </w:r>
      <w:r w:rsidR="00DD4581">
        <w:rPr>
          <w:rFonts w:hint="cs"/>
          <w:rtl/>
          <w:lang w:bidi="ar-EG"/>
        </w:rPr>
        <w:t>البراءات</w:t>
      </w:r>
      <w:r>
        <w:rPr>
          <w:rFonts w:hint="cs"/>
          <w:rtl/>
          <w:lang w:bidi="ar-EG"/>
        </w:rPr>
        <w:t xml:space="preserve"> على الصعيد الوطني أو الصعيد الدولي. ويعمل مسؤول تطوير الأعمال عن قرب مع الشركاء الإقليمين على جميع مستويات الحكومة لإسداء ا</w:t>
      </w:r>
      <w:r w:rsidR="00C32805">
        <w:rPr>
          <w:rFonts w:hint="cs"/>
          <w:rtl/>
          <w:lang w:bidi="ar-EG"/>
        </w:rPr>
        <w:t>لمشورة إلى الجانب الكندي بشأن ا</w:t>
      </w:r>
      <w:r w:rsidR="00DD4581">
        <w:rPr>
          <w:rFonts w:hint="cs"/>
          <w:rtl/>
          <w:lang w:bidi="ar-EG"/>
        </w:rPr>
        <w:t>لحصول على حقوق الملكية الفكرية.</w:t>
      </w:r>
    </w:p>
    <w:p w:rsidR="00C32805" w:rsidRDefault="00DD4581" w:rsidP="00B13EE8">
      <w:pPr>
        <w:pStyle w:val="NormalParaAR"/>
        <w:rPr>
          <w:rtl/>
          <w:lang w:bidi="ar-EG"/>
        </w:rPr>
      </w:pPr>
      <w:proofErr w:type="gramStart"/>
      <w:r>
        <w:rPr>
          <w:rFonts w:hint="cs"/>
          <w:rtl/>
          <w:lang w:bidi="ar-EG"/>
        </w:rPr>
        <w:lastRenderedPageBreak/>
        <w:t>وس</w:t>
      </w:r>
      <w:r w:rsidR="00C32805">
        <w:rPr>
          <w:rFonts w:hint="cs"/>
          <w:rtl/>
          <w:lang w:bidi="ar-EG"/>
        </w:rPr>
        <w:t>يش</w:t>
      </w:r>
      <w:r w:rsidR="00B13EE8">
        <w:rPr>
          <w:rFonts w:hint="cs"/>
          <w:rtl/>
          <w:lang w:bidi="ar-EG"/>
        </w:rPr>
        <w:t>رع</w:t>
      </w:r>
      <w:proofErr w:type="gramEnd"/>
      <w:r w:rsidR="00C32805">
        <w:rPr>
          <w:rFonts w:hint="cs"/>
          <w:rtl/>
          <w:lang w:bidi="ar-EG"/>
        </w:rPr>
        <w:t xml:space="preserve"> المكتب الكندي للملك</w:t>
      </w:r>
      <w:r>
        <w:rPr>
          <w:rFonts w:hint="cs"/>
          <w:rtl/>
          <w:lang w:bidi="ar-EG"/>
        </w:rPr>
        <w:t>ية الفكرية في أب</w:t>
      </w:r>
      <w:r w:rsidR="00C32805">
        <w:rPr>
          <w:rFonts w:hint="cs"/>
          <w:rtl/>
          <w:lang w:bidi="ar-EG"/>
        </w:rPr>
        <w:t>ريل 2017 في تقديم ندوات عامة بالمجان في طائفة متنوعة من الموضوعات المتعلقة بالملكية الفكرية في جميع أنحاء كندا بغية إذكاء وعي الشر</w:t>
      </w:r>
      <w:r>
        <w:rPr>
          <w:rFonts w:hint="cs"/>
          <w:rtl/>
          <w:lang w:bidi="ar-EG"/>
        </w:rPr>
        <w:t>كات الصغيرة والمتوسطة بها. وس</w:t>
      </w:r>
      <w:r w:rsidR="00C32805">
        <w:rPr>
          <w:rFonts w:hint="cs"/>
          <w:rtl/>
          <w:lang w:bidi="ar-EG"/>
        </w:rPr>
        <w:t>تُنظم بنية هذا البرنامج بغية تقديم مستويات متدرجة من التثقيف بشأن الملكية الفك</w:t>
      </w:r>
      <w:r>
        <w:rPr>
          <w:rFonts w:hint="cs"/>
          <w:rtl/>
          <w:lang w:bidi="ar-EG"/>
        </w:rPr>
        <w:t>رية وس</w:t>
      </w:r>
      <w:r w:rsidR="00C32805">
        <w:rPr>
          <w:rFonts w:hint="cs"/>
          <w:rtl/>
          <w:lang w:bidi="ar-EG"/>
        </w:rPr>
        <w:t>تشمل تقديم محاضرات عن منافع استخدام النظم الدولية للملكية الفكرية فضلا عن إرشادات بشأن استخدامها بما في ذلك معاهدة التعاون بشأن البراءات والمسار السريع لمعالجة البراءات.</w:t>
      </w:r>
    </w:p>
    <w:p w:rsidR="00C32805" w:rsidRDefault="00C32805" w:rsidP="00C32805">
      <w:pPr>
        <w:pStyle w:val="NormalParaAR"/>
        <w:rPr>
          <w:rtl/>
          <w:lang w:bidi="ar-EG"/>
        </w:rPr>
      </w:pPr>
      <w:r>
        <w:rPr>
          <w:rFonts w:hint="cs"/>
          <w:rtl/>
          <w:lang w:bidi="ar-EG"/>
        </w:rPr>
        <w:t>وتؤدي وزارة الابتكار والعلوم والتنمية الاقتصادية على المستوى الاتحادي دورًا أساسيًا في برنام</w:t>
      </w:r>
      <w:r w:rsidR="00DD4581">
        <w:rPr>
          <w:rFonts w:hint="cs"/>
          <w:rtl/>
          <w:lang w:bidi="ar-EG"/>
        </w:rPr>
        <w:t xml:space="preserve">ج الابتكار في كندا، الذي يكتسي </w:t>
      </w:r>
      <w:r>
        <w:rPr>
          <w:rFonts w:hint="cs"/>
          <w:rtl/>
          <w:lang w:bidi="ar-EG"/>
        </w:rPr>
        <w:t>أولوية عظمى لدى الحكومة الاتحادي</w:t>
      </w:r>
      <w:r w:rsidR="00B13EE8">
        <w:rPr>
          <w:rFonts w:hint="cs"/>
          <w:rtl/>
          <w:lang w:bidi="ar-EG"/>
        </w:rPr>
        <w:t>ة</w:t>
      </w:r>
      <w:r>
        <w:rPr>
          <w:rFonts w:hint="cs"/>
          <w:rtl/>
          <w:lang w:bidi="ar-EG"/>
        </w:rPr>
        <w:t xml:space="preserve">. </w:t>
      </w:r>
      <w:proofErr w:type="gramStart"/>
      <w:r>
        <w:rPr>
          <w:rFonts w:hint="cs"/>
          <w:rtl/>
          <w:lang w:bidi="ar-EG"/>
        </w:rPr>
        <w:t>وتمتلك</w:t>
      </w:r>
      <w:proofErr w:type="gramEnd"/>
      <w:r>
        <w:rPr>
          <w:rFonts w:hint="cs"/>
          <w:rtl/>
          <w:lang w:bidi="ar-EG"/>
        </w:rPr>
        <w:t xml:space="preserve"> العديد من الوزارات والوكالات الاتحادية الأخرى ولايات ترتبط ببرنامج الابتكار ومن بينها: المجلس الكندي للعلوم الوطنية والبحوث الهندسية (</w:t>
      </w:r>
      <w:r>
        <w:rPr>
          <w:lang w:bidi="ar-EG"/>
        </w:rPr>
        <w:t>NSERC</w:t>
      </w:r>
      <w:r>
        <w:rPr>
          <w:rFonts w:hint="cs"/>
          <w:rtl/>
          <w:lang w:bidi="ar-EG"/>
        </w:rPr>
        <w:t>)، والشبكة الكندية للأعمال، والشبكة الكندي</w:t>
      </w:r>
      <w:r w:rsidR="00DD4581">
        <w:rPr>
          <w:rFonts w:hint="cs"/>
          <w:rtl/>
          <w:lang w:bidi="ar-EG"/>
        </w:rPr>
        <w:t>ة لمراكز الامتياز</w:t>
      </w:r>
      <w:r>
        <w:rPr>
          <w:rFonts w:hint="cs"/>
          <w:rtl/>
          <w:lang w:bidi="ar-EG"/>
        </w:rPr>
        <w:t xml:space="preserve"> وبرنامج الابتكار للبناء في كندا.</w:t>
      </w:r>
    </w:p>
    <w:p w:rsidR="00C32805" w:rsidRDefault="00C32805" w:rsidP="00DD4581">
      <w:pPr>
        <w:pStyle w:val="NormalParaAR"/>
        <w:rPr>
          <w:rtl/>
          <w:lang w:bidi="ar-EG"/>
        </w:rPr>
      </w:pPr>
      <w:r>
        <w:rPr>
          <w:rFonts w:hint="cs"/>
          <w:rtl/>
          <w:lang w:bidi="ar-EG"/>
        </w:rPr>
        <w:t xml:space="preserve">أما على مستوى الولايات والمستوى الداخلي </w:t>
      </w:r>
      <w:r w:rsidR="00D17FCE">
        <w:rPr>
          <w:rFonts w:hint="cs"/>
          <w:rtl/>
          <w:lang w:bidi="ar-EG"/>
        </w:rPr>
        <w:t xml:space="preserve">فتوفر الشبكات المحورية والشبكات المخصصة لغرض معين دعمًا مباشرًا </w:t>
      </w:r>
      <w:r w:rsidR="00DD4581">
        <w:rPr>
          <w:rFonts w:hint="cs"/>
          <w:rtl/>
          <w:lang w:bidi="ar-EG"/>
        </w:rPr>
        <w:t>ل</w:t>
      </w:r>
      <w:r w:rsidR="00D17FCE">
        <w:rPr>
          <w:rFonts w:hint="cs"/>
          <w:rtl/>
          <w:lang w:bidi="ar-EG"/>
        </w:rPr>
        <w:t>لأعمال الكندية، ومن بين الأمثلة على هذه الشبكات: مبادرة الابتكار الغربي (</w:t>
      </w:r>
      <w:r w:rsidR="00D17FCE">
        <w:rPr>
          <w:lang w:bidi="ar-EG"/>
        </w:rPr>
        <w:t>WINN</w:t>
      </w:r>
      <w:r w:rsidR="00D17FCE">
        <w:rPr>
          <w:rFonts w:hint="cs"/>
          <w:rtl/>
          <w:lang w:bidi="ar-EG"/>
        </w:rPr>
        <w:t xml:space="preserve">) (في </w:t>
      </w:r>
      <w:proofErr w:type="spellStart"/>
      <w:r w:rsidR="00D17FCE">
        <w:rPr>
          <w:rFonts w:hint="cs"/>
          <w:rtl/>
          <w:lang w:bidi="ar-EG"/>
        </w:rPr>
        <w:t>مانيتوبا</w:t>
      </w:r>
      <w:proofErr w:type="spellEnd"/>
      <w:r w:rsidR="00D17FCE">
        <w:rPr>
          <w:rFonts w:hint="cs"/>
          <w:rtl/>
          <w:lang w:bidi="ar-EG"/>
        </w:rPr>
        <w:t xml:space="preserve"> </w:t>
      </w:r>
      <w:proofErr w:type="spellStart"/>
      <w:r w:rsidR="00D17FCE">
        <w:rPr>
          <w:rFonts w:hint="cs"/>
          <w:rtl/>
          <w:lang w:bidi="ar-EG"/>
        </w:rPr>
        <w:t>وساسكتشوا</w:t>
      </w:r>
      <w:proofErr w:type="spellEnd"/>
      <w:r w:rsidR="00D17FCE">
        <w:rPr>
          <w:rFonts w:hint="cs"/>
          <w:rtl/>
          <w:lang w:bidi="ar-EG"/>
        </w:rPr>
        <w:t xml:space="preserve"> وألبرتا وكولومبيا البريطانية)، ومعهد أورورا للبحوث الذي يقدم خدماته للباحثين (الأقاليم الشمالية الغربية)، ومؤسسة الابتكار في </w:t>
      </w:r>
      <w:proofErr w:type="spellStart"/>
      <w:r w:rsidR="00D17FCE">
        <w:rPr>
          <w:rFonts w:hint="cs"/>
          <w:rtl/>
          <w:lang w:bidi="ar-EG"/>
        </w:rPr>
        <w:t>نيوبرونزويك</w:t>
      </w:r>
      <w:proofErr w:type="spellEnd"/>
      <w:r w:rsidR="00D17FCE">
        <w:rPr>
          <w:rFonts w:hint="cs"/>
          <w:rtl/>
          <w:lang w:bidi="ar-EG"/>
        </w:rPr>
        <w:t xml:space="preserve">، </w:t>
      </w:r>
      <w:proofErr w:type="spellStart"/>
      <w:r w:rsidR="00D17FCE">
        <w:rPr>
          <w:rFonts w:hint="cs"/>
          <w:rtl/>
          <w:lang w:bidi="ar-EG"/>
        </w:rPr>
        <w:t>وانوفاكورب</w:t>
      </w:r>
      <w:proofErr w:type="spellEnd"/>
      <w:r w:rsidR="00D17FCE">
        <w:rPr>
          <w:rFonts w:hint="cs"/>
          <w:rtl/>
          <w:lang w:bidi="ar-EG"/>
        </w:rPr>
        <w:t xml:space="preserve"> </w:t>
      </w:r>
      <w:proofErr w:type="spellStart"/>
      <w:r w:rsidR="00D17FCE">
        <w:rPr>
          <w:lang w:bidi="ar-EG"/>
        </w:rPr>
        <w:t>Innovacorp</w:t>
      </w:r>
      <w:proofErr w:type="spellEnd"/>
      <w:r w:rsidR="00D17FCE">
        <w:rPr>
          <w:rFonts w:hint="cs"/>
          <w:rtl/>
          <w:lang w:bidi="ar-EG"/>
        </w:rPr>
        <w:t xml:space="preserve"> (في نوفا </w:t>
      </w:r>
      <w:proofErr w:type="spellStart"/>
      <w:r w:rsidR="00D17FCE">
        <w:rPr>
          <w:rFonts w:hint="cs"/>
          <w:rtl/>
          <w:lang w:bidi="ar-EG"/>
        </w:rPr>
        <w:t>سكوشا</w:t>
      </w:r>
      <w:proofErr w:type="spellEnd"/>
      <w:r w:rsidR="00D17FCE">
        <w:rPr>
          <w:rFonts w:hint="cs"/>
          <w:rtl/>
          <w:lang w:bidi="ar-EG"/>
        </w:rPr>
        <w:t xml:space="preserve">)، ومركز الأطلسي للتكنولوجيا (جزيرة برنس ادوارد)، ومركز البحوث الصناعية في </w:t>
      </w:r>
      <w:proofErr w:type="spellStart"/>
      <w:r w:rsidR="00D17FCE">
        <w:rPr>
          <w:rFonts w:hint="cs"/>
          <w:rtl/>
          <w:lang w:bidi="ar-EG"/>
        </w:rPr>
        <w:t>كيبك</w:t>
      </w:r>
      <w:proofErr w:type="spellEnd"/>
      <w:r w:rsidR="00D17FCE">
        <w:rPr>
          <w:rFonts w:hint="cs"/>
          <w:rtl/>
          <w:lang w:bidi="ar-EG"/>
        </w:rPr>
        <w:t xml:space="preserve"> (</w:t>
      </w:r>
      <w:proofErr w:type="spellStart"/>
      <w:r w:rsidR="00D17FCE">
        <w:rPr>
          <w:rFonts w:hint="cs"/>
          <w:rtl/>
          <w:lang w:bidi="ar-EG"/>
        </w:rPr>
        <w:t>كيبك</w:t>
      </w:r>
      <w:proofErr w:type="spellEnd"/>
      <w:r w:rsidR="00D17FCE">
        <w:rPr>
          <w:rFonts w:hint="cs"/>
          <w:rtl/>
          <w:lang w:bidi="ar-EG"/>
        </w:rPr>
        <w:t xml:space="preserve">)، وخدمات إنتاج المزارع (يوكون)، ومراكز </w:t>
      </w:r>
      <w:r w:rsidR="00DD4581">
        <w:rPr>
          <w:rFonts w:hint="cs"/>
          <w:rtl/>
          <w:lang w:bidi="ar-EG"/>
        </w:rPr>
        <w:t>الامتياز</w:t>
      </w:r>
      <w:r w:rsidR="00D17FCE">
        <w:rPr>
          <w:rFonts w:hint="cs"/>
          <w:rtl/>
          <w:lang w:bidi="ar-EG"/>
        </w:rPr>
        <w:t xml:space="preserve"> في أونتاريو (أونتاريو)، وبرنامج الاستثمار الاستراتيجي (</w:t>
      </w:r>
      <w:proofErr w:type="spellStart"/>
      <w:r w:rsidR="00D17FCE">
        <w:rPr>
          <w:rFonts w:hint="cs"/>
          <w:rtl/>
          <w:lang w:bidi="ar-EG"/>
        </w:rPr>
        <w:t>نانافوت</w:t>
      </w:r>
      <w:proofErr w:type="spellEnd"/>
      <w:r w:rsidR="00D17FCE">
        <w:rPr>
          <w:rFonts w:hint="cs"/>
          <w:rtl/>
          <w:lang w:bidi="ar-EG"/>
        </w:rPr>
        <w:t xml:space="preserve">) ومركز </w:t>
      </w:r>
      <w:proofErr w:type="spellStart"/>
      <w:r w:rsidR="00D17FCE">
        <w:rPr>
          <w:rFonts w:hint="cs"/>
          <w:rtl/>
          <w:lang w:bidi="ar-EG"/>
        </w:rPr>
        <w:t>جنيسيس</w:t>
      </w:r>
      <w:proofErr w:type="spellEnd"/>
      <w:r w:rsidR="00D17FCE">
        <w:rPr>
          <w:rFonts w:hint="cs"/>
          <w:rtl/>
          <w:lang w:bidi="ar-EG"/>
        </w:rPr>
        <w:t xml:space="preserve"> (</w:t>
      </w:r>
      <w:proofErr w:type="spellStart"/>
      <w:r w:rsidR="00D17FCE">
        <w:rPr>
          <w:rFonts w:hint="cs"/>
          <w:rtl/>
          <w:lang w:bidi="ar-EG"/>
        </w:rPr>
        <w:t>نيوفاوندلاند</w:t>
      </w:r>
      <w:proofErr w:type="spellEnd"/>
      <w:r w:rsidR="00D17FCE">
        <w:rPr>
          <w:rFonts w:hint="cs"/>
          <w:rtl/>
          <w:lang w:bidi="ar-EG"/>
        </w:rPr>
        <w:t xml:space="preserve"> </w:t>
      </w:r>
      <w:proofErr w:type="spellStart"/>
      <w:r w:rsidR="00D17FCE">
        <w:rPr>
          <w:rFonts w:hint="cs"/>
          <w:rtl/>
          <w:lang w:bidi="ar-EG"/>
        </w:rPr>
        <w:t>واللابرادور</w:t>
      </w:r>
      <w:proofErr w:type="spellEnd"/>
      <w:r w:rsidR="00D17FCE">
        <w:rPr>
          <w:rFonts w:hint="cs"/>
          <w:rtl/>
          <w:lang w:bidi="ar-EG"/>
        </w:rPr>
        <w:t>).</w:t>
      </w:r>
    </w:p>
    <w:p w:rsidR="00D17FCE" w:rsidRDefault="00D17FCE" w:rsidP="00F53C8F">
      <w:pPr>
        <w:pStyle w:val="NormalParaAR"/>
        <w:rPr>
          <w:rtl/>
          <w:lang w:bidi="ar-EG"/>
        </w:rPr>
      </w:pPr>
      <w:proofErr w:type="gramStart"/>
      <w:r>
        <w:rPr>
          <w:rFonts w:hint="cs"/>
          <w:rtl/>
          <w:lang w:bidi="ar-EG"/>
        </w:rPr>
        <w:t>وتمتلك</w:t>
      </w:r>
      <w:proofErr w:type="gramEnd"/>
      <w:r>
        <w:rPr>
          <w:rFonts w:hint="cs"/>
          <w:rtl/>
          <w:lang w:bidi="ar-EG"/>
        </w:rPr>
        <w:t xml:space="preserve"> مناطق التركز السكاني الكندية كذلك مراكز للابتكار تحصل على تمويل عمومي وتمويل من مصادر خاصة أو توليفة من الاثنين. ومن بينها مثلا انفست اوتاوا، وتيك </w:t>
      </w:r>
      <w:proofErr w:type="spellStart"/>
      <w:r>
        <w:rPr>
          <w:rFonts w:hint="cs"/>
          <w:rtl/>
          <w:lang w:bidi="ar-EG"/>
        </w:rPr>
        <w:t>ادمنتون</w:t>
      </w:r>
      <w:proofErr w:type="spellEnd"/>
      <w:r>
        <w:rPr>
          <w:rFonts w:hint="cs"/>
          <w:rtl/>
          <w:lang w:bidi="ar-EG"/>
        </w:rPr>
        <w:t xml:space="preserve"> ومركز مشروعات الابتكار في مونتريال، ومكتب المراجع العلمية في تورنتو </w:t>
      </w:r>
      <w:proofErr w:type="spellStart"/>
      <w:r>
        <w:rPr>
          <w:rFonts w:hint="cs"/>
          <w:rtl/>
          <w:lang w:bidi="ar-EG"/>
        </w:rPr>
        <w:t>وانوفيت</w:t>
      </w:r>
      <w:proofErr w:type="spellEnd"/>
      <w:r>
        <w:rPr>
          <w:rFonts w:hint="cs"/>
          <w:rtl/>
          <w:lang w:bidi="ar-EG"/>
        </w:rPr>
        <w:t xml:space="preserve"> </w:t>
      </w:r>
      <w:proofErr w:type="spellStart"/>
      <w:r>
        <w:rPr>
          <w:rFonts w:hint="cs"/>
          <w:rtl/>
          <w:lang w:bidi="ar-EG"/>
        </w:rPr>
        <w:t>كالغاري</w:t>
      </w:r>
      <w:proofErr w:type="spellEnd"/>
      <w:r>
        <w:rPr>
          <w:rFonts w:hint="cs"/>
          <w:rtl/>
          <w:lang w:bidi="ar-EG"/>
        </w:rPr>
        <w:t xml:space="preserve"> ومركز الابتكار بي سي في فانكوفر، وكلها تتي</w:t>
      </w:r>
      <w:r w:rsidR="00F53C8F">
        <w:rPr>
          <w:rFonts w:hint="cs"/>
          <w:rtl/>
          <w:lang w:bidi="ar-EG"/>
        </w:rPr>
        <w:t>ح المساحة الضرورية والخبرات ل</w:t>
      </w:r>
      <w:r>
        <w:rPr>
          <w:rFonts w:hint="cs"/>
          <w:rtl/>
          <w:lang w:bidi="ar-EG"/>
        </w:rPr>
        <w:t>أصحاب المشروعات في مختلف مراحل دورة حياة الابتكار، بما في ذلك التوجيه في مجال استكشاف عملية الحصول على براءة.</w:t>
      </w:r>
    </w:p>
    <w:p w:rsidR="00D17FCE" w:rsidRDefault="00D17FCE" w:rsidP="00CE2843">
      <w:pPr>
        <w:pStyle w:val="NormalParaAR"/>
        <w:keepNext/>
        <w:rPr>
          <w:b/>
          <w:bCs/>
          <w:rtl/>
          <w:lang w:bidi="ar-EG"/>
        </w:rPr>
      </w:pPr>
      <w:r w:rsidRPr="00D17FCE">
        <w:rPr>
          <w:rFonts w:hint="cs"/>
          <w:b/>
          <w:bCs/>
          <w:rtl/>
          <w:lang w:bidi="ar-EG"/>
        </w:rPr>
        <w:t>ال</w:t>
      </w:r>
      <w:r w:rsidRPr="00D17FCE">
        <w:rPr>
          <w:b/>
          <w:bCs/>
          <w:rtl/>
          <w:lang w:bidi="ar-EG"/>
        </w:rPr>
        <w:t>صناعات المحلية الكبرى</w:t>
      </w:r>
      <w:r>
        <w:rPr>
          <w:rFonts w:hint="cs"/>
          <w:b/>
          <w:bCs/>
          <w:rtl/>
          <w:lang w:bidi="ar-EG"/>
        </w:rPr>
        <w:t>:</w:t>
      </w:r>
    </w:p>
    <w:p w:rsidR="00D17FCE" w:rsidRDefault="00D17FCE" w:rsidP="00D17FCE">
      <w:pPr>
        <w:pStyle w:val="NormalParaAR"/>
        <w:rPr>
          <w:rtl/>
          <w:lang w:bidi="ar-EG"/>
        </w:rPr>
      </w:pPr>
      <w:r>
        <w:rPr>
          <w:rFonts w:hint="cs"/>
          <w:rtl/>
          <w:lang w:bidi="ar-EG"/>
        </w:rPr>
        <w:t xml:space="preserve">تشمل الصناعات المحلية الكبرى في كندا ما يلي: التصنيع والتعدين وصناعة الخدمات والحراجة والصناعات البترولية وهي من كبرى موردي المنتجات الزراعية. وتشكل البراري الكندية مصدرًا من أهم مصادر الإنتاج العالمي للقمح </w:t>
      </w:r>
      <w:proofErr w:type="spellStart"/>
      <w:r>
        <w:rPr>
          <w:rFonts w:hint="cs"/>
          <w:rtl/>
          <w:lang w:bidi="ar-EG"/>
        </w:rPr>
        <w:t>والكانولا</w:t>
      </w:r>
      <w:proofErr w:type="spellEnd"/>
      <w:r>
        <w:rPr>
          <w:rFonts w:hint="cs"/>
          <w:rtl/>
          <w:lang w:bidi="ar-EG"/>
        </w:rPr>
        <w:t xml:space="preserve"> والحبوب الأخرى.</w:t>
      </w:r>
    </w:p>
    <w:p w:rsidR="00D17FCE" w:rsidRDefault="009C6E31" w:rsidP="00D17FCE">
      <w:pPr>
        <w:pStyle w:val="NormalParaAR"/>
        <w:rPr>
          <w:rtl/>
          <w:lang w:bidi="ar-EG"/>
        </w:rPr>
      </w:pPr>
      <w:r>
        <w:rPr>
          <w:rFonts w:hint="cs"/>
          <w:rtl/>
          <w:lang w:bidi="ar-EG"/>
        </w:rPr>
        <w:t xml:space="preserve">وتصدر وزارة الموارد الطبيعية الإحصاءات المتعلقة بأهم </w:t>
      </w:r>
      <w:proofErr w:type="gramStart"/>
      <w:r>
        <w:rPr>
          <w:rFonts w:hint="cs"/>
          <w:rtl/>
          <w:lang w:bidi="ar-EG"/>
        </w:rPr>
        <w:t>الصادرات</w:t>
      </w:r>
      <w:proofErr w:type="gramEnd"/>
      <w:r>
        <w:rPr>
          <w:rFonts w:hint="cs"/>
          <w:rtl/>
          <w:lang w:bidi="ar-EG"/>
        </w:rPr>
        <w:t xml:space="preserve"> الكندية. وتحتل كندا الصدارة في مجال تصدير الزنك واليورانيوم والذهب والنيكل والألومنيوم والصلب ومعدن الحديد الخام وفحم الكوك والرصاص، فضلا عن المنتجات الم</w:t>
      </w:r>
      <w:r w:rsidR="00CE2843">
        <w:rPr>
          <w:rFonts w:hint="cs"/>
          <w:rtl/>
          <w:lang w:bidi="ar-EG"/>
        </w:rPr>
        <w:t>تعلقة بصناعة السيارات والطيران.</w:t>
      </w:r>
    </w:p>
    <w:p w:rsidR="009C6E31" w:rsidRDefault="009C6E31" w:rsidP="00CE2843">
      <w:pPr>
        <w:pStyle w:val="NormalParaAR"/>
        <w:keepNext/>
        <w:rPr>
          <w:b/>
          <w:bCs/>
          <w:rtl/>
          <w:lang w:bidi="ar-EG"/>
        </w:rPr>
      </w:pPr>
      <w:r>
        <w:rPr>
          <w:rFonts w:hint="cs"/>
          <w:b/>
          <w:bCs/>
          <w:rtl/>
          <w:lang w:bidi="ar-EG"/>
        </w:rPr>
        <w:t>أ</w:t>
      </w:r>
      <w:r w:rsidRPr="009C6E31">
        <w:rPr>
          <w:b/>
          <w:bCs/>
          <w:rtl/>
          <w:lang w:bidi="ar-EG"/>
        </w:rPr>
        <w:t xml:space="preserve">كبر الشركاء </w:t>
      </w:r>
      <w:proofErr w:type="gramStart"/>
      <w:r w:rsidRPr="009C6E31">
        <w:rPr>
          <w:b/>
          <w:bCs/>
          <w:rtl/>
          <w:lang w:bidi="ar-EG"/>
        </w:rPr>
        <w:t>التجاريين</w:t>
      </w:r>
      <w:proofErr w:type="gramEnd"/>
      <w:r w:rsidRPr="009C6E31">
        <w:rPr>
          <w:b/>
          <w:bCs/>
          <w:rtl/>
          <w:lang w:bidi="ar-EG"/>
        </w:rPr>
        <w:t xml:space="preserve"> من الدول:</w:t>
      </w:r>
    </w:p>
    <w:p w:rsidR="009C6E31" w:rsidRDefault="009C6E31" w:rsidP="00CE2843">
      <w:pPr>
        <w:pStyle w:val="NormalParaAR"/>
        <w:rPr>
          <w:rtl/>
          <w:lang w:bidi="ar-EG"/>
        </w:rPr>
      </w:pPr>
      <w:r>
        <w:rPr>
          <w:rFonts w:hint="cs"/>
          <w:rtl/>
          <w:lang w:bidi="ar-EG"/>
        </w:rPr>
        <w:t>في عام</w:t>
      </w:r>
      <w:r w:rsidR="00CE2843">
        <w:rPr>
          <w:rFonts w:hint="eastAsia"/>
          <w:rtl/>
          <w:lang w:bidi="ar-EG"/>
        </w:rPr>
        <w:t> </w:t>
      </w:r>
      <w:r>
        <w:rPr>
          <w:rFonts w:hint="cs"/>
          <w:rtl/>
          <w:lang w:bidi="ar-EG"/>
        </w:rPr>
        <w:t>2015</w:t>
      </w:r>
      <w:r w:rsidR="00CE2843">
        <w:rPr>
          <w:rFonts w:hint="cs"/>
          <w:rtl/>
          <w:lang w:bidi="ar-EG"/>
        </w:rPr>
        <w:t>،</w:t>
      </w:r>
      <w:r>
        <w:rPr>
          <w:rFonts w:hint="cs"/>
          <w:rtl/>
          <w:lang w:bidi="ar-EG"/>
        </w:rPr>
        <w:t xml:space="preserve"> كانت الولايات المتحدة الأمريكية </w:t>
      </w:r>
      <w:r w:rsidR="00CE2843">
        <w:rPr>
          <w:rFonts w:hint="cs"/>
          <w:rtl/>
          <w:lang w:bidi="ar-EG"/>
        </w:rPr>
        <w:t xml:space="preserve">أكبر شريك تجاري في </w:t>
      </w:r>
      <w:proofErr w:type="gramStart"/>
      <w:r w:rsidR="00CE2843">
        <w:rPr>
          <w:rFonts w:hint="cs"/>
          <w:rtl/>
          <w:lang w:bidi="ar-EG"/>
        </w:rPr>
        <w:t>مجال  السلع</w:t>
      </w:r>
      <w:proofErr w:type="gramEnd"/>
      <w:r>
        <w:rPr>
          <w:rFonts w:hint="cs"/>
          <w:rtl/>
          <w:lang w:bidi="ar-EG"/>
        </w:rPr>
        <w:t xml:space="preserve"> على مستوى الصادرات (76.7 </w:t>
      </w:r>
      <w:proofErr w:type="gramStart"/>
      <w:r>
        <w:rPr>
          <w:rFonts w:hint="cs"/>
          <w:rtl/>
          <w:lang w:bidi="ar-EG"/>
        </w:rPr>
        <w:t>بالمائة</w:t>
      </w:r>
      <w:proofErr w:type="gramEnd"/>
      <w:r>
        <w:rPr>
          <w:rFonts w:hint="cs"/>
          <w:rtl/>
          <w:lang w:bidi="ar-EG"/>
        </w:rPr>
        <w:t xml:space="preserve"> من </w:t>
      </w:r>
      <w:r w:rsidR="00CE2843">
        <w:rPr>
          <w:rFonts w:hint="cs"/>
          <w:rtl/>
          <w:lang w:bidi="ar-EG"/>
        </w:rPr>
        <w:t>إجمالي الصادرات</w:t>
      </w:r>
      <w:r>
        <w:rPr>
          <w:rFonts w:hint="cs"/>
          <w:rtl/>
          <w:lang w:bidi="ar-EG"/>
        </w:rPr>
        <w:t xml:space="preserve">)؛ ثم الصين (3.9 </w:t>
      </w:r>
      <w:proofErr w:type="gramStart"/>
      <w:r>
        <w:rPr>
          <w:rFonts w:hint="cs"/>
          <w:rtl/>
          <w:lang w:bidi="ar-EG"/>
        </w:rPr>
        <w:t>بالمائة</w:t>
      </w:r>
      <w:proofErr w:type="gramEnd"/>
      <w:r>
        <w:rPr>
          <w:rFonts w:hint="cs"/>
          <w:rtl/>
          <w:lang w:bidi="ar-EG"/>
        </w:rPr>
        <w:t xml:space="preserve"> من إجمالي الصادرات)؛ ثم المملكة المتحدة (3.0 </w:t>
      </w:r>
      <w:proofErr w:type="gramStart"/>
      <w:r>
        <w:rPr>
          <w:rFonts w:hint="cs"/>
          <w:rtl/>
          <w:lang w:bidi="ar-EG"/>
        </w:rPr>
        <w:t>بالمائة</w:t>
      </w:r>
      <w:proofErr w:type="gramEnd"/>
      <w:r>
        <w:rPr>
          <w:rFonts w:hint="cs"/>
          <w:rtl/>
          <w:lang w:bidi="ar-EG"/>
        </w:rPr>
        <w:t xml:space="preserve"> من إجمالي الصادرات). وفي السنة نفسها </w:t>
      </w:r>
      <w:proofErr w:type="gramStart"/>
      <w:r>
        <w:rPr>
          <w:rFonts w:hint="cs"/>
          <w:rtl/>
          <w:lang w:bidi="ar-EG"/>
        </w:rPr>
        <w:t>كانت</w:t>
      </w:r>
      <w:proofErr w:type="gramEnd"/>
      <w:r>
        <w:rPr>
          <w:rFonts w:hint="cs"/>
          <w:rtl/>
          <w:lang w:bidi="ar-EG"/>
        </w:rPr>
        <w:t xml:space="preserve"> الولايات المتحدة الشريك التجاري الأكبر من حيث استيراد البضائع (53.3 بالمائة من إجمالي الواردات)؛ </w:t>
      </w:r>
      <w:proofErr w:type="gramStart"/>
      <w:r>
        <w:rPr>
          <w:rFonts w:hint="cs"/>
          <w:rtl/>
          <w:lang w:bidi="ar-EG"/>
        </w:rPr>
        <w:t>ثم</w:t>
      </w:r>
      <w:proofErr w:type="gramEnd"/>
      <w:r>
        <w:rPr>
          <w:rFonts w:hint="cs"/>
          <w:rtl/>
          <w:lang w:bidi="ar-EG"/>
        </w:rPr>
        <w:t xml:space="preserve"> الصين (12.3 بالمائة من إجمالي الواردات)؛ </w:t>
      </w:r>
      <w:proofErr w:type="gramStart"/>
      <w:r>
        <w:rPr>
          <w:rFonts w:hint="cs"/>
          <w:rtl/>
          <w:lang w:bidi="ar-EG"/>
        </w:rPr>
        <w:t>ثم</w:t>
      </w:r>
      <w:proofErr w:type="gramEnd"/>
      <w:r>
        <w:rPr>
          <w:rFonts w:hint="cs"/>
          <w:rtl/>
          <w:lang w:bidi="ar-EG"/>
        </w:rPr>
        <w:t xml:space="preserve"> المكسيك (5.8 بالمائة من إجمالي الواردات). أما أهم الشركاء ا</w:t>
      </w:r>
      <w:r w:rsidR="00CE2843">
        <w:rPr>
          <w:rFonts w:hint="cs"/>
          <w:rtl/>
          <w:lang w:bidi="ar-EG"/>
        </w:rPr>
        <w:t>لتجاريين في مجال الخدمات في عام</w:t>
      </w:r>
      <w:r w:rsidR="00CE2843">
        <w:rPr>
          <w:rFonts w:hint="eastAsia"/>
          <w:rtl/>
          <w:lang w:bidi="ar-EG"/>
        </w:rPr>
        <w:t> </w:t>
      </w:r>
      <w:r w:rsidR="00B13EE8">
        <w:rPr>
          <w:rFonts w:hint="cs"/>
          <w:rtl/>
          <w:lang w:bidi="ar-EG"/>
        </w:rPr>
        <w:t>2015 بحسب الصادرات والواردات فهم</w:t>
      </w:r>
      <w:r>
        <w:rPr>
          <w:rFonts w:hint="cs"/>
          <w:rtl/>
          <w:lang w:bidi="ar-EG"/>
        </w:rPr>
        <w:t xml:space="preserve"> الولايات المتحدة الأمري</w:t>
      </w:r>
      <w:r w:rsidR="00CE2843">
        <w:rPr>
          <w:rFonts w:hint="cs"/>
          <w:rtl/>
          <w:lang w:bidi="ar-EG"/>
        </w:rPr>
        <w:t>كية والاتحاد الأوروبي واليابان.</w:t>
      </w:r>
    </w:p>
    <w:p w:rsidR="009C6E31" w:rsidRDefault="009C6E31" w:rsidP="00D17FCE">
      <w:pPr>
        <w:pStyle w:val="NormalParaAR"/>
        <w:rPr>
          <w:rtl/>
        </w:rPr>
      </w:pPr>
      <w:r>
        <w:rPr>
          <w:rFonts w:hint="cs"/>
          <w:rtl/>
          <w:lang w:bidi="ar-EG"/>
        </w:rPr>
        <w:lastRenderedPageBreak/>
        <w:t>المصدر:</w:t>
      </w:r>
      <w:r w:rsidRPr="00CE2843">
        <w:rPr>
          <w:rFonts w:hint="cs"/>
          <w:rtl/>
          <w:lang w:bidi="ar-EG"/>
        </w:rPr>
        <w:t xml:space="preserve"> </w:t>
      </w:r>
      <w:r w:rsidR="00C22F8A">
        <w:fldChar w:fldCharType="begin"/>
      </w:r>
      <w:r w:rsidR="00C22F8A">
        <w:instrText xml:space="preserve"> HYPERLINK "http://www.international.gc.ca/economist-economiste/performance/state-point/state_2016_point/index.aspx?lang=eng" \l "5.0" </w:instrText>
      </w:r>
      <w:r w:rsidR="00C22F8A">
        <w:fldChar w:fldCharType="separate"/>
      </w:r>
      <w:r w:rsidRPr="00CE2843">
        <w:rPr>
          <w:rStyle w:val="Hyperlink"/>
          <w:i/>
          <w:color w:val="auto"/>
          <w:u w:val="none"/>
        </w:rPr>
        <w:t>Canada’s State of Trade: Trade and Investment Update - 2016</w:t>
      </w:r>
      <w:r w:rsidR="00C22F8A">
        <w:rPr>
          <w:rStyle w:val="Hyperlink"/>
          <w:i/>
          <w:color w:val="auto"/>
          <w:u w:val="none"/>
        </w:rPr>
        <w:fldChar w:fldCharType="end"/>
      </w:r>
    </w:p>
    <w:p w:rsidR="009C6E31" w:rsidRDefault="009C6E31" w:rsidP="00CE2843">
      <w:pPr>
        <w:pStyle w:val="NormalParaAR"/>
        <w:keepNext/>
        <w:rPr>
          <w:b/>
          <w:bCs/>
          <w:rtl/>
        </w:rPr>
      </w:pPr>
      <w:proofErr w:type="gramStart"/>
      <w:r>
        <w:rPr>
          <w:rFonts w:hint="cs"/>
          <w:b/>
          <w:bCs/>
          <w:rtl/>
        </w:rPr>
        <w:t>معلومات</w:t>
      </w:r>
      <w:proofErr w:type="gramEnd"/>
      <w:r>
        <w:rPr>
          <w:rFonts w:hint="cs"/>
          <w:b/>
          <w:bCs/>
          <w:rtl/>
        </w:rPr>
        <w:t xml:space="preserve"> أساسية أخرى:</w:t>
      </w:r>
    </w:p>
    <w:p w:rsidR="009C6E31" w:rsidRDefault="009C6E31" w:rsidP="00B13EE8">
      <w:pPr>
        <w:pStyle w:val="NormalParaAR"/>
        <w:rPr>
          <w:rtl/>
          <w:lang w:bidi="ar-EG"/>
        </w:rPr>
      </w:pPr>
      <w:r>
        <w:rPr>
          <w:rFonts w:hint="cs"/>
          <w:rtl/>
          <w:lang w:bidi="ar-EG"/>
        </w:rPr>
        <w:t xml:space="preserve">أعلنت كندا </w:t>
      </w:r>
      <w:proofErr w:type="gramStart"/>
      <w:r>
        <w:rPr>
          <w:rFonts w:hint="cs"/>
          <w:rtl/>
          <w:lang w:bidi="ar-EG"/>
        </w:rPr>
        <w:t>عن</w:t>
      </w:r>
      <w:proofErr w:type="gramEnd"/>
      <w:r>
        <w:rPr>
          <w:rFonts w:hint="cs"/>
          <w:rtl/>
          <w:lang w:bidi="ar-EG"/>
        </w:rPr>
        <w:t xml:space="preserve"> خططها المتعلقة ببرنامج ال</w:t>
      </w:r>
      <w:r w:rsidR="00CE2843">
        <w:rPr>
          <w:rFonts w:hint="cs"/>
          <w:rtl/>
          <w:lang w:bidi="ar-EG"/>
        </w:rPr>
        <w:t>ابتكار الشامل الجديد في 14 يونيو</w:t>
      </w:r>
      <w:r>
        <w:rPr>
          <w:rFonts w:hint="cs"/>
          <w:rtl/>
          <w:lang w:bidi="ar-EG"/>
        </w:rPr>
        <w:t xml:space="preserve"> 2016. ودُعي </w:t>
      </w:r>
      <w:proofErr w:type="gramStart"/>
      <w:r>
        <w:rPr>
          <w:rFonts w:hint="cs"/>
          <w:rtl/>
          <w:lang w:bidi="ar-EG"/>
        </w:rPr>
        <w:t>جميع</w:t>
      </w:r>
      <w:proofErr w:type="gramEnd"/>
      <w:r>
        <w:rPr>
          <w:rFonts w:hint="cs"/>
          <w:rtl/>
          <w:lang w:bidi="ar-EG"/>
        </w:rPr>
        <w:t xml:space="preserve"> الكنديين للمشاركة برأيهم. </w:t>
      </w:r>
      <w:r w:rsidR="002E789D">
        <w:rPr>
          <w:rFonts w:hint="cs"/>
          <w:rtl/>
          <w:lang w:bidi="ar-EG"/>
        </w:rPr>
        <w:t xml:space="preserve">ولمساعدة الكنديين على التكيف والازدهار في زمن يتسم بالتغيير السريع وتحقيقا لانتفاع جميع الكنديين من الاقتصاد المتنامي، من المزمع أن تنصب الاقتراحات المقدمة منهم إلى الحكومة الاتحادية على ثلاث مجالات ذات أولوية </w:t>
      </w:r>
      <w:r w:rsidR="00B13EE8">
        <w:rPr>
          <w:rFonts w:hint="cs"/>
          <w:rtl/>
          <w:lang w:bidi="ar-EG"/>
        </w:rPr>
        <w:t>ألا و</w:t>
      </w:r>
      <w:r w:rsidR="002E789D">
        <w:rPr>
          <w:rFonts w:hint="cs"/>
          <w:rtl/>
          <w:lang w:bidi="ar-EG"/>
        </w:rPr>
        <w:t>هي:</w:t>
      </w:r>
    </w:p>
    <w:p w:rsidR="00CE2843" w:rsidRDefault="002E789D" w:rsidP="00B13EE8">
      <w:pPr>
        <w:pStyle w:val="NormalParaAR"/>
        <w:numPr>
          <w:ilvl w:val="0"/>
          <w:numId w:val="25"/>
        </w:numPr>
        <w:rPr>
          <w:lang w:bidi="ar-EG"/>
        </w:rPr>
      </w:pPr>
      <w:r>
        <w:rPr>
          <w:rFonts w:hint="cs"/>
          <w:rtl/>
          <w:lang w:bidi="ar-EG"/>
        </w:rPr>
        <w:t xml:space="preserve">الناس: تحديد الأساليب التي يتمكن الكنديون من خلالها </w:t>
      </w:r>
      <w:r w:rsidR="00CE2843">
        <w:rPr>
          <w:rFonts w:hint="cs"/>
          <w:rtl/>
          <w:lang w:bidi="ar-EG"/>
        </w:rPr>
        <w:t xml:space="preserve">اكتساب المهارات والتجربة التي </w:t>
      </w:r>
      <w:proofErr w:type="spellStart"/>
      <w:r w:rsidR="00CE2843">
        <w:rPr>
          <w:rFonts w:hint="cs"/>
          <w:rtl/>
          <w:lang w:bidi="ar-EG"/>
        </w:rPr>
        <w:t>يقتضيها</w:t>
      </w:r>
      <w:proofErr w:type="spellEnd"/>
      <w:r w:rsidR="00CE2843">
        <w:rPr>
          <w:rFonts w:hint="cs"/>
          <w:rtl/>
          <w:lang w:bidi="ar-EG"/>
        </w:rPr>
        <w:t xml:space="preserve"> الاقتصاد العالمي والاقتصاد الرقمي.</w:t>
      </w:r>
    </w:p>
    <w:p w:rsidR="002E789D" w:rsidRDefault="00CE2843" w:rsidP="00A5363B">
      <w:pPr>
        <w:pStyle w:val="NormalParaAR"/>
        <w:numPr>
          <w:ilvl w:val="0"/>
          <w:numId w:val="25"/>
        </w:numPr>
        <w:rPr>
          <w:lang w:bidi="ar-EG"/>
        </w:rPr>
      </w:pPr>
      <w:proofErr w:type="gramStart"/>
      <w:r>
        <w:rPr>
          <w:rFonts w:hint="cs"/>
          <w:rtl/>
          <w:lang w:bidi="ar-EG"/>
        </w:rPr>
        <w:t>التكنولوجيات</w:t>
      </w:r>
      <w:proofErr w:type="gramEnd"/>
      <w:r>
        <w:rPr>
          <w:rFonts w:hint="cs"/>
          <w:rtl/>
          <w:lang w:bidi="ar-EG"/>
        </w:rPr>
        <w:t>: تحديد السبل الكفيلة ب</w:t>
      </w:r>
      <w:r w:rsidR="002E789D">
        <w:rPr>
          <w:rFonts w:hint="cs"/>
          <w:rtl/>
          <w:lang w:bidi="ar-EG"/>
        </w:rPr>
        <w:t>تسخير التكنولوجيات الناشئة في استحداث الوظائف وفي الصناعات التي لم يكن لها وجود من قبل،</w:t>
      </w:r>
      <w:r w:rsidR="00A5363B">
        <w:rPr>
          <w:rFonts w:hint="cs"/>
          <w:rtl/>
          <w:lang w:bidi="ar-EG"/>
        </w:rPr>
        <w:t xml:space="preserve"> مع إنعاش الصناعات الراسخة. وحُثَّت</w:t>
      </w:r>
      <w:r w:rsidR="002E789D">
        <w:rPr>
          <w:rFonts w:hint="cs"/>
          <w:rtl/>
          <w:lang w:bidi="ar-EG"/>
        </w:rPr>
        <w:t xml:space="preserve"> كندا كذلك </w:t>
      </w:r>
      <w:r>
        <w:rPr>
          <w:rFonts w:hint="cs"/>
          <w:rtl/>
          <w:lang w:bidi="ar-EG"/>
        </w:rPr>
        <w:t>على</w:t>
      </w:r>
      <w:r w:rsidR="002E789D">
        <w:rPr>
          <w:rFonts w:hint="cs"/>
          <w:rtl/>
          <w:lang w:bidi="ar-EG"/>
        </w:rPr>
        <w:t xml:space="preserve"> التركيز على تطوير تكنولوجيات من شأنها الدفع بموجة مقبلة جديدة من الابتكار.</w:t>
      </w:r>
    </w:p>
    <w:p w:rsidR="002E789D" w:rsidRDefault="002E789D" w:rsidP="002E789D">
      <w:pPr>
        <w:pStyle w:val="NormalParaAR"/>
        <w:numPr>
          <w:ilvl w:val="0"/>
          <w:numId w:val="25"/>
        </w:numPr>
        <w:rPr>
          <w:lang w:bidi="ar-EG"/>
        </w:rPr>
      </w:pPr>
      <w:proofErr w:type="gramStart"/>
      <w:r>
        <w:rPr>
          <w:rFonts w:hint="cs"/>
          <w:rtl/>
          <w:lang w:bidi="ar-EG"/>
        </w:rPr>
        <w:t>الشركات</w:t>
      </w:r>
      <w:proofErr w:type="gramEnd"/>
      <w:r>
        <w:rPr>
          <w:rFonts w:hint="cs"/>
          <w:rtl/>
          <w:lang w:bidi="ar-EG"/>
        </w:rPr>
        <w:t>: تحديد السبل التي من شأنها تشجيع المزيد من الكنديين على البدء في مشروعات خاصة بهم وتنميتها لتحقق نجاح</w:t>
      </w:r>
      <w:r w:rsidR="00CE2843">
        <w:rPr>
          <w:rFonts w:hint="cs"/>
          <w:rtl/>
          <w:lang w:bidi="ar-EG"/>
        </w:rPr>
        <w:t>ا</w:t>
      </w:r>
      <w:r>
        <w:rPr>
          <w:rFonts w:hint="cs"/>
          <w:rtl/>
          <w:lang w:bidi="ar-EG"/>
        </w:rPr>
        <w:t xml:space="preserve"> يمكنها من التنافس عالميًا.</w:t>
      </w:r>
    </w:p>
    <w:p w:rsidR="002E789D" w:rsidRDefault="002E789D" w:rsidP="00CE2843">
      <w:pPr>
        <w:pStyle w:val="NormalParaAR"/>
        <w:rPr>
          <w:rtl/>
          <w:lang w:bidi="ar-EG"/>
        </w:rPr>
      </w:pPr>
      <w:r>
        <w:rPr>
          <w:rFonts w:hint="cs"/>
          <w:rtl/>
          <w:lang w:bidi="ar-EG"/>
        </w:rPr>
        <w:t>واتخذت الحكومة الكندي</w:t>
      </w:r>
      <w:r w:rsidR="00CE2843">
        <w:rPr>
          <w:rFonts w:hint="cs"/>
          <w:rtl/>
          <w:lang w:bidi="ar-EG"/>
        </w:rPr>
        <w:t xml:space="preserve">ة بالفعل خطوات نحو التحول </w:t>
      </w:r>
      <w:r>
        <w:rPr>
          <w:rFonts w:hint="cs"/>
          <w:rtl/>
          <w:lang w:bidi="ar-EG"/>
        </w:rPr>
        <w:t xml:space="preserve">إلى اقتصاد قوامه الابتكار. ورصدت الحكومة في ميزانية </w:t>
      </w:r>
      <w:proofErr w:type="gramStart"/>
      <w:r>
        <w:rPr>
          <w:rFonts w:hint="cs"/>
          <w:rtl/>
          <w:lang w:bidi="ar-EG"/>
        </w:rPr>
        <w:t>عام</w:t>
      </w:r>
      <w:proofErr w:type="gramEnd"/>
      <w:r>
        <w:rPr>
          <w:rFonts w:hint="cs"/>
          <w:rtl/>
          <w:lang w:bidi="ar-EG"/>
        </w:rPr>
        <w:t xml:space="preserve"> 2016 ما يلي من مخصصات:</w:t>
      </w:r>
    </w:p>
    <w:p w:rsidR="002E789D" w:rsidRDefault="002E789D" w:rsidP="00CE2843">
      <w:pPr>
        <w:pStyle w:val="NormalParaAR"/>
        <w:numPr>
          <w:ilvl w:val="0"/>
          <w:numId w:val="25"/>
        </w:numPr>
        <w:rPr>
          <w:lang w:bidi="ar-EG"/>
        </w:rPr>
      </w:pPr>
      <w:r>
        <w:rPr>
          <w:rFonts w:hint="cs"/>
          <w:rtl/>
          <w:lang w:bidi="ar-EG"/>
        </w:rPr>
        <w:t>مليار</w:t>
      </w:r>
      <w:r w:rsidR="00CE2843">
        <w:rPr>
          <w:rFonts w:hint="cs"/>
          <w:rtl/>
          <w:lang w:bidi="ar-EG"/>
        </w:rPr>
        <w:t>ا</w:t>
      </w:r>
      <w:r>
        <w:rPr>
          <w:rFonts w:hint="cs"/>
          <w:rtl/>
          <w:lang w:bidi="ar-EG"/>
        </w:rPr>
        <w:t xml:space="preserve"> دولار لتجديد البنية التحتية للجامعات والكليات والتوسع فيها على ال</w:t>
      </w:r>
      <w:r w:rsidR="00CE2843">
        <w:rPr>
          <w:rFonts w:hint="cs"/>
          <w:rtl/>
          <w:lang w:bidi="ar-EG"/>
        </w:rPr>
        <w:t>مستوى الوطني بغية النهوض بالامتياز</w:t>
      </w:r>
      <w:r>
        <w:rPr>
          <w:rFonts w:hint="cs"/>
          <w:rtl/>
          <w:lang w:bidi="ar-EG"/>
        </w:rPr>
        <w:t xml:space="preserve"> في مجال البحث وإتاحة الفرصة أمام الطلاب والأساتذة والباحثين للعمل عن قرب مع الشركاء لتحويل الاكتشافات إلى منتجات وخدمات. وتحقيقا لهذا المسار سوف </w:t>
      </w:r>
      <w:proofErr w:type="gramStart"/>
      <w:r w:rsidR="00CE2843">
        <w:rPr>
          <w:rFonts w:hint="cs"/>
          <w:rtl/>
          <w:lang w:bidi="ar-EG"/>
        </w:rPr>
        <w:t>تعمل</w:t>
      </w:r>
      <w:proofErr w:type="gramEnd"/>
      <w:r>
        <w:rPr>
          <w:rFonts w:hint="cs"/>
          <w:rtl/>
          <w:lang w:bidi="ar-EG"/>
        </w:rPr>
        <w:t xml:space="preserve"> على تقديم التدريب لإتاحة وظائف عالية الجودة للطبقة المتوسطة في المستقبل.</w:t>
      </w:r>
    </w:p>
    <w:p w:rsidR="002E789D" w:rsidRDefault="002E789D" w:rsidP="00A5363B">
      <w:pPr>
        <w:pStyle w:val="NormalParaAR"/>
        <w:numPr>
          <w:ilvl w:val="0"/>
          <w:numId w:val="25"/>
        </w:numPr>
        <w:rPr>
          <w:lang w:bidi="ar-EG"/>
        </w:rPr>
      </w:pPr>
      <w:r>
        <w:rPr>
          <w:rFonts w:hint="cs"/>
          <w:rtl/>
          <w:lang w:bidi="ar-EG"/>
        </w:rPr>
        <w:t xml:space="preserve">رصد ما يزيد عن مليار دولار لدعم تطوير "التكنولوجيات النظيفة" التي </w:t>
      </w:r>
      <w:r w:rsidR="00A5363B">
        <w:rPr>
          <w:rFonts w:hint="cs"/>
          <w:rtl/>
          <w:lang w:bidi="ar-EG"/>
        </w:rPr>
        <w:t xml:space="preserve">تكفل </w:t>
      </w:r>
      <w:r>
        <w:rPr>
          <w:rFonts w:hint="cs"/>
          <w:rtl/>
          <w:lang w:bidi="ar-EG"/>
        </w:rPr>
        <w:t xml:space="preserve"> </w:t>
      </w:r>
      <w:r w:rsidR="00A5363B">
        <w:rPr>
          <w:rFonts w:hint="cs"/>
          <w:rtl/>
          <w:lang w:bidi="ar-EG"/>
        </w:rPr>
        <w:t>مستوى</w:t>
      </w:r>
      <w:r>
        <w:rPr>
          <w:rFonts w:hint="cs"/>
          <w:rtl/>
          <w:lang w:bidi="ar-EG"/>
        </w:rPr>
        <w:t xml:space="preserve"> أقل من التلوث وتتسم بترشيد استهلاك الطاقة.</w:t>
      </w:r>
    </w:p>
    <w:p w:rsidR="002E789D" w:rsidRDefault="002E789D" w:rsidP="00A5363B">
      <w:pPr>
        <w:pStyle w:val="NormalParaAR"/>
        <w:numPr>
          <w:ilvl w:val="0"/>
          <w:numId w:val="25"/>
        </w:numPr>
        <w:rPr>
          <w:lang w:bidi="ar-EG"/>
        </w:rPr>
      </w:pPr>
      <w:r>
        <w:rPr>
          <w:rFonts w:hint="cs"/>
          <w:rtl/>
          <w:lang w:bidi="ar-EG"/>
        </w:rPr>
        <w:t xml:space="preserve">800 </w:t>
      </w:r>
      <w:proofErr w:type="gramStart"/>
      <w:r>
        <w:rPr>
          <w:rFonts w:hint="cs"/>
          <w:rtl/>
          <w:lang w:bidi="ar-EG"/>
        </w:rPr>
        <w:t>مليون</w:t>
      </w:r>
      <w:proofErr w:type="gramEnd"/>
      <w:r>
        <w:rPr>
          <w:rFonts w:hint="cs"/>
          <w:rtl/>
          <w:lang w:bidi="ar-EG"/>
        </w:rPr>
        <w:t xml:space="preserve"> دولار على </w:t>
      </w:r>
      <w:r w:rsidR="00A5363B">
        <w:rPr>
          <w:rFonts w:hint="cs"/>
          <w:rtl/>
          <w:lang w:bidi="ar-EG"/>
        </w:rPr>
        <w:t>مدى</w:t>
      </w:r>
      <w:r>
        <w:rPr>
          <w:rFonts w:hint="cs"/>
          <w:rtl/>
          <w:lang w:bidi="ar-EG"/>
        </w:rPr>
        <w:t xml:space="preserve"> </w:t>
      </w:r>
      <w:r w:rsidR="00A5363B">
        <w:rPr>
          <w:rFonts w:hint="cs"/>
          <w:rtl/>
          <w:lang w:bidi="ar-EG"/>
        </w:rPr>
        <w:t>أربع</w:t>
      </w:r>
      <w:r>
        <w:rPr>
          <w:rFonts w:hint="cs"/>
          <w:rtl/>
          <w:lang w:bidi="ar-EG"/>
        </w:rPr>
        <w:t xml:space="preserve"> سنوات لتقوية </w:t>
      </w:r>
      <w:r w:rsidR="00B13EE8">
        <w:rPr>
          <w:rFonts w:hint="cs"/>
          <w:rtl/>
          <w:lang w:bidi="ar-EG"/>
        </w:rPr>
        <w:t>ال</w:t>
      </w:r>
      <w:r>
        <w:rPr>
          <w:rFonts w:hint="cs"/>
          <w:rtl/>
          <w:lang w:bidi="ar-EG"/>
        </w:rPr>
        <w:t xml:space="preserve">شبكات والمجموعات المعنية بالابتكار. </w:t>
      </w:r>
      <w:r w:rsidR="00B13EE8">
        <w:rPr>
          <w:rFonts w:hint="cs"/>
          <w:rtl/>
          <w:lang w:bidi="ar-EG"/>
        </w:rPr>
        <w:t>و</w:t>
      </w:r>
      <w:r>
        <w:rPr>
          <w:rFonts w:hint="cs"/>
          <w:rtl/>
          <w:lang w:bidi="ar-EG"/>
        </w:rPr>
        <w:t>من المزمع أن تحفز هذه الاست</w:t>
      </w:r>
      <w:r w:rsidR="00A5363B">
        <w:rPr>
          <w:rFonts w:hint="cs"/>
          <w:rtl/>
          <w:lang w:bidi="ar-EG"/>
        </w:rPr>
        <w:t>ثمارات دينامية القطاع الخاص و</w:t>
      </w:r>
      <w:r>
        <w:rPr>
          <w:rFonts w:hint="cs"/>
          <w:rtl/>
          <w:lang w:bidi="ar-EG"/>
        </w:rPr>
        <w:t>تجمع كتلة حرجة من أص</w:t>
      </w:r>
      <w:r w:rsidR="00A5363B">
        <w:rPr>
          <w:rFonts w:hint="cs"/>
          <w:rtl/>
          <w:lang w:bidi="ar-EG"/>
        </w:rPr>
        <w:t>حاب المصلحة مع بعضهم البعض وت</w:t>
      </w:r>
      <w:r>
        <w:rPr>
          <w:rFonts w:hint="cs"/>
          <w:rtl/>
          <w:lang w:bidi="ar-EG"/>
        </w:rPr>
        <w:t>ربط بين أفكارهم والسوق.</w:t>
      </w:r>
    </w:p>
    <w:p w:rsidR="0014031F" w:rsidRPr="00A5363B" w:rsidRDefault="002E789D" w:rsidP="00A071B7">
      <w:pPr>
        <w:pStyle w:val="NormalParaAR"/>
        <w:rPr>
          <w:i/>
          <w:iCs/>
          <w:rtl/>
          <w:lang w:bidi="ar-EG"/>
        </w:rPr>
      </w:pPr>
      <w:r w:rsidRPr="00A5363B">
        <w:rPr>
          <w:rFonts w:hint="cs"/>
          <w:i/>
          <w:iCs/>
          <w:rtl/>
          <w:lang w:bidi="ar-EG"/>
        </w:rPr>
        <w:t xml:space="preserve">المصدر: </w:t>
      </w:r>
      <w:proofErr w:type="gramStart"/>
      <w:r w:rsidRPr="00A5363B">
        <w:rPr>
          <w:rFonts w:hint="cs"/>
          <w:i/>
          <w:iCs/>
          <w:rtl/>
          <w:lang w:bidi="ar-EG"/>
        </w:rPr>
        <w:t>وزارة</w:t>
      </w:r>
      <w:proofErr w:type="gramEnd"/>
      <w:r w:rsidRPr="00A5363B">
        <w:rPr>
          <w:rFonts w:hint="cs"/>
          <w:i/>
          <w:iCs/>
          <w:rtl/>
          <w:lang w:bidi="ar-EG"/>
        </w:rPr>
        <w:t xml:space="preserve"> الابتك</w:t>
      </w:r>
      <w:r w:rsidR="00A5363B" w:rsidRPr="00A5363B">
        <w:rPr>
          <w:rFonts w:hint="cs"/>
          <w:i/>
          <w:iCs/>
          <w:rtl/>
          <w:lang w:bidi="ar-EG"/>
        </w:rPr>
        <w:t xml:space="preserve">ار والعلوم والتنمية الاقتصادية في </w:t>
      </w:r>
      <w:r w:rsidRPr="00A5363B">
        <w:rPr>
          <w:rFonts w:hint="cs"/>
          <w:i/>
          <w:iCs/>
          <w:rtl/>
          <w:lang w:bidi="ar-EG"/>
        </w:rPr>
        <w:t>كندا</w:t>
      </w:r>
    </w:p>
    <w:p w:rsidR="00A5363B" w:rsidRPr="00DB436A" w:rsidRDefault="00A5363B" w:rsidP="00A5363B">
      <w:pPr>
        <w:pStyle w:val="SectionHeading"/>
        <w:bidi/>
        <w:rPr>
          <w:rFonts w:ascii="Arabic Typesetting" w:hAnsi="Arabic Typesetting" w:cs="Arabic Typesetting"/>
          <w:sz w:val="40"/>
          <w:szCs w:val="40"/>
        </w:rPr>
      </w:pPr>
      <w:r>
        <w:rPr>
          <w:rFonts w:ascii="Arabic Typesetting" w:hAnsi="Arabic Typesetting" w:cs="Arabic Typesetting" w:hint="cs"/>
          <w:sz w:val="40"/>
          <w:szCs w:val="40"/>
          <w:rtl/>
        </w:rPr>
        <w:t xml:space="preserve">6 - </w:t>
      </w:r>
      <w:r w:rsidRPr="00A5363B">
        <w:rPr>
          <w:rFonts w:ascii="Arabic Typesetting" w:hAnsi="Arabic Typesetting" w:cs="Arabic Typesetting"/>
          <w:sz w:val="40"/>
          <w:szCs w:val="40"/>
          <w:rtl/>
          <w:lang w:bidi="ar-EG"/>
        </w:rPr>
        <w:t>نوعية طلبات البراءات</w:t>
      </w:r>
    </w:p>
    <w:p w:rsidR="0014031F" w:rsidRDefault="00F37D35" w:rsidP="00015567">
      <w:pPr>
        <w:pStyle w:val="NormalParaAR"/>
        <w:keepNext/>
        <w:rPr>
          <w:b/>
          <w:bCs/>
          <w:rtl/>
          <w:lang w:bidi="ar-EG"/>
        </w:rPr>
      </w:pPr>
      <w:r>
        <w:rPr>
          <w:b/>
          <w:bCs/>
          <w:rtl/>
          <w:lang w:bidi="ar-EG"/>
        </w:rPr>
        <w:t>عدد الطلبات ا</w:t>
      </w:r>
      <w:r>
        <w:rPr>
          <w:rFonts w:hint="cs"/>
          <w:b/>
          <w:bCs/>
          <w:rtl/>
          <w:lang w:bidi="ar-EG"/>
        </w:rPr>
        <w:t>لدولية</w:t>
      </w:r>
      <w:r w:rsidR="0014031F" w:rsidRPr="0014031F">
        <w:rPr>
          <w:b/>
          <w:bCs/>
          <w:rtl/>
          <w:lang w:bidi="ar-EG"/>
        </w:rPr>
        <w:t xml:space="preserve"> المستلمة </w:t>
      </w:r>
      <w:r>
        <w:rPr>
          <w:b/>
          <w:bCs/>
          <w:rtl/>
          <w:lang w:bidi="ar-EG"/>
        </w:rPr>
        <w:t>–</w:t>
      </w:r>
      <w:r w:rsidR="0014031F" w:rsidRPr="0014031F">
        <w:rPr>
          <w:b/>
          <w:bCs/>
          <w:rtl/>
          <w:lang w:bidi="ar-EG"/>
        </w:rPr>
        <w:t xml:space="preserve"> </w:t>
      </w:r>
      <w:r>
        <w:rPr>
          <w:rFonts w:hint="cs"/>
          <w:b/>
          <w:bCs/>
          <w:rtl/>
          <w:lang w:bidi="ar-EG"/>
        </w:rPr>
        <w:t xml:space="preserve">كمكتب </w:t>
      </w:r>
      <w:proofErr w:type="gramStart"/>
      <w:r w:rsidR="00015567">
        <w:rPr>
          <w:rFonts w:hint="cs"/>
          <w:b/>
          <w:bCs/>
          <w:rtl/>
          <w:lang w:bidi="ar-EG"/>
        </w:rPr>
        <w:t>ل</w:t>
      </w:r>
      <w:r>
        <w:rPr>
          <w:rFonts w:hint="cs"/>
          <w:b/>
          <w:bCs/>
          <w:rtl/>
          <w:lang w:bidi="ar-EG"/>
        </w:rPr>
        <w:t>تسلم</w:t>
      </w:r>
      <w:proofErr w:type="gramEnd"/>
      <w:r>
        <w:rPr>
          <w:rFonts w:hint="cs"/>
          <w:b/>
          <w:bCs/>
          <w:rtl/>
          <w:lang w:bidi="ar-EG"/>
        </w:rPr>
        <w:t xml:space="preserve"> طلبات</w:t>
      </w:r>
    </w:p>
    <w:p w:rsidR="00A071B7" w:rsidRPr="00015567" w:rsidRDefault="00BE73CB" w:rsidP="00BE73CB">
      <w:pPr>
        <w:pStyle w:val="NormalParaAR"/>
        <w:rPr>
          <w:i/>
          <w:iCs/>
          <w:rtl/>
          <w:lang w:bidi="ar-EG"/>
        </w:rPr>
      </w:pPr>
      <w:r w:rsidRPr="00BE73CB">
        <w:rPr>
          <w:rFonts w:hint="cs"/>
          <w:i/>
          <w:iCs/>
          <w:rtl/>
          <w:lang w:bidi="ar-EG"/>
        </w:rPr>
        <w:t xml:space="preserve">هذه الأعداد </w:t>
      </w:r>
      <w:proofErr w:type="spellStart"/>
      <w:r w:rsidRPr="00BE73CB">
        <w:rPr>
          <w:rFonts w:hint="cs"/>
          <w:i/>
          <w:iCs/>
          <w:rtl/>
          <w:lang w:bidi="ar-EG"/>
        </w:rPr>
        <w:t>مستقاة</w:t>
      </w:r>
      <w:proofErr w:type="spellEnd"/>
      <w:r w:rsidRPr="00BE73CB">
        <w:rPr>
          <w:rFonts w:hint="cs"/>
          <w:i/>
          <w:iCs/>
          <w:rtl/>
          <w:lang w:bidi="ar-EG"/>
        </w:rPr>
        <w:t xml:space="preserve"> من قاعدة البيانات الداخلية </w:t>
      </w:r>
      <w:proofErr w:type="spellStart"/>
      <w:r w:rsidRPr="00BE73CB">
        <w:rPr>
          <w:i/>
          <w:iCs/>
          <w:lang w:bidi="ar-EG"/>
        </w:rPr>
        <w:t>InterApp</w:t>
      </w:r>
      <w:proofErr w:type="spellEnd"/>
      <w:r w:rsidRPr="00BE73CB">
        <w:rPr>
          <w:rFonts w:hint="cs"/>
          <w:i/>
          <w:iCs/>
          <w:rtl/>
          <w:lang w:bidi="ar-EG"/>
        </w:rPr>
        <w:t xml:space="preserve"> الخاصة بالمكتب الكندي للملكية الفكرية وتستند إلى </w:t>
      </w:r>
      <w:r>
        <w:rPr>
          <w:rFonts w:hint="cs"/>
          <w:i/>
          <w:iCs/>
          <w:rtl/>
          <w:lang w:bidi="ar-EG"/>
        </w:rPr>
        <w:t xml:space="preserve">رمز </w:t>
      </w:r>
      <w:r w:rsidRPr="00BE73CB">
        <w:rPr>
          <w:rFonts w:hint="cs"/>
          <w:i/>
          <w:iCs/>
          <w:rtl/>
          <w:lang w:bidi="ar-EG"/>
        </w:rPr>
        <w:t>التصنيف الدولي للبراءات</w:t>
      </w:r>
      <w:r>
        <w:rPr>
          <w:rFonts w:hint="cs"/>
          <w:i/>
          <w:iCs/>
          <w:rtl/>
          <w:lang w:bidi="ar-EG"/>
        </w:rPr>
        <w:t xml:space="preserve"> المخصّص </w:t>
      </w:r>
      <w:r w:rsidRPr="00BE73CB">
        <w:rPr>
          <w:rFonts w:hint="cs"/>
          <w:i/>
          <w:iCs/>
          <w:rtl/>
          <w:lang w:bidi="ar-EG"/>
        </w:rPr>
        <w:t xml:space="preserve"> للطلب فضلا عن الشعبة المسؤولة عن الفحص داخل المكتب التي توكل إليها مهمة فحص هذه المجموعة الفرعية.</w:t>
      </w:r>
    </w:p>
    <w:p w:rsidR="00A071B7" w:rsidRDefault="00A071B7">
      <w:pPr>
        <w:rPr>
          <w:rFonts w:ascii="Arabic Typesetting" w:hAnsi="Arabic Typesetting" w:cs="Arabic Typesetting"/>
          <w:sz w:val="36"/>
          <w:szCs w:val="36"/>
          <w:rtl/>
          <w:lang w:bidi="ar-EG"/>
        </w:rPr>
      </w:pPr>
    </w:p>
    <w:tbl>
      <w:tblPr>
        <w:bidiVisual/>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A071B7" w:rsidRPr="006A6C1D" w:rsidTr="00520A65">
        <w:trPr>
          <w:cantSplit/>
        </w:trPr>
        <w:tc>
          <w:tcPr>
            <w:tcW w:w="2518" w:type="dxa"/>
            <w:tcBorders>
              <w:tl2br w:val="single" w:sz="4" w:space="0" w:color="auto"/>
            </w:tcBorders>
            <w:shd w:val="clear" w:color="auto" w:fill="auto"/>
          </w:tcPr>
          <w:p w:rsidR="00A071B7" w:rsidRPr="00A071B7" w:rsidRDefault="00A071B7" w:rsidP="00520A65">
            <w:pPr>
              <w:bidi/>
              <w:rPr>
                <w:rFonts w:ascii="Arabic Typesetting" w:hAnsi="Arabic Typesetting" w:cs="Arabic Typesetting"/>
                <w:sz w:val="36"/>
                <w:szCs w:val="36"/>
                <w:lang w:bidi="ar-EG"/>
              </w:rPr>
            </w:pPr>
          </w:p>
          <w:p w:rsidR="00A071B7" w:rsidRPr="00015567" w:rsidRDefault="00A071B7" w:rsidP="00520A65">
            <w:pPr>
              <w:bidi/>
              <w:rPr>
                <w:rFonts w:ascii="Arabic Typesetting" w:hAnsi="Arabic Typesetting" w:cs="Arabic Typesetting"/>
                <w:b/>
                <w:bCs/>
                <w:sz w:val="36"/>
                <w:szCs w:val="36"/>
                <w:lang w:bidi="ar-EG"/>
              </w:rPr>
            </w:pPr>
            <w:r w:rsidRPr="00015567">
              <w:rPr>
                <w:rFonts w:ascii="Arabic Typesetting" w:hAnsi="Arabic Typesetting" w:cs="Arabic Typesetting"/>
                <w:b/>
                <w:bCs/>
                <w:sz w:val="36"/>
                <w:szCs w:val="36"/>
                <w:rtl/>
                <w:lang w:bidi="ar-EG"/>
              </w:rPr>
              <w:t>السنة</w:t>
            </w:r>
          </w:p>
          <w:p w:rsidR="00A071B7" w:rsidRPr="00015567" w:rsidRDefault="00A071B7" w:rsidP="00890C6E">
            <w:pPr>
              <w:bidi/>
              <w:ind w:left="1133"/>
              <w:rPr>
                <w:rFonts w:ascii="Arabic Typesetting" w:hAnsi="Arabic Typesetting" w:cs="Arabic Typesetting"/>
                <w:b/>
                <w:bCs/>
                <w:sz w:val="36"/>
                <w:szCs w:val="36"/>
                <w:lang w:bidi="ar-EG"/>
              </w:rPr>
            </w:pPr>
            <w:proofErr w:type="gramStart"/>
            <w:r w:rsidRPr="00015567">
              <w:rPr>
                <w:rFonts w:ascii="Arabic Typesetting" w:hAnsi="Arabic Typesetting" w:cs="Arabic Typesetting"/>
                <w:b/>
                <w:bCs/>
                <w:sz w:val="36"/>
                <w:szCs w:val="36"/>
                <w:rtl/>
                <w:lang w:bidi="ar-EG"/>
              </w:rPr>
              <w:t>المجال</w:t>
            </w:r>
            <w:proofErr w:type="gramEnd"/>
            <w:r w:rsidRPr="00015567">
              <w:rPr>
                <w:rFonts w:ascii="Arabic Typesetting" w:hAnsi="Arabic Typesetting" w:cs="Arabic Typesetting"/>
                <w:b/>
                <w:bCs/>
                <w:sz w:val="36"/>
                <w:szCs w:val="36"/>
                <w:rtl/>
                <w:lang w:bidi="ar-EG"/>
              </w:rPr>
              <w:t xml:space="preserve"> التقني</w:t>
            </w:r>
          </w:p>
        </w:tc>
        <w:tc>
          <w:tcPr>
            <w:tcW w:w="1360" w:type="dxa"/>
            <w:shd w:val="clear" w:color="auto" w:fill="auto"/>
            <w:vAlign w:val="center"/>
          </w:tcPr>
          <w:p w:rsidR="00A071B7" w:rsidRPr="00015567" w:rsidRDefault="00015567" w:rsidP="00520A65">
            <w:pPr>
              <w:bidi/>
              <w:rPr>
                <w:rFonts w:ascii="Arabic Typesetting" w:hAnsi="Arabic Typesetting" w:cs="Arabic Typesetting"/>
                <w:b/>
                <w:bCs/>
                <w:sz w:val="36"/>
                <w:szCs w:val="36"/>
                <w:lang w:bidi="ar-EG"/>
              </w:rPr>
            </w:pPr>
            <w:r w:rsidRPr="00015567">
              <w:rPr>
                <w:rFonts w:ascii="Arabic Typesetting" w:hAnsi="Arabic Typesetting" w:cs="Arabic Typesetting" w:hint="cs"/>
                <w:b/>
                <w:bCs/>
                <w:sz w:val="36"/>
                <w:szCs w:val="36"/>
                <w:rtl/>
                <w:lang w:bidi="ar-EG"/>
              </w:rPr>
              <w:t>2011-2012</w:t>
            </w:r>
          </w:p>
        </w:tc>
        <w:tc>
          <w:tcPr>
            <w:tcW w:w="1361" w:type="dxa"/>
            <w:shd w:val="clear" w:color="auto" w:fill="auto"/>
            <w:vAlign w:val="center"/>
          </w:tcPr>
          <w:p w:rsidR="00A071B7" w:rsidRPr="00015567" w:rsidRDefault="00015567" w:rsidP="00520A65">
            <w:pPr>
              <w:bidi/>
              <w:rPr>
                <w:rFonts w:ascii="Arabic Typesetting" w:hAnsi="Arabic Typesetting" w:cs="Arabic Typesetting"/>
                <w:b/>
                <w:bCs/>
                <w:sz w:val="36"/>
                <w:szCs w:val="36"/>
                <w:lang w:bidi="ar-EG"/>
              </w:rPr>
            </w:pPr>
            <w:r w:rsidRPr="00015567">
              <w:rPr>
                <w:rFonts w:ascii="Arabic Typesetting" w:hAnsi="Arabic Typesetting" w:cs="Arabic Typesetting" w:hint="cs"/>
                <w:b/>
                <w:bCs/>
                <w:sz w:val="36"/>
                <w:szCs w:val="36"/>
                <w:rtl/>
                <w:lang w:bidi="ar-EG"/>
              </w:rPr>
              <w:t>2012-2013</w:t>
            </w:r>
          </w:p>
        </w:tc>
        <w:tc>
          <w:tcPr>
            <w:tcW w:w="1361" w:type="dxa"/>
            <w:shd w:val="clear" w:color="auto" w:fill="auto"/>
            <w:vAlign w:val="center"/>
          </w:tcPr>
          <w:p w:rsidR="00A071B7" w:rsidRPr="00015567" w:rsidRDefault="00015567" w:rsidP="00520A65">
            <w:pPr>
              <w:bidi/>
              <w:rPr>
                <w:rFonts w:ascii="Arabic Typesetting" w:hAnsi="Arabic Typesetting" w:cs="Arabic Typesetting"/>
                <w:b/>
                <w:bCs/>
                <w:sz w:val="36"/>
                <w:szCs w:val="36"/>
                <w:lang w:bidi="ar-EG"/>
              </w:rPr>
            </w:pPr>
            <w:r w:rsidRPr="00015567">
              <w:rPr>
                <w:rFonts w:ascii="Arabic Typesetting" w:hAnsi="Arabic Typesetting" w:cs="Arabic Typesetting" w:hint="cs"/>
                <w:b/>
                <w:bCs/>
                <w:sz w:val="36"/>
                <w:szCs w:val="36"/>
                <w:rtl/>
                <w:lang w:bidi="ar-EG"/>
              </w:rPr>
              <w:t>2013-2014</w:t>
            </w:r>
          </w:p>
        </w:tc>
        <w:tc>
          <w:tcPr>
            <w:tcW w:w="1361" w:type="dxa"/>
            <w:shd w:val="clear" w:color="auto" w:fill="auto"/>
            <w:vAlign w:val="center"/>
          </w:tcPr>
          <w:p w:rsidR="00A071B7" w:rsidRPr="00015567" w:rsidRDefault="00015567" w:rsidP="00520A65">
            <w:pPr>
              <w:bidi/>
              <w:rPr>
                <w:rFonts w:ascii="Arabic Typesetting" w:hAnsi="Arabic Typesetting" w:cs="Arabic Typesetting"/>
                <w:b/>
                <w:bCs/>
                <w:sz w:val="36"/>
                <w:szCs w:val="36"/>
                <w:lang w:bidi="ar-EG"/>
              </w:rPr>
            </w:pPr>
            <w:r w:rsidRPr="00015567">
              <w:rPr>
                <w:rFonts w:ascii="Arabic Typesetting" w:hAnsi="Arabic Typesetting" w:cs="Arabic Typesetting" w:hint="cs"/>
                <w:b/>
                <w:bCs/>
                <w:sz w:val="36"/>
                <w:szCs w:val="36"/>
                <w:rtl/>
                <w:lang w:bidi="ar-EG"/>
              </w:rPr>
              <w:t>2014-2015</w:t>
            </w:r>
          </w:p>
        </w:tc>
        <w:tc>
          <w:tcPr>
            <w:tcW w:w="1361" w:type="dxa"/>
            <w:shd w:val="clear" w:color="auto" w:fill="auto"/>
            <w:vAlign w:val="center"/>
          </w:tcPr>
          <w:p w:rsidR="00A071B7" w:rsidRPr="00015567" w:rsidRDefault="00015567" w:rsidP="00520A65">
            <w:pPr>
              <w:bidi/>
              <w:rPr>
                <w:rFonts w:ascii="Arabic Typesetting" w:hAnsi="Arabic Typesetting" w:cs="Arabic Typesetting"/>
                <w:b/>
                <w:bCs/>
                <w:sz w:val="36"/>
                <w:szCs w:val="36"/>
                <w:lang w:bidi="ar-EG"/>
              </w:rPr>
            </w:pPr>
            <w:r w:rsidRPr="00015567">
              <w:rPr>
                <w:rFonts w:ascii="Arabic Typesetting" w:hAnsi="Arabic Typesetting" w:cs="Arabic Typesetting" w:hint="cs"/>
                <w:b/>
                <w:bCs/>
                <w:sz w:val="36"/>
                <w:szCs w:val="36"/>
                <w:rtl/>
                <w:lang w:bidi="ar-EG"/>
              </w:rPr>
              <w:t>2015-2016</w:t>
            </w:r>
          </w:p>
        </w:tc>
      </w:tr>
      <w:tr w:rsidR="00A071B7" w:rsidRPr="006A6C1D" w:rsidTr="00520A65">
        <w:trPr>
          <w:cantSplit/>
        </w:trPr>
        <w:tc>
          <w:tcPr>
            <w:tcW w:w="9322" w:type="dxa"/>
            <w:gridSpan w:val="6"/>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proofErr w:type="gramStart"/>
            <w:r w:rsidRPr="00A071B7">
              <w:rPr>
                <w:rFonts w:ascii="Arabic Typesetting" w:hAnsi="Arabic Typesetting" w:cs="Arabic Typesetting"/>
                <w:sz w:val="36"/>
                <w:szCs w:val="36"/>
                <w:rtl/>
                <w:lang w:bidi="ar-EG"/>
              </w:rPr>
              <w:t>الطلبات</w:t>
            </w:r>
            <w:proofErr w:type="gramEnd"/>
            <w:r w:rsidRPr="00A071B7">
              <w:rPr>
                <w:rFonts w:ascii="Arabic Typesetting" w:hAnsi="Arabic Typesetting" w:cs="Arabic Typesetting"/>
                <w:sz w:val="36"/>
                <w:szCs w:val="36"/>
                <w:rtl/>
                <w:lang w:bidi="ar-EG"/>
              </w:rPr>
              <w:t xml:space="preserve"> الدولية، الطلبات بموجب الفصل الأول</w:t>
            </w:r>
          </w:p>
        </w:tc>
      </w:tr>
      <w:tr w:rsidR="00A071B7" w:rsidRPr="006A6C1D" w:rsidTr="00520A65">
        <w:trPr>
          <w:cantSplit/>
        </w:trPr>
        <w:tc>
          <w:tcPr>
            <w:tcW w:w="2518" w:type="dxa"/>
            <w:shd w:val="clear" w:color="auto" w:fill="auto"/>
            <w:vAlign w:val="center"/>
          </w:tcPr>
          <w:p w:rsidR="00A071B7" w:rsidRPr="00A071B7" w:rsidRDefault="00520A65" w:rsidP="00520A65">
            <w:pPr>
              <w:bidi/>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الميكانيكا</w:t>
            </w:r>
          </w:p>
        </w:tc>
        <w:tc>
          <w:tcPr>
            <w:tcW w:w="1360" w:type="dxa"/>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694</w:t>
            </w:r>
          </w:p>
        </w:tc>
        <w:tc>
          <w:tcPr>
            <w:tcW w:w="1361" w:type="dxa"/>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708</w:t>
            </w:r>
          </w:p>
        </w:tc>
        <w:tc>
          <w:tcPr>
            <w:tcW w:w="1361" w:type="dxa"/>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739</w:t>
            </w:r>
          </w:p>
        </w:tc>
        <w:tc>
          <w:tcPr>
            <w:tcW w:w="1361" w:type="dxa"/>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718</w:t>
            </w:r>
          </w:p>
        </w:tc>
        <w:tc>
          <w:tcPr>
            <w:tcW w:w="1361" w:type="dxa"/>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790</w:t>
            </w:r>
          </w:p>
        </w:tc>
      </w:tr>
      <w:tr w:rsidR="00A071B7" w:rsidRPr="006A6C1D" w:rsidTr="00520A65">
        <w:trPr>
          <w:cantSplit/>
        </w:trPr>
        <w:tc>
          <w:tcPr>
            <w:tcW w:w="2518" w:type="dxa"/>
            <w:shd w:val="clear" w:color="auto" w:fill="auto"/>
            <w:vAlign w:val="center"/>
          </w:tcPr>
          <w:p w:rsidR="00A071B7" w:rsidRPr="00A071B7" w:rsidRDefault="00520A65" w:rsidP="00520A65">
            <w:pPr>
              <w:bidi/>
              <w:rPr>
                <w:rFonts w:ascii="Arabic Typesetting" w:hAnsi="Arabic Typesetting" w:cs="Arabic Typesetting"/>
                <w:sz w:val="36"/>
                <w:szCs w:val="36"/>
                <w:lang w:bidi="ar-EG"/>
              </w:rPr>
            </w:pPr>
            <w:r w:rsidRPr="00520A65">
              <w:rPr>
                <w:rFonts w:ascii="Arabic Typesetting" w:hAnsi="Arabic Typesetting" w:cs="Arabic Typesetting"/>
                <w:sz w:val="36"/>
                <w:szCs w:val="36"/>
                <w:rtl/>
                <w:lang w:bidi="ar-EG"/>
              </w:rPr>
              <w:t>الكهرباء/الإلكترونيات</w:t>
            </w:r>
          </w:p>
        </w:tc>
        <w:tc>
          <w:tcPr>
            <w:tcW w:w="1360" w:type="dxa"/>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818</w:t>
            </w:r>
          </w:p>
        </w:tc>
        <w:tc>
          <w:tcPr>
            <w:tcW w:w="1361" w:type="dxa"/>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833</w:t>
            </w:r>
          </w:p>
        </w:tc>
        <w:tc>
          <w:tcPr>
            <w:tcW w:w="1361" w:type="dxa"/>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738</w:t>
            </w:r>
          </w:p>
        </w:tc>
        <w:tc>
          <w:tcPr>
            <w:tcW w:w="1361" w:type="dxa"/>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701</w:t>
            </w:r>
          </w:p>
        </w:tc>
        <w:tc>
          <w:tcPr>
            <w:tcW w:w="1361" w:type="dxa"/>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582</w:t>
            </w:r>
          </w:p>
        </w:tc>
      </w:tr>
      <w:tr w:rsidR="00A071B7" w:rsidRPr="006A6C1D" w:rsidTr="00520A65">
        <w:trPr>
          <w:cantSplit/>
        </w:trPr>
        <w:tc>
          <w:tcPr>
            <w:tcW w:w="2518" w:type="dxa"/>
            <w:shd w:val="clear" w:color="auto" w:fill="auto"/>
            <w:vAlign w:val="center"/>
          </w:tcPr>
          <w:p w:rsidR="00A071B7" w:rsidRPr="00A071B7" w:rsidRDefault="00520A65" w:rsidP="00520A65">
            <w:pPr>
              <w:bidi/>
              <w:rPr>
                <w:rFonts w:ascii="Arabic Typesetting" w:hAnsi="Arabic Typesetting" w:cs="Arabic Typesetting"/>
                <w:sz w:val="36"/>
                <w:szCs w:val="36"/>
                <w:lang w:bidi="ar-EG"/>
              </w:rPr>
            </w:pPr>
            <w:r w:rsidRPr="00520A65">
              <w:rPr>
                <w:rFonts w:ascii="Arabic Typesetting" w:hAnsi="Arabic Typesetting" w:cs="Arabic Typesetting"/>
                <w:sz w:val="36"/>
                <w:szCs w:val="36"/>
                <w:rtl/>
                <w:lang w:bidi="ar-EG"/>
              </w:rPr>
              <w:t>الكيمياء</w:t>
            </w:r>
          </w:p>
        </w:tc>
        <w:tc>
          <w:tcPr>
            <w:tcW w:w="1360" w:type="dxa"/>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p>
        </w:tc>
        <w:tc>
          <w:tcPr>
            <w:tcW w:w="1361" w:type="dxa"/>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p>
        </w:tc>
        <w:tc>
          <w:tcPr>
            <w:tcW w:w="1361" w:type="dxa"/>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p>
        </w:tc>
        <w:tc>
          <w:tcPr>
            <w:tcW w:w="1361" w:type="dxa"/>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p>
        </w:tc>
        <w:tc>
          <w:tcPr>
            <w:tcW w:w="1361" w:type="dxa"/>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p>
        </w:tc>
      </w:tr>
      <w:tr w:rsidR="00A071B7" w:rsidRPr="006A6C1D" w:rsidTr="00520A65">
        <w:trPr>
          <w:cantSplit/>
        </w:trPr>
        <w:tc>
          <w:tcPr>
            <w:tcW w:w="2518" w:type="dxa"/>
            <w:shd w:val="clear" w:color="auto" w:fill="auto"/>
            <w:vAlign w:val="center"/>
          </w:tcPr>
          <w:p w:rsidR="00A071B7" w:rsidRPr="00A071B7" w:rsidRDefault="00340919" w:rsidP="00520A65">
            <w:pPr>
              <w:bidi/>
              <w:rPr>
                <w:rFonts w:ascii="Arabic Typesetting" w:hAnsi="Arabic Typesetting" w:cs="Arabic Typesetting"/>
                <w:sz w:val="36"/>
                <w:szCs w:val="36"/>
                <w:lang w:bidi="ar-EG"/>
              </w:rPr>
            </w:pPr>
            <w:r>
              <w:rPr>
                <w:rFonts w:ascii="Arabic Typesetting" w:hAnsi="Arabic Typesetting" w:cs="Arabic Typesetting"/>
                <w:sz w:val="36"/>
                <w:szCs w:val="36"/>
                <w:lang w:bidi="ar-EG"/>
              </w:rPr>
              <w:t xml:space="preserve"> </w:t>
            </w:r>
            <w:r w:rsidR="00A071B7" w:rsidRPr="00A071B7">
              <w:rPr>
                <w:rFonts w:ascii="Arabic Typesetting" w:hAnsi="Arabic Typesetting" w:cs="Arabic Typesetting"/>
                <w:sz w:val="36"/>
                <w:szCs w:val="36"/>
                <w:rtl/>
                <w:lang w:bidi="ar-EG"/>
              </w:rPr>
              <w:t xml:space="preserve"> </w:t>
            </w:r>
            <w:proofErr w:type="gramStart"/>
            <w:r w:rsidR="00520A65">
              <w:rPr>
                <w:rFonts w:ascii="Arabic Typesetting" w:hAnsi="Arabic Typesetting" w:cs="Arabic Typesetting" w:hint="cs"/>
                <w:sz w:val="36"/>
                <w:szCs w:val="36"/>
                <w:rtl/>
                <w:lang w:bidi="ar-EG"/>
              </w:rPr>
              <w:t>ال</w:t>
            </w:r>
            <w:r w:rsidR="00A071B7" w:rsidRPr="00A071B7">
              <w:rPr>
                <w:rFonts w:ascii="Arabic Typesetting" w:hAnsi="Arabic Typesetting" w:cs="Arabic Typesetting"/>
                <w:sz w:val="36"/>
                <w:szCs w:val="36"/>
                <w:rtl/>
                <w:lang w:bidi="ar-EG"/>
              </w:rPr>
              <w:t>كيمياء</w:t>
            </w:r>
            <w:proofErr w:type="gramEnd"/>
            <w:r w:rsidR="00A071B7" w:rsidRPr="00A071B7">
              <w:rPr>
                <w:rFonts w:ascii="Arabic Typesetting" w:hAnsi="Arabic Typesetting" w:cs="Arabic Typesetting"/>
                <w:sz w:val="36"/>
                <w:szCs w:val="36"/>
                <w:rtl/>
                <w:lang w:bidi="ar-EG"/>
              </w:rPr>
              <w:t xml:space="preserve"> </w:t>
            </w:r>
            <w:r w:rsidR="00520A65">
              <w:rPr>
                <w:rFonts w:ascii="Arabic Typesetting" w:hAnsi="Arabic Typesetting" w:cs="Arabic Typesetting" w:hint="cs"/>
                <w:sz w:val="36"/>
                <w:szCs w:val="36"/>
                <w:rtl/>
                <w:lang w:bidi="ar-EG"/>
              </w:rPr>
              <w:t>العامة</w:t>
            </w:r>
          </w:p>
        </w:tc>
        <w:tc>
          <w:tcPr>
            <w:tcW w:w="1360" w:type="dxa"/>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193</w:t>
            </w:r>
          </w:p>
        </w:tc>
        <w:tc>
          <w:tcPr>
            <w:tcW w:w="1361" w:type="dxa"/>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224</w:t>
            </w:r>
          </w:p>
        </w:tc>
        <w:tc>
          <w:tcPr>
            <w:tcW w:w="1361" w:type="dxa"/>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275</w:t>
            </w:r>
          </w:p>
        </w:tc>
        <w:tc>
          <w:tcPr>
            <w:tcW w:w="1361" w:type="dxa"/>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219</w:t>
            </w:r>
          </w:p>
        </w:tc>
        <w:tc>
          <w:tcPr>
            <w:tcW w:w="1361" w:type="dxa"/>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222</w:t>
            </w:r>
          </w:p>
        </w:tc>
      </w:tr>
      <w:tr w:rsidR="00A071B7" w:rsidRPr="006A6C1D" w:rsidTr="00520A65">
        <w:trPr>
          <w:cantSplit/>
        </w:trPr>
        <w:tc>
          <w:tcPr>
            <w:tcW w:w="2518" w:type="dxa"/>
            <w:shd w:val="clear" w:color="auto" w:fill="auto"/>
            <w:vAlign w:val="center"/>
          </w:tcPr>
          <w:p w:rsidR="00A071B7" w:rsidRPr="00A071B7" w:rsidRDefault="00340919" w:rsidP="00520A65">
            <w:pPr>
              <w:bidi/>
              <w:rPr>
                <w:rFonts w:ascii="Arabic Typesetting" w:hAnsi="Arabic Typesetting" w:cs="Arabic Typesetting"/>
                <w:sz w:val="36"/>
                <w:szCs w:val="36"/>
                <w:lang w:bidi="ar-EG"/>
              </w:rPr>
            </w:pPr>
            <w:r>
              <w:rPr>
                <w:rFonts w:ascii="Arabic Typesetting" w:hAnsi="Arabic Typesetting" w:cs="Arabic Typesetting"/>
                <w:sz w:val="36"/>
                <w:szCs w:val="36"/>
                <w:lang w:bidi="ar-EG"/>
              </w:rPr>
              <w:t xml:space="preserve"> </w:t>
            </w:r>
            <w:r w:rsidR="00A071B7" w:rsidRPr="00A071B7">
              <w:rPr>
                <w:rFonts w:ascii="Arabic Typesetting" w:hAnsi="Arabic Typesetting" w:cs="Arabic Typesetting"/>
                <w:sz w:val="36"/>
                <w:szCs w:val="36"/>
                <w:rtl/>
                <w:lang w:bidi="ar-EG"/>
              </w:rPr>
              <w:t xml:space="preserve"> </w:t>
            </w:r>
            <w:r w:rsidR="00520A65">
              <w:rPr>
                <w:rFonts w:ascii="Arabic Typesetting" w:hAnsi="Arabic Typesetting" w:cs="Arabic Typesetting" w:hint="cs"/>
                <w:sz w:val="36"/>
                <w:szCs w:val="36"/>
                <w:rtl/>
                <w:lang w:bidi="ar-EG"/>
              </w:rPr>
              <w:t>ال</w:t>
            </w:r>
            <w:r w:rsidR="00A071B7" w:rsidRPr="00A071B7">
              <w:rPr>
                <w:rFonts w:ascii="Arabic Typesetting" w:hAnsi="Arabic Typesetting" w:cs="Arabic Typesetting"/>
                <w:sz w:val="36"/>
                <w:szCs w:val="36"/>
                <w:rtl/>
                <w:lang w:bidi="ar-EG"/>
              </w:rPr>
              <w:t xml:space="preserve">كيمياء </w:t>
            </w:r>
            <w:r w:rsidR="00520A65">
              <w:rPr>
                <w:rFonts w:ascii="Arabic Typesetting" w:hAnsi="Arabic Typesetting" w:cs="Arabic Typesetting" w:hint="cs"/>
                <w:sz w:val="36"/>
                <w:szCs w:val="36"/>
                <w:rtl/>
                <w:lang w:bidi="ar-EG"/>
              </w:rPr>
              <w:t>ال</w:t>
            </w:r>
            <w:r w:rsidR="00A071B7" w:rsidRPr="00A071B7">
              <w:rPr>
                <w:rFonts w:ascii="Arabic Typesetting" w:hAnsi="Arabic Typesetting" w:cs="Arabic Typesetting"/>
                <w:sz w:val="36"/>
                <w:szCs w:val="36"/>
                <w:rtl/>
                <w:lang w:bidi="ar-EG"/>
              </w:rPr>
              <w:t>عضوية</w:t>
            </w:r>
          </w:p>
        </w:tc>
        <w:tc>
          <w:tcPr>
            <w:tcW w:w="1360" w:type="dxa"/>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203</w:t>
            </w:r>
          </w:p>
        </w:tc>
        <w:tc>
          <w:tcPr>
            <w:tcW w:w="1361" w:type="dxa"/>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192</w:t>
            </w:r>
          </w:p>
        </w:tc>
        <w:tc>
          <w:tcPr>
            <w:tcW w:w="1361" w:type="dxa"/>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205</w:t>
            </w:r>
          </w:p>
        </w:tc>
        <w:tc>
          <w:tcPr>
            <w:tcW w:w="1361" w:type="dxa"/>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183</w:t>
            </w:r>
          </w:p>
        </w:tc>
        <w:tc>
          <w:tcPr>
            <w:tcW w:w="1361" w:type="dxa"/>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188</w:t>
            </w:r>
          </w:p>
        </w:tc>
      </w:tr>
      <w:tr w:rsidR="00A071B7" w:rsidRPr="006A6C1D" w:rsidTr="00520A65">
        <w:trPr>
          <w:cantSplit/>
        </w:trPr>
        <w:tc>
          <w:tcPr>
            <w:tcW w:w="2518" w:type="dxa"/>
            <w:shd w:val="clear" w:color="auto" w:fill="auto"/>
            <w:vAlign w:val="center"/>
          </w:tcPr>
          <w:p w:rsidR="00A071B7" w:rsidRPr="00A071B7" w:rsidRDefault="00520A65" w:rsidP="00520A65">
            <w:pPr>
              <w:bidi/>
              <w:rPr>
                <w:rFonts w:ascii="Arabic Typesetting" w:hAnsi="Arabic Typesetting" w:cs="Arabic Typesetting"/>
                <w:sz w:val="36"/>
                <w:szCs w:val="36"/>
                <w:lang w:bidi="ar-EG"/>
              </w:rPr>
            </w:pPr>
            <w:proofErr w:type="spellStart"/>
            <w:r w:rsidRPr="00520A65">
              <w:rPr>
                <w:rFonts w:ascii="Arabic Typesetting" w:hAnsi="Arabic Typesetting" w:cs="Arabic Typesetting"/>
                <w:sz w:val="36"/>
                <w:szCs w:val="36"/>
                <w:rtl/>
                <w:lang w:bidi="ar-EG"/>
              </w:rPr>
              <w:t>البيوتكنولوجيا</w:t>
            </w:r>
            <w:proofErr w:type="spellEnd"/>
          </w:p>
        </w:tc>
        <w:tc>
          <w:tcPr>
            <w:tcW w:w="1360" w:type="dxa"/>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153</w:t>
            </w:r>
          </w:p>
        </w:tc>
        <w:tc>
          <w:tcPr>
            <w:tcW w:w="1361" w:type="dxa"/>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139</w:t>
            </w:r>
          </w:p>
        </w:tc>
        <w:tc>
          <w:tcPr>
            <w:tcW w:w="1361" w:type="dxa"/>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145</w:t>
            </w:r>
          </w:p>
        </w:tc>
        <w:tc>
          <w:tcPr>
            <w:tcW w:w="1361" w:type="dxa"/>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148</w:t>
            </w:r>
          </w:p>
        </w:tc>
        <w:tc>
          <w:tcPr>
            <w:tcW w:w="1361" w:type="dxa"/>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159</w:t>
            </w:r>
          </w:p>
        </w:tc>
      </w:tr>
      <w:tr w:rsidR="00A071B7" w:rsidRPr="006A6C1D" w:rsidTr="00520A65">
        <w:trPr>
          <w:cantSplit/>
        </w:trPr>
        <w:tc>
          <w:tcPr>
            <w:tcW w:w="2518" w:type="dxa"/>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r w:rsidRPr="00A071B7">
              <w:rPr>
                <w:rFonts w:ascii="Arabic Typesetting" w:hAnsi="Arabic Typesetting" w:cs="Arabic Typesetting"/>
                <w:sz w:val="36"/>
                <w:szCs w:val="36"/>
                <w:rtl/>
                <w:lang w:bidi="ar-EG"/>
              </w:rPr>
              <w:t>غير مسند</w:t>
            </w:r>
          </w:p>
        </w:tc>
        <w:tc>
          <w:tcPr>
            <w:tcW w:w="1360" w:type="dxa"/>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76</w:t>
            </w:r>
          </w:p>
        </w:tc>
        <w:tc>
          <w:tcPr>
            <w:tcW w:w="1361" w:type="dxa"/>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82</w:t>
            </w:r>
          </w:p>
        </w:tc>
        <w:tc>
          <w:tcPr>
            <w:tcW w:w="1361" w:type="dxa"/>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49</w:t>
            </w:r>
          </w:p>
        </w:tc>
        <w:tc>
          <w:tcPr>
            <w:tcW w:w="1361" w:type="dxa"/>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22</w:t>
            </w:r>
          </w:p>
        </w:tc>
        <w:tc>
          <w:tcPr>
            <w:tcW w:w="1361" w:type="dxa"/>
            <w:shd w:val="clear" w:color="auto" w:fill="auto"/>
            <w:vAlign w:val="center"/>
          </w:tcPr>
          <w:p w:rsidR="00A071B7" w:rsidRPr="00A071B7" w:rsidRDefault="00A071B7" w:rsidP="00520A6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13</w:t>
            </w:r>
          </w:p>
        </w:tc>
      </w:tr>
      <w:tr w:rsidR="00A071B7" w:rsidRPr="00520A65" w:rsidTr="00520A65">
        <w:trPr>
          <w:cantSplit/>
        </w:trPr>
        <w:tc>
          <w:tcPr>
            <w:tcW w:w="2518" w:type="dxa"/>
            <w:shd w:val="clear" w:color="auto" w:fill="auto"/>
            <w:vAlign w:val="center"/>
          </w:tcPr>
          <w:p w:rsidR="00A071B7" w:rsidRPr="00520A65" w:rsidRDefault="00A071B7" w:rsidP="00520A65">
            <w:pPr>
              <w:bidi/>
              <w:rPr>
                <w:rFonts w:ascii="Arabic Typesetting" w:hAnsi="Arabic Typesetting" w:cs="Arabic Typesetting"/>
                <w:i/>
                <w:iCs/>
                <w:sz w:val="36"/>
                <w:szCs w:val="36"/>
                <w:lang w:bidi="ar-EG"/>
              </w:rPr>
            </w:pPr>
            <w:r w:rsidRPr="00520A65">
              <w:rPr>
                <w:rFonts w:ascii="Arabic Typesetting" w:hAnsi="Arabic Typesetting" w:cs="Arabic Typesetting"/>
                <w:i/>
                <w:iCs/>
                <w:sz w:val="36"/>
                <w:szCs w:val="36"/>
                <w:rtl/>
                <w:lang w:bidi="ar-EG"/>
              </w:rPr>
              <w:t>المجموع</w:t>
            </w:r>
          </w:p>
        </w:tc>
        <w:tc>
          <w:tcPr>
            <w:tcW w:w="1360" w:type="dxa"/>
            <w:shd w:val="clear" w:color="auto" w:fill="auto"/>
            <w:vAlign w:val="center"/>
          </w:tcPr>
          <w:p w:rsidR="00A071B7" w:rsidRPr="00520A65" w:rsidRDefault="00A071B7" w:rsidP="00520A65">
            <w:pPr>
              <w:bidi/>
              <w:rPr>
                <w:rFonts w:ascii="Arabic Typesetting" w:hAnsi="Arabic Typesetting" w:cs="Arabic Typesetting"/>
                <w:i/>
                <w:iCs/>
                <w:sz w:val="36"/>
                <w:szCs w:val="36"/>
                <w:lang w:bidi="ar-EG"/>
              </w:rPr>
            </w:pPr>
            <w:r w:rsidRPr="00520A65">
              <w:rPr>
                <w:rFonts w:ascii="Arabic Typesetting" w:hAnsi="Arabic Typesetting" w:cs="Arabic Typesetting"/>
                <w:i/>
                <w:iCs/>
                <w:sz w:val="36"/>
                <w:szCs w:val="36"/>
                <w:lang w:bidi="ar-EG"/>
              </w:rPr>
              <w:t>2 137</w:t>
            </w:r>
          </w:p>
        </w:tc>
        <w:tc>
          <w:tcPr>
            <w:tcW w:w="1361" w:type="dxa"/>
            <w:shd w:val="clear" w:color="auto" w:fill="auto"/>
            <w:vAlign w:val="center"/>
          </w:tcPr>
          <w:p w:rsidR="00A071B7" w:rsidRPr="00520A65" w:rsidRDefault="00A071B7" w:rsidP="00520A65">
            <w:pPr>
              <w:bidi/>
              <w:rPr>
                <w:rFonts w:ascii="Arabic Typesetting" w:hAnsi="Arabic Typesetting" w:cs="Arabic Typesetting"/>
                <w:i/>
                <w:iCs/>
                <w:sz w:val="36"/>
                <w:szCs w:val="36"/>
                <w:lang w:bidi="ar-EG"/>
              </w:rPr>
            </w:pPr>
            <w:r w:rsidRPr="00520A65">
              <w:rPr>
                <w:rFonts w:ascii="Arabic Typesetting" w:hAnsi="Arabic Typesetting" w:cs="Arabic Typesetting"/>
                <w:i/>
                <w:iCs/>
                <w:sz w:val="36"/>
                <w:szCs w:val="36"/>
                <w:lang w:bidi="ar-EG"/>
              </w:rPr>
              <w:t>2 178</w:t>
            </w:r>
          </w:p>
        </w:tc>
        <w:tc>
          <w:tcPr>
            <w:tcW w:w="1361" w:type="dxa"/>
            <w:shd w:val="clear" w:color="auto" w:fill="auto"/>
            <w:vAlign w:val="center"/>
          </w:tcPr>
          <w:p w:rsidR="00A071B7" w:rsidRPr="00520A65" w:rsidRDefault="00A071B7" w:rsidP="00520A65">
            <w:pPr>
              <w:bidi/>
              <w:rPr>
                <w:rFonts w:ascii="Arabic Typesetting" w:hAnsi="Arabic Typesetting" w:cs="Arabic Typesetting"/>
                <w:i/>
                <w:iCs/>
                <w:sz w:val="36"/>
                <w:szCs w:val="36"/>
                <w:lang w:bidi="ar-EG"/>
              </w:rPr>
            </w:pPr>
            <w:r w:rsidRPr="00520A65">
              <w:rPr>
                <w:rFonts w:ascii="Arabic Typesetting" w:hAnsi="Arabic Typesetting" w:cs="Arabic Typesetting"/>
                <w:i/>
                <w:iCs/>
                <w:sz w:val="36"/>
                <w:szCs w:val="36"/>
                <w:lang w:bidi="ar-EG"/>
              </w:rPr>
              <w:t>2 151</w:t>
            </w:r>
          </w:p>
        </w:tc>
        <w:tc>
          <w:tcPr>
            <w:tcW w:w="1361" w:type="dxa"/>
            <w:shd w:val="clear" w:color="auto" w:fill="auto"/>
            <w:vAlign w:val="center"/>
          </w:tcPr>
          <w:p w:rsidR="00A071B7" w:rsidRPr="00520A65" w:rsidRDefault="00A071B7" w:rsidP="00520A65">
            <w:pPr>
              <w:bidi/>
              <w:rPr>
                <w:rFonts w:ascii="Arabic Typesetting" w:hAnsi="Arabic Typesetting" w:cs="Arabic Typesetting"/>
                <w:i/>
                <w:iCs/>
                <w:sz w:val="36"/>
                <w:szCs w:val="36"/>
                <w:lang w:bidi="ar-EG"/>
              </w:rPr>
            </w:pPr>
            <w:r w:rsidRPr="00520A65">
              <w:rPr>
                <w:rFonts w:ascii="Arabic Typesetting" w:hAnsi="Arabic Typesetting" w:cs="Arabic Typesetting"/>
                <w:i/>
                <w:iCs/>
                <w:sz w:val="36"/>
                <w:szCs w:val="36"/>
                <w:lang w:bidi="ar-EG"/>
              </w:rPr>
              <w:t>1 991</w:t>
            </w:r>
          </w:p>
        </w:tc>
        <w:tc>
          <w:tcPr>
            <w:tcW w:w="1361" w:type="dxa"/>
            <w:shd w:val="clear" w:color="auto" w:fill="auto"/>
            <w:vAlign w:val="center"/>
          </w:tcPr>
          <w:p w:rsidR="00A071B7" w:rsidRPr="00520A65" w:rsidRDefault="00A071B7" w:rsidP="00520A65">
            <w:pPr>
              <w:bidi/>
              <w:rPr>
                <w:rFonts w:ascii="Arabic Typesetting" w:hAnsi="Arabic Typesetting" w:cs="Arabic Typesetting"/>
                <w:i/>
                <w:iCs/>
                <w:sz w:val="36"/>
                <w:szCs w:val="36"/>
                <w:lang w:bidi="ar-EG"/>
              </w:rPr>
            </w:pPr>
            <w:r w:rsidRPr="00520A65">
              <w:rPr>
                <w:rFonts w:ascii="Arabic Typesetting" w:hAnsi="Arabic Typesetting" w:cs="Arabic Typesetting"/>
                <w:i/>
                <w:iCs/>
                <w:sz w:val="36"/>
                <w:szCs w:val="36"/>
                <w:lang w:bidi="ar-EG"/>
              </w:rPr>
              <w:t>1 954</w:t>
            </w:r>
          </w:p>
        </w:tc>
      </w:tr>
      <w:tr w:rsidR="00A071B7" w:rsidRPr="006A6C1D" w:rsidTr="00520A65">
        <w:trPr>
          <w:cantSplit/>
        </w:trPr>
        <w:tc>
          <w:tcPr>
            <w:tcW w:w="9322" w:type="dxa"/>
            <w:gridSpan w:val="6"/>
            <w:shd w:val="clear" w:color="auto" w:fill="auto"/>
          </w:tcPr>
          <w:p w:rsidR="00A071B7" w:rsidRPr="00A071B7" w:rsidRDefault="00A071B7" w:rsidP="00520A65">
            <w:pPr>
              <w:bidi/>
              <w:rPr>
                <w:rFonts w:ascii="Arabic Typesetting" w:hAnsi="Arabic Typesetting" w:cs="Arabic Typesetting"/>
                <w:sz w:val="36"/>
                <w:szCs w:val="36"/>
                <w:lang w:bidi="ar-EG"/>
              </w:rPr>
            </w:pPr>
          </w:p>
        </w:tc>
      </w:tr>
      <w:tr w:rsidR="00A071B7" w:rsidRPr="006A6C1D" w:rsidTr="00520A65">
        <w:trPr>
          <w:cantSplit/>
        </w:trPr>
        <w:tc>
          <w:tcPr>
            <w:tcW w:w="9322" w:type="dxa"/>
            <w:gridSpan w:val="6"/>
            <w:shd w:val="clear" w:color="auto" w:fill="auto"/>
          </w:tcPr>
          <w:p w:rsidR="00A071B7" w:rsidRPr="00A071B7" w:rsidRDefault="00A071B7" w:rsidP="00520A65">
            <w:pPr>
              <w:bidi/>
              <w:rPr>
                <w:rFonts w:ascii="Arabic Typesetting" w:hAnsi="Arabic Typesetting" w:cs="Arabic Typesetting"/>
                <w:sz w:val="36"/>
                <w:szCs w:val="36"/>
                <w:lang w:bidi="ar-EG"/>
              </w:rPr>
            </w:pPr>
            <w:proofErr w:type="gramStart"/>
            <w:r w:rsidRPr="00A071B7">
              <w:rPr>
                <w:rFonts w:ascii="Arabic Typesetting" w:hAnsi="Arabic Typesetting" w:cs="Arabic Typesetting"/>
                <w:sz w:val="36"/>
                <w:szCs w:val="36"/>
                <w:rtl/>
                <w:lang w:bidi="ar-EG"/>
              </w:rPr>
              <w:t>الطلبات</w:t>
            </w:r>
            <w:proofErr w:type="gramEnd"/>
            <w:r w:rsidRPr="00A071B7">
              <w:rPr>
                <w:rFonts w:ascii="Arabic Typesetting" w:hAnsi="Arabic Typesetting" w:cs="Arabic Typesetting"/>
                <w:sz w:val="36"/>
                <w:szCs w:val="36"/>
                <w:rtl/>
                <w:lang w:bidi="ar-EG"/>
              </w:rPr>
              <w:t xml:space="preserve"> الدولية، طلبات الإيداع بموجب الفصل </w:t>
            </w:r>
            <w:r w:rsidR="00520A65">
              <w:rPr>
                <w:rFonts w:ascii="Arabic Typesetting" w:hAnsi="Arabic Typesetting" w:cs="Arabic Typesetting" w:hint="cs"/>
                <w:sz w:val="36"/>
                <w:szCs w:val="36"/>
                <w:rtl/>
                <w:lang w:bidi="ar-EG"/>
              </w:rPr>
              <w:t>الثاني</w:t>
            </w:r>
          </w:p>
        </w:tc>
      </w:tr>
      <w:tr w:rsidR="00A071B7" w:rsidRPr="00520A65" w:rsidTr="00520A65">
        <w:trPr>
          <w:cantSplit/>
        </w:trPr>
        <w:tc>
          <w:tcPr>
            <w:tcW w:w="2518" w:type="dxa"/>
            <w:shd w:val="clear" w:color="auto" w:fill="auto"/>
          </w:tcPr>
          <w:p w:rsidR="00A071B7" w:rsidRPr="00520A65" w:rsidRDefault="00520A65" w:rsidP="00520A65">
            <w:pPr>
              <w:bidi/>
              <w:rPr>
                <w:rFonts w:ascii="Arabic Typesetting" w:hAnsi="Arabic Typesetting" w:cs="Arabic Typesetting"/>
                <w:i/>
                <w:iCs/>
                <w:sz w:val="36"/>
                <w:szCs w:val="36"/>
                <w:lang w:bidi="ar-EG"/>
              </w:rPr>
            </w:pPr>
            <w:r w:rsidRPr="00520A65">
              <w:rPr>
                <w:rFonts w:ascii="Arabic Typesetting" w:hAnsi="Arabic Typesetting" w:cs="Arabic Typesetting"/>
                <w:i/>
                <w:iCs/>
                <w:sz w:val="36"/>
                <w:szCs w:val="36"/>
                <w:rtl/>
                <w:lang w:bidi="ar-EG"/>
              </w:rPr>
              <w:t>المجموع</w:t>
            </w:r>
          </w:p>
        </w:tc>
        <w:tc>
          <w:tcPr>
            <w:tcW w:w="1360" w:type="dxa"/>
            <w:shd w:val="clear" w:color="auto" w:fill="auto"/>
            <w:vAlign w:val="center"/>
          </w:tcPr>
          <w:p w:rsidR="00A071B7" w:rsidRPr="00520A65" w:rsidRDefault="00A071B7" w:rsidP="00520A65">
            <w:pPr>
              <w:bidi/>
              <w:rPr>
                <w:rFonts w:ascii="Arabic Typesetting" w:hAnsi="Arabic Typesetting" w:cs="Arabic Typesetting"/>
                <w:i/>
                <w:iCs/>
                <w:sz w:val="36"/>
                <w:szCs w:val="36"/>
                <w:lang w:bidi="ar-EG"/>
              </w:rPr>
            </w:pPr>
            <w:r w:rsidRPr="00520A65">
              <w:rPr>
                <w:rFonts w:ascii="Arabic Typesetting" w:hAnsi="Arabic Typesetting" w:cs="Arabic Typesetting"/>
                <w:i/>
                <w:iCs/>
                <w:sz w:val="36"/>
                <w:szCs w:val="36"/>
                <w:lang w:bidi="ar-EG"/>
              </w:rPr>
              <w:t>258</w:t>
            </w:r>
          </w:p>
        </w:tc>
        <w:tc>
          <w:tcPr>
            <w:tcW w:w="1361" w:type="dxa"/>
            <w:shd w:val="clear" w:color="auto" w:fill="auto"/>
            <w:vAlign w:val="center"/>
          </w:tcPr>
          <w:p w:rsidR="00A071B7" w:rsidRPr="00520A65" w:rsidRDefault="00A071B7" w:rsidP="00520A65">
            <w:pPr>
              <w:bidi/>
              <w:rPr>
                <w:rFonts w:ascii="Arabic Typesetting" w:hAnsi="Arabic Typesetting" w:cs="Arabic Typesetting"/>
                <w:i/>
                <w:iCs/>
                <w:sz w:val="36"/>
                <w:szCs w:val="36"/>
                <w:lang w:bidi="ar-EG"/>
              </w:rPr>
            </w:pPr>
            <w:r w:rsidRPr="00520A65">
              <w:rPr>
                <w:rFonts w:ascii="Arabic Typesetting" w:hAnsi="Arabic Typesetting" w:cs="Arabic Typesetting"/>
                <w:i/>
                <w:iCs/>
                <w:sz w:val="36"/>
                <w:szCs w:val="36"/>
                <w:lang w:bidi="ar-EG"/>
              </w:rPr>
              <w:t>270</w:t>
            </w:r>
          </w:p>
        </w:tc>
        <w:tc>
          <w:tcPr>
            <w:tcW w:w="1361" w:type="dxa"/>
            <w:shd w:val="clear" w:color="auto" w:fill="auto"/>
            <w:vAlign w:val="center"/>
          </w:tcPr>
          <w:p w:rsidR="00A071B7" w:rsidRPr="00520A65" w:rsidRDefault="00A071B7" w:rsidP="00520A65">
            <w:pPr>
              <w:bidi/>
              <w:rPr>
                <w:rFonts w:ascii="Arabic Typesetting" w:hAnsi="Arabic Typesetting" w:cs="Arabic Typesetting"/>
                <w:i/>
                <w:iCs/>
                <w:sz w:val="36"/>
                <w:szCs w:val="36"/>
                <w:lang w:bidi="ar-EG"/>
              </w:rPr>
            </w:pPr>
            <w:r w:rsidRPr="00520A65">
              <w:rPr>
                <w:rFonts w:ascii="Arabic Typesetting" w:hAnsi="Arabic Typesetting" w:cs="Arabic Typesetting"/>
                <w:i/>
                <w:iCs/>
                <w:sz w:val="36"/>
                <w:szCs w:val="36"/>
                <w:lang w:bidi="ar-EG"/>
              </w:rPr>
              <w:t>257</w:t>
            </w:r>
          </w:p>
        </w:tc>
        <w:tc>
          <w:tcPr>
            <w:tcW w:w="1361" w:type="dxa"/>
            <w:shd w:val="clear" w:color="auto" w:fill="auto"/>
            <w:vAlign w:val="center"/>
          </w:tcPr>
          <w:p w:rsidR="00A071B7" w:rsidRPr="00520A65" w:rsidRDefault="00A071B7" w:rsidP="00520A65">
            <w:pPr>
              <w:bidi/>
              <w:rPr>
                <w:rFonts w:ascii="Arabic Typesetting" w:hAnsi="Arabic Typesetting" w:cs="Arabic Typesetting"/>
                <w:i/>
                <w:iCs/>
                <w:sz w:val="36"/>
                <w:szCs w:val="36"/>
                <w:lang w:bidi="ar-EG"/>
              </w:rPr>
            </w:pPr>
            <w:r w:rsidRPr="00520A65">
              <w:rPr>
                <w:rFonts w:ascii="Arabic Typesetting" w:hAnsi="Arabic Typesetting" w:cs="Arabic Typesetting"/>
                <w:i/>
                <w:iCs/>
                <w:sz w:val="36"/>
                <w:szCs w:val="36"/>
                <w:lang w:bidi="ar-EG"/>
              </w:rPr>
              <w:t>268</w:t>
            </w:r>
          </w:p>
        </w:tc>
        <w:tc>
          <w:tcPr>
            <w:tcW w:w="1361" w:type="dxa"/>
            <w:shd w:val="clear" w:color="auto" w:fill="auto"/>
          </w:tcPr>
          <w:p w:rsidR="00A071B7" w:rsidRPr="00520A65" w:rsidRDefault="00A071B7" w:rsidP="00520A65">
            <w:pPr>
              <w:bidi/>
              <w:rPr>
                <w:rFonts w:ascii="Arabic Typesetting" w:hAnsi="Arabic Typesetting" w:cs="Arabic Typesetting"/>
                <w:i/>
                <w:iCs/>
                <w:sz w:val="36"/>
                <w:szCs w:val="36"/>
                <w:lang w:bidi="ar-EG"/>
              </w:rPr>
            </w:pPr>
            <w:r w:rsidRPr="00520A65">
              <w:rPr>
                <w:rFonts w:ascii="Arabic Typesetting" w:hAnsi="Arabic Typesetting" w:cs="Arabic Typesetting"/>
                <w:i/>
                <w:iCs/>
                <w:sz w:val="36"/>
                <w:szCs w:val="36"/>
                <w:lang w:bidi="ar-EG"/>
              </w:rPr>
              <w:t>278</w:t>
            </w:r>
          </w:p>
        </w:tc>
      </w:tr>
    </w:tbl>
    <w:p w:rsidR="00BE73CB" w:rsidRDefault="00BE73CB" w:rsidP="0014031F">
      <w:pPr>
        <w:pStyle w:val="NormalParaAR"/>
        <w:rPr>
          <w:b/>
          <w:bCs/>
          <w:rtl/>
          <w:lang w:bidi="ar-EG"/>
        </w:rPr>
      </w:pPr>
    </w:p>
    <w:p w:rsidR="00BE73CB" w:rsidRDefault="00BE73CB">
      <w:pPr>
        <w:rPr>
          <w:rFonts w:ascii="Arabic Typesetting" w:hAnsi="Arabic Typesetting" w:cs="Arabic Typesetting"/>
          <w:b/>
          <w:bCs/>
          <w:sz w:val="36"/>
          <w:szCs w:val="36"/>
          <w:rtl/>
          <w:lang w:bidi="ar-EG"/>
        </w:rPr>
      </w:pPr>
      <w:r>
        <w:rPr>
          <w:b/>
          <w:bCs/>
          <w:rtl/>
          <w:lang w:bidi="ar-EG"/>
        </w:rPr>
        <w:br w:type="page"/>
      </w:r>
    </w:p>
    <w:p w:rsidR="00B4022C" w:rsidRDefault="00B4022C" w:rsidP="00BE73CB">
      <w:pPr>
        <w:pStyle w:val="NormalParaAR"/>
        <w:keepNext/>
        <w:rPr>
          <w:b/>
          <w:bCs/>
          <w:rtl/>
          <w:lang w:bidi="ar-EG"/>
        </w:rPr>
      </w:pPr>
      <w:r>
        <w:rPr>
          <w:rFonts w:hint="cs"/>
          <w:b/>
          <w:bCs/>
          <w:rtl/>
          <w:lang w:bidi="ar-EG"/>
        </w:rPr>
        <w:lastRenderedPageBreak/>
        <w:t xml:space="preserve">حسن توقيت </w:t>
      </w:r>
      <w:r w:rsidR="00520A65">
        <w:rPr>
          <w:rFonts w:hint="cs"/>
          <w:b/>
          <w:bCs/>
          <w:rtl/>
          <w:lang w:bidi="ar-EG"/>
        </w:rPr>
        <w:t>إحالة</w:t>
      </w:r>
      <w:r>
        <w:rPr>
          <w:rFonts w:hint="cs"/>
          <w:b/>
          <w:bCs/>
          <w:rtl/>
          <w:lang w:bidi="ar-EG"/>
        </w:rPr>
        <w:t xml:space="preserve"> </w:t>
      </w:r>
      <w:proofErr w:type="gramStart"/>
      <w:r>
        <w:rPr>
          <w:rFonts w:hint="cs"/>
          <w:b/>
          <w:bCs/>
          <w:rtl/>
          <w:lang w:bidi="ar-EG"/>
        </w:rPr>
        <w:t>ت</w:t>
      </w:r>
      <w:r w:rsidR="00520A65">
        <w:rPr>
          <w:rFonts w:hint="cs"/>
          <w:b/>
          <w:bCs/>
          <w:rtl/>
          <w:lang w:bidi="ar-EG"/>
        </w:rPr>
        <w:t>قرير</w:t>
      </w:r>
      <w:proofErr w:type="gramEnd"/>
      <w:r w:rsidR="00520A65">
        <w:rPr>
          <w:rFonts w:hint="cs"/>
          <w:b/>
          <w:bCs/>
          <w:rtl/>
          <w:lang w:bidi="ar-EG"/>
        </w:rPr>
        <w:t xml:space="preserve"> البحث الدولي والتقرير </w:t>
      </w:r>
      <w:r w:rsidRPr="00B4022C">
        <w:rPr>
          <w:b/>
          <w:bCs/>
          <w:rtl/>
          <w:lang w:bidi="ar-EG"/>
        </w:rPr>
        <w:t>التمهيدي الدولي عن الأهلية للبراءة</w:t>
      </w:r>
      <w:r>
        <w:rPr>
          <w:rFonts w:hint="cs"/>
          <w:b/>
          <w:bCs/>
          <w:rtl/>
          <w:lang w:bidi="ar-EG"/>
        </w:rPr>
        <w:t xml:space="preserve"> (نسبة التقارير </w:t>
      </w:r>
      <w:r w:rsidR="00BE73CB">
        <w:rPr>
          <w:rFonts w:hint="cs"/>
          <w:b/>
          <w:bCs/>
          <w:rtl/>
          <w:lang w:bidi="ar-EG"/>
        </w:rPr>
        <w:t>المحالة</w:t>
      </w:r>
      <w:r>
        <w:rPr>
          <w:rFonts w:hint="cs"/>
          <w:b/>
          <w:bCs/>
          <w:rtl/>
          <w:lang w:bidi="ar-EG"/>
        </w:rPr>
        <w:t xml:space="preserve"> بناء على القاعدتين </w:t>
      </w:r>
      <w:r w:rsidR="00BE73CB">
        <w:rPr>
          <w:rFonts w:hint="cs"/>
          <w:b/>
          <w:bCs/>
          <w:rtl/>
          <w:lang w:bidi="ar-EG"/>
        </w:rPr>
        <w:t>1.42</w:t>
      </w:r>
      <w:r>
        <w:rPr>
          <w:rFonts w:hint="cs"/>
          <w:b/>
          <w:bCs/>
          <w:rtl/>
          <w:lang w:bidi="ar-EG"/>
        </w:rPr>
        <w:t xml:space="preserve"> و</w:t>
      </w:r>
      <w:r w:rsidR="00BE73CB">
        <w:rPr>
          <w:rFonts w:hint="cs"/>
          <w:b/>
          <w:bCs/>
          <w:rtl/>
          <w:lang w:bidi="ar-EG"/>
        </w:rPr>
        <w:t>2.69</w:t>
      </w:r>
      <w:r>
        <w:rPr>
          <w:rFonts w:hint="cs"/>
          <w:b/>
          <w:bCs/>
          <w:rtl/>
          <w:lang w:bidi="ar-EG"/>
        </w:rPr>
        <w:t xml:space="preserve"> </w:t>
      </w:r>
      <w:proofErr w:type="gramStart"/>
      <w:r>
        <w:rPr>
          <w:rFonts w:hint="cs"/>
          <w:b/>
          <w:bCs/>
          <w:rtl/>
          <w:lang w:bidi="ar-EG"/>
        </w:rPr>
        <w:t>على</w:t>
      </w:r>
      <w:proofErr w:type="gramEnd"/>
      <w:r>
        <w:rPr>
          <w:rFonts w:hint="cs"/>
          <w:b/>
          <w:bCs/>
          <w:rtl/>
          <w:lang w:bidi="ar-EG"/>
        </w:rPr>
        <w:t xml:space="preserve"> التوالي)</w:t>
      </w:r>
    </w:p>
    <w:p w:rsidR="00B4022C" w:rsidRPr="00BE73CB" w:rsidRDefault="00B4022C" w:rsidP="00B13EE8">
      <w:pPr>
        <w:pStyle w:val="NormalParaAR"/>
        <w:rPr>
          <w:i/>
          <w:iCs/>
          <w:rtl/>
          <w:lang w:bidi="ar-EG"/>
        </w:rPr>
      </w:pPr>
      <w:r w:rsidRPr="00BE73CB">
        <w:rPr>
          <w:rFonts w:hint="cs"/>
          <w:i/>
          <w:iCs/>
          <w:rtl/>
          <w:lang w:bidi="ar-EG"/>
        </w:rPr>
        <w:t xml:space="preserve">هذه البيانات </w:t>
      </w:r>
      <w:proofErr w:type="spellStart"/>
      <w:r w:rsidRPr="00BE73CB">
        <w:rPr>
          <w:rFonts w:hint="cs"/>
          <w:i/>
          <w:iCs/>
          <w:rtl/>
          <w:lang w:bidi="ar-EG"/>
        </w:rPr>
        <w:t>مستقاة</w:t>
      </w:r>
      <w:proofErr w:type="spellEnd"/>
      <w:r w:rsidRPr="00BE73CB">
        <w:rPr>
          <w:rFonts w:hint="cs"/>
          <w:i/>
          <w:iCs/>
          <w:rtl/>
          <w:lang w:bidi="ar-EG"/>
        </w:rPr>
        <w:t xml:space="preserve"> من قاعدة البيانات الداخلية للمكتب الكندي للملكية الفكرية </w:t>
      </w:r>
      <w:proofErr w:type="spellStart"/>
      <w:r w:rsidRPr="00BE73CB">
        <w:rPr>
          <w:i/>
          <w:iCs/>
          <w:lang w:bidi="ar-EG"/>
        </w:rPr>
        <w:t>InterApp</w:t>
      </w:r>
      <w:proofErr w:type="spellEnd"/>
      <w:r w:rsidRPr="00BE73CB">
        <w:rPr>
          <w:rFonts w:hint="cs"/>
          <w:i/>
          <w:iCs/>
          <w:rtl/>
          <w:lang w:bidi="ar-EG"/>
        </w:rPr>
        <w:t xml:space="preserve"> التي تختلف عن الإحصاءات الصادرة عن </w:t>
      </w:r>
      <w:proofErr w:type="spellStart"/>
      <w:r w:rsidRPr="00BE73CB">
        <w:rPr>
          <w:rFonts w:hint="cs"/>
          <w:i/>
          <w:iCs/>
          <w:rtl/>
          <w:lang w:bidi="ar-EG"/>
        </w:rPr>
        <w:t>الويبو</w:t>
      </w:r>
      <w:proofErr w:type="spellEnd"/>
      <w:r w:rsidRPr="00BE73CB">
        <w:rPr>
          <w:rFonts w:hint="cs"/>
          <w:i/>
          <w:iCs/>
          <w:rtl/>
          <w:lang w:bidi="ar-EG"/>
        </w:rPr>
        <w:t xml:space="preserve"> نتيجة لاختلاف </w:t>
      </w:r>
      <w:r w:rsidR="00B13EE8" w:rsidRPr="00BE73CB">
        <w:rPr>
          <w:rFonts w:hint="cs"/>
          <w:i/>
          <w:iCs/>
          <w:rtl/>
          <w:lang w:bidi="ar-EG"/>
        </w:rPr>
        <w:t>التوقيت</w:t>
      </w:r>
      <w:r w:rsidRPr="00BE73CB">
        <w:rPr>
          <w:rFonts w:hint="cs"/>
          <w:i/>
          <w:iCs/>
          <w:rtl/>
          <w:lang w:bidi="ar-EG"/>
        </w:rPr>
        <w:t xml:space="preserve"> وإجراءات إصدارها المتبعة في المكتب الكندي للملكية الفكرية.</w:t>
      </w:r>
    </w:p>
    <w:tbl>
      <w:tblPr>
        <w:bidiVisual/>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A071B7" w:rsidRPr="00BE73CB" w:rsidTr="00A071B7">
        <w:trPr>
          <w:cantSplit/>
        </w:trPr>
        <w:tc>
          <w:tcPr>
            <w:tcW w:w="2518" w:type="dxa"/>
            <w:tcBorders>
              <w:tl2br w:val="single" w:sz="4" w:space="0" w:color="auto"/>
            </w:tcBorders>
            <w:shd w:val="clear" w:color="auto" w:fill="auto"/>
          </w:tcPr>
          <w:p w:rsidR="00A071B7" w:rsidRPr="00BE73CB" w:rsidRDefault="00A071B7" w:rsidP="00A071B7">
            <w:pPr>
              <w:pStyle w:val="NormalParaAR"/>
              <w:rPr>
                <w:b/>
                <w:bCs/>
                <w:lang w:bidi="ar-EG"/>
              </w:rPr>
            </w:pPr>
          </w:p>
          <w:p w:rsidR="00A071B7" w:rsidRPr="00BE73CB" w:rsidRDefault="00A071B7" w:rsidP="00A071B7">
            <w:pPr>
              <w:pStyle w:val="NormalParaAR"/>
              <w:rPr>
                <w:b/>
                <w:bCs/>
                <w:lang w:bidi="ar-EG"/>
              </w:rPr>
            </w:pPr>
            <w:r w:rsidRPr="00BE73CB">
              <w:rPr>
                <w:b/>
                <w:bCs/>
                <w:rtl/>
                <w:lang w:bidi="ar-EG"/>
              </w:rPr>
              <w:t>السنة</w:t>
            </w:r>
          </w:p>
          <w:p w:rsidR="00A071B7" w:rsidRPr="00BE73CB" w:rsidRDefault="00A071B7" w:rsidP="00BE73CB">
            <w:pPr>
              <w:pStyle w:val="NormalParaAR"/>
              <w:ind w:left="1133"/>
              <w:rPr>
                <w:b/>
                <w:bCs/>
                <w:lang w:bidi="ar-EG"/>
              </w:rPr>
            </w:pPr>
            <w:r w:rsidRPr="00BE73CB">
              <w:rPr>
                <w:b/>
                <w:bCs/>
                <w:rtl/>
                <w:lang w:bidi="ar-EG"/>
              </w:rPr>
              <w:t>نوع التقرير</w:t>
            </w:r>
          </w:p>
        </w:tc>
        <w:tc>
          <w:tcPr>
            <w:tcW w:w="1360" w:type="dxa"/>
            <w:shd w:val="clear" w:color="auto" w:fill="auto"/>
            <w:vAlign w:val="center"/>
          </w:tcPr>
          <w:p w:rsidR="00A071B7" w:rsidRPr="00BE73CB" w:rsidRDefault="00A071B7" w:rsidP="00A071B7">
            <w:pPr>
              <w:pStyle w:val="NormalParaAR"/>
              <w:rPr>
                <w:b/>
                <w:bCs/>
                <w:lang w:bidi="ar-EG"/>
              </w:rPr>
            </w:pPr>
            <w:r w:rsidRPr="00BE73CB">
              <w:rPr>
                <w:b/>
                <w:bCs/>
                <w:lang w:bidi="ar-EG"/>
              </w:rPr>
              <w:t>2012</w:t>
            </w:r>
          </w:p>
        </w:tc>
        <w:tc>
          <w:tcPr>
            <w:tcW w:w="1361" w:type="dxa"/>
            <w:shd w:val="clear" w:color="auto" w:fill="auto"/>
            <w:vAlign w:val="center"/>
          </w:tcPr>
          <w:p w:rsidR="00A071B7" w:rsidRPr="00BE73CB" w:rsidRDefault="00A071B7" w:rsidP="00A071B7">
            <w:pPr>
              <w:pStyle w:val="NormalParaAR"/>
              <w:rPr>
                <w:b/>
                <w:bCs/>
                <w:lang w:bidi="ar-EG"/>
              </w:rPr>
            </w:pPr>
            <w:r w:rsidRPr="00BE73CB">
              <w:rPr>
                <w:b/>
                <w:bCs/>
                <w:lang w:bidi="ar-EG"/>
              </w:rPr>
              <w:t>2013</w:t>
            </w:r>
          </w:p>
        </w:tc>
        <w:tc>
          <w:tcPr>
            <w:tcW w:w="1361" w:type="dxa"/>
            <w:shd w:val="clear" w:color="auto" w:fill="auto"/>
            <w:vAlign w:val="center"/>
          </w:tcPr>
          <w:p w:rsidR="00A071B7" w:rsidRPr="00BE73CB" w:rsidRDefault="00A071B7" w:rsidP="00A071B7">
            <w:pPr>
              <w:pStyle w:val="NormalParaAR"/>
              <w:rPr>
                <w:b/>
                <w:bCs/>
                <w:lang w:bidi="ar-EG"/>
              </w:rPr>
            </w:pPr>
            <w:r w:rsidRPr="00BE73CB">
              <w:rPr>
                <w:b/>
                <w:bCs/>
                <w:lang w:bidi="ar-EG"/>
              </w:rPr>
              <w:t>2014</w:t>
            </w:r>
          </w:p>
        </w:tc>
        <w:tc>
          <w:tcPr>
            <w:tcW w:w="1361" w:type="dxa"/>
            <w:shd w:val="clear" w:color="auto" w:fill="auto"/>
            <w:vAlign w:val="center"/>
          </w:tcPr>
          <w:p w:rsidR="00A071B7" w:rsidRPr="00BE73CB" w:rsidRDefault="00A071B7" w:rsidP="00A071B7">
            <w:pPr>
              <w:pStyle w:val="NormalParaAR"/>
              <w:rPr>
                <w:b/>
                <w:bCs/>
                <w:lang w:bidi="ar-EG"/>
              </w:rPr>
            </w:pPr>
            <w:r w:rsidRPr="00BE73CB">
              <w:rPr>
                <w:b/>
                <w:bCs/>
                <w:lang w:bidi="ar-EG"/>
              </w:rPr>
              <w:t>2015</w:t>
            </w:r>
          </w:p>
        </w:tc>
        <w:tc>
          <w:tcPr>
            <w:tcW w:w="1361" w:type="dxa"/>
            <w:shd w:val="clear" w:color="auto" w:fill="auto"/>
            <w:vAlign w:val="center"/>
          </w:tcPr>
          <w:p w:rsidR="00A071B7" w:rsidRPr="00BE73CB" w:rsidRDefault="00A071B7" w:rsidP="00A071B7">
            <w:pPr>
              <w:pStyle w:val="NormalParaAR"/>
              <w:rPr>
                <w:b/>
                <w:bCs/>
                <w:lang w:bidi="ar-EG"/>
              </w:rPr>
            </w:pPr>
            <w:r w:rsidRPr="00BE73CB">
              <w:rPr>
                <w:b/>
                <w:bCs/>
                <w:lang w:bidi="ar-EG"/>
              </w:rPr>
              <w:t>2016</w:t>
            </w:r>
          </w:p>
        </w:tc>
      </w:tr>
      <w:tr w:rsidR="00A071B7" w:rsidRPr="006A6C1D" w:rsidTr="00A071B7">
        <w:trPr>
          <w:cantSplit/>
        </w:trPr>
        <w:tc>
          <w:tcPr>
            <w:tcW w:w="9322" w:type="dxa"/>
            <w:gridSpan w:val="6"/>
            <w:shd w:val="clear" w:color="auto" w:fill="auto"/>
            <w:vAlign w:val="center"/>
          </w:tcPr>
          <w:p w:rsidR="00A071B7" w:rsidRPr="006A6C1D" w:rsidRDefault="00A071B7" w:rsidP="00A071B7">
            <w:pPr>
              <w:pStyle w:val="NormalParaAR"/>
              <w:rPr>
                <w:lang w:bidi="ar-EG"/>
              </w:rPr>
            </w:pPr>
            <w:proofErr w:type="gramStart"/>
            <w:r w:rsidRPr="00A071B7">
              <w:rPr>
                <w:rtl/>
                <w:lang w:bidi="ar-EG"/>
              </w:rPr>
              <w:t>تقارير</w:t>
            </w:r>
            <w:proofErr w:type="gramEnd"/>
            <w:r w:rsidRPr="00A071B7">
              <w:rPr>
                <w:rtl/>
                <w:lang w:bidi="ar-EG"/>
              </w:rPr>
              <w:t xml:space="preserve"> البحث الدولي والآراء المكتوبة</w:t>
            </w:r>
          </w:p>
        </w:tc>
      </w:tr>
      <w:tr w:rsidR="00A071B7" w:rsidRPr="006A6C1D" w:rsidTr="00A071B7">
        <w:trPr>
          <w:cantSplit/>
          <w:trHeight w:val="449"/>
        </w:trPr>
        <w:tc>
          <w:tcPr>
            <w:tcW w:w="2518" w:type="dxa"/>
            <w:shd w:val="clear" w:color="auto" w:fill="auto"/>
            <w:vAlign w:val="center"/>
          </w:tcPr>
          <w:p w:rsidR="00A071B7" w:rsidRPr="006A6C1D" w:rsidRDefault="00A071B7" w:rsidP="00A071B7">
            <w:pPr>
              <w:pStyle w:val="NormalParaAR"/>
              <w:rPr>
                <w:lang w:bidi="ar-EG"/>
              </w:rPr>
            </w:pPr>
          </w:p>
        </w:tc>
        <w:tc>
          <w:tcPr>
            <w:tcW w:w="1360" w:type="dxa"/>
            <w:shd w:val="clear" w:color="auto" w:fill="auto"/>
            <w:vAlign w:val="center"/>
          </w:tcPr>
          <w:p w:rsidR="00A071B7" w:rsidRPr="006A6C1D" w:rsidRDefault="00A071B7" w:rsidP="00A071B7">
            <w:pPr>
              <w:pStyle w:val="NormalParaAR"/>
              <w:rPr>
                <w:lang w:bidi="ar-EG"/>
              </w:rPr>
            </w:pPr>
            <w:r w:rsidRPr="00A071B7">
              <w:rPr>
                <w:lang w:bidi="ar-EG"/>
              </w:rPr>
              <w:t>92</w:t>
            </w:r>
            <w:r w:rsidRPr="00A071B7">
              <w:rPr>
                <w:rtl/>
                <w:lang w:bidi="ar-EG"/>
              </w:rPr>
              <w:t>%</w:t>
            </w:r>
          </w:p>
        </w:tc>
        <w:tc>
          <w:tcPr>
            <w:tcW w:w="1361" w:type="dxa"/>
            <w:shd w:val="clear" w:color="auto" w:fill="auto"/>
            <w:vAlign w:val="center"/>
          </w:tcPr>
          <w:p w:rsidR="00A071B7" w:rsidRPr="006A6C1D" w:rsidRDefault="00A071B7" w:rsidP="00A071B7">
            <w:pPr>
              <w:pStyle w:val="NormalParaAR"/>
              <w:rPr>
                <w:lang w:bidi="ar-EG"/>
              </w:rPr>
            </w:pPr>
            <w:r w:rsidRPr="00A071B7">
              <w:rPr>
                <w:lang w:bidi="ar-EG"/>
              </w:rPr>
              <w:t>94</w:t>
            </w:r>
            <w:r w:rsidRPr="00A071B7">
              <w:rPr>
                <w:rtl/>
                <w:lang w:bidi="ar-EG"/>
              </w:rPr>
              <w:t>%</w:t>
            </w:r>
          </w:p>
        </w:tc>
        <w:tc>
          <w:tcPr>
            <w:tcW w:w="1361" w:type="dxa"/>
            <w:shd w:val="clear" w:color="auto" w:fill="auto"/>
            <w:vAlign w:val="center"/>
          </w:tcPr>
          <w:p w:rsidR="00A071B7" w:rsidRPr="006A6C1D" w:rsidRDefault="00A071B7" w:rsidP="00A071B7">
            <w:pPr>
              <w:pStyle w:val="NormalParaAR"/>
              <w:rPr>
                <w:lang w:bidi="ar-EG"/>
              </w:rPr>
            </w:pPr>
            <w:r w:rsidRPr="00A071B7">
              <w:rPr>
                <w:lang w:bidi="ar-EG"/>
              </w:rPr>
              <w:t>94</w:t>
            </w:r>
            <w:r w:rsidRPr="00A071B7">
              <w:rPr>
                <w:rtl/>
                <w:lang w:bidi="ar-EG"/>
              </w:rPr>
              <w:t>%</w:t>
            </w:r>
          </w:p>
        </w:tc>
        <w:tc>
          <w:tcPr>
            <w:tcW w:w="1361" w:type="dxa"/>
            <w:shd w:val="clear" w:color="auto" w:fill="auto"/>
            <w:vAlign w:val="center"/>
          </w:tcPr>
          <w:p w:rsidR="00A071B7" w:rsidRPr="006A6C1D" w:rsidRDefault="00A071B7" w:rsidP="00A071B7">
            <w:pPr>
              <w:pStyle w:val="NormalParaAR"/>
              <w:rPr>
                <w:lang w:bidi="ar-EG"/>
              </w:rPr>
            </w:pPr>
            <w:r w:rsidRPr="00A071B7">
              <w:rPr>
                <w:lang w:bidi="ar-EG"/>
              </w:rPr>
              <w:t>95</w:t>
            </w:r>
            <w:r w:rsidRPr="00A071B7">
              <w:rPr>
                <w:rtl/>
                <w:lang w:bidi="ar-EG"/>
              </w:rPr>
              <w:t>%</w:t>
            </w:r>
          </w:p>
        </w:tc>
        <w:tc>
          <w:tcPr>
            <w:tcW w:w="1361" w:type="dxa"/>
            <w:shd w:val="clear" w:color="auto" w:fill="auto"/>
            <w:vAlign w:val="center"/>
          </w:tcPr>
          <w:p w:rsidR="00A071B7" w:rsidRPr="006A6C1D" w:rsidRDefault="00BE73CB" w:rsidP="00A071B7">
            <w:pPr>
              <w:pStyle w:val="NormalParaAR"/>
              <w:rPr>
                <w:lang w:bidi="ar-EG"/>
              </w:rPr>
            </w:pPr>
            <w:r>
              <w:rPr>
                <w:rFonts w:hint="cs"/>
                <w:rtl/>
                <w:lang w:bidi="ar-EG"/>
              </w:rPr>
              <w:t>96</w:t>
            </w:r>
            <w:r w:rsidR="00A071B7" w:rsidRPr="00A071B7">
              <w:rPr>
                <w:rtl/>
                <w:lang w:bidi="ar-EG"/>
              </w:rPr>
              <w:t>%</w:t>
            </w:r>
          </w:p>
        </w:tc>
      </w:tr>
      <w:tr w:rsidR="00A071B7" w:rsidRPr="006A6C1D" w:rsidTr="00A071B7">
        <w:trPr>
          <w:cantSplit/>
        </w:trPr>
        <w:tc>
          <w:tcPr>
            <w:tcW w:w="9322" w:type="dxa"/>
            <w:gridSpan w:val="6"/>
            <w:shd w:val="clear" w:color="auto" w:fill="auto"/>
          </w:tcPr>
          <w:p w:rsidR="00A071B7" w:rsidRPr="006A6C1D" w:rsidRDefault="00A071B7" w:rsidP="00A071B7">
            <w:pPr>
              <w:pStyle w:val="NormalParaAR"/>
              <w:rPr>
                <w:lang w:bidi="ar-EG"/>
              </w:rPr>
            </w:pPr>
          </w:p>
        </w:tc>
      </w:tr>
      <w:tr w:rsidR="00A071B7" w:rsidRPr="006A6C1D" w:rsidTr="00A071B7">
        <w:trPr>
          <w:cantSplit/>
        </w:trPr>
        <w:tc>
          <w:tcPr>
            <w:tcW w:w="9322" w:type="dxa"/>
            <w:gridSpan w:val="6"/>
            <w:shd w:val="clear" w:color="auto" w:fill="auto"/>
          </w:tcPr>
          <w:p w:rsidR="00A071B7" w:rsidRPr="006A6C1D" w:rsidRDefault="00A071B7" w:rsidP="00A071B7">
            <w:pPr>
              <w:pStyle w:val="NormalParaAR"/>
              <w:rPr>
                <w:lang w:bidi="ar-EG"/>
              </w:rPr>
            </w:pPr>
            <w:r w:rsidRPr="00A071B7">
              <w:rPr>
                <w:rtl/>
                <w:lang w:bidi="ar-EG"/>
              </w:rPr>
              <w:t xml:space="preserve">التقرير التمهيدي الدولي عن </w:t>
            </w:r>
            <w:r w:rsidR="00BE73CB">
              <w:rPr>
                <w:rFonts w:hint="cs"/>
                <w:rtl/>
                <w:lang w:bidi="ar-EG"/>
              </w:rPr>
              <w:t>ال</w:t>
            </w:r>
            <w:r w:rsidR="00BE73CB">
              <w:rPr>
                <w:rtl/>
                <w:lang w:bidi="ar-EG"/>
              </w:rPr>
              <w:t xml:space="preserve">أهلية </w:t>
            </w:r>
            <w:r w:rsidR="00BE73CB">
              <w:rPr>
                <w:rFonts w:hint="cs"/>
                <w:rtl/>
                <w:lang w:bidi="ar-EG"/>
              </w:rPr>
              <w:t>لل</w:t>
            </w:r>
            <w:r w:rsidRPr="00A071B7">
              <w:rPr>
                <w:rtl/>
                <w:lang w:bidi="ar-EG"/>
              </w:rPr>
              <w:t>براءة</w:t>
            </w:r>
          </w:p>
        </w:tc>
      </w:tr>
      <w:tr w:rsidR="00A071B7" w:rsidRPr="006A6C1D" w:rsidTr="00A071B7">
        <w:trPr>
          <w:cantSplit/>
          <w:trHeight w:val="386"/>
        </w:trPr>
        <w:tc>
          <w:tcPr>
            <w:tcW w:w="2518" w:type="dxa"/>
            <w:shd w:val="clear" w:color="auto" w:fill="auto"/>
          </w:tcPr>
          <w:p w:rsidR="00A071B7" w:rsidRPr="006A6C1D" w:rsidRDefault="00A071B7" w:rsidP="00A071B7">
            <w:pPr>
              <w:pStyle w:val="NormalParaAR"/>
              <w:rPr>
                <w:lang w:bidi="ar-EG"/>
              </w:rPr>
            </w:pPr>
          </w:p>
        </w:tc>
        <w:tc>
          <w:tcPr>
            <w:tcW w:w="1360" w:type="dxa"/>
            <w:shd w:val="clear" w:color="auto" w:fill="auto"/>
            <w:vAlign w:val="center"/>
          </w:tcPr>
          <w:p w:rsidR="00A071B7" w:rsidRPr="006A6C1D" w:rsidRDefault="00A071B7" w:rsidP="00A071B7">
            <w:pPr>
              <w:pStyle w:val="NormalParaAR"/>
              <w:rPr>
                <w:lang w:bidi="ar-EG"/>
              </w:rPr>
            </w:pPr>
            <w:r w:rsidRPr="00A071B7">
              <w:rPr>
                <w:lang w:bidi="ar-EG"/>
              </w:rPr>
              <w:t>94</w:t>
            </w:r>
            <w:r w:rsidRPr="00A071B7">
              <w:rPr>
                <w:rtl/>
                <w:lang w:bidi="ar-EG"/>
              </w:rPr>
              <w:t>%</w:t>
            </w:r>
          </w:p>
        </w:tc>
        <w:tc>
          <w:tcPr>
            <w:tcW w:w="1361" w:type="dxa"/>
            <w:shd w:val="clear" w:color="auto" w:fill="auto"/>
            <w:vAlign w:val="center"/>
          </w:tcPr>
          <w:p w:rsidR="00A071B7" w:rsidRPr="006A6C1D" w:rsidRDefault="00A071B7" w:rsidP="00A071B7">
            <w:pPr>
              <w:pStyle w:val="NormalParaAR"/>
              <w:rPr>
                <w:lang w:bidi="ar-EG"/>
              </w:rPr>
            </w:pPr>
            <w:r w:rsidRPr="00A071B7">
              <w:rPr>
                <w:lang w:bidi="ar-EG"/>
              </w:rPr>
              <w:t>95</w:t>
            </w:r>
            <w:r w:rsidRPr="00A071B7">
              <w:rPr>
                <w:rtl/>
                <w:lang w:bidi="ar-EG"/>
              </w:rPr>
              <w:t>%</w:t>
            </w:r>
          </w:p>
        </w:tc>
        <w:tc>
          <w:tcPr>
            <w:tcW w:w="1361" w:type="dxa"/>
            <w:shd w:val="clear" w:color="auto" w:fill="auto"/>
            <w:vAlign w:val="center"/>
          </w:tcPr>
          <w:p w:rsidR="00A071B7" w:rsidRPr="006A6C1D" w:rsidRDefault="00A071B7" w:rsidP="00A071B7">
            <w:pPr>
              <w:pStyle w:val="NormalParaAR"/>
              <w:rPr>
                <w:lang w:bidi="ar-EG"/>
              </w:rPr>
            </w:pPr>
            <w:r w:rsidRPr="00A071B7">
              <w:rPr>
                <w:lang w:bidi="ar-EG"/>
              </w:rPr>
              <w:t>95</w:t>
            </w:r>
            <w:r w:rsidRPr="00A071B7">
              <w:rPr>
                <w:rtl/>
                <w:lang w:bidi="ar-EG"/>
              </w:rPr>
              <w:t>%</w:t>
            </w:r>
          </w:p>
        </w:tc>
        <w:tc>
          <w:tcPr>
            <w:tcW w:w="1361" w:type="dxa"/>
            <w:shd w:val="clear" w:color="auto" w:fill="auto"/>
            <w:vAlign w:val="center"/>
          </w:tcPr>
          <w:p w:rsidR="00A071B7" w:rsidRPr="006A6C1D" w:rsidRDefault="00A071B7" w:rsidP="00A071B7">
            <w:pPr>
              <w:pStyle w:val="NormalParaAR"/>
              <w:rPr>
                <w:lang w:bidi="ar-EG"/>
              </w:rPr>
            </w:pPr>
            <w:r w:rsidRPr="00A071B7">
              <w:rPr>
                <w:lang w:bidi="ar-EG"/>
              </w:rPr>
              <w:t>94</w:t>
            </w:r>
            <w:r w:rsidRPr="00A071B7">
              <w:rPr>
                <w:rtl/>
                <w:lang w:bidi="ar-EG"/>
              </w:rPr>
              <w:t>%</w:t>
            </w:r>
          </w:p>
        </w:tc>
        <w:tc>
          <w:tcPr>
            <w:tcW w:w="1361" w:type="dxa"/>
            <w:shd w:val="clear" w:color="auto" w:fill="auto"/>
            <w:vAlign w:val="center"/>
          </w:tcPr>
          <w:p w:rsidR="00A071B7" w:rsidRPr="006A6C1D" w:rsidRDefault="00A071B7" w:rsidP="00A071B7">
            <w:pPr>
              <w:pStyle w:val="NormalParaAR"/>
              <w:rPr>
                <w:lang w:bidi="ar-EG"/>
              </w:rPr>
            </w:pPr>
            <w:r w:rsidRPr="00A071B7">
              <w:rPr>
                <w:lang w:bidi="ar-EG"/>
              </w:rPr>
              <w:t>98</w:t>
            </w:r>
            <w:r w:rsidRPr="00A071B7">
              <w:rPr>
                <w:rtl/>
                <w:lang w:bidi="ar-EG"/>
              </w:rPr>
              <w:t>%</w:t>
            </w:r>
          </w:p>
        </w:tc>
      </w:tr>
    </w:tbl>
    <w:p w:rsidR="00B13EE8" w:rsidRPr="0089525B" w:rsidRDefault="00B13EE8" w:rsidP="0014031F">
      <w:pPr>
        <w:pStyle w:val="NormalParaAR"/>
        <w:rPr>
          <w:rtl/>
          <w:lang w:bidi="ar-EG"/>
        </w:rPr>
      </w:pPr>
    </w:p>
    <w:p w:rsidR="00B4022C" w:rsidRDefault="00B4022C" w:rsidP="0014031F">
      <w:pPr>
        <w:pStyle w:val="NormalParaAR"/>
        <w:rPr>
          <w:b/>
          <w:bCs/>
          <w:rtl/>
          <w:lang w:bidi="ar-EG"/>
        </w:rPr>
      </w:pPr>
      <w:r w:rsidRPr="00B4022C">
        <w:rPr>
          <w:b/>
          <w:bCs/>
          <w:rtl/>
          <w:lang w:bidi="ar-EG"/>
        </w:rPr>
        <w:t>عدد الطلبات الوطنية المستلمة - بحسب المجال التقني</w:t>
      </w:r>
    </w:p>
    <w:p w:rsidR="00F37D35" w:rsidRDefault="00BE73CB" w:rsidP="00BE73CB">
      <w:pPr>
        <w:pStyle w:val="NormalParaAR"/>
        <w:rPr>
          <w:rtl/>
          <w:lang w:bidi="ar-EG"/>
        </w:rPr>
      </w:pPr>
      <w:r w:rsidRPr="00BE73CB">
        <w:rPr>
          <w:rFonts w:hint="cs"/>
          <w:i/>
          <w:iCs/>
          <w:rtl/>
          <w:lang w:bidi="ar-EG"/>
        </w:rPr>
        <w:t xml:space="preserve">هذه الأعداد </w:t>
      </w:r>
      <w:proofErr w:type="spellStart"/>
      <w:r w:rsidRPr="00BE73CB">
        <w:rPr>
          <w:rFonts w:hint="cs"/>
          <w:i/>
          <w:iCs/>
          <w:rtl/>
          <w:lang w:bidi="ar-EG"/>
        </w:rPr>
        <w:t>مستقاة</w:t>
      </w:r>
      <w:proofErr w:type="spellEnd"/>
      <w:r w:rsidRPr="00BE73CB">
        <w:rPr>
          <w:rFonts w:hint="cs"/>
          <w:i/>
          <w:iCs/>
          <w:rtl/>
          <w:lang w:bidi="ar-EG"/>
        </w:rPr>
        <w:t xml:space="preserve"> من قاعدة البيانات الداخلية </w:t>
      </w:r>
      <w:proofErr w:type="spellStart"/>
      <w:r w:rsidRPr="00BE73CB">
        <w:rPr>
          <w:i/>
          <w:iCs/>
          <w:lang w:bidi="ar-EG"/>
        </w:rPr>
        <w:t>InterApp</w:t>
      </w:r>
      <w:proofErr w:type="spellEnd"/>
      <w:r w:rsidRPr="00BE73CB">
        <w:rPr>
          <w:rFonts w:hint="cs"/>
          <w:i/>
          <w:iCs/>
          <w:rtl/>
          <w:lang w:bidi="ar-EG"/>
        </w:rPr>
        <w:t xml:space="preserve"> الخاصة بالمكتب الكندي للملكية الفكرية وتستند إلى رمز التصنيف الدولي للبراءات المخصّص  للطلب فضلا عن الشعبة المسؤولة عن الفحص داخل المكتب التي توكل إليها مهمة فحص هذه المجموعة الفرعية.</w:t>
      </w:r>
    </w:p>
    <w:tbl>
      <w:tblPr>
        <w:bidiVisual/>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A071B7" w:rsidRPr="00530D24" w:rsidTr="00A071B7">
        <w:trPr>
          <w:cantSplit/>
        </w:trPr>
        <w:tc>
          <w:tcPr>
            <w:tcW w:w="2518" w:type="dxa"/>
            <w:tcBorders>
              <w:tl2br w:val="single" w:sz="4" w:space="0" w:color="auto"/>
            </w:tcBorders>
            <w:shd w:val="clear" w:color="auto" w:fill="auto"/>
          </w:tcPr>
          <w:p w:rsidR="00A071B7" w:rsidRPr="00A071B7" w:rsidRDefault="00A071B7" w:rsidP="00883D37">
            <w:pPr>
              <w:keepNext/>
              <w:keepLines/>
              <w:bidi/>
              <w:rPr>
                <w:rFonts w:ascii="Arabic Typesetting" w:hAnsi="Arabic Typesetting" w:cs="Arabic Typesetting"/>
                <w:b/>
                <w:bCs/>
                <w:sz w:val="36"/>
                <w:szCs w:val="36"/>
                <w:lang w:bidi="ar-EG"/>
              </w:rPr>
            </w:pPr>
          </w:p>
          <w:p w:rsidR="00A071B7" w:rsidRPr="00A071B7" w:rsidRDefault="00A071B7" w:rsidP="00883D37">
            <w:pPr>
              <w:keepNext/>
              <w:keepLines/>
              <w:bidi/>
              <w:rPr>
                <w:rFonts w:ascii="Arabic Typesetting" w:hAnsi="Arabic Typesetting" w:cs="Arabic Typesetting"/>
                <w:b/>
                <w:bCs/>
                <w:sz w:val="36"/>
                <w:szCs w:val="36"/>
                <w:lang w:bidi="ar-EG"/>
              </w:rPr>
            </w:pPr>
            <w:r w:rsidRPr="00A071B7">
              <w:rPr>
                <w:rFonts w:ascii="Arabic Typesetting" w:hAnsi="Arabic Typesetting" w:cs="Arabic Typesetting"/>
                <w:b/>
                <w:bCs/>
                <w:sz w:val="36"/>
                <w:szCs w:val="36"/>
                <w:rtl/>
                <w:lang w:bidi="ar-EG"/>
              </w:rPr>
              <w:t>السنة</w:t>
            </w:r>
          </w:p>
          <w:p w:rsidR="00A071B7" w:rsidRPr="00A071B7" w:rsidRDefault="00A071B7" w:rsidP="00883D37">
            <w:pPr>
              <w:keepNext/>
              <w:keepLines/>
              <w:bidi/>
              <w:ind w:left="1133"/>
              <w:rPr>
                <w:rFonts w:ascii="Arabic Typesetting" w:hAnsi="Arabic Typesetting" w:cs="Arabic Typesetting"/>
                <w:b/>
                <w:bCs/>
                <w:sz w:val="36"/>
                <w:szCs w:val="36"/>
                <w:lang w:bidi="ar-EG"/>
              </w:rPr>
            </w:pPr>
            <w:proofErr w:type="gramStart"/>
            <w:r w:rsidRPr="00A071B7">
              <w:rPr>
                <w:rFonts w:ascii="Arabic Typesetting" w:hAnsi="Arabic Typesetting" w:cs="Arabic Typesetting"/>
                <w:b/>
                <w:bCs/>
                <w:sz w:val="36"/>
                <w:szCs w:val="36"/>
                <w:rtl/>
                <w:lang w:bidi="ar-EG"/>
              </w:rPr>
              <w:t>المجال</w:t>
            </w:r>
            <w:proofErr w:type="gramEnd"/>
            <w:r w:rsidRPr="00A071B7">
              <w:rPr>
                <w:rFonts w:ascii="Arabic Typesetting" w:hAnsi="Arabic Typesetting" w:cs="Arabic Typesetting"/>
                <w:b/>
                <w:bCs/>
                <w:sz w:val="36"/>
                <w:szCs w:val="36"/>
                <w:rtl/>
                <w:lang w:bidi="ar-EG"/>
              </w:rPr>
              <w:t xml:space="preserve"> التقني</w:t>
            </w:r>
          </w:p>
        </w:tc>
        <w:tc>
          <w:tcPr>
            <w:tcW w:w="1360" w:type="dxa"/>
            <w:shd w:val="clear" w:color="auto" w:fill="auto"/>
            <w:vAlign w:val="center"/>
          </w:tcPr>
          <w:p w:rsidR="00A071B7" w:rsidRPr="00A071B7" w:rsidRDefault="00CE13F7" w:rsidP="00883D37">
            <w:pPr>
              <w:keepNext/>
              <w:keepLines/>
              <w:bidi/>
              <w:rPr>
                <w:rFonts w:ascii="Arabic Typesetting" w:hAnsi="Arabic Typesetting" w:cs="Arabic Typesetting"/>
                <w:b/>
                <w:bCs/>
                <w:sz w:val="36"/>
                <w:szCs w:val="36"/>
                <w:lang w:bidi="ar-EG"/>
              </w:rPr>
            </w:pPr>
            <w:r>
              <w:rPr>
                <w:rFonts w:ascii="Arabic Typesetting" w:hAnsi="Arabic Typesetting" w:cs="Arabic Typesetting" w:hint="cs"/>
                <w:b/>
                <w:bCs/>
                <w:sz w:val="36"/>
                <w:szCs w:val="36"/>
                <w:rtl/>
                <w:lang w:bidi="ar-EG"/>
              </w:rPr>
              <w:t>2011-2012</w:t>
            </w:r>
          </w:p>
        </w:tc>
        <w:tc>
          <w:tcPr>
            <w:tcW w:w="1361" w:type="dxa"/>
            <w:shd w:val="clear" w:color="auto" w:fill="auto"/>
            <w:vAlign w:val="center"/>
          </w:tcPr>
          <w:p w:rsidR="00A071B7" w:rsidRPr="00A071B7" w:rsidRDefault="00CE13F7" w:rsidP="00883D37">
            <w:pPr>
              <w:keepNext/>
              <w:keepLines/>
              <w:bidi/>
              <w:rPr>
                <w:rFonts w:ascii="Arabic Typesetting" w:hAnsi="Arabic Typesetting" w:cs="Arabic Typesetting"/>
                <w:b/>
                <w:bCs/>
                <w:sz w:val="36"/>
                <w:szCs w:val="36"/>
                <w:lang w:bidi="ar-EG"/>
              </w:rPr>
            </w:pPr>
            <w:r>
              <w:rPr>
                <w:rFonts w:ascii="Arabic Typesetting" w:hAnsi="Arabic Typesetting" w:cs="Arabic Typesetting" w:hint="cs"/>
                <w:b/>
                <w:bCs/>
                <w:sz w:val="36"/>
                <w:szCs w:val="36"/>
                <w:rtl/>
                <w:lang w:bidi="ar-EG"/>
              </w:rPr>
              <w:t>2012-2013</w:t>
            </w:r>
          </w:p>
        </w:tc>
        <w:tc>
          <w:tcPr>
            <w:tcW w:w="1361" w:type="dxa"/>
            <w:shd w:val="clear" w:color="auto" w:fill="auto"/>
            <w:vAlign w:val="center"/>
          </w:tcPr>
          <w:p w:rsidR="00A071B7" w:rsidRPr="00A071B7" w:rsidRDefault="00CE13F7" w:rsidP="00883D37">
            <w:pPr>
              <w:keepNext/>
              <w:keepLines/>
              <w:bidi/>
              <w:rPr>
                <w:rFonts w:ascii="Arabic Typesetting" w:hAnsi="Arabic Typesetting" w:cs="Arabic Typesetting"/>
                <w:b/>
                <w:bCs/>
                <w:sz w:val="36"/>
                <w:szCs w:val="36"/>
                <w:lang w:bidi="ar-EG"/>
              </w:rPr>
            </w:pPr>
            <w:r>
              <w:rPr>
                <w:rFonts w:ascii="Arabic Typesetting" w:hAnsi="Arabic Typesetting" w:cs="Arabic Typesetting" w:hint="cs"/>
                <w:b/>
                <w:bCs/>
                <w:sz w:val="36"/>
                <w:szCs w:val="36"/>
                <w:rtl/>
                <w:lang w:bidi="ar-EG"/>
              </w:rPr>
              <w:t>2013-2014</w:t>
            </w:r>
          </w:p>
        </w:tc>
        <w:tc>
          <w:tcPr>
            <w:tcW w:w="1361" w:type="dxa"/>
            <w:shd w:val="clear" w:color="auto" w:fill="auto"/>
            <w:vAlign w:val="center"/>
          </w:tcPr>
          <w:p w:rsidR="00A071B7" w:rsidRPr="00A071B7" w:rsidRDefault="00CE13F7" w:rsidP="00883D37">
            <w:pPr>
              <w:keepNext/>
              <w:keepLines/>
              <w:bidi/>
              <w:rPr>
                <w:rFonts w:ascii="Arabic Typesetting" w:hAnsi="Arabic Typesetting" w:cs="Arabic Typesetting"/>
                <w:b/>
                <w:bCs/>
                <w:sz w:val="36"/>
                <w:szCs w:val="36"/>
                <w:lang w:bidi="ar-EG"/>
              </w:rPr>
            </w:pPr>
            <w:r>
              <w:rPr>
                <w:rFonts w:ascii="Arabic Typesetting" w:hAnsi="Arabic Typesetting" w:cs="Arabic Typesetting" w:hint="cs"/>
                <w:b/>
                <w:bCs/>
                <w:sz w:val="36"/>
                <w:szCs w:val="36"/>
                <w:rtl/>
                <w:lang w:bidi="ar-EG"/>
              </w:rPr>
              <w:t>2014-2015</w:t>
            </w:r>
          </w:p>
        </w:tc>
        <w:tc>
          <w:tcPr>
            <w:tcW w:w="1361" w:type="dxa"/>
            <w:shd w:val="clear" w:color="auto" w:fill="auto"/>
            <w:vAlign w:val="center"/>
          </w:tcPr>
          <w:p w:rsidR="00A071B7" w:rsidRPr="00A071B7" w:rsidRDefault="00CE13F7" w:rsidP="00883D37">
            <w:pPr>
              <w:keepNext/>
              <w:keepLines/>
              <w:bidi/>
              <w:rPr>
                <w:rFonts w:ascii="Arabic Typesetting" w:hAnsi="Arabic Typesetting" w:cs="Arabic Typesetting"/>
                <w:b/>
                <w:bCs/>
                <w:sz w:val="36"/>
                <w:szCs w:val="36"/>
                <w:lang w:bidi="ar-EG"/>
              </w:rPr>
            </w:pPr>
            <w:r>
              <w:rPr>
                <w:rFonts w:ascii="Arabic Typesetting" w:hAnsi="Arabic Typesetting" w:cs="Arabic Typesetting" w:hint="cs"/>
                <w:b/>
                <w:bCs/>
                <w:sz w:val="36"/>
                <w:szCs w:val="36"/>
                <w:rtl/>
                <w:lang w:bidi="ar-EG"/>
              </w:rPr>
              <w:t>2015-2016</w:t>
            </w:r>
          </w:p>
        </w:tc>
      </w:tr>
      <w:tr w:rsidR="00A071B7" w:rsidRPr="006A6C1D" w:rsidTr="00A071B7">
        <w:trPr>
          <w:cantSplit/>
        </w:trPr>
        <w:tc>
          <w:tcPr>
            <w:tcW w:w="2518" w:type="dxa"/>
            <w:shd w:val="clear" w:color="auto" w:fill="auto"/>
          </w:tcPr>
          <w:p w:rsidR="00A071B7" w:rsidRPr="00A071B7" w:rsidRDefault="00CE13F7" w:rsidP="00883D37">
            <w:pPr>
              <w:keepNext/>
              <w:keepLines/>
              <w:bidi/>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الميكانيكا</w:t>
            </w:r>
          </w:p>
        </w:tc>
        <w:tc>
          <w:tcPr>
            <w:tcW w:w="1360" w:type="dxa"/>
            <w:shd w:val="clear" w:color="auto" w:fill="auto"/>
            <w:vAlign w:val="center"/>
          </w:tcPr>
          <w:p w:rsidR="00A071B7" w:rsidRPr="00A071B7" w:rsidRDefault="00CE13F7" w:rsidP="00883D37">
            <w:pPr>
              <w:keepNext/>
              <w:keepLines/>
              <w:bidi/>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043 10</w:t>
            </w:r>
          </w:p>
        </w:tc>
        <w:tc>
          <w:tcPr>
            <w:tcW w:w="1361"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10 916</w:t>
            </w:r>
          </w:p>
        </w:tc>
        <w:tc>
          <w:tcPr>
            <w:tcW w:w="1361"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10 845</w:t>
            </w:r>
          </w:p>
        </w:tc>
        <w:tc>
          <w:tcPr>
            <w:tcW w:w="1361"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11 253</w:t>
            </w:r>
          </w:p>
        </w:tc>
        <w:tc>
          <w:tcPr>
            <w:tcW w:w="1361"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13 615</w:t>
            </w:r>
          </w:p>
        </w:tc>
      </w:tr>
      <w:tr w:rsidR="00A071B7" w:rsidRPr="006A6C1D" w:rsidTr="00A071B7">
        <w:trPr>
          <w:cantSplit/>
        </w:trPr>
        <w:tc>
          <w:tcPr>
            <w:tcW w:w="2518" w:type="dxa"/>
            <w:shd w:val="clear" w:color="auto" w:fill="auto"/>
          </w:tcPr>
          <w:p w:rsidR="00A071B7" w:rsidRPr="00A071B7" w:rsidRDefault="00CE13F7" w:rsidP="00CE13F7">
            <w:pPr>
              <w:keepNext/>
              <w:keepLines/>
              <w:bidi/>
              <w:rPr>
                <w:rFonts w:ascii="Arabic Typesetting" w:hAnsi="Arabic Typesetting" w:cs="Arabic Typesetting"/>
                <w:sz w:val="36"/>
                <w:szCs w:val="36"/>
                <w:lang w:bidi="ar-EG"/>
              </w:rPr>
            </w:pPr>
            <w:r w:rsidRPr="00CE13F7">
              <w:rPr>
                <w:rFonts w:ascii="Arabic Typesetting" w:hAnsi="Arabic Typesetting" w:cs="Arabic Typesetting"/>
                <w:sz w:val="36"/>
                <w:szCs w:val="36"/>
                <w:rtl/>
                <w:lang w:bidi="ar-EG"/>
              </w:rPr>
              <w:t>الكهرباء</w:t>
            </w:r>
          </w:p>
        </w:tc>
        <w:tc>
          <w:tcPr>
            <w:tcW w:w="1360"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p>
        </w:tc>
        <w:tc>
          <w:tcPr>
            <w:tcW w:w="1361"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p>
        </w:tc>
        <w:tc>
          <w:tcPr>
            <w:tcW w:w="1361"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p>
        </w:tc>
        <w:tc>
          <w:tcPr>
            <w:tcW w:w="1361"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p>
        </w:tc>
        <w:tc>
          <w:tcPr>
            <w:tcW w:w="1361"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p>
        </w:tc>
      </w:tr>
      <w:tr w:rsidR="00A071B7" w:rsidRPr="006A6C1D" w:rsidTr="00A071B7">
        <w:trPr>
          <w:cantSplit/>
        </w:trPr>
        <w:tc>
          <w:tcPr>
            <w:tcW w:w="2518" w:type="dxa"/>
            <w:shd w:val="clear" w:color="auto" w:fill="auto"/>
          </w:tcPr>
          <w:p w:rsidR="00A071B7" w:rsidRPr="00A071B7" w:rsidRDefault="00340919" w:rsidP="00883D37">
            <w:pPr>
              <w:keepNext/>
              <w:keepLines/>
              <w:bidi/>
              <w:rPr>
                <w:rFonts w:ascii="Arabic Typesetting" w:hAnsi="Arabic Typesetting" w:cs="Arabic Typesetting"/>
                <w:sz w:val="36"/>
                <w:szCs w:val="36"/>
                <w:lang w:bidi="ar-EG"/>
              </w:rPr>
            </w:pPr>
            <w:r>
              <w:rPr>
                <w:rFonts w:ascii="Arabic Typesetting" w:hAnsi="Arabic Typesetting" w:cs="Arabic Typesetting"/>
                <w:sz w:val="36"/>
                <w:szCs w:val="36"/>
                <w:rtl/>
                <w:lang w:bidi="ar-EG"/>
              </w:rPr>
              <w:t xml:space="preserve"> </w:t>
            </w:r>
            <w:r w:rsidR="00A071B7" w:rsidRPr="00A071B7">
              <w:rPr>
                <w:rFonts w:ascii="Arabic Typesetting" w:hAnsi="Arabic Typesetting" w:cs="Arabic Typesetting"/>
                <w:sz w:val="36"/>
                <w:szCs w:val="36"/>
                <w:rtl/>
                <w:lang w:bidi="ar-EG"/>
              </w:rPr>
              <w:t xml:space="preserve"> ذات صلة بالحاسوب</w:t>
            </w:r>
          </w:p>
        </w:tc>
        <w:tc>
          <w:tcPr>
            <w:tcW w:w="1360"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5 786</w:t>
            </w:r>
          </w:p>
        </w:tc>
        <w:tc>
          <w:tcPr>
            <w:tcW w:w="1361"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5 973</w:t>
            </w:r>
          </w:p>
        </w:tc>
        <w:tc>
          <w:tcPr>
            <w:tcW w:w="1361"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6 018</w:t>
            </w:r>
          </w:p>
        </w:tc>
        <w:tc>
          <w:tcPr>
            <w:tcW w:w="1361"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5 433</w:t>
            </w:r>
          </w:p>
        </w:tc>
        <w:tc>
          <w:tcPr>
            <w:tcW w:w="1361"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5 848</w:t>
            </w:r>
          </w:p>
        </w:tc>
      </w:tr>
      <w:tr w:rsidR="00A071B7" w:rsidRPr="006A6C1D" w:rsidTr="00A071B7">
        <w:trPr>
          <w:cantSplit/>
        </w:trPr>
        <w:tc>
          <w:tcPr>
            <w:tcW w:w="2518" w:type="dxa"/>
            <w:shd w:val="clear" w:color="auto" w:fill="auto"/>
          </w:tcPr>
          <w:p w:rsidR="00A071B7" w:rsidRPr="00A071B7" w:rsidRDefault="00340919" w:rsidP="00CE13F7">
            <w:pPr>
              <w:keepNext/>
              <w:keepLines/>
              <w:bidi/>
              <w:rPr>
                <w:rFonts w:ascii="Arabic Typesetting" w:hAnsi="Arabic Typesetting" w:cs="Arabic Typesetting"/>
                <w:sz w:val="36"/>
                <w:szCs w:val="36"/>
                <w:lang w:bidi="ar-EG"/>
              </w:rPr>
            </w:pPr>
            <w:r>
              <w:rPr>
                <w:rFonts w:ascii="Arabic Typesetting" w:hAnsi="Arabic Typesetting" w:cs="Arabic Typesetting"/>
                <w:sz w:val="36"/>
                <w:szCs w:val="36"/>
                <w:rtl/>
                <w:lang w:bidi="ar-EG"/>
              </w:rPr>
              <w:t xml:space="preserve"> </w:t>
            </w:r>
            <w:r w:rsidR="00CE13F7">
              <w:rPr>
                <w:rFonts w:ascii="Arabic Typesetting" w:hAnsi="Arabic Typesetting" w:cs="Arabic Typesetting"/>
                <w:sz w:val="36"/>
                <w:szCs w:val="36"/>
                <w:rtl/>
                <w:lang w:bidi="ar-EG"/>
              </w:rPr>
              <w:t xml:space="preserve"> </w:t>
            </w:r>
            <w:r w:rsidR="00CE13F7" w:rsidRPr="00CE13F7">
              <w:rPr>
                <w:rFonts w:ascii="Arabic Typesetting" w:hAnsi="Arabic Typesetting" w:cs="Arabic Typesetting"/>
                <w:sz w:val="36"/>
                <w:szCs w:val="36"/>
                <w:rtl/>
                <w:lang w:bidi="ar-EG"/>
              </w:rPr>
              <w:t xml:space="preserve">الإلكترونيات </w:t>
            </w:r>
            <w:r w:rsidR="00A071B7" w:rsidRPr="00A071B7">
              <w:rPr>
                <w:rFonts w:ascii="Arabic Typesetting" w:hAnsi="Arabic Typesetting" w:cs="Arabic Typesetting"/>
                <w:sz w:val="36"/>
                <w:szCs w:val="36"/>
                <w:rtl/>
                <w:lang w:bidi="ar-EG"/>
              </w:rPr>
              <w:t xml:space="preserve">/ </w:t>
            </w:r>
            <w:r w:rsidR="00CE13F7">
              <w:rPr>
                <w:rFonts w:ascii="Arabic Typesetting" w:hAnsi="Arabic Typesetting" w:cs="Arabic Typesetting" w:hint="cs"/>
                <w:sz w:val="36"/>
                <w:szCs w:val="36"/>
                <w:rtl/>
                <w:lang w:bidi="ar-EG"/>
              </w:rPr>
              <w:t>ال</w:t>
            </w:r>
            <w:r w:rsidR="00CE13F7">
              <w:rPr>
                <w:rFonts w:ascii="Arabic Typesetting" w:hAnsi="Arabic Typesetting" w:cs="Arabic Typesetting"/>
                <w:sz w:val="36"/>
                <w:szCs w:val="36"/>
                <w:rtl/>
                <w:lang w:bidi="ar-EG"/>
              </w:rPr>
              <w:t>فيزيا</w:t>
            </w:r>
            <w:r w:rsidR="00CE13F7">
              <w:rPr>
                <w:rFonts w:ascii="Arabic Typesetting" w:hAnsi="Arabic Typesetting" w:cs="Arabic Typesetting" w:hint="cs"/>
                <w:sz w:val="36"/>
                <w:szCs w:val="36"/>
                <w:rtl/>
                <w:lang w:bidi="ar-EG"/>
              </w:rPr>
              <w:t>ء</w:t>
            </w:r>
          </w:p>
        </w:tc>
        <w:tc>
          <w:tcPr>
            <w:tcW w:w="1360"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3 409</w:t>
            </w:r>
          </w:p>
        </w:tc>
        <w:tc>
          <w:tcPr>
            <w:tcW w:w="1361"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3 456</w:t>
            </w:r>
          </w:p>
        </w:tc>
        <w:tc>
          <w:tcPr>
            <w:tcW w:w="1361"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3 360</w:t>
            </w:r>
          </w:p>
        </w:tc>
        <w:tc>
          <w:tcPr>
            <w:tcW w:w="1361"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3 268</w:t>
            </w:r>
          </w:p>
        </w:tc>
        <w:tc>
          <w:tcPr>
            <w:tcW w:w="1361"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3 521</w:t>
            </w:r>
          </w:p>
        </w:tc>
      </w:tr>
      <w:tr w:rsidR="00A071B7" w:rsidRPr="006A6C1D" w:rsidTr="00A071B7">
        <w:trPr>
          <w:cantSplit/>
        </w:trPr>
        <w:tc>
          <w:tcPr>
            <w:tcW w:w="2518" w:type="dxa"/>
            <w:shd w:val="clear" w:color="auto" w:fill="auto"/>
          </w:tcPr>
          <w:p w:rsidR="00A071B7" w:rsidRPr="00A071B7" w:rsidRDefault="00CE13F7" w:rsidP="00883D37">
            <w:pPr>
              <w:keepNext/>
              <w:keepLines/>
              <w:bidi/>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ال</w:t>
            </w:r>
            <w:r w:rsidR="00A071B7" w:rsidRPr="00A071B7">
              <w:rPr>
                <w:rFonts w:ascii="Arabic Typesetting" w:hAnsi="Arabic Typesetting" w:cs="Arabic Typesetting"/>
                <w:sz w:val="36"/>
                <w:szCs w:val="36"/>
                <w:rtl/>
                <w:lang w:bidi="ar-EG"/>
              </w:rPr>
              <w:t>كيمياء</w:t>
            </w:r>
          </w:p>
        </w:tc>
        <w:tc>
          <w:tcPr>
            <w:tcW w:w="1360"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3 995</w:t>
            </w:r>
          </w:p>
        </w:tc>
        <w:tc>
          <w:tcPr>
            <w:tcW w:w="1361"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3 486</w:t>
            </w:r>
          </w:p>
        </w:tc>
        <w:tc>
          <w:tcPr>
            <w:tcW w:w="1361"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3 416</w:t>
            </w:r>
          </w:p>
        </w:tc>
        <w:tc>
          <w:tcPr>
            <w:tcW w:w="1361"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3 329</w:t>
            </w:r>
          </w:p>
        </w:tc>
        <w:tc>
          <w:tcPr>
            <w:tcW w:w="1361"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3 427</w:t>
            </w:r>
          </w:p>
        </w:tc>
      </w:tr>
      <w:tr w:rsidR="00A071B7" w:rsidRPr="006A6C1D" w:rsidTr="00A071B7">
        <w:trPr>
          <w:cantSplit/>
        </w:trPr>
        <w:tc>
          <w:tcPr>
            <w:tcW w:w="2518" w:type="dxa"/>
            <w:shd w:val="clear" w:color="auto" w:fill="auto"/>
          </w:tcPr>
          <w:p w:rsidR="00A071B7" w:rsidRPr="00A071B7" w:rsidRDefault="00340919" w:rsidP="00CE13F7">
            <w:pPr>
              <w:keepNext/>
              <w:keepLines/>
              <w:bidi/>
              <w:rPr>
                <w:rFonts w:ascii="Arabic Typesetting" w:hAnsi="Arabic Typesetting" w:cs="Arabic Typesetting"/>
                <w:sz w:val="36"/>
                <w:szCs w:val="36"/>
                <w:lang w:bidi="ar-EG"/>
              </w:rPr>
            </w:pPr>
            <w:r>
              <w:rPr>
                <w:rFonts w:ascii="Arabic Typesetting" w:hAnsi="Arabic Typesetting" w:cs="Arabic Typesetting"/>
                <w:sz w:val="36"/>
                <w:szCs w:val="36"/>
                <w:rtl/>
                <w:lang w:bidi="ar-EG"/>
              </w:rPr>
              <w:t xml:space="preserve"> </w:t>
            </w:r>
            <w:r w:rsidR="00A071B7" w:rsidRPr="00A071B7">
              <w:rPr>
                <w:rFonts w:ascii="Arabic Typesetting" w:hAnsi="Arabic Typesetting" w:cs="Arabic Typesetting"/>
                <w:sz w:val="36"/>
                <w:szCs w:val="36"/>
                <w:rtl/>
                <w:lang w:bidi="ar-EG"/>
              </w:rPr>
              <w:t xml:space="preserve"> </w:t>
            </w:r>
            <w:proofErr w:type="gramStart"/>
            <w:r w:rsidR="00CE13F7">
              <w:rPr>
                <w:rFonts w:ascii="Arabic Typesetting" w:hAnsi="Arabic Typesetting" w:cs="Arabic Typesetting" w:hint="cs"/>
                <w:sz w:val="36"/>
                <w:szCs w:val="36"/>
                <w:rtl/>
                <w:lang w:bidi="ar-EG"/>
              </w:rPr>
              <w:t>ال</w:t>
            </w:r>
            <w:r w:rsidR="00A071B7" w:rsidRPr="00A071B7">
              <w:rPr>
                <w:rFonts w:ascii="Arabic Typesetting" w:hAnsi="Arabic Typesetting" w:cs="Arabic Typesetting"/>
                <w:sz w:val="36"/>
                <w:szCs w:val="36"/>
                <w:rtl/>
                <w:lang w:bidi="ar-EG"/>
              </w:rPr>
              <w:t>كيمياء</w:t>
            </w:r>
            <w:proofErr w:type="gramEnd"/>
            <w:r w:rsidR="00A071B7" w:rsidRPr="00A071B7">
              <w:rPr>
                <w:rFonts w:ascii="Arabic Typesetting" w:hAnsi="Arabic Typesetting" w:cs="Arabic Typesetting"/>
                <w:sz w:val="36"/>
                <w:szCs w:val="36"/>
                <w:rtl/>
                <w:lang w:bidi="ar-EG"/>
              </w:rPr>
              <w:t xml:space="preserve"> </w:t>
            </w:r>
            <w:r w:rsidR="00CE13F7">
              <w:rPr>
                <w:rFonts w:ascii="Arabic Typesetting" w:hAnsi="Arabic Typesetting" w:cs="Arabic Typesetting" w:hint="cs"/>
                <w:sz w:val="36"/>
                <w:szCs w:val="36"/>
                <w:rtl/>
                <w:lang w:bidi="ar-EG"/>
              </w:rPr>
              <w:t>العامة</w:t>
            </w:r>
          </w:p>
        </w:tc>
        <w:tc>
          <w:tcPr>
            <w:tcW w:w="1360"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p>
        </w:tc>
        <w:tc>
          <w:tcPr>
            <w:tcW w:w="1361"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p>
        </w:tc>
        <w:tc>
          <w:tcPr>
            <w:tcW w:w="1361"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p>
        </w:tc>
        <w:tc>
          <w:tcPr>
            <w:tcW w:w="1361"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p>
        </w:tc>
        <w:tc>
          <w:tcPr>
            <w:tcW w:w="1361"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p>
        </w:tc>
      </w:tr>
      <w:tr w:rsidR="00A071B7" w:rsidRPr="006A6C1D" w:rsidTr="00A071B7">
        <w:trPr>
          <w:cantSplit/>
        </w:trPr>
        <w:tc>
          <w:tcPr>
            <w:tcW w:w="2518" w:type="dxa"/>
            <w:shd w:val="clear" w:color="auto" w:fill="auto"/>
          </w:tcPr>
          <w:p w:rsidR="00A071B7" w:rsidRPr="00A071B7" w:rsidRDefault="00340919" w:rsidP="00883D37">
            <w:pPr>
              <w:keepNext/>
              <w:keepLines/>
              <w:bidi/>
              <w:rPr>
                <w:rFonts w:ascii="Arabic Typesetting" w:hAnsi="Arabic Typesetting" w:cs="Arabic Typesetting"/>
                <w:sz w:val="36"/>
                <w:szCs w:val="36"/>
                <w:lang w:bidi="ar-EG"/>
              </w:rPr>
            </w:pPr>
            <w:r>
              <w:rPr>
                <w:rFonts w:ascii="Arabic Typesetting" w:hAnsi="Arabic Typesetting" w:cs="Arabic Typesetting"/>
                <w:sz w:val="36"/>
                <w:szCs w:val="36"/>
                <w:rtl/>
                <w:lang w:bidi="ar-EG"/>
              </w:rPr>
              <w:t xml:space="preserve"> </w:t>
            </w:r>
            <w:r w:rsidR="00A071B7" w:rsidRPr="00A071B7">
              <w:rPr>
                <w:rFonts w:ascii="Arabic Typesetting" w:hAnsi="Arabic Typesetting" w:cs="Arabic Typesetting"/>
                <w:sz w:val="36"/>
                <w:szCs w:val="36"/>
                <w:rtl/>
                <w:lang w:bidi="ar-EG"/>
              </w:rPr>
              <w:t xml:space="preserve"> </w:t>
            </w:r>
            <w:r w:rsidR="00CE13F7">
              <w:rPr>
                <w:rFonts w:ascii="Arabic Typesetting" w:hAnsi="Arabic Typesetting" w:cs="Arabic Typesetting" w:hint="cs"/>
                <w:sz w:val="36"/>
                <w:szCs w:val="36"/>
                <w:rtl/>
                <w:lang w:bidi="ar-EG"/>
              </w:rPr>
              <w:t>ال</w:t>
            </w:r>
            <w:r w:rsidR="00A071B7" w:rsidRPr="00A071B7">
              <w:rPr>
                <w:rFonts w:ascii="Arabic Typesetting" w:hAnsi="Arabic Typesetting" w:cs="Arabic Typesetting"/>
                <w:sz w:val="36"/>
                <w:szCs w:val="36"/>
                <w:rtl/>
                <w:lang w:bidi="ar-EG"/>
              </w:rPr>
              <w:t xml:space="preserve">كيمياء </w:t>
            </w:r>
            <w:r w:rsidR="00CE13F7">
              <w:rPr>
                <w:rFonts w:ascii="Arabic Typesetting" w:hAnsi="Arabic Typesetting" w:cs="Arabic Typesetting" w:hint="cs"/>
                <w:sz w:val="36"/>
                <w:szCs w:val="36"/>
                <w:rtl/>
                <w:lang w:bidi="ar-EG"/>
              </w:rPr>
              <w:t>ال</w:t>
            </w:r>
            <w:r w:rsidR="00A071B7" w:rsidRPr="00A071B7">
              <w:rPr>
                <w:rFonts w:ascii="Arabic Typesetting" w:hAnsi="Arabic Typesetting" w:cs="Arabic Typesetting"/>
                <w:sz w:val="36"/>
                <w:szCs w:val="36"/>
                <w:rtl/>
                <w:lang w:bidi="ar-EG"/>
              </w:rPr>
              <w:t>عضوية</w:t>
            </w:r>
          </w:p>
        </w:tc>
        <w:tc>
          <w:tcPr>
            <w:tcW w:w="1360"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5 386</w:t>
            </w:r>
          </w:p>
        </w:tc>
        <w:tc>
          <w:tcPr>
            <w:tcW w:w="1361"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5 259</w:t>
            </w:r>
          </w:p>
        </w:tc>
        <w:tc>
          <w:tcPr>
            <w:tcW w:w="1361"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5 137</w:t>
            </w:r>
          </w:p>
        </w:tc>
        <w:tc>
          <w:tcPr>
            <w:tcW w:w="1361"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5 258</w:t>
            </w:r>
          </w:p>
        </w:tc>
        <w:tc>
          <w:tcPr>
            <w:tcW w:w="1361"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3 715</w:t>
            </w:r>
          </w:p>
        </w:tc>
      </w:tr>
      <w:tr w:rsidR="00A071B7" w:rsidRPr="006A6C1D" w:rsidTr="00A071B7">
        <w:trPr>
          <w:cantSplit/>
        </w:trPr>
        <w:tc>
          <w:tcPr>
            <w:tcW w:w="2518" w:type="dxa"/>
            <w:shd w:val="clear" w:color="auto" w:fill="auto"/>
          </w:tcPr>
          <w:p w:rsidR="00A071B7" w:rsidRPr="00A071B7" w:rsidRDefault="00CE13F7" w:rsidP="00CE13F7">
            <w:pPr>
              <w:keepNext/>
              <w:keepLines/>
              <w:bidi/>
              <w:rPr>
                <w:rFonts w:ascii="Arabic Typesetting" w:hAnsi="Arabic Typesetting" w:cs="Arabic Typesetting"/>
                <w:sz w:val="36"/>
                <w:szCs w:val="36"/>
                <w:lang w:bidi="ar-EG"/>
              </w:rPr>
            </w:pPr>
            <w:proofErr w:type="spellStart"/>
            <w:r w:rsidRPr="00CE13F7">
              <w:rPr>
                <w:rFonts w:ascii="Arabic Typesetting" w:hAnsi="Arabic Typesetting" w:cs="Arabic Typesetting"/>
                <w:sz w:val="36"/>
                <w:szCs w:val="36"/>
                <w:rtl/>
                <w:lang w:bidi="ar-EG"/>
              </w:rPr>
              <w:t>البيوتكنولوجيا</w:t>
            </w:r>
            <w:proofErr w:type="spellEnd"/>
          </w:p>
        </w:tc>
        <w:tc>
          <w:tcPr>
            <w:tcW w:w="1360"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3 210</w:t>
            </w:r>
          </w:p>
        </w:tc>
        <w:tc>
          <w:tcPr>
            <w:tcW w:w="1361"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3 000</w:t>
            </w:r>
          </w:p>
        </w:tc>
        <w:tc>
          <w:tcPr>
            <w:tcW w:w="1361"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2 850</w:t>
            </w:r>
          </w:p>
        </w:tc>
        <w:tc>
          <w:tcPr>
            <w:tcW w:w="1361"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2 876</w:t>
            </w:r>
          </w:p>
        </w:tc>
        <w:tc>
          <w:tcPr>
            <w:tcW w:w="1361"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3 136</w:t>
            </w:r>
          </w:p>
        </w:tc>
      </w:tr>
      <w:tr w:rsidR="00A071B7" w:rsidRPr="006A6C1D" w:rsidTr="00A071B7">
        <w:trPr>
          <w:cantSplit/>
        </w:trPr>
        <w:tc>
          <w:tcPr>
            <w:tcW w:w="2518" w:type="dxa"/>
            <w:shd w:val="clear" w:color="auto" w:fill="auto"/>
          </w:tcPr>
          <w:p w:rsidR="00A071B7" w:rsidRPr="00A071B7" w:rsidRDefault="00A071B7" w:rsidP="00883D37">
            <w:pPr>
              <w:keepNext/>
              <w:keepLines/>
              <w:bidi/>
              <w:rPr>
                <w:rFonts w:ascii="Arabic Typesetting" w:hAnsi="Arabic Typesetting" w:cs="Arabic Typesetting"/>
                <w:sz w:val="36"/>
                <w:szCs w:val="36"/>
                <w:lang w:bidi="ar-EG"/>
              </w:rPr>
            </w:pPr>
            <w:proofErr w:type="gramStart"/>
            <w:r w:rsidRPr="00A071B7">
              <w:rPr>
                <w:rFonts w:ascii="Arabic Typesetting" w:hAnsi="Arabic Typesetting" w:cs="Arabic Typesetting"/>
                <w:sz w:val="36"/>
                <w:szCs w:val="36"/>
                <w:rtl/>
                <w:lang w:bidi="ar-EG"/>
              </w:rPr>
              <w:t>تخصصات</w:t>
            </w:r>
            <w:proofErr w:type="gramEnd"/>
            <w:r w:rsidRPr="00A071B7">
              <w:rPr>
                <w:rFonts w:ascii="Arabic Typesetting" w:hAnsi="Arabic Typesetting" w:cs="Arabic Typesetting"/>
                <w:sz w:val="36"/>
                <w:szCs w:val="36"/>
                <w:rtl/>
                <w:lang w:bidi="ar-EG"/>
              </w:rPr>
              <w:t xml:space="preserve"> متنوعة</w:t>
            </w:r>
          </w:p>
        </w:tc>
        <w:tc>
          <w:tcPr>
            <w:tcW w:w="1360"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3 752</w:t>
            </w:r>
          </w:p>
        </w:tc>
        <w:tc>
          <w:tcPr>
            <w:tcW w:w="1361"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3 727</w:t>
            </w:r>
          </w:p>
        </w:tc>
        <w:tc>
          <w:tcPr>
            <w:tcW w:w="1361"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3 734</w:t>
            </w:r>
          </w:p>
        </w:tc>
        <w:tc>
          <w:tcPr>
            <w:tcW w:w="1361"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3 476</w:t>
            </w:r>
          </w:p>
        </w:tc>
        <w:tc>
          <w:tcPr>
            <w:tcW w:w="1361" w:type="dxa"/>
            <w:shd w:val="clear" w:color="auto" w:fill="auto"/>
            <w:vAlign w:val="center"/>
          </w:tcPr>
          <w:p w:rsidR="00A071B7" w:rsidRPr="00A071B7" w:rsidRDefault="00A071B7" w:rsidP="00883D37">
            <w:pPr>
              <w:keepNext/>
              <w:keepLines/>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3 843</w:t>
            </w:r>
          </w:p>
        </w:tc>
      </w:tr>
      <w:tr w:rsidR="00A071B7" w:rsidRPr="00CE13F7" w:rsidTr="00A071B7">
        <w:trPr>
          <w:cantSplit/>
        </w:trPr>
        <w:tc>
          <w:tcPr>
            <w:tcW w:w="2518" w:type="dxa"/>
            <w:shd w:val="clear" w:color="auto" w:fill="auto"/>
          </w:tcPr>
          <w:p w:rsidR="00A071B7" w:rsidRPr="00CE13F7" w:rsidRDefault="00A071B7" w:rsidP="00883D37">
            <w:pPr>
              <w:bidi/>
              <w:rPr>
                <w:rFonts w:ascii="Arabic Typesetting" w:hAnsi="Arabic Typesetting" w:cs="Arabic Typesetting"/>
                <w:i/>
                <w:iCs/>
                <w:sz w:val="36"/>
                <w:szCs w:val="36"/>
                <w:lang w:bidi="ar-EG"/>
              </w:rPr>
            </w:pPr>
            <w:r w:rsidRPr="00CE13F7">
              <w:rPr>
                <w:rFonts w:ascii="Arabic Typesetting" w:hAnsi="Arabic Typesetting" w:cs="Arabic Typesetting"/>
                <w:i/>
                <w:iCs/>
                <w:sz w:val="36"/>
                <w:szCs w:val="36"/>
                <w:rtl/>
                <w:lang w:bidi="ar-EG"/>
              </w:rPr>
              <w:t>المجموع</w:t>
            </w:r>
          </w:p>
        </w:tc>
        <w:tc>
          <w:tcPr>
            <w:tcW w:w="1360" w:type="dxa"/>
            <w:shd w:val="clear" w:color="auto" w:fill="auto"/>
            <w:vAlign w:val="center"/>
          </w:tcPr>
          <w:p w:rsidR="00A071B7" w:rsidRPr="00CE13F7" w:rsidRDefault="00A071B7" w:rsidP="00883D37">
            <w:pPr>
              <w:bidi/>
              <w:rPr>
                <w:rFonts w:ascii="Arabic Typesetting" w:hAnsi="Arabic Typesetting" w:cs="Arabic Typesetting"/>
                <w:i/>
                <w:iCs/>
                <w:sz w:val="36"/>
                <w:szCs w:val="36"/>
                <w:lang w:bidi="ar-EG"/>
              </w:rPr>
            </w:pPr>
            <w:r w:rsidRPr="00CE13F7">
              <w:rPr>
                <w:rFonts w:ascii="Arabic Typesetting" w:hAnsi="Arabic Typesetting" w:cs="Arabic Typesetting"/>
                <w:i/>
                <w:iCs/>
                <w:sz w:val="36"/>
                <w:szCs w:val="36"/>
                <w:lang w:bidi="ar-EG"/>
              </w:rPr>
              <w:t>35 581</w:t>
            </w:r>
          </w:p>
        </w:tc>
        <w:tc>
          <w:tcPr>
            <w:tcW w:w="1361" w:type="dxa"/>
            <w:shd w:val="clear" w:color="auto" w:fill="auto"/>
            <w:vAlign w:val="center"/>
          </w:tcPr>
          <w:p w:rsidR="00A071B7" w:rsidRPr="00CE13F7" w:rsidRDefault="00A071B7" w:rsidP="00883D37">
            <w:pPr>
              <w:bidi/>
              <w:rPr>
                <w:rFonts w:ascii="Arabic Typesetting" w:hAnsi="Arabic Typesetting" w:cs="Arabic Typesetting"/>
                <w:i/>
                <w:iCs/>
                <w:sz w:val="36"/>
                <w:szCs w:val="36"/>
                <w:lang w:bidi="ar-EG"/>
              </w:rPr>
            </w:pPr>
            <w:r w:rsidRPr="00CE13F7">
              <w:rPr>
                <w:rFonts w:ascii="Arabic Typesetting" w:hAnsi="Arabic Typesetting" w:cs="Arabic Typesetting"/>
                <w:i/>
                <w:iCs/>
                <w:sz w:val="36"/>
                <w:szCs w:val="36"/>
                <w:lang w:bidi="ar-EG"/>
              </w:rPr>
              <w:t>35 817</w:t>
            </w:r>
          </w:p>
        </w:tc>
        <w:tc>
          <w:tcPr>
            <w:tcW w:w="1361" w:type="dxa"/>
            <w:shd w:val="clear" w:color="auto" w:fill="auto"/>
            <w:vAlign w:val="center"/>
          </w:tcPr>
          <w:p w:rsidR="00A071B7" w:rsidRPr="00CE13F7" w:rsidRDefault="00A071B7" w:rsidP="00883D37">
            <w:pPr>
              <w:bidi/>
              <w:rPr>
                <w:rFonts w:ascii="Arabic Typesetting" w:hAnsi="Arabic Typesetting" w:cs="Arabic Typesetting"/>
                <w:i/>
                <w:iCs/>
                <w:sz w:val="36"/>
                <w:szCs w:val="36"/>
                <w:lang w:bidi="ar-EG"/>
              </w:rPr>
            </w:pPr>
            <w:r w:rsidRPr="00CE13F7">
              <w:rPr>
                <w:rFonts w:ascii="Arabic Typesetting" w:hAnsi="Arabic Typesetting" w:cs="Arabic Typesetting"/>
                <w:i/>
                <w:iCs/>
                <w:sz w:val="36"/>
                <w:szCs w:val="36"/>
                <w:lang w:bidi="ar-EG"/>
              </w:rPr>
              <w:t>35 361</w:t>
            </w:r>
          </w:p>
        </w:tc>
        <w:tc>
          <w:tcPr>
            <w:tcW w:w="1361" w:type="dxa"/>
            <w:shd w:val="clear" w:color="auto" w:fill="auto"/>
            <w:vAlign w:val="center"/>
          </w:tcPr>
          <w:p w:rsidR="00A071B7" w:rsidRPr="00CE13F7" w:rsidRDefault="00A071B7" w:rsidP="00883D37">
            <w:pPr>
              <w:bidi/>
              <w:rPr>
                <w:rFonts w:ascii="Arabic Typesetting" w:hAnsi="Arabic Typesetting" w:cs="Arabic Typesetting"/>
                <w:i/>
                <w:iCs/>
                <w:sz w:val="36"/>
                <w:szCs w:val="36"/>
                <w:lang w:bidi="ar-EG"/>
              </w:rPr>
            </w:pPr>
            <w:r w:rsidRPr="00CE13F7">
              <w:rPr>
                <w:rFonts w:ascii="Arabic Typesetting" w:hAnsi="Arabic Typesetting" w:cs="Arabic Typesetting"/>
                <w:i/>
                <w:iCs/>
                <w:sz w:val="36"/>
                <w:szCs w:val="36"/>
                <w:lang w:bidi="ar-EG"/>
              </w:rPr>
              <w:t>34 893</w:t>
            </w:r>
          </w:p>
        </w:tc>
        <w:tc>
          <w:tcPr>
            <w:tcW w:w="1361" w:type="dxa"/>
            <w:shd w:val="clear" w:color="auto" w:fill="auto"/>
            <w:vAlign w:val="center"/>
          </w:tcPr>
          <w:p w:rsidR="00A071B7" w:rsidRPr="00CE13F7" w:rsidRDefault="00A071B7" w:rsidP="00883D37">
            <w:pPr>
              <w:bidi/>
              <w:rPr>
                <w:rFonts w:ascii="Arabic Typesetting" w:hAnsi="Arabic Typesetting" w:cs="Arabic Typesetting"/>
                <w:i/>
                <w:iCs/>
                <w:sz w:val="36"/>
                <w:szCs w:val="36"/>
                <w:lang w:bidi="ar-EG"/>
              </w:rPr>
            </w:pPr>
            <w:r w:rsidRPr="00CE13F7">
              <w:rPr>
                <w:rFonts w:ascii="Arabic Typesetting" w:hAnsi="Arabic Typesetting" w:cs="Arabic Typesetting"/>
                <w:i/>
                <w:iCs/>
                <w:sz w:val="36"/>
                <w:szCs w:val="36"/>
                <w:lang w:bidi="ar-EG"/>
              </w:rPr>
              <w:t>37 104</w:t>
            </w:r>
          </w:p>
        </w:tc>
      </w:tr>
    </w:tbl>
    <w:p w:rsidR="00A071B7" w:rsidRDefault="00A071B7" w:rsidP="00F37D35">
      <w:pPr>
        <w:pStyle w:val="NormalParaAR"/>
        <w:rPr>
          <w:rtl/>
          <w:lang w:bidi="ar-EG"/>
        </w:rPr>
      </w:pPr>
    </w:p>
    <w:p w:rsidR="00F37D35" w:rsidRDefault="00F37D35" w:rsidP="00CE13F7">
      <w:pPr>
        <w:pStyle w:val="NormalParaAR"/>
        <w:keepNext/>
        <w:rPr>
          <w:b/>
          <w:bCs/>
          <w:rtl/>
          <w:lang w:bidi="ar-EG"/>
        </w:rPr>
      </w:pPr>
      <w:r>
        <w:rPr>
          <w:rFonts w:hint="cs"/>
          <w:b/>
          <w:bCs/>
          <w:rtl/>
          <w:lang w:bidi="ar-EG"/>
        </w:rPr>
        <w:t xml:space="preserve">عدد الطلبات الوطنية المستلمة </w:t>
      </w:r>
      <w:r>
        <w:rPr>
          <w:b/>
          <w:bCs/>
          <w:rtl/>
          <w:lang w:bidi="ar-EG"/>
        </w:rPr>
        <w:t>–</w:t>
      </w:r>
      <w:r w:rsidR="00CE13F7">
        <w:rPr>
          <w:rFonts w:hint="cs"/>
          <w:b/>
          <w:bCs/>
          <w:rtl/>
          <w:lang w:bidi="ar-EG"/>
        </w:rPr>
        <w:t xml:space="preserve"> بحسب المسار</w:t>
      </w:r>
    </w:p>
    <w:p w:rsidR="00F37D35" w:rsidRPr="00CE13F7" w:rsidRDefault="00F37D35" w:rsidP="00F37D35">
      <w:pPr>
        <w:pStyle w:val="NormalParaAR"/>
        <w:rPr>
          <w:i/>
          <w:iCs/>
          <w:rtl/>
          <w:lang w:bidi="ar-EG"/>
        </w:rPr>
      </w:pPr>
      <w:r w:rsidRPr="00CE13F7">
        <w:rPr>
          <w:rFonts w:hint="cs"/>
          <w:i/>
          <w:iCs/>
          <w:rtl/>
          <w:lang w:bidi="ar-EG"/>
        </w:rPr>
        <w:t xml:space="preserve">هذه الأعداد </w:t>
      </w:r>
      <w:proofErr w:type="spellStart"/>
      <w:r w:rsidRPr="00CE13F7">
        <w:rPr>
          <w:rFonts w:hint="cs"/>
          <w:i/>
          <w:iCs/>
          <w:rtl/>
          <w:lang w:bidi="ar-EG"/>
        </w:rPr>
        <w:t>مستقاة</w:t>
      </w:r>
      <w:proofErr w:type="spellEnd"/>
      <w:r w:rsidRPr="00CE13F7">
        <w:rPr>
          <w:rFonts w:hint="cs"/>
          <w:i/>
          <w:iCs/>
          <w:rtl/>
          <w:lang w:bidi="ar-EG"/>
        </w:rPr>
        <w:t xml:space="preserve"> من قاعدة البيانات الداخلية </w:t>
      </w:r>
      <w:proofErr w:type="spellStart"/>
      <w:r w:rsidRPr="00CE13F7">
        <w:rPr>
          <w:i/>
          <w:iCs/>
          <w:lang w:bidi="ar-EG"/>
        </w:rPr>
        <w:t>TechSource</w:t>
      </w:r>
      <w:proofErr w:type="spellEnd"/>
      <w:r w:rsidRPr="00CE13F7">
        <w:rPr>
          <w:rFonts w:hint="cs"/>
          <w:i/>
          <w:iCs/>
          <w:rtl/>
          <w:lang w:bidi="ar-EG"/>
        </w:rPr>
        <w:t xml:space="preserve"> </w:t>
      </w:r>
      <w:r w:rsidR="00CE13F7" w:rsidRPr="00CE13F7">
        <w:rPr>
          <w:rFonts w:hint="cs"/>
          <w:i/>
          <w:iCs/>
          <w:rtl/>
          <w:lang w:bidi="ar-EG"/>
        </w:rPr>
        <w:t xml:space="preserve">الخاصة </w:t>
      </w:r>
      <w:r w:rsidRPr="00CE13F7">
        <w:rPr>
          <w:rFonts w:hint="cs"/>
          <w:i/>
          <w:iCs/>
          <w:rtl/>
          <w:lang w:bidi="ar-EG"/>
        </w:rPr>
        <w:t>بالمكتب الكندي للبراءات.</w:t>
      </w:r>
    </w:p>
    <w:tbl>
      <w:tblPr>
        <w:bidiVisual/>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A071B7" w:rsidRPr="00D55E35" w:rsidTr="00A071B7">
        <w:trPr>
          <w:cantSplit/>
        </w:trPr>
        <w:tc>
          <w:tcPr>
            <w:tcW w:w="2518" w:type="dxa"/>
            <w:tcBorders>
              <w:tl2br w:val="single" w:sz="4" w:space="0" w:color="auto"/>
            </w:tcBorders>
            <w:shd w:val="clear" w:color="auto" w:fill="auto"/>
          </w:tcPr>
          <w:p w:rsidR="00A071B7" w:rsidRPr="00D55E35" w:rsidRDefault="00A071B7" w:rsidP="00D55E35">
            <w:pPr>
              <w:bidi/>
              <w:rPr>
                <w:rFonts w:ascii="Arabic Typesetting" w:hAnsi="Arabic Typesetting" w:cs="Arabic Typesetting"/>
                <w:b/>
                <w:bCs/>
                <w:sz w:val="36"/>
                <w:szCs w:val="36"/>
                <w:lang w:bidi="ar-EG"/>
              </w:rPr>
            </w:pPr>
          </w:p>
          <w:p w:rsidR="00A071B7" w:rsidRPr="00D55E35" w:rsidRDefault="00A071B7" w:rsidP="00D55E35">
            <w:pPr>
              <w:bidi/>
              <w:rPr>
                <w:rFonts w:ascii="Arabic Typesetting" w:hAnsi="Arabic Typesetting" w:cs="Arabic Typesetting"/>
                <w:b/>
                <w:bCs/>
                <w:sz w:val="36"/>
                <w:szCs w:val="36"/>
                <w:lang w:bidi="ar-EG"/>
              </w:rPr>
            </w:pPr>
            <w:r w:rsidRPr="00D55E35">
              <w:rPr>
                <w:rFonts w:ascii="Arabic Typesetting" w:hAnsi="Arabic Typesetting" w:cs="Arabic Typesetting"/>
                <w:b/>
                <w:bCs/>
                <w:sz w:val="36"/>
                <w:szCs w:val="36"/>
                <w:rtl/>
                <w:lang w:bidi="ar-EG"/>
              </w:rPr>
              <w:t>السنة</w:t>
            </w:r>
          </w:p>
          <w:p w:rsidR="00A071B7" w:rsidRPr="00D55E35" w:rsidRDefault="00A071B7" w:rsidP="00D55E35">
            <w:pPr>
              <w:bidi/>
              <w:ind w:left="1133"/>
              <w:rPr>
                <w:rFonts w:ascii="Arabic Typesetting" w:hAnsi="Arabic Typesetting" w:cs="Arabic Typesetting"/>
                <w:b/>
                <w:bCs/>
                <w:sz w:val="36"/>
                <w:szCs w:val="36"/>
                <w:lang w:bidi="ar-EG"/>
              </w:rPr>
            </w:pPr>
            <w:r w:rsidRPr="00D55E35">
              <w:rPr>
                <w:rFonts w:ascii="Arabic Typesetting" w:hAnsi="Arabic Typesetting" w:cs="Arabic Typesetting"/>
                <w:b/>
                <w:bCs/>
                <w:sz w:val="36"/>
                <w:szCs w:val="36"/>
                <w:rtl/>
                <w:lang w:bidi="ar-EG"/>
              </w:rPr>
              <w:t>المسار</w:t>
            </w:r>
          </w:p>
        </w:tc>
        <w:tc>
          <w:tcPr>
            <w:tcW w:w="1360" w:type="dxa"/>
            <w:shd w:val="clear" w:color="auto" w:fill="auto"/>
            <w:vAlign w:val="center"/>
          </w:tcPr>
          <w:p w:rsidR="00A071B7" w:rsidRPr="00D55E35" w:rsidRDefault="00D55E35" w:rsidP="00D55E35">
            <w:pPr>
              <w:bidi/>
              <w:rPr>
                <w:rFonts w:ascii="Arabic Typesetting" w:hAnsi="Arabic Typesetting" w:cs="Arabic Typesetting"/>
                <w:b/>
                <w:bCs/>
                <w:sz w:val="36"/>
                <w:szCs w:val="36"/>
                <w:lang w:bidi="ar-EG"/>
              </w:rPr>
            </w:pPr>
            <w:r>
              <w:rPr>
                <w:rFonts w:ascii="Arabic Typesetting" w:hAnsi="Arabic Typesetting" w:cs="Arabic Typesetting" w:hint="cs"/>
                <w:b/>
                <w:bCs/>
                <w:sz w:val="36"/>
                <w:szCs w:val="36"/>
                <w:rtl/>
                <w:lang w:bidi="ar-EG"/>
              </w:rPr>
              <w:t>2011-2012</w:t>
            </w:r>
          </w:p>
        </w:tc>
        <w:tc>
          <w:tcPr>
            <w:tcW w:w="1361" w:type="dxa"/>
            <w:shd w:val="clear" w:color="auto" w:fill="auto"/>
            <w:vAlign w:val="center"/>
          </w:tcPr>
          <w:p w:rsidR="00A071B7" w:rsidRPr="00D55E35" w:rsidRDefault="00D55E35" w:rsidP="00D55E35">
            <w:pPr>
              <w:bidi/>
              <w:rPr>
                <w:rFonts w:ascii="Arabic Typesetting" w:hAnsi="Arabic Typesetting" w:cs="Arabic Typesetting"/>
                <w:b/>
                <w:bCs/>
                <w:sz w:val="36"/>
                <w:szCs w:val="36"/>
                <w:lang w:bidi="ar-EG"/>
              </w:rPr>
            </w:pPr>
            <w:r>
              <w:rPr>
                <w:rFonts w:ascii="Arabic Typesetting" w:hAnsi="Arabic Typesetting" w:cs="Arabic Typesetting" w:hint="cs"/>
                <w:b/>
                <w:bCs/>
                <w:sz w:val="36"/>
                <w:szCs w:val="36"/>
                <w:rtl/>
                <w:lang w:bidi="ar-EG"/>
              </w:rPr>
              <w:t>2012-2013</w:t>
            </w:r>
          </w:p>
        </w:tc>
        <w:tc>
          <w:tcPr>
            <w:tcW w:w="1361" w:type="dxa"/>
            <w:shd w:val="clear" w:color="auto" w:fill="auto"/>
            <w:vAlign w:val="center"/>
          </w:tcPr>
          <w:p w:rsidR="00A071B7" w:rsidRPr="00D55E35" w:rsidRDefault="00D55E35" w:rsidP="00D55E35">
            <w:pPr>
              <w:bidi/>
              <w:rPr>
                <w:rFonts w:ascii="Arabic Typesetting" w:hAnsi="Arabic Typesetting" w:cs="Arabic Typesetting"/>
                <w:b/>
                <w:bCs/>
                <w:sz w:val="36"/>
                <w:szCs w:val="36"/>
                <w:lang w:bidi="ar-EG"/>
              </w:rPr>
            </w:pPr>
            <w:r>
              <w:rPr>
                <w:rFonts w:ascii="Arabic Typesetting" w:hAnsi="Arabic Typesetting" w:cs="Arabic Typesetting" w:hint="cs"/>
                <w:b/>
                <w:bCs/>
                <w:sz w:val="36"/>
                <w:szCs w:val="36"/>
                <w:rtl/>
                <w:lang w:bidi="ar-EG"/>
              </w:rPr>
              <w:t>2013-2014</w:t>
            </w:r>
          </w:p>
        </w:tc>
        <w:tc>
          <w:tcPr>
            <w:tcW w:w="1361" w:type="dxa"/>
            <w:shd w:val="clear" w:color="auto" w:fill="auto"/>
            <w:vAlign w:val="center"/>
          </w:tcPr>
          <w:p w:rsidR="00A071B7" w:rsidRPr="00D55E35" w:rsidRDefault="00D55E35" w:rsidP="00D55E35">
            <w:pPr>
              <w:bidi/>
              <w:rPr>
                <w:rFonts w:ascii="Arabic Typesetting" w:hAnsi="Arabic Typesetting" w:cs="Arabic Typesetting"/>
                <w:b/>
                <w:bCs/>
                <w:sz w:val="36"/>
                <w:szCs w:val="36"/>
                <w:lang w:bidi="ar-EG"/>
              </w:rPr>
            </w:pPr>
            <w:r>
              <w:rPr>
                <w:rFonts w:ascii="Arabic Typesetting" w:hAnsi="Arabic Typesetting" w:cs="Arabic Typesetting" w:hint="cs"/>
                <w:b/>
                <w:bCs/>
                <w:sz w:val="36"/>
                <w:szCs w:val="36"/>
                <w:rtl/>
                <w:lang w:bidi="ar-EG"/>
              </w:rPr>
              <w:t>2014-2015</w:t>
            </w:r>
          </w:p>
        </w:tc>
        <w:tc>
          <w:tcPr>
            <w:tcW w:w="1361" w:type="dxa"/>
            <w:shd w:val="clear" w:color="auto" w:fill="auto"/>
            <w:vAlign w:val="center"/>
          </w:tcPr>
          <w:p w:rsidR="00A071B7" w:rsidRPr="00D55E35" w:rsidRDefault="00D55E35" w:rsidP="00D55E35">
            <w:pPr>
              <w:bidi/>
              <w:rPr>
                <w:rFonts w:ascii="Arabic Typesetting" w:hAnsi="Arabic Typesetting" w:cs="Arabic Typesetting"/>
                <w:b/>
                <w:bCs/>
                <w:sz w:val="36"/>
                <w:szCs w:val="36"/>
                <w:lang w:bidi="ar-EG"/>
              </w:rPr>
            </w:pPr>
            <w:r>
              <w:rPr>
                <w:rFonts w:ascii="Arabic Typesetting" w:hAnsi="Arabic Typesetting" w:cs="Arabic Typesetting" w:hint="cs"/>
                <w:b/>
                <w:bCs/>
                <w:sz w:val="36"/>
                <w:szCs w:val="36"/>
                <w:rtl/>
                <w:lang w:bidi="ar-EG"/>
              </w:rPr>
              <w:t>2015-2016</w:t>
            </w:r>
          </w:p>
        </w:tc>
      </w:tr>
      <w:tr w:rsidR="00A071B7" w:rsidRPr="006A6C1D" w:rsidTr="00A071B7">
        <w:trPr>
          <w:cantSplit/>
        </w:trPr>
        <w:tc>
          <w:tcPr>
            <w:tcW w:w="2518" w:type="dxa"/>
            <w:shd w:val="clear" w:color="auto" w:fill="auto"/>
          </w:tcPr>
          <w:p w:rsidR="00A071B7" w:rsidRPr="00A071B7" w:rsidRDefault="00A071B7" w:rsidP="00D55E35">
            <w:pPr>
              <w:bidi/>
              <w:rPr>
                <w:rFonts w:ascii="Arabic Typesetting" w:hAnsi="Arabic Typesetting" w:cs="Arabic Typesetting"/>
                <w:sz w:val="36"/>
                <w:szCs w:val="36"/>
                <w:lang w:bidi="ar-EG"/>
              </w:rPr>
            </w:pPr>
            <w:r w:rsidRPr="00A071B7">
              <w:rPr>
                <w:rFonts w:ascii="Arabic Typesetting" w:hAnsi="Arabic Typesetting" w:cs="Arabic Typesetting"/>
                <w:sz w:val="36"/>
                <w:szCs w:val="36"/>
                <w:rtl/>
                <w:lang w:bidi="ar-EG"/>
              </w:rPr>
              <w:t>الإيداع الوطني الأول / أولوية داخلية</w:t>
            </w:r>
          </w:p>
        </w:tc>
        <w:tc>
          <w:tcPr>
            <w:tcW w:w="1360" w:type="dxa"/>
            <w:shd w:val="clear" w:color="auto" w:fill="auto"/>
            <w:vAlign w:val="center"/>
          </w:tcPr>
          <w:p w:rsidR="00A071B7" w:rsidRPr="00A071B7" w:rsidRDefault="00A071B7" w:rsidP="00D55E3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1 826</w:t>
            </w:r>
          </w:p>
        </w:tc>
        <w:tc>
          <w:tcPr>
            <w:tcW w:w="1361" w:type="dxa"/>
            <w:shd w:val="clear" w:color="auto" w:fill="auto"/>
            <w:vAlign w:val="center"/>
          </w:tcPr>
          <w:p w:rsidR="00A071B7" w:rsidRPr="00A071B7" w:rsidRDefault="00A071B7" w:rsidP="00D55E3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1 809</w:t>
            </w:r>
          </w:p>
        </w:tc>
        <w:tc>
          <w:tcPr>
            <w:tcW w:w="1361" w:type="dxa"/>
            <w:shd w:val="clear" w:color="auto" w:fill="auto"/>
            <w:vAlign w:val="center"/>
          </w:tcPr>
          <w:p w:rsidR="00A071B7" w:rsidRPr="00A071B7" w:rsidRDefault="00A071B7" w:rsidP="00D55E3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1 579</w:t>
            </w:r>
          </w:p>
        </w:tc>
        <w:tc>
          <w:tcPr>
            <w:tcW w:w="1361" w:type="dxa"/>
            <w:shd w:val="clear" w:color="auto" w:fill="auto"/>
            <w:vAlign w:val="center"/>
          </w:tcPr>
          <w:p w:rsidR="00A071B7" w:rsidRPr="00A071B7" w:rsidRDefault="00A071B7" w:rsidP="00D55E3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1 606</w:t>
            </w:r>
          </w:p>
        </w:tc>
        <w:tc>
          <w:tcPr>
            <w:tcW w:w="1361" w:type="dxa"/>
            <w:shd w:val="clear" w:color="auto" w:fill="auto"/>
            <w:vAlign w:val="center"/>
          </w:tcPr>
          <w:p w:rsidR="00A071B7" w:rsidRPr="00A071B7" w:rsidRDefault="00A071B7" w:rsidP="00D55E3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1 591</w:t>
            </w:r>
          </w:p>
        </w:tc>
      </w:tr>
      <w:tr w:rsidR="00A071B7" w:rsidRPr="006A6C1D" w:rsidTr="00A071B7">
        <w:trPr>
          <w:cantSplit/>
        </w:trPr>
        <w:tc>
          <w:tcPr>
            <w:tcW w:w="2518" w:type="dxa"/>
            <w:shd w:val="clear" w:color="auto" w:fill="auto"/>
          </w:tcPr>
          <w:p w:rsidR="00A071B7" w:rsidRPr="00A071B7" w:rsidRDefault="00A071B7" w:rsidP="00D55E35">
            <w:pPr>
              <w:bidi/>
              <w:rPr>
                <w:rFonts w:ascii="Arabic Typesetting" w:hAnsi="Arabic Typesetting" w:cs="Arabic Typesetting"/>
                <w:sz w:val="36"/>
                <w:szCs w:val="36"/>
                <w:lang w:bidi="ar-EG"/>
              </w:rPr>
            </w:pPr>
            <w:r w:rsidRPr="00A071B7">
              <w:rPr>
                <w:rFonts w:ascii="Arabic Typesetting" w:hAnsi="Arabic Typesetting" w:cs="Arabic Typesetting"/>
                <w:sz w:val="36"/>
                <w:szCs w:val="36"/>
                <w:rtl/>
                <w:lang w:bidi="ar-EG"/>
              </w:rPr>
              <w:t>الأولوية بناء على نظام باريس</w:t>
            </w:r>
            <w:r w:rsidR="00340919">
              <w:rPr>
                <w:rFonts w:ascii="Arabic Typesetting" w:hAnsi="Arabic Typesetting" w:cs="Arabic Typesetting"/>
                <w:sz w:val="36"/>
                <w:szCs w:val="36"/>
                <w:rtl/>
                <w:lang w:bidi="ar-EG"/>
              </w:rPr>
              <w:t xml:space="preserve"> </w:t>
            </w:r>
          </w:p>
        </w:tc>
        <w:tc>
          <w:tcPr>
            <w:tcW w:w="1360" w:type="dxa"/>
            <w:shd w:val="clear" w:color="auto" w:fill="auto"/>
            <w:vAlign w:val="center"/>
          </w:tcPr>
          <w:p w:rsidR="00A071B7" w:rsidRPr="00A071B7" w:rsidRDefault="00A071B7" w:rsidP="00D55E3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7 131</w:t>
            </w:r>
          </w:p>
        </w:tc>
        <w:tc>
          <w:tcPr>
            <w:tcW w:w="1361" w:type="dxa"/>
            <w:shd w:val="clear" w:color="auto" w:fill="auto"/>
            <w:vAlign w:val="center"/>
          </w:tcPr>
          <w:p w:rsidR="00A071B7" w:rsidRPr="00A071B7" w:rsidRDefault="00A071B7" w:rsidP="00D55E3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7 007</w:t>
            </w:r>
          </w:p>
        </w:tc>
        <w:tc>
          <w:tcPr>
            <w:tcW w:w="1361" w:type="dxa"/>
            <w:shd w:val="clear" w:color="auto" w:fill="auto"/>
            <w:vAlign w:val="center"/>
          </w:tcPr>
          <w:p w:rsidR="00A071B7" w:rsidRPr="00A071B7" w:rsidRDefault="00A071B7" w:rsidP="00D55E3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7 142</w:t>
            </w:r>
          </w:p>
        </w:tc>
        <w:tc>
          <w:tcPr>
            <w:tcW w:w="1361" w:type="dxa"/>
            <w:shd w:val="clear" w:color="auto" w:fill="auto"/>
            <w:vAlign w:val="center"/>
          </w:tcPr>
          <w:p w:rsidR="00A071B7" w:rsidRPr="00A071B7" w:rsidRDefault="00A071B7" w:rsidP="00D55E3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5 823</w:t>
            </w:r>
          </w:p>
        </w:tc>
        <w:tc>
          <w:tcPr>
            <w:tcW w:w="1361" w:type="dxa"/>
            <w:shd w:val="clear" w:color="auto" w:fill="auto"/>
            <w:vAlign w:val="center"/>
          </w:tcPr>
          <w:p w:rsidR="00A071B7" w:rsidRPr="00A071B7" w:rsidRDefault="00A071B7" w:rsidP="00D55E3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6 065</w:t>
            </w:r>
          </w:p>
        </w:tc>
      </w:tr>
      <w:tr w:rsidR="00A071B7" w:rsidRPr="006A6C1D" w:rsidTr="00A071B7">
        <w:trPr>
          <w:cantSplit/>
        </w:trPr>
        <w:tc>
          <w:tcPr>
            <w:tcW w:w="2518" w:type="dxa"/>
            <w:shd w:val="clear" w:color="auto" w:fill="auto"/>
          </w:tcPr>
          <w:p w:rsidR="00A071B7" w:rsidRPr="00A071B7" w:rsidRDefault="00A071B7" w:rsidP="00D55E35">
            <w:pPr>
              <w:bidi/>
              <w:rPr>
                <w:rFonts w:ascii="Arabic Typesetting" w:hAnsi="Arabic Typesetting" w:cs="Arabic Typesetting"/>
                <w:sz w:val="36"/>
                <w:szCs w:val="36"/>
                <w:lang w:bidi="ar-EG"/>
              </w:rPr>
            </w:pPr>
            <w:r w:rsidRPr="00A071B7">
              <w:rPr>
                <w:rFonts w:ascii="Arabic Typesetting" w:hAnsi="Arabic Typesetting" w:cs="Arabic Typesetting"/>
                <w:sz w:val="36"/>
                <w:szCs w:val="36"/>
                <w:rtl/>
                <w:lang w:bidi="ar-EG"/>
              </w:rPr>
              <w:t>دخول المرحلة الوطنية بناء على معاهدة التعاون بشأن البراءات</w:t>
            </w:r>
          </w:p>
        </w:tc>
        <w:tc>
          <w:tcPr>
            <w:tcW w:w="1360" w:type="dxa"/>
            <w:shd w:val="clear" w:color="auto" w:fill="auto"/>
            <w:vAlign w:val="center"/>
          </w:tcPr>
          <w:p w:rsidR="00A071B7" w:rsidRPr="00A071B7" w:rsidRDefault="00A071B7" w:rsidP="00D55E3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26 624</w:t>
            </w:r>
          </w:p>
        </w:tc>
        <w:tc>
          <w:tcPr>
            <w:tcW w:w="1361" w:type="dxa"/>
            <w:shd w:val="clear" w:color="auto" w:fill="auto"/>
            <w:vAlign w:val="center"/>
          </w:tcPr>
          <w:p w:rsidR="00A071B7" w:rsidRPr="00A071B7" w:rsidRDefault="00A071B7" w:rsidP="00D55E3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27 001</w:t>
            </w:r>
          </w:p>
        </w:tc>
        <w:tc>
          <w:tcPr>
            <w:tcW w:w="1361" w:type="dxa"/>
            <w:shd w:val="clear" w:color="auto" w:fill="auto"/>
            <w:vAlign w:val="center"/>
          </w:tcPr>
          <w:p w:rsidR="00A071B7" w:rsidRPr="00A071B7" w:rsidRDefault="00A071B7" w:rsidP="00D55E3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26 640</w:t>
            </w:r>
          </w:p>
        </w:tc>
        <w:tc>
          <w:tcPr>
            <w:tcW w:w="1361" w:type="dxa"/>
            <w:shd w:val="clear" w:color="auto" w:fill="auto"/>
            <w:vAlign w:val="center"/>
          </w:tcPr>
          <w:p w:rsidR="00A071B7" w:rsidRPr="00A071B7" w:rsidRDefault="00A071B7" w:rsidP="00D55E3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27 464</w:t>
            </w:r>
          </w:p>
        </w:tc>
        <w:tc>
          <w:tcPr>
            <w:tcW w:w="1361" w:type="dxa"/>
            <w:shd w:val="clear" w:color="auto" w:fill="auto"/>
            <w:vAlign w:val="center"/>
          </w:tcPr>
          <w:p w:rsidR="00A071B7" w:rsidRPr="00A071B7" w:rsidRDefault="00A071B7" w:rsidP="00D55E3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29 448</w:t>
            </w:r>
          </w:p>
        </w:tc>
      </w:tr>
      <w:tr w:rsidR="00A071B7" w:rsidRPr="00D55E35" w:rsidTr="00A071B7">
        <w:trPr>
          <w:cantSplit/>
        </w:trPr>
        <w:tc>
          <w:tcPr>
            <w:tcW w:w="2518" w:type="dxa"/>
            <w:shd w:val="clear" w:color="auto" w:fill="auto"/>
          </w:tcPr>
          <w:p w:rsidR="00A071B7" w:rsidRPr="00D55E35" w:rsidRDefault="00A071B7" w:rsidP="00D55E35">
            <w:pPr>
              <w:bidi/>
              <w:rPr>
                <w:rFonts w:ascii="Arabic Typesetting" w:hAnsi="Arabic Typesetting" w:cs="Arabic Typesetting"/>
                <w:i/>
                <w:iCs/>
                <w:sz w:val="36"/>
                <w:szCs w:val="36"/>
                <w:lang w:bidi="ar-EG"/>
              </w:rPr>
            </w:pPr>
            <w:r w:rsidRPr="00D55E35">
              <w:rPr>
                <w:rFonts w:ascii="Arabic Typesetting" w:hAnsi="Arabic Typesetting" w:cs="Arabic Typesetting"/>
                <w:i/>
                <w:iCs/>
                <w:sz w:val="36"/>
                <w:szCs w:val="36"/>
                <w:rtl/>
                <w:lang w:bidi="ar-EG"/>
              </w:rPr>
              <w:t xml:space="preserve">المجموع </w:t>
            </w:r>
          </w:p>
        </w:tc>
        <w:tc>
          <w:tcPr>
            <w:tcW w:w="1360" w:type="dxa"/>
            <w:shd w:val="clear" w:color="auto" w:fill="auto"/>
            <w:vAlign w:val="center"/>
          </w:tcPr>
          <w:p w:rsidR="00A071B7" w:rsidRPr="00D55E35" w:rsidRDefault="00A071B7" w:rsidP="00D55E35">
            <w:pPr>
              <w:bidi/>
              <w:rPr>
                <w:rFonts w:ascii="Arabic Typesetting" w:hAnsi="Arabic Typesetting" w:cs="Arabic Typesetting"/>
                <w:i/>
                <w:iCs/>
                <w:sz w:val="36"/>
                <w:szCs w:val="36"/>
                <w:lang w:bidi="ar-EG"/>
              </w:rPr>
            </w:pPr>
            <w:r w:rsidRPr="00D55E35">
              <w:rPr>
                <w:rFonts w:ascii="Arabic Typesetting" w:hAnsi="Arabic Typesetting" w:cs="Arabic Typesetting"/>
                <w:i/>
                <w:iCs/>
                <w:sz w:val="36"/>
                <w:szCs w:val="36"/>
                <w:lang w:bidi="ar-EG"/>
              </w:rPr>
              <w:t>35 581</w:t>
            </w:r>
          </w:p>
        </w:tc>
        <w:tc>
          <w:tcPr>
            <w:tcW w:w="1361" w:type="dxa"/>
            <w:shd w:val="clear" w:color="auto" w:fill="auto"/>
            <w:vAlign w:val="center"/>
          </w:tcPr>
          <w:p w:rsidR="00A071B7" w:rsidRPr="00D55E35" w:rsidRDefault="00A071B7" w:rsidP="00D55E35">
            <w:pPr>
              <w:bidi/>
              <w:rPr>
                <w:rFonts w:ascii="Arabic Typesetting" w:hAnsi="Arabic Typesetting" w:cs="Arabic Typesetting"/>
                <w:i/>
                <w:iCs/>
                <w:sz w:val="36"/>
                <w:szCs w:val="36"/>
                <w:lang w:bidi="ar-EG"/>
              </w:rPr>
            </w:pPr>
            <w:r w:rsidRPr="00D55E35">
              <w:rPr>
                <w:rFonts w:ascii="Arabic Typesetting" w:hAnsi="Arabic Typesetting" w:cs="Arabic Typesetting"/>
                <w:i/>
                <w:iCs/>
                <w:sz w:val="36"/>
                <w:szCs w:val="36"/>
                <w:lang w:bidi="ar-EG"/>
              </w:rPr>
              <w:t>35 817</w:t>
            </w:r>
          </w:p>
        </w:tc>
        <w:tc>
          <w:tcPr>
            <w:tcW w:w="1361" w:type="dxa"/>
            <w:shd w:val="clear" w:color="auto" w:fill="auto"/>
            <w:vAlign w:val="center"/>
          </w:tcPr>
          <w:p w:rsidR="00A071B7" w:rsidRPr="00D55E35" w:rsidRDefault="00A071B7" w:rsidP="00D55E35">
            <w:pPr>
              <w:bidi/>
              <w:rPr>
                <w:rFonts w:ascii="Arabic Typesetting" w:hAnsi="Arabic Typesetting" w:cs="Arabic Typesetting"/>
                <w:i/>
                <w:iCs/>
                <w:sz w:val="36"/>
                <w:szCs w:val="36"/>
                <w:lang w:bidi="ar-EG"/>
              </w:rPr>
            </w:pPr>
            <w:r w:rsidRPr="00D55E35">
              <w:rPr>
                <w:rFonts w:ascii="Arabic Typesetting" w:hAnsi="Arabic Typesetting" w:cs="Arabic Typesetting"/>
                <w:i/>
                <w:iCs/>
                <w:sz w:val="36"/>
                <w:szCs w:val="36"/>
                <w:lang w:bidi="ar-EG"/>
              </w:rPr>
              <w:t>35 361</w:t>
            </w:r>
          </w:p>
        </w:tc>
        <w:tc>
          <w:tcPr>
            <w:tcW w:w="1361" w:type="dxa"/>
            <w:shd w:val="clear" w:color="auto" w:fill="auto"/>
            <w:vAlign w:val="center"/>
          </w:tcPr>
          <w:p w:rsidR="00A071B7" w:rsidRPr="00D55E35" w:rsidRDefault="00A071B7" w:rsidP="00D55E35">
            <w:pPr>
              <w:bidi/>
              <w:rPr>
                <w:rFonts w:ascii="Arabic Typesetting" w:hAnsi="Arabic Typesetting" w:cs="Arabic Typesetting"/>
                <w:i/>
                <w:iCs/>
                <w:sz w:val="36"/>
                <w:szCs w:val="36"/>
                <w:lang w:bidi="ar-EG"/>
              </w:rPr>
            </w:pPr>
            <w:r w:rsidRPr="00D55E35">
              <w:rPr>
                <w:rFonts w:ascii="Arabic Typesetting" w:hAnsi="Arabic Typesetting" w:cs="Arabic Typesetting"/>
                <w:i/>
                <w:iCs/>
                <w:sz w:val="36"/>
                <w:szCs w:val="36"/>
                <w:lang w:bidi="ar-EG"/>
              </w:rPr>
              <w:t>34 893</w:t>
            </w:r>
          </w:p>
        </w:tc>
        <w:tc>
          <w:tcPr>
            <w:tcW w:w="1361" w:type="dxa"/>
            <w:shd w:val="clear" w:color="auto" w:fill="auto"/>
            <w:vAlign w:val="center"/>
          </w:tcPr>
          <w:p w:rsidR="00A071B7" w:rsidRPr="00D55E35" w:rsidRDefault="00A071B7" w:rsidP="00D55E35">
            <w:pPr>
              <w:bidi/>
              <w:rPr>
                <w:rFonts w:ascii="Arabic Typesetting" w:hAnsi="Arabic Typesetting" w:cs="Arabic Typesetting"/>
                <w:i/>
                <w:iCs/>
                <w:sz w:val="36"/>
                <w:szCs w:val="36"/>
                <w:lang w:bidi="ar-EG"/>
              </w:rPr>
            </w:pPr>
            <w:r w:rsidRPr="00D55E35">
              <w:rPr>
                <w:rFonts w:ascii="Arabic Typesetting" w:hAnsi="Arabic Typesetting" w:cs="Arabic Typesetting"/>
                <w:i/>
                <w:iCs/>
                <w:sz w:val="36"/>
                <w:szCs w:val="36"/>
                <w:lang w:bidi="ar-EG"/>
              </w:rPr>
              <w:t>37 104</w:t>
            </w:r>
          </w:p>
        </w:tc>
      </w:tr>
    </w:tbl>
    <w:p w:rsidR="00D55E35" w:rsidRPr="00D55E35" w:rsidRDefault="00D55E35" w:rsidP="00F37D35">
      <w:pPr>
        <w:pStyle w:val="NormalParaAR"/>
        <w:rPr>
          <w:rtl/>
          <w:lang w:bidi="ar-EG"/>
        </w:rPr>
      </w:pPr>
    </w:p>
    <w:p w:rsidR="00D55E35" w:rsidRDefault="00D55E35">
      <w:pPr>
        <w:rPr>
          <w:rFonts w:ascii="Arabic Typesetting" w:hAnsi="Arabic Typesetting" w:cs="Arabic Typesetting"/>
          <w:b/>
          <w:bCs/>
          <w:sz w:val="36"/>
          <w:szCs w:val="36"/>
          <w:rtl/>
          <w:lang w:bidi="ar-EG"/>
        </w:rPr>
      </w:pPr>
      <w:r>
        <w:rPr>
          <w:b/>
          <w:bCs/>
          <w:rtl/>
          <w:lang w:bidi="ar-EG"/>
        </w:rPr>
        <w:br w:type="page"/>
      </w:r>
    </w:p>
    <w:p w:rsidR="00F37D35" w:rsidRDefault="00F37D35" w:rsidP="00F37D35">
      <w:pPr>
        <w:pStyle w:val="NormalParaAR"/>
        <w:rPr>
          <w:b/>
          <w:bCs/>
          <w:rtl/>
          <w:lang w:bidi="ar-EG"/>
        </w:rPr>
      </w:pPr>
      <w:r w:rsidRPr="00F37D35">
        <w:rPr>
          <w:b/>
          <w:bCs/>
          <w:rtl/>
          <w:lang w:bidi="ar-EG"/>
        </w:rPr>
        <w:lastRenderedPageBreak/>
        <w:t>متوسط الوقت المستغرق في معالجة البراءات الوطنية</w:t>
      </w:r>
    </w:p>
    <w:tbl>
      <w:tblPr>
        <w:bidiVisual/>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1426"/>
        <w:gridCol w:w="604"/>
        <w:gridCol w:w="1560"/>
        <w:gridCol w:w="749"/>
        <w:gridCol w:w="783"/>
        <w:gridCol w:w="777"/>
        <w:gridCol w:w="883"/>
        <w:gridCol w:w="1366"/>
      </w:tblGrid>
      <w:tr w:rsidR="00A071B7" w:rsidRPr="00530D24" w:rsidTr="00A071B7">
        <w:trPr>
          <w:cantSplit/>
        </w:trPr>
        <w:tc>
          <w:tcPr>
            <w:tcW w:w="1426" w:type="dxa"/>
            <w:shd w:val="clear" w:color="auto" w:fill="auto"/>
          </w:tcPr>
          <w:p w:rsidR="00A071B7" w:rsidRPr="00A071B7" w:rsidRDefault="00A071B7" w:rsidP="00D55E35">
            <w:pPr>
              <w:bidi/>
              <w:jc w:val="center"/>
              <w:rPr>
                <w:rFonts w:ascii="Arabic Typesetting" w:hAnsi="Arabic Typesetting" w:cs="Arabic Typesetting"/>
                <w:b/>
                <w:bCs/>
                <w:sz w:val="36"/>
                <w:szCs w:val="36"/>
                <w:lang w:bidi="ar-EG"/>
              </w:rPr>
            </w:pPr>
            <w:r w:rsidRPr="00A071B7">
              <w:rPr>
                <w:rFonts w:ascii="Arabic Typesetting" w:hAnsi="Arabic Typesetting" w:cs="Arabic Typesetting"/>
                <w:b/>
                <w:bCs/>
                <w:sz w:val="36"/>
                <w:szCs w:val="36"/>
                <w:rtl/>
                <w:lang w:bidi="ar-EG"/>
              </w:rPr>
              <w:t>المؤشر</w:t>
            </w:r>
          </w:p>
        </w:tc>
        <w:tc>
          <w:tcPr>
            <w:tcW w:w="1426" w:type="dxa"/>
            <w:shd w:val="clear" w:color="auto" w:fill="auto"/>
          </w:tcPr>
          <w:p w:rsidR="00A071B7" w:rsidRPr="00A071B7" w:rsidRDefault="00D55E35" w:rsidP="00D55E35">
            <w:pPr>
              <w:bidi/>
              <w:jc w:val="center"/>
              <w:rPr>
                <w:rFonts w:ascii="Arabic Typesetting" w:hAnsi="Arabic Typesetting" w:cs="Arabic Typesetting"/>
                <w:b/>
                <w:bCs/>
                <w:sz w:val="36"/>
                <w:szCs w:val="36"/>
                <w:lang w:bidi="ar-EG"/>
              </w:rPr>
            </w:pPr>
            <w:r>
              <w:rPr>
                <w:rFonts w:ascii="Arabic Typesetting" w:hAnsi="Arabic Typesetting" w:cs="Arabic Typesetting" w:hint="cs"/>
                <w:b/>
                <w:bCs/>
                <w:sz w:val="36"/>
                <w:szCs w:val="36"/>
                <w:rtl/>
                <w:lang w:bidi="ar-EG"/>
              </w:rPr>
              <w:t xml:space="preserve">محسوب اعتبارا </w:t>
            </w:r>
            <w:proofErr w:type="gramStart"/>
            <w:r>
              <w:rPr>
                <w:rFonts w:ascii="Arabic Typesetting" w:hAnsi="Arabic Typesetting" w:cs="Arabic Typesetting" w:hint="cs"/>
                <w:b/>
                <w:bCs/>
                <w:sz w:val="36"/>
                <w:szCs w:val="36"/>
                <w:rtl/>
                <w:lang w:bidi="ar-EG"/>
              </w:rPr>
              <w:t>من</w:t>
            </w:r>
            <w:proofErr w:type="gramEnd"/>
          </w:p>
        </w:tc>
        <w:tc>
          <w:tcPr>
            <w:tcW w:w="2164" w:type="dxa"/>
            <w:gridSpan w:val="2"/>
          </w:tcPr>
          <w:p w:rsidR="00A071B7" w:rsidRPr="00A071B7" w:rsidRDefault="00D55E35" w:rsidP="00D55E35">
            <w:pPr>
              <w:bidi/>
              <w:jc w:val="center"/>
              <w:rPr>
                <w:rFonts w:ascii="Arabic Typesetting" w:hAnsi="Arabic Typesetting" w:cs="Arabic Typesetting"/>
                <w:b/>
                <w:bCs/>
                <w:sz w:val="36"/>
                <w:szCs w:val="36"/>
                <w:lang w:bidi="ar-EG"/>
              </w:rPr>
            </w:pPr>
            <w:r>
              <w:rPr>
                <w:rFonts w:ascii="Arabic Typesetting" w:hAnsi="Arabic Typesetting" w:cs="Arabic Typesetting" w:hint="cs"/>
                <w:b/>
                <w:bCs/>
                <w:sz w:val="36"/>
                <w:szCs w:val="36"/>
                <w:rtl/>
                <w:lang w:bidi="ar-EG"/>
              </w:rPr>
              <w:t>الوقت (بالأشهر)</w:t>
            </w:r>
          </w:p>
        </w:tc>
        <w:tc>
          <w:tcPr>
            <w:tcW w:w="749" w:type="dxa"/>
            <w:tcMar>
              <w:left w:w="51" w:type="dxa"/>
              <w:right w:w="51" w:type="dxa"/>
            </w:tcMar>
            <w:vAlign w:val="center"/>
          </w:tcPr>
          <w:p w:rsidR="00A071B7" w:rsidRPr="00A071B7" w:rsidRDefault="00D55E35" w:rsidP="00D55E35">
            <w:pPr>
              <w:bidi/>
              <w:jc w:val="center"/>
              <w:rPr>
                <w:rFonts w:ascii="Arabic Typesetting" w:hAnsi="Arabic Typesetting" w:cs="Arabic Typesetting"/>
                <w:b/>
                <w:bCs/>
                <w:sz w:val="36"/>
                <w:szCs w:val="36"/>
                <w:lang w:bidi="ar-EG"/>
              </w:rPr>
            </w:pPr>
            <w:r>
              <w:rPr>
                <w:rFonts w:ascii="Arabic Typesetting" w:hAnsi="Arabic Typesetting" w:cs="Arabic Typesetting" w:hint="cs"/>
                <w:b/>
                <w:bCs/>
                <w:sz w:val="36"/>
                <w:szCs w:val="36"/>
                <w:rtl/>
                <w:lang w:bidi="ar-EG"/>
              </w:rPr>
              <w:t>2011-2012</w:t>
            </w:r>
          </w:p>
        </w:tc>
        <w:tc>
          <w:tcPr>
            <w:tcW w:w="783" w:type="dxa"/>
            <w:tcMar>
              <w:left w:w="51" w:type="dxa"/>
              <w:right w:w="51" w:type="dxa"/>
            </w:tcMar>
            <w:vAlign w:val="center"/>
          </w:tcPr>
          <w:p w:rsidR="00A071B7" w:rsidRPr="00A071B7" w:rsidRDefault="00D55E35" w:rsidP="00D55E35">
            <w:pPr>
              <w:bidi/>
              <w:jc w:val="center"/>
              <w:rPr>
                <w:rFonts w:ascii="Arabic Typesetting" w:hAnsi="Arabic Typesetting" w:cs="Arabic Typesetting"/>
                <w:b/>
                <w:bCs/>
                <w:sz w:val="36"/>
                <w:szCs w:val="36"/>
                <w:lang w:bidi="ar-EG"/>
              </w:rPr>
            </w:pPr>
            <w:r>
              <w:rPr>
                <w:rFonts w:ascii="Arabic Typesetting" w:hAnsi="Arabic Typesetting" w:cs="Arabic Typesetting" w:hint="cs"/>
                <w:b/>
                <w:bCs/>
                <w:sz w:val="36"/>
                <w:szCs w:val="36"/>
                <w:rtl/>
                <w:lang w:bidi="ar-EG"/>
              </w:rPr>
              <w:t>2012-2013</w:t>
            </w:r>
          </w:p>
        </w:tc>
        <w:tc>
          <w:tcPr>
            <w:tcW w:w="777" w:type="dxa"/>
            <w:tcMar>
              <w:left w:w="51" w:type="dxa"/>
              <w:right w:w="51" w:type="dxa"/>
            </w:tcMar>
            <w:vAlign w:val="center"/>
          </w:tcPr>
          <w:p w:rsidR="00A071B7" w:rsidRPr="00A071B7" w:rsidRDefault="00D55E35" w:rsidP="00D55E35">
            <w:pPr>
              <w:bidi/>
              <w:jc w:val="center"/>
              <w:rPr>
                <w:rFonts w:ascii="Arabic Typesetting" w:hAnsi="Arabic Typesetting" w:cs="Arabic Typesetting"/>
                <w:b/>
                <w:bCs/>
                <w:sz w:val="36"/>
                <w:szCs w:val="36"/>
                <w:lang w:bidi="ar-EG"/>
              </w:rPr>
            </w:pPr>
            <w:r>
              <w:rPr>
                <w:rFonts w:ascii="Arabic Typesetting" w:hAnsi="Arabic Typesetting" w:cs="Arabic Typesetting" w:hint="cs"/>
                <w:b/>
                <w:bCs/>
                <w:sz w:val="36"/>
                <w:szCs w:val="36"/>
                <w:rtl/>
                <w:lang w:bidi="ar-EG"/>
              </w:rPr>
              <w:t>2013-2014</w:t>
            </w:r>
          </w:p>
        </w:tc>
        <w:tc>
          <w:tcPr>
            <w:tcW w:w="883" w:type="dxa"/>
            <w:tcMar>
              <w:left w:w="51" w:type="dxa"/>
              <w:right w:w="51" w:type="dxa"/>
            </w:tcMar>
            <w:vAlign w:val="center"/>
          </w:tcPr>
          <w:p w:rsidR="00A071B7" w:rsidRPr="00A071B7" w:rsidRDefault="00D55E35" w:rsidP="00D55E35">
            <w:pPr>
              <w:bidi/>
              <w:jc w:val="center"/>
              <w:rPr>
                <w:rFonts w:ascii="Arabic Typesetting" w:hAnsi="Arabic Typesetting" w:cs="Arabic Typesetting"/>
                <w:b/>
                <w:bCs/>
                <w:sz w:val="36"/>
                <w:szCs w:val="36"/>
                <w:lang w:bidi="ar-EG"/>
              </w:rPr>
            </w:pPr>
            <w:r>
              <w:rPr>
                <w:rFonts w:ascii="Arabic Typesetting" w:hAnsi="Arabic Typesetting" w:cs="Arabic Typesetting" w:hint="cs"/>
                <w:b/>
                <w:bCs/>
                <w:sz w:val="36"/>
                <w:szCs w:val="36"/>
                <w:rtl/>
                <w:lang w:bidi="ar-EG"/>
              </w:rPr>
              <w:t>2014-2015</w:t>
            </w:r>
          </w:p>
        </w:tc>
        <w:tc>
          <w:tcPr>
            <w:tcW w:w="1366" w:type="dxa"/>
            <w:tcMar>
              <w:left w:w="51" w:type="dxa"/>
              <w:right w:w="51" w:type="dxa"/>
            </w:tcMar>
          </w:tcPr>
          <w:p w:rsidR="00A071B7" w:rsidRPr="00A071B7" w:rsidRDefault="00A071B7" w:rsidP="00D55E35">
            <w:pPr>
              <w:bidi/>
              <w:jc w:val="center"/>
              <w:rPr>
                <w:rFonts w:ascii="Arabic Typesetting" w:hAnsi="Arabic Typesetting" w:cs="Arabic Typesetting"/>
                <w:b/>
                <w:bCs/>
                <w:sz w:val="36"/>
                <w:szCs w:val="36"/>
                <w:lang w:bidi="ar-EG"/>
              </w:rPr>
            </w:pPr>
            <w:r w:rsidRPr="00A071B7">
              <w:rPr>
                <w:rFonts w:ascii="Arabic Typesetting" w:hAnsi="Arabic Typesetting" w:cs="Arabic Typesetting"/>
                <w:b/>
                <w:bCs/>
                <w:sz w:val="36"/>
                <w:szCs w:val="36"/>
                <w:rtl/>
                <w:lang w:bidi="ar-EG"/>
              </w:rPr>
              <w:t>(</w:t>
            </w:r>
            <w:r w:rsidR="00D55E35">
              <w:rPr>
                <w:rFonts w:ascii="Arabic Typesetting" w:hAnsi="Arabic Typesetting" w:cs="Arabic Typesetting" w:hint="cs"/>
                <w:b/>
                <w:bCs/>
                <w:sz w:val="36"/>
                <w:szCs w:val="36"/>
                <w:rtl/>
                <w:lang w:bidi="ar-EG"/>
              </w:rPr>
              <w:t>في</w:t>
            </w:r>
          </w:p>
          <w:p w:rsidR="00A071B7" w:rsidRPr="00A071B7" w:rsidRDefault="00A071B7" w:rsidP="00D55E35">
            <w:pPr>
              <w:bidi/>
              <w:jc w:val="center"/>
              <w:rPr>
                <w:rFonts w:ascii="Arabic Typesetting" w:hAnsi="Arabic Typesetting" w:cs="Arabic Typesetting"/>
                <w:b/>
                <w:bCs/>
                <w:sz w:val="36"/>
                <w:szCs w:val="36"/>
                <w:lang w:bidi="ar-EG"/>
              </w:rPr>
            </w:pPr>
            <w:r w:rsidRPr="00A071B7">
              <w:rPr>
                <w:rFonts w:ascii="Arabic Typesetting" w:hAnsi="Arabic Typesetting" w:cs="Arabic Typesetting"/>
                <w:b/>
                <w:bCs/>
                <w:sz w:val="36"/>
                <w:szCs w:val="36"/>
                <w:lang w:bidi="ar-EG"/>
              </w:rPr>
              <w:t>31</w:t>
            </w:r>
            <w:r w:rsidRPr="00A071B7">
              <w:rPr>
                <w:rFonts w:ascii="Arabic Typesetting" w:hAnsi="Arabic Typesetting" w:cs="Arabic Typesetting"/>
                <w:b/>
                <w:bCs/>
                <w:sz w:val="36"/>
                <w:szCs w:val="36"/>
                <w:rtl/>
                <w:lang w:bidi="ar-EG"/>
              </w:rPr>
              <w:t xml:space="preserve"> ديسمبر </w:t>
            </w:r>
            <w:r w:rsidRPr="00A071B7">
              <w:rPr>
                <w:rFonts w:ascii="Arabic Typesetting" w:hAnsi="Arabic Typesetting" w:cs="Arabic Typesetting"/>
                <w:b/>
                <w:bCs/>
                <w:sz w:val="36"/>
                <w:szCs w:val="36"/>
                <w:lang w:bidi="ar-EG"/>
              </w:rPr>
              <w:t>2016</w:t>
            </w:r>
            <w:r w:rsidRPr="00A071B7">
              <w:rPr>
                <w:rFonts w:ascii="Arabic Typesetting" w:hAnsi="Arabic Typesetting" w:cs="Arabic Typesetting"/>
                <w:b/>
                <w:bCs/>
                <w:sz w:val="36"/>
                <w:szCs w:val="36"/>
                <w:rtl/>
                <w:lang w:bidi="ar-EG"/>
              </w:rPr>
              <w:t>)</w:t>
            </w:r>
          </w:p>
        </w:tc>
      </w:tr>
      <w:tr w:rsidR="00A071B7" w:rsidRPr="006A6C1D" w:rsidTr="00A071B7">
        <w:trPr>
          <w:cantSplit/>
        </w:trPr>
        <w:tc>
          <w:tcPr>
            <w:tcW w:w="1426" w:type="dxa"/>
            <w:shd w:val="clear" w:color="auto" w:fill="auto"/>
          </w:tcPr>
          <w:p w:rsidR="00A071B7" w:rsidRPr="00A071B7" w:rsidRDefault="00D55E35" w:rsidP="00D55E35">
            <w:pPr>
              <w:bidi/>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ال</w:t>
            </w:r>
            <w:r w:rsidR="00A071B7" w:rsidRPr="00A071B7">
              <w:rPr>
                <w:rFonts w:ascii="Arabic Typesetting" w:hAnsi="Arabic Typesetting" w:cs="Arabic Typesetting"/>
                <w:sz w:val="36"/>
                <w:szCs w:val="36"/>
                <w:rtl/>
                <w:lang w:bidi="ar-EG"/>
              </w:rPr>
              <w:t>بحث</w:t>
            </w:r>
          </w:p>
        </w:tc>
        <w:tc>
          <w:tcPr>
            <w:tcW w:w="1426" w:type="dxa"/>
            <w:shd w:val="clear" w:color="auto" w:fill="auto"/>
          </w:tcPr>
          <w:p w:rsidR="00A071B7" w:rsidRPr="00A071B7" w:rsidRDefault="0089525B" w:rsidP="00D55E35">
            <w:pPr>
              <w:bidi/>
              <w:rPr>
                <w:rFonts w:ascii="Arabic Typesetting" w:hAnsi="Arabic Typesetting" w:cs="Arabic Typesetting"/>
                <w:sz w:val="36"/>
                <w:szCs w:val="36"/>
                <w:lang w:bidi="ar-EG"/>
              </w:rPr>
            </w:pPr>
            <w:proofErr w:type="gramStart"/>
            <w:r>
              <w:rPr>
                <w:rFonts w:ascii="Arabic Typesetting" w:hAnsi="Arabic Typesetting" w:cs="Arabic Typesetting"/>
                <w:sz w:val="36"/>
                <w:szCs w:val="36"/>
                <w:rtl/>
                <w:lang w:bidi="ar-EG"/>
              </w:rPr>
              <w:t>لا</w:t>
            </w:r>
            <w:proofErr w:type="gramEnd"/>
            <w:r>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ي</w:t>
            </w:r>
            <w:r w:rsidR="00A071B7" w:rsidRPr="00A071B7">
              <w:rPr>
                <w:rFonts w:ascii="Arabic Typesetting" w:hAnsi="Arabic Typesetting" w:cs="Arabic Typesetting"/>
                <w:sz w:val="36"/>
                <w:szCs w:val="36"/>
                <w:rtl/>
                <w:lang w:bidi="ar-EG"/>
              </w:rPr>
              <w:t>نطبق</w:t>
            </w:r>
          </w:p>
        </w:tc>
        <w:tc>
          <w:tcPr>
            <w:tcW w:w="604" w:type="dxa"/>
          </w:tcPr>
          <w:p w:rsidR="00A071B7" w:rsidRPr="00A071B7" w:rsidRDefault="00A071B7" w:rsidP="00D55E35">
            <w:pPr>
              <w:bidi/>
              <w:rPr>
                <w:rFonts w:ascii="Arabic Typesetting" w:hAnsi="Arabic Typesetting" w:cs="Arabic Typesetting"/>
                <w:sz w:val="36"/>
                <w:szCs w:val="36"/>
                <w:lang w:bidi="ar-EG"/>
              </w:rPr>
            </w:pPr>
          </w:p>
        </w:tc>
        <w:tc>
          <w:tcPr>
            <w:tcW w:w="6118" w:type="dxa"/>
            <w:gridSpan w:val="6"/>
          </w:tcPr>
          <w:p w:rsidR="00A071B7" w:rsidRPr="00A071B7" w:rsidRDefault="00A071B7" w:rsidP="00D57B2C">
            <w:pPr>
              <w:bidi/>
              <w:rPr>
                <w:rFonts w:ascii="Arabic Typesetting" w:hAnsi="Arabic Typesetting" w:cs="Arabic Typesetting"/>
                <w:sz w:val="36"/>
                <w:szCs w:val="36"/>
                <w:lang w:bidi="ar-EG"/>
              </w:rPr>
            </w:pPr>
            <w:proofErr w:type="gramStart"/>
            <w:r w:rsidRPr="00A071B7">
              <w:rPr>
                <w:rFonts w:ascii="Arabic Typesetting" w:hAnsi="Arabic Typesetting" w:cs="Arabic Typesetting" w:hint="cs"/>
                <w:sz w:val="36"/>
                <w:szCs w:val="36"/>
                <w:rtl/>
                <w:lang w:bidi="ar-EG"/>
              </w:rPr>
              <w:t>لا</w:t>
            </w:r>
            <w:proofErr w:type="gramEnd"/>
            <w:r w:rsidRPr="00A071B7">
              <w:rPr>
                <w:rFonts w:ascii="Arabic Typesetting" w:hAnsi="Arabic Typesetting" w:cs="Arabic Typesetting" w:hint="cs"/>
                <w:sz w:val="36"/>
                <w:szCs w:val="36"/>
                <w:rtl/>
                <w:lang w:bidi="ar-EG"/>
              </w:rPr>
              <w:t xml:space="preserve"> </w:t>
            </w:r>
            <w:r w:rsidRPr="00A071B7">
              <w:rPr>
                <w:rFonts w:ascii="Arabic Typesetting" w:hAnsi="Arabic Typesetting" w:cs="Arabic Typesetting"/>
                <w:sz w:val="36"/>
                <w:szCs w:val="36"/>
                <w:rtl/>
                <w:lang w:bidi="ar-EG"/>
              </w:rPr>
              <w:t>يجمع المكتب إحصاءات خاصة بالبحث فقط</w:t>
            </w:r>
            <w:r w:rsidRPr="00A071B7">
              <w:rPr>
                <w:rFonts w:ascii="Arabic Typesetting" w:hAnsi="Arabic Typesetting" w:cs="Arabic Typesetting" w:hint="cs"/>
                <w:sz w:val="36"/>
                <w:szCs w:val="36"/>
                <w:rtl/>
                <w:lang w:bidi="ar-EG"/>
              </w:rPr>
              <w:t xml:space="preserve"> إذ يضطلع الفاحص</w:t>
            </w:r>
            <w:r w:rsidRPr="00A071B7">
              <w:rPr>
                <w:rFonts w:ascii="Arabic Typesetting" w:hAnsi="Arabic Typesetting" w:cs="Arabic Typesetting"/>
                <w:sz w:val="36"/>
                <w:szCs w:val="36"/>
                <w:rtl/>
                <w:lang w:bidi="ar-EG"/>
              </w:rPr>
              <w:t xml:space="preserve"> </w:t>
            </w:r>
            <w:r w:rsidR="00214D6C" w:rsidRPr="00A071B7">
              <w:rPr>
                <w:rFonts w:ascii="Arabic Typesetting" w:hAnsi="Arabic Typesetting" w:cs="Arabic Typesetting" w:hint="cs"/>
                <w:sz w:val="36"/>
                <w:szCs w:val="36"/>
                <w:rtl/>
                <w:lang w:bidi="ar-EG"/>
              </w:rPr>
              <w:t>نفس</w:t>
            </w:r>
            <w:r w:rsidR="00214D6C">
              <w:rPr>
                <w:rFonts w:ascii="Arabic Typesetting" w:hAnsi="Arabic Typesetting" w:cs="Arabic Typesetting" w:hint="cs"/>
                <w:sz w:val="36"/>
                <w:szCs w:val="36"/>
                <w:rtl/>
                <w:lang w:bidi="ar-EG"/>
              </w:rPr>
              <w:t>ه</w:t>
            </w:r>
            <w:r w:rsidR="00214D6C" w:rsidRPr="00A071B7">
              <w:rPr>
                <w:rFonts w:ascii="Arabic Typesetting" w:hAnsi="Arabic Typesetting" w:cs="Arabic Typesetting" w:hint="cs"/>
                <w:sz w:val="36"/>
                <w:szCs w:val="36"/>
                <w:rtl/>
                <w:lang w:bidi="ar-EG"/>
              </w:rPr>
              <w:t xml:space="preserve"> </w:t>
            </w:r>
            <w:r w:rsidRPr="00A071B7">
              <w:rPr>
                <w:rFonts w:ascii="Arabic Typesetting" w:hAnsi="Arabic Typesetting" w:cs="Arabic Typesetting" w:hint="cs"/>
                <w:sz w:val="36"/>
                <w:szCs w:val="36"/>
                <w:rtl/>
                <w:lang w:bidi="ar-EG"/>
              </w:rPr>
              <w:t>ب</w:t>
            </w:r>
            <w:r w:rsidRPr="00A071B7">
              <w:rPr>
                <w:rFonts w:ascii="Arabic Typesetting" w:hAnsi="Arabic Typesetting" w:cs="Arabic Typesetting"/>
                <w:sz w:val="36"/>
                <w:szCs w:val="36"/>
                <w:rtl/>
                <w:lang w:bidi="ar-EG"/>
              </w:rPr>
              <w:t xml:space="preserve">مهام البحث والفحص </w:t>
            </w:r>
            <w:r w:rsidR="00214D6C">
              <w:rPr>
                <w:rFonts w:ascii="Arabic Typesetting" w:hAnsi="Arabic Typesetting" w:cs="Arabic Typesetting" w:hint="cs"/>
                <w:sz w:val="36"/>
                <w:szCs w:val="36"/>
                <w:rtl/>
                <w:lang w:bidi="ar-EG"/>
              </w:rPr>
              <w:t xml:space="preserve">في </w:t>
            </w:r>
            <w:r w:rsidR="00D57B2C">
              <w:rPr>
                <w:rFonts w:ascii="Arabic Typesetting" w:hAnsi="Arabic Typesetting" w:cs="Arabic Typesetting" w:hint="cs"/>
                <w:sz w:val="36"/>
                <w:szCs w:val="36"/>
                <w:rtl/>
                <w:lang w:bidi="ar-EG"/>
              </w:rPr>
              <w:t>الوقت ذاته</w:t>
            </w:r>
            <w:r w:rsidRPr="00A071B7">
              <w:rPr>
                <w:rFonts w:ascii="Arabic Typesetting" w:hAnsi="Arabic Typesetting" w:cs="Arabic Typesetting" w:hint="cs"/>
                <w:sz w:val="36"/>
                <w:szCs w:val="36"/>
                <w:rtl/>
                <w:lang w:bidi="ar-EG"/>
              </w:rPr>
              <w:t>.</w:t>
            </w:r>
          </w:p>
        </w:tc>
      </w:tr>
      <w:tr w:rsidR="00A071B7" w:rsidRPr="006A6C1D" w:rsidTr="00A071B7">
        <w:trPr>
          <w:cantSplit/>
          <w:trHeight w:val="123"/>
        </w:trPr>
        <w:tc>
          <w:tcPr>
            <w:tcW w:w="1426" w:type="dxa"/>
            <w:vMerge w:val="restart"/>
            <w:shd w:val="clear" w:color="auto" w:fill="auto"/>
          </w:tcPr>
          <w:p w:rsidR="00A071B7" w:rsidRPr="00A071B7" w:rsidRDefault="00A071B7" w:rsidP="00D55E35">
            <w:pPr>
              <w:bidi/>
              <w:rPr>
                <w:rFonts w:ascii="Arabic Typesetting" w:hAnsi="Arabic Typesetting" w:cs="Arabic Typesetting"/>
                <w:sz w:val="36"/>
                <w:szCs w:val="36"/>
                <w:lang w:bidi="ar-EG"/>
              </w:rPr>
            </w:pPr>
            <w:proofErr w:type="gramStart"/>
            <w:r w:rsidRPr="00A071B7">
              <w:rPr>
                <w:rFonts w:ascii="Arabic Typesetting" w:hAnsi="Arabic Typesetting" w:cs="Arabic Typesetting"/>
                <w:sz w:val="36"/>
                <w:szCs w:val="36"/>
                <w:rtl/>
                <w:lang w:bidi="ar-EG"/>
              </w:rPr>
              <w:t>الفحص</w:t>
            </w:r>
            <w:proofErr w:type="gramEnd"/>
            <w:r w:rsidRPr="00A071B7">
              <w:rPr>
                <w:rFonts w:ascii="Arabic Typesetting" w:hAnsi="Arabic Typesetting" w:cs="Arabic Typesetting"/>
                <w:sz w:val="36"/>
                <w:szCs w:val="36"/>
                <w:rtl/>
                <w:lang w:bidi="ar-EG"/>
              </w:rPr>
              <w:t xml:space="preserve"> الأول</w:t>
            </w:r>
          </w:p>
        </w:tc>
        <w:tc>
          <w:tcPr>
            <w:tcW w:w="1426" w:type="dxa"/>
            <w:vMerge w:val="restart"/>
            <w:shd w:val="clear" w:color="auto" w:fill="auto"/>
          </w:tcPr>
          <w:p w:rsidR="00A071B7" w:rsidRPr="00A071B7" w:rsidRDefault="00A071B7" w:rsidP="00D55E35">
            <w:pPr>
              <w:bidi/>
              <w:rPr>
                <w:rFonts w:ascii="Arabic Typesetting" w:hAnsi="Arabic Typesetting" w:cs="Arabic Typesetting"/>
                <w:sz w:val="36"/>
                <w:szCs w:val="36"/>
                <w:lang w:bidi="ar-EG"/>
              </w:rPr>
            </w:pPr>
            <w:r w:rsidRPr="00A071B7">
              <w:rPr>
                <w:rFonts w:ascii="Arabic Typesetting" w:hAnsi="Arabic Typesetting" w:cs="Arabic Typesetting"/>
                <w:sz w:val="36"/>
                <w:szCs w:val="36"/>
                <w:rtl/>
                <w:lang w:bidi="ar-EG"/>
              </w:rPr>
              <w:t>طلب الفحص</w:t>
            </w:r>
          </w:p>
        </w:tc>
        <w:tc>
          <w:tcPr>
            <w:tcW w:w="2164" w:type="dxa"/>
            <w:gridSpan w:val="2"/>
          </w:tcPr>
          <w:p w:rsidR="00A071B7" w:rsidRPr="00A071B7" w:rsidRDefault="00A071B7" w:rsidP="00D55E35">
            <w:pPr>
              <w:bidi/>
              <w:rPr>
                <w:rFonts w:ascii="Arabic Typesetting" w:hAnsi="Arabic Typesetting" w:cs="Arabic Typesetting"/>
                <w:sz w:val="36"/>
                <w:szCs w:val="36"/>
                <w:lang w:bidi="ar-EG"/>
              </w:rPr>
            </w:pPr>
            <w:r w:rsidRPr="00A071B7">
              <w:rPr>
                <w:rFonts w:ascii="Arabic Typesetting" w:hAnsi="Arabic Typesetting" w:cs="Arabic Typesetting"/>
                <w:sz w:val="36"/>
                <w:szCs w:val="36"/>
                <w:rtl/>
                <w:lang w:bidi="ar-EG"/>
              </w:rPr>
              <w:t xml:space="preserve">يتنوع باختلاف المجال </w:t>
            </w:r>
            <w:proofErr w:type="gramStart"/>
            <w:r w:rsidRPr="00A071B7">
              <w:rPr>
                <w:rFonts w:ascii="Arabic Typesetting" w:hAnsi="Arabic Typesetting" w:cs="Arabic Typesetting"/>
                <w:sz w:val="36"/>
                <w:szCs w:val="36"/>
                <w:rtl/>
                <w:lang w:bidi="ar-EG"/>
              </w:rPr>
              <w:t>ولكن</w:t>
            </w:r>
            <w:proofErr w:type="gramEnd"/>
            <w:r w:rsidRPr="00A071B7">
              <w:rPr>
                <w:rFonts w:ascii="Arabic Typesetting" w:hAnsi="Arabic Typesetting" w:cs="Arabic Typesetting"/>
                <w:sz w:val="36"/>
                <w:szCs w:val="36"/>
                <w:rtl/>
                <w:lang w:bidi="ar-EG"/>
              </w:rPr>
              <w:t xml:space="preserve"> في المتوسط:</w:t>
            </w:r>
          </w:p>
        </w:tc>
        <w:tc>
          <w:tcPr>
            <w:tcW w:w="3192" w:type="dxa"/>
            <w:gridSpan w:val="4"/>
            <w:vMerge w:val="restart"/>
            <w:vAlign w:val="center"/>
          </w:tcPr>
          <w:p w:rsidR="00A071B7" w:rsidRPr="00A31B34" w:rsidRDefault="00A071B7" w:rsidP="00825D6D">
            <w:pPr>
              <w:bidi/>
              <w:spacing w:after="240"/>
              <w:rPr>
                <w:rFonts w:ascii="Arabic Typesetting" w:hAnsi="Arabic Typesetting" w:cs="Arabic Typesetting"/>
                <w:i/>
                <w:iCs/>
                <w:sz w:val="36"/>
                <w:szCs w:val="36"/>
                <w:lang w:bidi="ar-EG"/>
              </w:rPr>
            </w:pPr>
            <w:r w:rsidRPr="00A31B34">
              <w:rPr>
                <w:rFonts w:ascii="Arabic Typesetting" w:hAnsi="Arabic Typesetting" w:cs="Arabic Typesetting"/>
                <w:i/>
                <w:iCs/>
                <w:sz w:val="36"/>
                <w:szCs w:val="36"/>
                <w:rtl/>
                <w:lang w:bidi="ar-EG"/>
              </w:rPr>
              <w:t>غير متاح</w:t>
            </w:r>
          </w:p>
        </w:tc>
        <w:tc>
          <w:tcPr>
            <w:tcW w:w="1366" w:type="dxa"/>
            <w:vAlign w:val="center"/>
          </w:tcPr>
          <w:p w:rsidR="00A071B7" w:rsidRPr="00A071B7" w:rsidRDefault="00A071B7" w:rsidP="00D55E3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10.4</w:t>
            </w:r>
          </w:p>
        </w:tc>
      </w:tr>
      <w:tr w:rsidR="00A071B7" w:rsidRPr="006A6C1D" w:rsidTr="00A071B7">
        <w:trPr>
          <w:cantSplit/>
          <w:trHeight w:val="123"/>
        </w:trPr>
        <w:tc>
          <w:tcPr>
            <w:tcW w:w="1426" w:type="dxa"/>
            <w:vMerge/>
            <w:shd w:val="clear" w:color="auto" w:fill="auto"/>
          </w:tcPr>
          <w:p w:rsidR="00A071B7" w:rsidRPr="00A071B7" w:rsidRDefault="00A071B7" w:rsidP="00D55E35">
            <w:pPr>
              <w:bidi/>
              <w:rPr>
                <w:rFonts w:ascii="Arabic Typesetting" w:hAnsi="Arabic Typesetting" w:cs="Arabic Typesetting"/>
                <w:sz w:val="36"/>
                <w:szCs w:val="36"/>
                <w:lang w:bidi="ar-EG"/>
              </w:rPr>
            </w:pPr>
          </w:p>
        </w:tc>
        <w:tc>
          <w:tcPr>
            <w:tcW w:w="1426" w:type="dxa"/>
            <w:vMerge/>
            <w:shd w:val="clear" w:color="auto" w:fill="auto"/>
          </w:tcPr>
          <w:p w:rsidR="00A071B7" w:rsidRPr="00A071B7" w:rsidRDefault="00A071B7" w:rsidP="00D55E35">
            <w:pPr>
              <w:bidi/>
              <w:rPr>
                <w:rFonts w:ascii="Arabic Typesetting" w:hAnsi="Arabic Typesetting" w:cs="Arabic Typesetting"/>
                <w:sz w:val="36"/>
                <w:szCs w:val="36"/>
                <w:lang w:bidi="ar-EG"/>
              </w:rPr>
            </w:pPr>
          </w:p>
        </w:tc>
        <w:tc>
          <w:tcPr>
            <w:tcW w:w="2164" w:type="dxa"/>
            <w:gridSpan w:val="2"/>
            <w:vAlign w:val="center"/>
          </w:tcPr>
          <w:p w:rsidR="00A071B7" w:rsidRPr="00A071B7" w:rsidRDefault="00825D6D" w:rsidP="00D55E35">
            <w:pPr>
              <w:bidi/>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الميكانيكا</w:t>
            </w:r>
          </w:p>
        </w:tc>
        <w:tc>
          <w:tcPr>
            <w:tcW w:w="3192" w:type="dxa"/>
            <w:gridSpan w:val="4"/>
            <w:vMerge/>
          </w:tcPr>
          <w:p w:rsidR="00A071B7" w:rsidRPr="00A071B7" w:rsidRDefault="00A071B7" w:rsidP="00D55E35">
            <w:pPr>
              <w:bidi/>
              <w:rPr>
                <w:rFonts w:ascii="Arabic Typesetting" w:hAnsi="Arabic Typesetting" w:cs="Arabic Typesetting"/>
                <w:sz w:val="36"/>
                <w:szCs w:val="36"/>
                <w:lang w:bidi="ar-EG"/>
              </w:rPr>
            </w:pPr>
          </w:p>
        </w:tc>
        <w:tc>
          <w:tcPr>
            <w:tcW w:w="1366" w:type="dxa"/>
            <w:vAlign w:val="center"/>
          </w:tcPr>
          <w:p w:rsidR="00A071B7" w:rsidRPr="00A071B7" w:rsidRDefault="00A071B7" w:rsidP="00D55E3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9.4</w:t>
            </w:r>
          </w:p>
        </w:tc>
      </w:tr>
      <w:tr w:rsidR="00A071B7" w:rsidRPr="006A6C1D" w:rsidTr="00A071B7">
        <w:trPr>
          <w:cantSplit/>
          <w:trHeight w:val="123"/>
        </w:trPr>
        <w:tc>
          <w:tcPr>
            <w:tcW w:w="1426" w:type="dxa"/>
            <w:vMerge/>
            <w:shd w:val="clear" w:color="auto" w:fill="auto"/>
          </w:tcPr>
          <w:p w:rsidR="00A071B7" w:rsidRPr="00A071B7" w:rsidRDefault="00A071B7" w:rsidP="00D55E35">
            <w:pPr>
              <w:bidi/>
              <w:rPr>
                <w:rFonts w:ascii="Arabic Typesetting" w:hAnsi="Arabic Typesetting" w:cs="Arabic Typesetting"/>
                <w:sz w:val="36"/>
                <w:szCs w:val="36"/>
                <w:lang w:bidi="ar-EG"/>
              </w:rPr>
            </w:pPr>
          </w:p>
        </w:tc>
        <w:tc>
          <w:tcPr>
            <w:tcW w:w="1426" w:type="dxa"/>
            <w:vMerge/>
            <w:shd w:val="clear" w:color="auto" w:fill="auto"/>
          </w:tcPr>
          <w:p w:rsidR="00A071B7" w:rsidRPr="00A071B7" w:rsidRDefault="00A071B7" w:rsidP="00D55E35">
            <w:pPr>
              <w:bidi/>
              <w:rPr>
                <w:rFonts w:ascii="Arabic Typesetting" w:hAnsi="Arabic Typesetting" w:cs="Arabic Typesetting"/>
                <w:sz w:val="36"/>
                <w:szCs w:val="36"/>
                <w:lang w:bidi="ar-EG"/>
              </w:rPr>
            </w:pPr>
          </w:p>
        </w:tc>
        <w:tc>
          <w:tcPr>
            <w:tcW w:w="2164" w:type="dxa"/>
            <w:gridSpan w:val="2"/>
            <w:vAlign w:val="center"/>
          </w:tcPr>
          <w:p w:rsidR="00A071B7" w:rsidRPr="00A071B7" w:rsidRDefault="00825D6D" w:rsidP="00825D6D">
            <w:pPr>
              <w:bidi/>
              <w:rPr>
                <w:rFonts w:ascii="Arabic Typesetting" w:hAnsi="Arabic Typesetting" w:cs="Arabic Typesetting"/>
                <w:sz w:val="36"/>
                <w:szCs w:val="36"/>
                <w:lang w:bidi="ar-EG"/>
              </w:rPr>
            </w:pPr>
            <w:r w:rsidRPr="00825D6D">
              <w:rPr>
                <w:rFonts w:ascii="Arabic Typesetting" w:hAnsi="Arabic Typesetting" w:cs="Arabic Typesetting"/>
                <w:sz w:val="36"/>
                <w:szCs w:val="36"/>
                <w:rtl/>
                <w:lang w:bidi="ar-EG"/>
              </w:rPr>
              <w:t>الكهرباء/الإلكترونيات</w:t>
            </w:r>
          </w:p>
        </w:tc>
        <w:tc>
          <w:tcPr>
            <w:tcW w:w="3192" w:type="dxa"/>
            <w:gridSpan w:val="4"/>
            <w:vMerge/>
          </w:tcPr>
          <w:p w:rsidR="00A071B7" w:rsidRPr="00A071B7" w:rsidRDefault="00A071B7" w:rsidP="00D55E35">
            <w:pPr>
              <w:bidi/>
              <w:rPr>
                <w:rFonts w:ascii="Arabic Typesetting" w:hAnsi="Arabic Typesetting" w:cs="Arabic Typesetting"/>
                <w:sz w:val="36"/>
                <w:szCs w:val="36"/>
                <w:lang w:bidi="ar-EG"/>
              </w:rPr>
            </w:pPr>
          </w:p>
        </w:tc>
        <w:tc>
          <w:tcPr>
            <w:tcW w:w="1366" w:type="dxa"/>
            <w:vAlign w:val="center"/>
          </w:tcPr>
          <w:p w:rsidR="00A071B7" w:rsidRPr="00A071B7" w:rsidRDefault="00A071B7" w:rsidP="00D55E3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10.2</w:t>
            </w:r>
          </w:p>
        </w:tc>
      </w:tr>
      <w:tr w:rsidR="00A071B7" w:rsidRPr="006A6C1D" w:rsidTr="00A071B7">
        <w:trPr>
          <w:cantSplit/>
          <w:trHeight w:val="123"/>
        </w:trPr>
        <w:tc>
          <w:tcPr>
            <w:tcW w:w="1426" w:type="dxa"/>
            <w:vMerge/>
            <w:shd w:val="clear" w:color="auto" w:fill="auto"/>
          </w:tcPr>
          <w:p w:rsidR="00A071B7" w:rsidRPr="00A071B7" w:rsidRDefault="00A071B7" w:rsidP="00D55E35">
            <w:pPr>
              <w:bidi/>
              <w:rPr>
                <w:rFonts w:ascii="Arabic Typesetting" w:hAnsi="Arabic Typesetting" w:cs="Arabic Typesetting"/>
                <w:sz w:val="36"/>
                <w:szCs w:val="36"/>
                <w:lang w:bidi="ar-EG"/>
              </w:rPr>
            </w:pPr>
          </w:p>
        </w:tc>
        <w:tc>
          <w:tcPr>
            <w:tcW w:w="1426" w:type="dxa"/>
            <w:vMerge/>
            <w:shd w:val="clear" w:color="auto" w:fill="auto"/>
          </w:tcPr>
          <w:p w:rsidR="00A071B7" w:rsidRPr="00A071B7" w:rsidRDefault="00A071B7" w:rsidP="00D55E35">
            <w:pPr>
              <w:bidi/>
              <w:rPr>
                <w:rFonts w:ascii="Arabic Typesetting" w:hAnsi="Arabic Typesetting" w:cs="Arabic Typesetting"/>
                <w:sz w:val="36"/>
                <w:szCs w:val="36"/>
                <w:lang w:bidi="ar-EG"/>
              </w:rPr>
            </w:pPr>
          </w:p>
        </w:tc>
        <w:tc>
          <w:tcPr>
            <w:tcW w:w="2164" w:type="dxa"/>
            <w:gridSpan w:val="2"/>
            <w:vAlign w:val="center"/>
          </w:tcPr>
          <w:p w:rsidR="00A071B7" w:rsidRPr="00A071B7" w:rsidRDefault="00825D6D" w:rsidP="00825D6D">
            <w:pPr>
              <w:bidi/>
              <w:rPr>
                <w:rFonts w:ascii="Arabic Typesetting" w:hAnsi="Arabic Typesetting" w:cs="Arabic Typesetting"/>
                <w:sz w:val="36"/>
                <w:szCs w:val="36"/>
                <w:lang w:bidi="ar-EG"/>
              </w:rPr>
            </w:pPr>
            <w:r w:rsidRPr="00825D6D">
              <w:rPr>
                <w:rFonts w:ascii="Arabic Typesetting" w:hAnsi="Arabic Typesetting" w:cs="Arabic Typesetting"/>
                <w:sz w:val="36"/>
                <w:szCs w:val="36"/>
                <w:rtl/>
                <w:lang w:bidi="ar-EG"/>
              </w:rPr>
              <w:t>الكيمياء</w:t>
            </w:r>
          </w:p>
        </w:tc>
        <w:tc>
          <w:tcPr>
            <w:tcW w:w="3192" w:type="dxa"/>
            <w:gridSpan w:val="4"/>
            <w:vMerge/>
          </w:tcPr>
          <w:p w:rsidR="00A071B7" w:rsidRPr="00A071B7" w:rsidRDefault="00A071B7" w:rsidP="00D55E35">
            <w:pPr>
              <w:bidi/>
              <w:rPr>
                <w:rFonts w:ascii="Arabic Typesetting" w:hAnsi="Arabic Typesetting" w:cs="Arabic Typesetting"/>
                <w:sz w:val="36"/>
                <w:szCs w:val="36"/>
                <w:lang w:bidi="ar-EG"/>
              </w:rPr>
            </w:pPr>
          </w:p>
        </w:tc>
        <w:tc>
          <w:tcPr>
            <w:tcW w:w="1366" w:type="dxa"/>
            <w:vAlign w:val="center"/>
          </w:tcPr>
          <w:p w:rsidR="00A071B7" w:rsidRPr="00A071B7" w:rsidRDefault="00A071B7" w:rsidP="00D55E35">
            <w:pPr>
              <w:bidi/>
              <w:rPr>
                <w:rFonts w:ascii="Arabic Typesetting" w:hAnsi="Arabic Typesetting" w:cs="Arabic Typesetting"/>
                <w:sz w:val="36"/>
                <w:szCs w:val="36"/>
                <w:lang w:bidi="ar-EG"/>
              </w:rPr>
            </w:pPr>
          </w:p>
        </w:tc>
      </w:tr>
      <w:tr w:rsidR="00A071B7" w:rsidRPr="006A6C1D" w:rsidTr="00A071B7">
        <w:trPr>
          <w:cantSplit/>
          <w:trHeight w:val="123"/>
        </w:trPr>
        <w:tc>
          <w:tcPr>
            <w:tcW w:w="1426" w:type="dxa"/>
            <w:vMerge/>
            <w:shd w:val="clear" w:color="auto" w:fill="auto"/>
          </w:tcPr>
          <w:p w:rsidR="00A071B7" w:rsidRPr="00A071B7" w:rsidRDefault="00A071B7" w:rsidP="00D55E35">
            <w:pPr>
              <w:bidi/>
              <w:rPr>
                <w:rFonts w:ascii="Arabic Typesetting" w:hAnsi="Arabic Typesetting" w:cs="Arabic Typesetting"/>
                <w:sz w:val="36"/>
                <w:szCs w:val="36"/>
                <w:lang w:bidi="ar-EG"/>
              </w:rPr>
            </w:pPr>
          </w:p>
        </w:tc>
        <w:tc>
          <w:tcPr>
            <w:tcW w:w="1426" w:type="dxa"/>
            <w:vMerge/>
            <w:shd w:val="clear" w:color="auto" w:fill="auto"/>
          </w:tcPr>
          <w:p w:rsidR="00A071B7" w:rsidRPr="00A071B7" w:rsidRDefault="00A071B7" w:rsidP="00D55E35">
            <w:pPr>
              <w:bidi/>
              <w:rPr>
                <w:rFonts w:ascii="Arabic Typesetting" w:hAnsi="Arabic Typesetting" w:cs="Arabic Typesetting"/>
                <w:sz w:val="36"/>
                <w:szCs w:val="36"/>
                <w:lang w:bidi="ar-EG"/>
              </w:rPr>
            </w:pPr>
          </w:p>
        </w:tc>
        <w:tc>
          <w:tcPr>
            <w:tcW w:w="2164" w:type="dxa"/>
            <w:gridSpan w:val="2"/>
            <w:vAlign w:val="center"/>
          </w:tcPr>
          <w:p w:rsidR="00A071B7" w:rsidRPr="00A071B7" w:rsidRDefault="00340919" w:rsidP="00825D6D">
            <w:pPr>
              <w:bidi/>
              <w:rPr>
                <w:rFonts w:ascii="Arabic Typesetting" w:hAnsi="Arabic Typesetting" w:cs="Arabic Typesetting"/>
                <w:sz w:val="36"/>
                <w:szCs w:val="36"/>
                <w:lang w:bidi="ar-EG"/>
              </w:rPr>
            </w:pPr>
            <w:r>
              <w:rPr>
                <w:rFonts w:ascii="Arabic Typesetting" w:hAnsi="Arabic Typesetting" w:cs="Arabic Typesetting"/>
                <w:sz w:val="36"/>
                <w:szCs w:val="36"/>
                <w:rtl/>
                <w:lang w:bidi="ar-EG"/>
              </w:rPr>
              <w:t xml:space="preserve"> </w:t>
            </w:r>
            <w:r w:rsidR="00A071B7" w:rsidRPr="00A071B7">
              <w:rPr>
                <w:rFonts w:ascii="Arabic Typesetting" w:hAnsi="Arabic Typesetting" w:cs="Arabic Typesetting"/>
                <w:sz w:val="36"/>
                <w:szCs w:val="36"/>
                <w:rtl/>
                <w:lang w:bidi="ar-EG"/>
              </w:rPr>
              <w:t xml:space="preserve"> </w:t>
            </w:r>
            <w:proofErr w:type="gramStart"/>
            <w:r w:rsidR="00825D6D" w:rsidRPr="00825D6D">
              <w:rPr>
                <w:rFonts w:ascii="Arabic Typesetting" w:hAnsi="Arabic Typesetting" w:cs="Arabic Typesetting" w:hint="cs"/>
                <w:sz w:val="36"/>
                <w:szCs w:val="36"/>
                <w:rtl/>
                <w:lang w:bidi="ar-EG"/>
              </w:rPr>
              <w:t>ال</w:t>
            </w:r>
            <w:r w:rsidR="00825D6D" w:rsidRPr="00825D6D">
              <w:rPr>
                <w:rFonts w:ascii="Arabic Typesetting" w:hAnsi="Arabic Typesetting" w:cs="Arabic Typesetting"/>
                <w:sz w:val="36"/>
                <w:szCs w:val="36"/>
                <w:rtl/>
                <w:lang w:bidi="ar-EG"/>
              </w:rPr>
              <w:t>كيمياء</w:t>
            </w:r>
            <w:proofErr w:type="gramEnd"/>
            <w:r w:rsidR="00825D6D" w:rsidRPr="00825D6D">
              <w:rPr>
                <w:rFonts w:ascii="Arabic Typesetting" w:hAnsi="Arabic Typesetting" w:cs="Arabic Typesetting"/>
                <w:sz w:val="36"/>
                <w:szCs w:val="36"/>
                <w:rtl/>
                <w:lang w:bidi="ar-EG"/>
              </w:rPr>
              <w:t xml:space="preserve"> </w:t>
            </w:r>
            <w:r w:rsidR="00825D6D" w:rsidRPr="00825D6D">
              <w:rPr>
                <w:rFonts w:ascii="Arabic Typesetting" w:hAnsi="Arabic Typesetting" w:cs="Arabic Typesetting" w:hint="cs"/>
                <w:sz w:val="36"/>
                <w:szCs w:val="36"/>
                <w:rtl/>
                <w:lang w:bidi="ar-EG"/>
              </w:rPr>
              <w:t>العامة</w:t>
            </w:r>
          </w:p>
        </w:tc>
        <w:tc>
          <w:tcPr>
            <w:tcW w:w="3192" w:type="dxa"/>
            <w:gridSpan w:val="4"/>
            <w:vMerge/>
          </w:tcPr>
          <w:p w:rsidR="00A071B7" w:rsidRPr="00A071B7" w:rsidRDefault="00A071B7" w:rsidP="00D55E35">
            <w:pPr>
              <w:bidi/>
              <w:rPr>
                <w:rFonts w:ascii="Arabic Typesetting" w:hAnsi="Arabic Typesetting" w:cs="Arabic Typesetting"/>
                <w:sz w:val="36"/>
                <w:szCs w:val="36"/>
                <w:lang w:bidi="ar-EG"/>
              </w:rPr>
            </w:pPr>
          </w:p>
        </w:tc>
        <w:tc>
          <w:tcPr>
            <w:tcW w:w="1366" w:type="dxa"/>
            <w:vAlign w:val="center"/>
          </w:tcPr>
          <w:p w:rsidR="00A071B7" w:rsidRPr="00A071B7" w:rsidRDefault="00A071B7" w:rsidP="00D55E3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11.2</w:t>
            </w:r>
          </w:p>
        </w:tc>
      </w:tr>
      <w:tr w:rsidR="00A071B7" w:rsidRPr="006A6C1D" w:rsidTr="00A071B7">
        <w:trPr>
          <w:cantSplit/>
          <w:trHeight w:val="123"/>
        </w:trPr>
        <w:tc>
          <w:tcPr>
            <w:tcW w:w="1426" w:type="dxa"/>
            <w:vMerge/>
            <w:tcBorders>
              <w:bottom w:val="nil"/>
            </w:tcBorders>
            <w:shd w:val="clear" w:color="auto" w:fill="auto"/>
          </w:tcPr>
          <w:p w:rsidR="00A071B7" w:rsidRPr="00A071B7" w:rsidRDefault="00A071B7" w:rsidP="00D55E35">
            <w:pPr>
              <w:bidi/>
              <w:rPr>
                <w:rFonts w:ascii="Arabic Typesetting" w:hAnsi="Arabic Typesetting" w:cs="Arabic Typesetting"/>
                <w:sz w:val="36"/>
                <w:szCs w:val="36"/>
                <w:lang w:bidi="ar-EG"/>
              </w:rPr>
            </w:pPr>
          </w:p>
        </w:tc>
        <w:tc>
          <w:tcPr>
            <w:tcW w:w="1426" w:type="dxa"/>
            <w:vMerge/>
            <w:tcBorders>
              <w:bottom w:val="nil"/>
            </w:tcBorders>
            <w:shd w:val="clear" w:color="auto" w:fill="auto"/>
          </w:tcPr>
          <w:p w:rsidR="00A071B7" w:rsidRPr="00A071B7" w:rsidRDefault="00A071B7" w:rsidP="00D55E35">
            <w:pPr>
              <w:bidi/>
              <w:rPr>
                <w:rFonts w:ascii="Arabic Typesetting" w:hAnsi="Arabic Typesetting" w:cs="Arabic Typesetting"/>
                <w:sz w:val="36"/>
                <w:szCs w:val="36"/>
                <w:lang w:bidi="ar-EG"/>
              </w:rPr>
            </w:pPr>
          </w:p>
        </w:tc>
        <w:tc>
          <w:tcPr>
            <w:tcW w:w="2164" w:type="dxa"/>
            <w:gridSpan w:val="2"/>
            <w:vAlign w:val="center"/>
          </w:tcPr>
          <w:p w:rsidR="00A071B7" w:rsidRPr="00A071B7" w:rsidRDefault="00340919" w:rsidP="00825D6D">
            <w:pPr>
              <w:bidi/>
              <w:rPr>
                <w:rFonts w:ascii="Arabic Typesetting" w:hAnsi="Arabic Typesetting" w:cs="Arabic Typesetting"/>
                <w:sz w:val="36"/>
                <w:szCs w:val="36"/>
                <w:lang w:bidi="ar-EG"/>
              </w:rPr>
            </w:pPr>
            <w:r>
              <w:rPr>
                <w:rFonts w:ascii="Arabic Typesetting" w:hAnsi="Arabic Typesetting" w:cs="Arabic Typesetting"/>
                <w:sz w:val="36"/>
                <w:szCs w:val="36"/>
                <w:rtl/>
                <w:lang w:bidi="ar-EG"/>
              </w:rPr>
              <w:t xml:space="preserve"> </w:t>
            </w:r>
            <w:r w:rsidR="00A071B7" w:rsidRPr="00A071B7">
              <w:rPr>
                <w:rFonts w:ascii="Arabic Typesetting" w:hAnsi="Arabic Typesetting" w:cs="Arabic Typesetting"/>
                <w:sz w:val="36"/>
                <w:szCs w:val="36"/>
                <w:rtl/>
                <w:lang w:bidi="ar-EG"/>
              </w:rPr>
              <w:t xml:space="preserve"> </w:t>
            </w:r>
            <w:r w:rsidR="00825D6D" w:rsidRPr="00825D6D">
              <w:rPr>
                <w:rFonts w:ascii="Arabic Typesetting" w:hAnsi="Arabic Typesetting" w:cs="Arabic Typesetting" w:hint="cs"/>
                <w:sz w:val="36"/>
                <w:szCs w:val="36"/>
                <w:rtl/>
                <w:lang w:bidi="ar-EG"/>
              </w:rPr>
              <w:t>ال</w:t>
            </w:r>
            <w:r w:rsidR="00825D6D" w:rsidRPr="00825D6D">
              <w:rPr>
                <w:rFonts w:ascii="Arabic Typesetting" w:hAnsi="Arabic Typesetting" w:cs="Arabic Typesetting"/>
                <w:sz w:val="36"/>
                <w:szCs w:val="36"/>
                <w:rtl/>
                <w:lang w:bidi="ar-EG"/>
              </w:rPr>
              <w:t xml:space="preserve">كيمياء </w:t>
            </w:r>
            <w:r w:rsidR="00825D6D" w:rsidRPr="00825D6D">
              <w:rPr>
                <w:rFonts w:ascii="Arabic Typesetting" w:hAnsi="Arabic Typesetting" w:cs="Arabic Typesetting" w:hint="cs"/>
                <w:sz w:val="36"/>
                <w:szCs w:val="36"/>
                <w:rtl/>
                <w:lang w:bidi="ar-EG"/>
              </w:rPr>
              <w:t>ال</w:t>
            </w:r>
            <w:r w:rsidR="00825D6D" w:rsidRPr="00825D6D">
              <w:rPr>
                <w:rFonts w:ascii="Arabic Typesetting" w:hAnsi="Arabic Typesetting" w:cs="Arabic Typesetting"/>
                <w:sz w:val="36"/>
                <w:szCs w:val="36"/>
                <w:rtl/>
                <w:lang w:bidi="ar-EG"/>
              </w:rPr>
              <w:t>عضوية</w:t>
            </w:r>
          </w:p>
        </w:tc>
        <w:tc>
          <w:tcPr>
            <w:tcW w:w="3192" w:type="dxa"/>
            <w:gridSpan w:val="4"/>
            <w:vMerge/>
          </w:tcPr>
          <w:p w:rsidR="00A071B7" w:rsidRPr="00A071B7" w:rsidRDefault="00A071B7" w:rsidP="00D55E35">
            <w:pPr>
              <w:bidi/>
              <w:rPr>
                <w:rFonts w:ascii="Arabic Typesetting" w:hAnsi="Arabic Typesetting" w:cs="Arabic Typesetting"/>
                <w:sz w:val="36"/>
                <w:szCs w:val="36"/>
                <w:lang w:bidi="ar-EG"/>
              </w:rPr>
            </w:pPr>
          </w:p>
        </w:tc>
        <w:tc>
          <w:tcPr>
            <w:tcW w:w="1366" w:type="dxa"/>
            <w:vAlign w:val="center"/>
          </w:tcPr>
          <w:p w:rsidR="00A071B7" w:rsidRPr="00A071B7" w:rsidRDefault="00A071B7" w:rsidP="00D55E3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11.1</w:t>
            </w:r>
          </w:p>
        </w:tc>
      </w:tr>
      <w:tr w:rsidR="00A071B7" w:rsidRPr="006A6C1D" w:rsidTr="00A071B7">
        <w:trPr>
          <w:cantSplit/>
          <w:trHeight w:val="123"/>
        </w:trPr>
        <w:tc>
          <w:tcPr>
            <w:tcW w:w="1426" w:type="dxa"/>
            <w:tcBorders>
              <w:top w:val="nil"/>
              <w:left w:val="single" w:sz="4" w:space="0" w:color="auto"/>
              <w:bottom w:val="single" w:sz="4" w:space="0" w:color="auto"/>
              <w:right w:val="single" w:sz="4" w:space="0" w:color="auto"/>
            </w:tcBorders>
            <w:shd w:val="clear" w:color="auto" w:fill="auto"/>
          </w:tcPr>
          <w:p w:rsidR="00A071B7" w:rsidRPr="00A071B7" w:rsidRDefault="00A071B7" w:rsidP="00D55E35">
            <w:pPr>
              <w:bidi/>
              <w:rPr>
                <w:rFonts w:ascii="Arabic Typesetting" w:hAnsi="Arabic Typesetting" w:cs="Arabic Typesetting"/>
                <w:sz w:val="36"/>
                <w:szCs w:val="36"/>
                <w:lang w:bidi="ar-EG"/>
              </w:rPr>
            </w:pPr>
          </w:p>
        </w:tc>
        <w:tc>
          <w:tcPr>
            <w:tcW w:w="1426" w:type="dxa"/>
            <w:tcBorders>
              <w:top w:val="nil"/>
              <w:left w:val="single" w:sz="4" w:space="0" w:color="auto"/>
              <w:bottom w:val="single" w:sz="4" w:space="0" w:color="auto"/>
              <w:right w:val="single" w:sz="4" w:space="0" w:color="auto"/>
            </w:tcBorders>
            <w:shd w:val="clear" w:color="auto" w:fill="auto"/>
          </w:tcPr>
          <w:p w:rsidR="00A071B7" w:rsidRPr="00A071B7" w:rsidRDefault="00A071B7" w:rsidP="00D55E35">
            <w:pPr>
              <w:bidi/>
              <w:rPr>
                <w:rFonts w:ascii="Arabic Typesetting" w:hAnsi="Arabic Typesetting" w:cs="Arabic Typesetting"/>
                <w:sz w:val="36"/>
                <w:szCs w:val="36"/>
                <w:lang w:bidi="ar-EG"/>
              </w:rPr>
            </w:pPr>
          </w:p>
        </w:tc>
        <w:tc>
          <w:tcPr>
            <w:tcW w:w="2164" w:type="dxa"/>
            <w:gridSpan w:val="2"/>
            <w:tcBorders>
              <w:left w:val="single" w:sz="4" w:space="0" w:color="auto"/>
            </w:tcBorders>
            <w:vAlign w:val="center"/>
          </w:tcPr>
          <w:p w:rsidR="00A071B7" w:rsidRPr="00A071B7" w:rsidRDefault="00825D6D" w:rsidP="00825D6D">
            <w:pPr>
              <w:bidi/>
              <w:rPr>
                <w:rFonts w:ascii="Arabic Typesetting" w:hAnsi="Arabic Typesetting" w:cs="Arabic Typesetting"/>
                <w:sz w:val="36"/>
                <w:szCs w:val="36"/>
                <w:lang w:bidi="ar-EG"/>
              </w:rPr>
            </w:pPr>
            <w:proofErr w:type="spellStart"/>
            <w:r w:rsidRPr="00825D6D">
              <w:rPr>
                <w:rFonts w:ascii="Arabic Typesetting" w:hAnsi="Arabic Typesetting" w:cs="Arabic Typesetting"/>
                <w:sz w:val="36"/>
                <w:szCs w:val="36"/>
                <w:rtl/>
                <w:lang w:bidi="ar-EG"/>
              </w:rPr>
              <w:t>البيوتكنولوجيا</w:t>
            </w:r>
            <w:proofErr w:type="spellEnd"/>
          </w:p>
        </w:tc>
        <w:tc>
          <w:tcPr>
            <w:tcW w:w="3192" w:type="dxa"/>
            <w:gridSpan w:val="4"/>
            <w:vMerge/>
          </w:tcPr>
          <w:p w:rsidR="00A071B7" w:rsidRPr="00A071B7" w:rsidRDefault="00A071B7" w:rsidP="00D55E35">
            <w:pPr>
              <w:bidi/>
              <w:rPr>
                <w:rFonts w:ascii="Arabic Typesetting" w:hAnsi="Arabic Typesetting" w:cs="Arabic Typesetting"/>
                <w:sz w:val="36"/>
                <w:szCs w:val="36"/>
                <w:lang w:bidi="ar-EG"/>
              </w:rPr>
            </w:pPr>
          </w:p>
        </w:tc>
        <w:tc>
          <w:tcPr>
            <w:tcW w:w="1366" w:type="dxa"/>
            <w:vAlign w:val="center"/>
          </w:tcPr>
          <w:p w:rsidR="00A071B7" w:rsidRPr="00A071B7" w:rsidRDefault="00A071B7" w:rsidP="00D55E3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10.2</w:t>
            </w:r>
          </w:p>
        </w:tc>
      </w:tr>
      <w:tr w:rsidR="00A071B7" w:rsidRPr="006A6C1D" w:rsidTr="00A071B7">
        <w:trPr>
          <w:cantSplit/>
          <w:trHeight w:val="123"/>
        </w:trPr>
        <w:tc>
          <w:tcPr>
            <w:tcW w:w="1426" w:type="dxa"/>
            <w:vMerge w:val="restart"/>
            <w:tcBorders>
              <w:top w:val="single" w:sz="4" w:space="0" w:color="auto"/>
            </w:tcBorders>
            <w:shd w:val="clear" w:color="auto" w:fill="auto"/>
          </w:tcPr>
          <w:p w:rsidR="00A071B7" w:rsidRPr="00A071B7" w:rsidRDefault="00A071B7" w:rsidP="00D55E35">
            <w:pPr>
              <w:keepNext/>
              <w:bidi/>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ا</w:t>
            </w:r>
            <w:r w:rsidRPr="00A071B7">
              <w:rPr>
                <w:rFonts w:ascii="Arabic Typesetting" w:hAnsi="Arabic Typesetting" w:cs="Arabic Typesetting"/>
                <w:sz w:val="36"/>
                <w:szCs w:val="36"/>
                <w:rtl/>
                <w:lang w:bidi="ar-EG"/>
              </w:rPr>
              <w:t>لمنح</w:t>
            </w:r>
          </w:p>
        </w:tc>
        <w:tc>
          <w:tcPr>
            <w:tcW w:w="1426" w:type="dxa"/>
            <w:vMerge w:val="restart"/>
            <w:tcBorders>
              <w:top w:val="single" w:sz="4" w:space="0" w:color="auto"/>
            </w:tcBorders>
            <w:shd w:val="clear" w:color="auto" w:fill="auto"/>
          </w:tcPr>
          <w:p w:rsidR="00A071B7" w:rsidRPr="00A071B7" w:rsidRDefault="00A071B7" w:rsidP="00D55E35">
            <w:pPr>
              <w:keepNext/>
              <w:bidi/>
              <w:rPr>
                <w:rFonts w:ascii="Arabic Typesetting" w:hAnsi="Arabic Typesetting" w:cs="Arabic Typesetting"/>
                <w:sz w:val="36"/>
                <w:szCs w:val="36"/>
                <w:lang w:bidi="ar-EG"/>
              </w:rPr>
            </w:pPr>
            <w:r w:rsidRPr="00A071B7">
              <w:rPr>
                <w:rFonts w:ascii="Arabic Typesetting" w:hAnsi="Arabic Typesetting" w:cs="Arabic Typesetting"/>
                <w:sz w:val="36"/>
                <w:szCs w:val="36"/>
                <w:rtl/>
                <w:lang w:bidi="ar-EG"/>
              </w:rPr>
              <w:t>طلب الفحص</w:t>
            </w:r>
          </w:p>
        </w:tc>
        <w:tc>
          <w:tcPr>
            <w:tcW w:w="2164" w:type="dxa"/>
            <w:gridSpan w:val="2"/>
            <w:vAlign w:val="center"/>
          </w:tcPr>
          <w:p w:rsidR="00A071B7" w:rsidRPr="00A071B7" w:rsidRDefault="00A071B7" w:rsidP="00D55E35">
            <w:pPr>
              <w:keepNext/>
              <w:bidi/>
              <w:rPr>
                <w:rFonts w:ascii="Arabic Typesetting" w:hAnsi="Arabic Typesetting" w:cs="Arabic Typesetting"/>
                <w:sz w:val="36"/>
                <w:szCs w:val="36"/>
                <w:lang w:bidi="ar-EG"/>
              </w:rPr>
            </w:pPr>
            <w:r w:rsidRPr="00A071B7">
              <w:rPr>
                <w:rFonts w:ascii="Arabic Typesetting" w:hAnsi="Arabic Typesetting" w:cs="Arabic Typesetting"/>
                <w:sz w:val="36"/>
                <w:szCs w:val="36"/>
                <w:rtl/>
                <w:lang w:bidi="ar-EG"/>
              </w:rPr>
              <w:t>يتنوع باختلاف المجال</w:t>
            </w:r>
            <w:r w:rsidR="00825D6D">
              <w:rPr>
                <w:rFonts w:ascii="Arabic Typesetting" w:hAnsi="Arabic Typesetting" w:cs="Arabic Typesetting" w:hint="cs"/>
                <w:sz w:val="36"/>
                <w:szCs w:val="36"/>
                <w:rtl/>
                <w:lang w:bidi="ar-EG"/>
              </w:rPr>
              <w:t xml:space="preserve"> </w:t>
            </w:r>
            <w:proofErr w:type="gramStart"/>
            <w:r w:rsidRPr="00A071B7">
              <w:rPr>
                <w:rFonts w:ascii="Arabic Typesetting" w:hAnsi="Arabic Typesetting" w:cs="Arabic Typesetting"/>
                <w:sz w:val="36"/>
                <w:szCs w:val="36"/>
                <w:rtl/>
                <w:lang w:bidi="ar-EG"/>
              </w:rPr>
              <w:t>ولكن</w:t>
            </w:r>
            <w:proofErr w:type="gramEnd"/>
            <w:r w:rsidRPr="00A071B7">
              <w:rPr>
                <w:rFonts w:ascii="Arabic Typesetting" w:hAnsi="Arabic Typesetting" w:cs="Arabic Typesetting"/>
                <w:sz w:val="36"/>
                <w:szCs w:val="36"/>
                <w:rtl/>
                <w:lang w:bidi="ar-EG"/>
              </w:rPr>
              <w:t xml:space="preserve"> في المتوسط: </w:t>
            </w:r>
          </w:p>
        </w:tc>
        <w:tc>
          <w:tcPr>
            <w:tcW w:w="749" w:type="dxa"/>
            <w:vAlign w:val="center"/>
          </w:tcPr>
          <w:p w:rsidR="00A071B7" w:rsidRPr="00A071B7" w:rsidRDefault="00A071B7" w:rsidP="00D55E35">
            <w:pPr>
              <w:keepNext/>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48.4</w:t>
            </w:r>
          </w:p>
        </w:tc>
        <w:tc>
          <w:tcPr>
            <w:tcW w:w="783" w:type="dxa"/>
            <w:vAlign w:val="center"/>
          </w:tcPr>
          <w:p w:rsidR="00A071B7" w:rsidRPr="00A071B7" w:rsidRDefault="00A071B7" w:rsidP="00D55E35">
            <w:pPr>
              <w:keepNext/>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45.7</w:t>
            </w:r>
          </w:p>
        </w:tc>
        <w:tc>
          <w:tcPr>
            <w:tcW w:w="777" w:type="dxa"/>
            <w:vAlign w:val="center"/>
          </w:tcPr>
          <w:p w:rsidR="00A071B7" w:rsidRPr="00A071B7" w:rsidRDefault="00A071B7" w:rsidP="00D55E35">
            <w:pPr>
              <w:keepNext/>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42.7</w:t>
            </w:r>
          </w:p>
        </w:tc>
        <w:tc>
          <w:tcPr>
            <w:tcW w:w="883" w:type="dxa"/>
            <w:vAlign w:val="center"/>
          </w:tcPr>
          <w:p w:rsidR="00A071B7" w:rsidRPr="00A071B7" w:rsidRDefault="00A071B7" w:rsidP="00D55E35">
            <w:pPr>
              <w:keepNext/>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40.3</w:t>
            </w:r>
          </w:p>
        </w:tc>
        <w:tc>
          <w:tcPr>
            <w:tcW w:w="1366" w:type="dxa"/>
            <w:shd w:val="clear" w:color="auto" w:fill="auto"/>
            <w:vAlign w:val="center"/>
          </w:tcPr>
          <w:p w:rsidR="00A071B7" w:rsidRPr="00A071B7" w:rsidRDefault="00A071B7" w:rsidP="00D55E35">
            <w:pPr>
              <w:keepNext/>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35.7</w:t>
            </w:r>
          </w:p>
        </w:tc>
      </w:tr>
      <w:tr w:rsidR="00A071B7" w:rsidRPr="006A6C1D" w:rsidTr="00A071B7">
        <w:trPr>
          <w:cantSplit/>
          <w:trHeight w:val="123"/>
        </w:trPr>
        <w:tc>
          <w:tcPr>
            <w:tcW w:w="1426" w:type="dxa"/>
            <w:vMerge/>
            <w:shd w:val="clear" w:color="auto" w:fill="auto"/>
          </w:tcPr>
          <w:p w:rsidR="00A071B7" w:rsidRPr="00A071B7" w:rsidRDefault="00A071B7" w:rsidP="00D55E35">
            <w:pPr>
              <w:keepNext/>
              <w:bidi/>
              <w:rPr>
                <w:rFonts w:ascii="Arabic Typesetting" w:hAnsi="Arabic Typesetting" w:cs="Arabic Typesetting"/>
                <w:sz w:val="36"/>
                <w:szCs w:val="36"/>
                <w:lang w:bidi="ar-EG"/>
              </w:rPr>
            </w:pPr>
          </w:p>
        </w:tc>
        <w:tc>
          <w:tcPr>
            <w:tcW w:w="1426" w:type="dxa"/>
            <w:vMerge/>
            <w:shd w:val="clear" w:color="auto" w:fill="auto"/>
          </w:tcPr>
          <w:p w:rsidR="00A071B7" w:rsidRPr="00A071B7" w:rsidRDefault="00A071B7" w:rsidP="00D55E35">
            <w:pPr>
              <w:keepNext/>
              <w:bidi/>
              <w:rPr>
                <w:rFonts w:ascii="Arabic Typesetting" w:hAnsi="Arabic Typesetting" w:cs="Arabic Typesetting"/>
                <w:sz w:val="36"/>
                <w:szCs w:val="36"/>
                <w:lang w:bidi="ar-EG"/>
              </w:rPr>
            </w:pPr>
          </w:p>
        </w:tc>
        <w:tc>
          <w:tcPr>
            <w:tcW w:w="2164" w:type="dxa"/>
            <w:gridSpan w:val="2"/>
            <w:vAlign w:val="center"/>
          </w:tcPr>
          <w:p w:rsidR="00A071B7" w:rsidRPr="00A071B7" w:rsidRDefault="00825D6D" w:rsidP="00D55E35">
            <w:pPr>
              <w:keepNext/>
              <w:bidi/>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الميكانيكا</w:t>
            </w:r>
          </w:p>
        </w:tc>
        <w:tc>
          <w:tcPr>
            <w:tcW w:w="3192" w:type="dxa"/>
            <w:gridSpan w:val="4"/>
            <w:vMerge w:val="restart"/>
            <w:vAlign w:val="center"/>
          </w:tcPr>
          <w:p w:rsidR="00A071B7" w:rsidRPr="00825D6D" w:rsidRDefault="00A071B7" w:rsidP="00825D6D">
            <w:pPr>
              <w:keepNext/>
              <w:bidi/>
              <w:spacing w:after="240"/>
              <w:rPr>
                <w:rFonts w:ascii="Arabic Typesetting" w:hAnsi="Arabic Typesetting" w:cs="Arabic Typesetting"/>
                <w:i/>
                <w:iCs/>
                <w:sz w:val="36"/>
                <w:szCs w:val="36"/>
                <w:lang w:bidi="ar-EG"/>
              </w:rPr>
            </w:pPr>
            <w:r w:rsidRPr="00825D6D">
              <w:rPr>
                <w:rFonts w:ascii="Arabic Typesetting" w:hAnsi="Arabic Typesetting" w:cs="Arabic Typesetting"/>
                <w:i/>
                <w:iCs/>
                <w:sz w:val="36"/>
                <w:szCs w:val="36"/>
                <w:rtl/>
                <w:lang w:bidi="ar-EG"/>
              </w:rPr>
              <w:t>غير متاح</w:t>
            </w:r>
          </w:p>
        </w:tc>
        <w:tc>
          <w:tcPr>
            <w:tcW w:w="1366" w:type="dxa"/>
            <w:shd w:val="clear" w:color="auto" w:fill="auto"/>
            <w:vAlign w:val="center"/>
          </w:tcPr>
          <w:p w:rsidR="00A071B7" w:rsidRPr="00A071B7" w:rsidRDefault="00A071B7" w:rsidP="00D55E35">
            <w:pPr>
              <w:keepNext/>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28.3</w:t>
            </w:r>
          </w:p>
        </w:tc>
      </w:tr>
      <w:tr w:rsidR="00A071B7" w:rsidRPr="006A6C1D" w:rsidTr="00A071B7">
        <w:trPr>
          <w:cantSplit/>
          <w:trHeight w:val="123"/>
        </w:trPr>
        <w:tc>
          <w:tcPr>
            <w:tcW w:w="1426" w:type="dxa"/>
            <w:vMerge/>
            <w:shd w:val="clear" w:color="auto" w:fill="auto"/>
          </w:tcPr>
          <w:p w:rsidR="00A071B7" w:rsidRPr="00A071B7" w:rsidRDefault="00A071B7" w:rsidP="00D55E35">
            <w:pPr>
              <w:keepNext/>
              <w:bidi/>
              <w:rPr>
                <w:rFonts w:ascii="Arabic Typesetting" w:hAnsi="Arabic Typesetting" w:cs="Arabic Typesetting"/>
                <w:sz w:val="36"/>
                <w:szCs w:val="36"/>
                <w:lang w:bidi="ar-EG"/>
              </w:rPr>
            </w:pPr>
          </w:p>
        </w:tc>
        <w:tc>
          <w:tcPr>
            <w:tcW w:w="1426" w:type="dxa"/>
            <w:vMerge/>
            <w:shd w:val="clear" w:color="auto" w:fill="auto"/>
          </w:tcPr>
          <w:p w:rsidR="00A071B7" w:rsidRPr="00A071B7" w:rsidRDefault="00A071B7" w:rsidP="00D55E35">
            <w:pPr>
              <w:keepNext/>
              <w:bidi/>
              <w:rPr>
                <w:rFonts w:ascii="Arabic Typesetting" w:hAnsi="Arabic Typesetting" w:cs="Arabic Typesetting"/>
                <w:sz w:val="36"/>
                <w:szCs w:val="36"/>
                <w:lang w:bidi="ar-EG"/>
              </w:rPr>
            </w:pPr>
          </w:p>
        </w:tc>
        <w:tc>
          <w:tcPr>
            <w:tcW w:w="2164" w:type="dxa"/>
            <w:gridSpan w:val="2"/>
            <w:vAlign w:val="center"/>
          </w:tcPr>
          <w:p w:rsidR="00A071B7" w:rsidRPr="00A071B7" w:rsidRDefault="00825D6D" w:rsidP="00D55E35">
            <w:pPr>
              <w:keepNext/>
              <w:bidi/>
              <w:rPr>
                <w:rFonts w:ascii="Arabic Typesetting" w:hAnsi="Arabic Typesetting" w:cs="Arabic Typesetting"/>
                <w:sz w:val="36"/>
                <w:szCs w:val="36"/>
                <w:lang w:bidi="ar-EG"/>
              </w:rPr>
            </w:pPr>
            <w:r w:rsidRPr="00825D6D">
              <w:rPr>
                <w:rFonts w:ascii="Arabic Typesetting" w:hAnsi="Arabic Typesetting" w:cs="Arabic Typesetting"/>
                <w:sz w:val="36"/>
                <w:szCs w:val="36"/>
                <w:rtl/>
                <w:lang w:bidi="ar-EG"/>
              </w:rPr>
              <w:t>الكهرباء/الإلكترونيات</w:t>
            </w:r>
          </w:p>
        </w:tc>
        <w:tc>
          <w:tcPr>
            <w:tcW w:w="3192" w:type="dxa"/>
            <w:gridSpan w:val="4"/>
            <w:vMerge/>
          </w:tcPr>
          <w:p w:rsidR="00A071B7" w:rsidRPr="00A071B7" w:rsidRDefault="00A071B7" w:rsidP="00D55E35">
            <w:pPr>
              <w:keepNext/>
              <w:bidi/>
              <w:rPr>
                <w:rFonts w:ascii="Arabic Typesetting" w:hAnsi="Arabic Typesetting" w:cs="Arabic Typesetting"/>
                <w:sz w:val="36"/>
                <w:szCs w:val="36"/>
                <w:lang w:bidi="ar-EG"/>
              </w:rPr>
            </w:pPr>
          </w:p>
        </w:tc>
        <w:tc>
          <w:tcPr>
            <w:tcW w:w="1366" w:type="dxa"/>
            <w:shd w:val="clear" w:color="auto" w:fill="auto"/>
            <w:vAlign w:val="center"/>
          </w:tcPr>
          <w:p w:rsidR="00A071B7" w:rsidRPr="00A071B7" w:rsidRDefault="00A071B7" w:rsidP="00D55E35">
            <w:pPr>
              <w:keepNext/>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42.1</w:t>
            </w:r>
          </w:p>
        </w:tc>
      </w:tr>
      <w:tr w:rsidR="00A071B7" w:rsidRPr="006A6C1D" w:rsidTr="00A071B7">
        <w:trPr>
          <w:cantSplit/>
          <w:trHeight w:val="123"/>
        </w:trPr>
        <w:tc>
          <w:tcPr>
            <w:tcW w:w="1426" w:type="dxa"/>
            <w:vMerge/>
            <w:shd w:val="clear" w:color="auto" w:fill="auto"/>
          </w:tcPr>
          <w:p w:rsidR="00A071B7" w:rsidRPr="00A071B7" w:rsidRDefault="00A071B7" w:rsidP="00D55E35">
            <w:pPr>
              <w:keepNext/>
              <w:bidi/>
              <w:rPr>
                <w:rFonts w:ascii="Arabic Typesetting" w:hAnsi="Arabic Typesetting" w:cs="Arabic Typesetting"/>
                <w:sz w:val="36"/>
                <w:szCs w:val="36"/>
                <w:lang w:bidi="ar-EG"/>
              </w:rPr>
            </w:pPr>
          </w:p>
        </w:tc>
        <w:tc>
          <w:tcPr>
            <w:tcW w:w="1426" w:type="dxa"/>
            <w:vMerge/>
            <w:shd w:val="clear" w:color="auto" w:fill="auto"/>
          </w:tcPr>
          <w:p w:rsidR="00A071B7" w:rsidRPr="00A071B7" w:rsidRDefault="00A071B7" w:rsidP="00D55E35">
            <w:pPr>
              <w:keepNext/>
              <w:bidi/>
              <w:rPr>
                <w:rFonts w:ascii="Arabic Typesetting" w:hAnsi="Arabic Typesetting" w:cs="Arabic Typesetting"/>
                <w:sz w:val="36"/>
                <w:szCs w:val="36"/>
                <w:lang w:bidi="ar-EG"/>
              </w:rPr>
            </w:pPr>
          </w:p>
        </w:tc>
        <w:tc>
          <w:tcPr>
            <w:tcW w:w="2164" w:type="dxa"/>
            <w:gridSpan w:val="2"/>
            <w:vAlign w:val="center"/>
          </w:tcPr>
          <w:p w:rsidR="00A071B7" w:rsidRPr="00A071B7" w:rsidRDefault="00825D6D" w:rsidP="00D55E35">
            <w:pPr>
              <w:keepNext/>
              <w:bidi/>
              <w:rPr>
                <w:rFonts w:ascii="Arabic Typesetting" w:hAnsi="Arabic Typesetting" w:cs="Arabic Typesetting"/>
                <w:sz w:val="36"/>
                <w:szCs w:val="36"/>
                <w:lang w:bidi="ar-EG"/>
              </w:rPr>
            </w:pPr>
            <w:r w:rsidRPr="00825D6D">
              <w:rPr>
                <w:rFonts w:ascii="Arabic Typesetting" w:hAnsi="Arabic Typesetting" w:cs="Arabic Typesetting"/>
                <w:sz w:val="36"/>
                <w:szCs w:val="36"/>
                <w:rtl/>
                <w:lang w:bidi="ar-EG"/>
              </w:rPr>
              <w:t>الكيمياء</w:t>
            </w:r>
          </w:p>
        </w:tc>
        <w:tc>
          <w:tcPr>
            <w:tcW w:w="3192" w:type="dxa"/>
            <w:gridSpan w:val="4"/>
            <w:vMerge/>
          </w:tcPr>
          <w:p w:rsidR="00A071B7" w:rsidRPr="00A071B7" w:rsidRDefault="00A071B7" w:rsidP="00D55E35">
            <w:pPr>
              <w:keepNext/>
              <w:bidi/>
              <w:rPr>
                <w:rFonts w:ascii="Arabic Typesetting" w:hAnsi="Arabic Typesetting" w:cs="Arabic Typesetting"/>
                <w:sz w:val="36"/>
                <w:szCs w:val="36"/>
                <w:lang w:bidi="ar-EG"/>
              </w:rPr>
            </w:pPr>
          </w:p>
        </w:tc>
        <w:tc>
          <w:tcPr>
            <w:tcW w:w="1366" w:type="dxa"/>
            <w:shd w:val="clear" w:color="auto" w:fill="auto"/>
            <w:vAlign w:val="center"/>
          </w:tcPr>
          <w:p w:rsidR="00A071B7" w:rsidRPr="00A071B7" w:rsidRDefault="00A071B7" w:rsidP="00D55E35">
            <w:pPr>
              <w:keepNext/>
              <w:bidi/>
              <w:rPr>
                <w:rFonts w:ascii="Arabic Typesetting" w:hAnsi="Arabic Typesetting" w:cs="Arabic Typesetting"/>
                <w:sz w:val="36"/>
                <w:szCs w:val="36"/>
                <w:lang w:bidi="ar-EG"/>
              </w:rPr>
            </w:pPr>
          </w:p>
        </w:tc>
      </w:tr>
      <w:tr w:rsidR="00A071B7" w:rsidRPr="006A6C1D" w:rsidTr="00A071B7">
        <w:trPr>
          <w:cantSplit/>
          <w:trHeight w:val="123"/>
        </w:trPr>
        <w:tc>
          <w:tcPr>
            <w:tcW w:w="1426" w:type="dxa"/>
            <w:vMerge/>
            <w:shd w:val="clear" w:color="auto" w:fill="auto"/>
          </w:tcPr>
          <w:p w:rsidR="00A071B7" w:rsidRPr="00A071B7" w:rsidRDefault="00A071B7" w:rsidP="00D55E35">
            <w:pPr>
              <w:keepNext/>
              <w:bidi/>
              <w:rPr>
                <w:rFonts w:ascii="Arabic Typesetting" w:hAnsi="Arabic Typesetting" w:cs="Arabic Typesetting"/>
                <w:sz w:val="36"/>
                <w:szCs w:val="36"/>
                <w:lang w:bidi="ar-EG"/>
              </w:rPr>
            </w:pPr>
          </w:p>
        </w:tc>
        <w:tc>
          <w:tcPr>
            <w:tcW w:w="1426" w:type="dxa"/>
            <w:vMerge/>
            <w:shd w:val="clear" w:color="auto" w:fill="auto"/>
          </w:tcPr>
          <w:p w:rsidR="00A071B7" w:rsidRPr="00A071B7" w:rsidRDefault="00A071B7" w:rsidP="00D55E35">
            <w:pPr>
              <w:keepNext/>
              <w:bidi/>
              <w:rPr>
                <w:rFonts w:ascii="Arabic Typesetting" w:hAnsi="Arabic Typesetting" w:cs="Arabic Typesetting"/>
                <w:sz w:val="36"/>
                <w:szCs w:val="36"/>
                <w:lang w:bidi="ar-EG"/>
              </w:rPr>
            </w:pPr>
          </w:p>
        </w:tc>
        <w:tc>
          <w:tcPr>
            <w:tcW w:w="2164" w:type="dxa"/>
            <w:gridSpan w:val="2"/>
            <w:vAlign w:val="center"/>
          </w:tcPr>
          <w:p w:rsidR="00A071B7" w:rsidRPr="00A071B7" w:rsidRDefault="00340919" w:rsidP="00825D6D">
            <w:pPr>
              <w:keepNext/>
              <w:bidi/>
              <w:rPr>
                <w:rFonts w:ascii="Arabic Typesetting" w:hAnsi="Arabic Typesetting" w:cs="Arabic Typesetting"/>
                <w:sz w:val="36"/>
                <w:szCs w:val="36"/>
                <w:lang w:bidi="ar-EG"/>
              </w:rPr>
            </w:pPr>
            <w:r>
              <w:rPr>
                <w:rFonts w:ascii="Arabic Typesetting" w:hAnsi="Arabic Typesetting" w:cs="Arabic Typesetting"/>
                <w:sz w:val="36"/>
                <w:szCs w:val="36"/>
                <w:rtl/>
                <w:lang w:bidi="ar-EG"/>
              </w:rPr>
              <w:t xml:space="preserve"> </w:t>
            </w:r>
            <w:r w:rsidR="00A071B7" w:rsidRPr="00A071B7">
              <w:rPr>
                <w:rFonts w:ascii="Arabic Typesetting" w:hAnsi="Arabic Typesetting" w:cs="Arabic Typesetting"/>
                <w:sz w:val="36"/>
                <w:szCs w:val="36"/>
                <w:rtl/>
                <w:lang w:bidi="ar-EG"/>
              </w:rPr>
              <w:t xml:space="preserve"> </w:t>
            </w:r>
            <w:proofErr w:type="gramStart"/>
            <w:r w:rsidR="00825D6D" w:rsidRPr="00825D6D">
              <w:rPr>
                <w:rFonts w:ascii="Arabic Typesetting" w:hAnsi="Arabic Typesetting" w:cs="Arabic Typesetting" w:hint="cs"/>
                <w:sz w:val="36"/>
                <w:szCs w:val="36"/>
                <w:rtl/>
                <w:lang w:bidi="ar-EG"/>
              </w:rPr>
              <w:t>ال</w:t>
            </w:r>
            <w:r w:rsidR="00825D6D" w:rsidRPr="00825D6D">
              <w:rPr>
                <w:rFonts w:ascii="Arabic Typesetting" w:hAnsi="Arabic Typesetting" w:cs="Arabic Typesetting"/>
                <w:sz w:val="36"/>
                <w:szCs w:val="36"/>
                <w:rtl/>
                <w:lang w:bidi="ar-EG"/>
              </w:rPr>
              <w:t>كيمياء</w:t>
            </w:r>
            <w:proofErr w:type="gramEnd"/>
            <w:r w:rsidR="00825D6D" w:rsidRPr="00825D6D">
              <w:rPr>
                <w:rFonts w:ascii="Arabic Typesetting" w:hAnsi="Arabic Typesetting" w:cs="Arabic Typesetting"/>
                <w:sz w:val="36"/>
                <w:szCs w:val="36"/>
                <w:rtl/>
                <w:lang w:bidi="ar-EG"/>
              </w:rPr>
              <w:t xml:space="preserve"> </w:t>
            </w:r>
            <w:r w:rsidR="00825D6D" w:rsidRPr="00825D6D">
              <w:rPr>
                <w:rFonts w:ascii="Arabic Typesetting" w:hAnsi="Arabic Typesetting" w:cs="Arabic Typesetting" w:hint="cs"/>
                <w:sz w:val="36"/>
                <w:szCs w:val="36"/>
                <w:rtl/>
                <w:lang w:bidi="ar-EG"/>
              </w:rPr>
              <w:t>العامة</w:t>
            </w:r>
          </w:p>
        </w:tc>
        <w:tc>
          <w:tcPr>
            <w:tcW w:w="3192" w:type="dxa"/>
            <w:gridSpan w:val="4"/>
            <w:vMerge/>
          </w:tcPr>
          <w:p w:rsidR="00A071B7" w:rsidRPr="00A071B7" w:rsidRDefault="00A071B7" w:rsidP="00D55E35">
            <w:pPr>
              <w:keepNext/>
              <w:bidi/>
              <w:rPr>
                <w:rFonts w:ascii="Arabic Typesetting" w:hAnsi="Arabic Typesetting" w:cs="Arabic Typesetting"/>
                <w:sz w:val="36"/>
                <w:szCs w:val="36"/>
                <w:lang w:bidi="ar-EG"/>
              </w:rPr>
            </w:pPr>
          </w:p>
        </w:tc>
        <w:tc>
          <w:tcPr>
            <w:tcW w:w="1366" w:type="dxa"/>
            <w:shd w:val="clear" w:color="auto" w:fill="auto"/>
            <w:vAlign w:val="center"/>
          </w:tcPr>
          <w:p w:rsidR="00A071B7" w:rsidRPr="00A071B7" w:rsidRDefault="00A071B7" w:rsidP="00D55E35">
            <w:pPr>
              <w:keepNext/>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33.5</w:t>
            </w:r>
          </w:p>
        </w:tc>
      </w:tr>
      <w:tr w:rsidR="00A071B7" w:rsidRPr="006A6C1D" w:rsidTr="00A071B7">
        <w:trPr>
          <w:cantSplit/>
          <w:trHeight w:val="123"/>
        </w:trPr>
        <w:tc>
          <w:tcPr>
            <w:tcW w:w="1426" w:type="dxa"/>
            <w:vMerge/>
            <w:tcBorders>
              <w:bottom w:val="nil"/>
            </w:tcBorders>
            <w:shd w:val="clear" w:color="auto" w:fill="auto"/>
          </w:tcPr>
          <w:p w:rsidR="00A071B7" w:rsidRPr="00A071B7" w:rsidRDefault="00A071B7" w:rsidP="00D55E35">
            <w:pPr>
              <w:keepNext/>
              <w:bidi/>
              <w:rPr>
                <w:rFonts w:ascii="Arabic Typesetting" w:hAnsi="Arabic Typesetting" w:cs="Arabic Typesetting"/>
                <w:sz w:val="36"/>
                <w:szCs w:val="36"/>
                <w:lang w:bidi="ar-EG"/>
              </w:rPr>
            </w:pPr>
          </w:p>
        </w:tc>
        <w:tc>
          <w:tcPr>
            <w:tcW w:w="1426" w:type="dxa"/>
            <w:vMerge/>
            <w:tcBorders>
              <w:bottom w:val="nil"/>
            </w:tcBorders>
            <w:shd w:val="clear" w:color="auto" w:fill="auto"/>
          </w:tcPr>
          <w:p w:rsidR="00A071B7" w:rsidRPr="00A071B7" w:rsidRDefault="00A071B7" w:rsidP="00D55E35">
            <w:pPr>
              <w:keepNext/>
              <w:bidi/>
              <w:rPr>
                <w:rFonts w:ascii="Arabic Typesetting" w:hAnsi="Arabic Typesetting" w:cs="Arabic Typesetting"/>
                <w:sz w:val="36"/>
                <w:szCs w:val="36"/>
                <w:lang w:bidi="ar-EG"/>
              </w:rPr>
            </w:pPr>
          </w:p>
        </w:tc>
        <w:tc>
          <w:tcPr>
            <w:tcW w:w="2164" w:type="dxa"/>
            <w:gridSpan w:val="2"/>
            <w:vAlign w:val="center"/>
          </w:tcPr>
          <w:p w:rsidR="00A071B7" w:rsidRPr="00A071B7" w:rsidRDefault="00340919" w:rsidP="00825D6D">
            <w:pPr>
              <w:keepNext/>
              <w:bidi/>
              <w:rPr>
                <w:rFonts w:ascii="Arabic Typesetting" w:hAnsi="Arabic Typesetting" w:cs="Arabic Typesetting"/>
                <w:sz w:val="36"/>
                <w:szCs w:val="36"/>
                <w:lang w:bidi="ar-EG"/>
              </w:rPr>
            </w:pPr>
            <w:r>
              <w:rPr>
                <w:rFonts w:ascii="Arabic Typesetting" w:hAnsi="Arabic Typesetting" w:cs="Arabic Typesetting"/>
                <w:sz w:val="36"/>
                <w:szCs w:val="36"/>
                <w:rtl/>
                <w:lang w:bidi="ar-EG"/>
              </w:rPr>
              <w:t xml:space="preserve"> </w:t>
            </w:r>
            <w:r w:rsidR="00A071B7" w:rsidRPr="00A071B7">
              <w:rPr>
                <w:rFonts w:ascii="Arabic Typesetting" w:hAnsi="Arabic Typesetting" w:cs="Arabic Typesetting"/>
                <w:sz w:val="36"/>
                <w:szCs w:val="36"/>
                <w:rtl/>
                <w:lang w:bidi="ar-EG"/>
              </w:rPr>
              <w:t xml:space="preserve"> </w:t>
            </w:r>
            <w:r w:rsidR="00825D6D" w:rsidRPr="00825D6D">
              <w:rPr>
                <w:rFonts w:ascii="Arabic Typesetting" w:hAnsi="Arabic Typesetting" w:cs="Arabic Typesetting" w:hint="cs"/>
                <w:sz w:val="36"/>
                <w:szCs w:val="36"/>
                <w:rtl/>
                <w:lang w:bidi="ar-EG"/>
              </w:rPr>
              <w:t>ال</w:t>
            </w:r>
            <w:r w:rsidR="00825D6D" w:rsidRPr="00825D6D">
              <w:rPr>
                <w:rFonts w:ascii="Arabic Typesetting" w:hAnsi="Arabic Typesetting" w:cs="Arabic Typesetting"/>
                <w:sz w:val="36"/>
                <w:szCs w:val="36"/>
                <w:rtl/>
                <w:lang w:bidi="ar-EG"/>
              </w:rPr>
              <w:t xml:space="preserve">كيمياء </w:t>
            </w:r>
            <w:r w:rsidR="00825D6D" w:rsidRPr="00825D6D">
              <w:rPr>
                <w:rFonts w:ascii="Arabic Typesetting" w:hAnsi="Arabic Typesetting" w:cs="Arabic Typesetting" w:hint="cs"/>
                <w:sz w:val="36"/>
                <w:szCs w:val="36"/>
                <w:rtl/>
                <w:lang w:bidi="ar-EG"/>
              </w:rPr>
              <w:t>ال</w:t>
            </w:r>
            <w:r w:rsidR="00825D6D" w:rsidRPr="00825D6D">
              <w:rPr>
                <w:rFonts w:ascii="Arabic Typesetting" w:hAnsi="Arabic Typesetting" w:cs="Arabic Typesetting"/>
                <w:sz w:val="36"/>
                <w:szCs w:val="36"/>
                <w:rtl/>
                <w:lang w:bidi="ar-EG"/>
              </w:rPr>
              <w:t>عضوية</w:t>
            </w:r>
          </w:p>
        </w:tc>
        <w:tc>
          <w:tcPr>
            <w:tcW w:w="3192" w:type="dxa"/>
            <w:gridSpan w:val="4"/>
            <w:vMerge/>
          </w:tcPr>
          <w:p w:rsidR="00A071B7" w:rsidRPr="00A071B7" w:rsidRDefault="00A071B7" w:rsidP="00D55E35">
            <w:pPr>
              <w:keepNext/>
              <w:bidi/>
              <w:rPr>
                <w:rFonts w:ascii="Arabic Typesetting" w:hAnsi="Arabic Typesetting" w:cs="Arabic Typesetting"/>
                <w:sz w:val="36"/>
                <w:szCs w:val="36"/>
                <w:lang w:bidi="ar-EG"/>
              </w:rPr>
            </w:pPr>
          </w:p>
        </w:tc>
        <w:tc>
          <w:tcPr>
            <w:tcW w:w="1366" w:type="dxa"/>
            <w:shd w:val="clear" w:color="auto" w:fill="auto"/>
            <w:vAlign w:val="center"/>
          </w:tcPr>
          <w:p w:rsidR="00A071B7" w:rsidRPr="00A071B7" w:rsidRDefault="00A071B7" w:rsidP="00D55E35">
            <w:pPr>
              <w:keepNext/>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31.5</w:t>
            </w:r>
          </w:p>
        </w:tc>
      </w:tr>
      <w:tr w:rsidR="00A071B7" w:rsidRPr="006A6C1D" w:rsidTr="00A071B7">
        <w:trPr>
          <w:cantSplit/>
          <w:trHeight w:val="123"/>
        </w:trPr>
        <w:tc>
          <w:tcPr>
            <w:tcW w:w="1426" w:type="dxa"/>
            <w:tcBorders>
              <w:top w:val="nil"/>
              <w:left w:val="single" w:sz="4" w:space="0" w:color="auto"/>
              <w:bottom w:val="single" w:sz="4" w:space="0" w:color="auto"/>
              <w:right w:val="single" w:sz="4" w:space="0" w:color="auto"/>
            </w:tcBorders>
            <w:shd w:val="clear" w:color="auto" w:fill="auto"/>
          </w:tcPr>
          <w:p w:rsidR="00A071B7" w:rsidRPr="00A071B7" w:rsidRDefault="00A071B7" w:rsidP="00D55E35">
            <w:pPr>
              <w:bidi/>
              <w:rPr>
                <w:rFonts w:ascii="Arabic Typesetting" w:hAnsi="Arabic Typesetting" w:cs="Arabic Typesetting"/>
                <w:sz w:val="36"/>
                <w:szCs w:val="36"/>
                <w:lang w:bidi="ar-EG"/>
              </w:rPr>
            </w:pPr>
          </w:p>
        </w:tc>
        <w:tc>
          <w:tcPr>
            <w:tcW w:w="1426" w:type="dxa"/>
            <w:tcBorders>
              <w:top w:val="nil"/>
              <w:left w:val="single" w:sz="4" w:space="0" w:color="auto"/>
              <w:bottom w:val="single" w:sz="4" w:space="0" w:color="auto"/>
              <w:right w:val="single" w:sz="4" w:space="0" w:color="auto"/>
            </w:tcBorders>
            <w:shd w:val="clear" w:color="auto" w:fill="auto"/>
          </w:tcPr>
          <w:p w:rsidR="00A071B7" w:rsidRPr="00A071B7" w:rsidRDefault="00A071B7" w:rsidP="00D55E35">
            <w:pPr>
              <w:bidi/>
              <w:rPr>
                <w:rFonts w:ascii="Arabic Typesetting" w:hAnsi="Arabic Typesetting" w:cs="Arabic Typesetting"/>
                <w:sz w:val="36"/>
                <w:szCs w:val="36"/>
                <w:lang w:bidi="ar-EG"/>
              </w:rPr>
            </w:pPr>
          </w:p>
        </w:tc>
        <w:tc>
          <w:tcPr>
            <w:tcW w:w="2164" w:type="dxa"/>
            <w:gridSpan w:val="2"/>
            <w:tcBorders>
              <w:left w:val="single" w:sz="4" w:space="0" w:color="auto"/>
            </w:tcBorders>
            <w:vAlign w:val="center"/>
          </w:tcPr>
          <w:p w:rsidR="00A071B7" w:rsidRPr="00A071B7" w:rsidRDefault="00A071B7" w:rsidP="00D55E35">
            <w:pPr>
              <w:bidi/>
              <w:rPr>
                <w:rFonts w:ascii="Arabic Typesetting" w:hAnsi="Arabic Typesetting" w:cs="Arabic Typesetting"/>
                <w:sz w:val="36"/>
                <w:szCs w:val="36"/>
                <w:lang w:bidi="ar-EG"/>
              </w:rPr>
            </w:pPr>
            <w:proofErr w:type="gramStart"/>
            <w:r w:rsidRPr="00A071B7">
              <w:rPr>
                <w:rFonts w:ascii="Arabic Typesetting" w:hAnsi="Arabic Typesetting" w:cs="Arabic Typesetting"/>
                <w:sz w:val="36"/>
                <w:szCs w:val="36"/>
                <w:rtl/>
                <w:lang w:bidi="ar-EG"/>
              </w:rPr>
              <w:t>تكنولوجيا</w:t>
            </w:r>
            <w:proofErr w:type="gramEnd"/>
            <w:r w:rsidRPr="00A071B7">
              <w:rPr>
                <w:rFonts w:ascii="Arabic Typesetting" w:hAnsi="Arabic Typesetting" w:cs="Arabic Typesetting"/>
                <w:sz w:val="36"/>
                <w:szCs w:val="36"/>
                <w:rtl/>
                <w:lang w:bidi="ar-EG"/>
              </w:rPr>
              <w:t xml:space="preserve"> حيوية</w:t>
            </w:r>
          </w:p>
        </w:tc>
        <w:tc>
          <w:tcPr>
            <w:tcW w:w="3192" w:type="dxa"/>
            <w:gridSpan w:val="4"/>
            <w:vMerge/>
          </w:tcPr>
          <w:p w:rsidR="00A071B7" w:rsidRPr="00A071B7" w:rsidRDefault="00A071B7" w:rsidP="00D55E35">
            <w:pPr>
              <w:bidi/>
              <w:rPr>
                <w:rFonts w:ascii="Arabic Typesetting" w:hAnsi="Arabic Typesetting" w:cs="Arabic Typesetting"/>
                <w:sz w:val="36"/>
                <w:szCs w:val="36"/>
                <w:lang w:bidi="ar-EG"/>
              </w:rPr>
            </w:pPr>
          </w:p>
        </w:tc>
        <w:tc>
          <w:tcPr>
            <w:tcW w:w="1366" w:type="dxa"/>
            <w:shd w:val="clear" w:color="auto" w:fill="auto"/>
            <w:vAlign w:val="center"/>
          </w:tcPr>
          <w:p w:rsidR="00A071B7" w:rsidRPr="00A071B7" w:rsidRDefault="00A071B7" w:rsidP="00D55E35">
            <w:pPr>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58.4</w:t>
            </w:r>
          </w:p>
        </w:tc>
      </w:tr>
    </w:tbl>
    <w:p w:rsidR="00FB02B3" w:rsidRDefault="00FB02B3" w:rsidP="00FB02B3">
      <w:pPr>
        <w:pStyle w:val="NormalParaAR"/>
        <w:rPr>
          <w:rtl/>
          <w:lang w:bidi="ar-EG"/>
        </w:rPr>
      </w:pPr>
    </w:p>
    <w:tbl>
      <w:tblPr>
        <w:bidiVisual/>
        <w:tblW w:w="6800" w:type="dxa"/>
        <w:tblLayout w:type="fixed"/>
        <w:tblLook w:val="04A0" w:firstRow="1" w:lastRow="0" w:firstColumn="1" w:lastColumn="0" w:noHBand="0" w:noVBand="1"/>
      </w:tblPr>
      <w:tblGrid>
        <w:gridCol w:w="1728"/>
        <w:gridCol w:w="1232"/>
        <w:gridCol w:w="960"/>
        <w:gridCol w:w="960"/>
        <w:gridCol w:w="960"/>
        <w:gridCol w:w="960"/>
      </w:tblGrid>
      <w:tr w:rsidR="00A071B7" w:rsidRPr="00530D24" w:rsidTr="00FB02B3">
        <w:trPr>
          <w:trHeight w:val="300"/>
        </w:trPr>
        <w:tc>
          <w:tcPr>
            <w:tcW w:w="680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A071B7" w:rsidRPr="00D55E35" w:rsidRDefault="00A071B7" w:rsidP="00FB02B3">
            <w:pPr>
              <w:bidi/>
              <w:rPr>
                <w:rFonts w:ascii="Arabic Typesetting" w:hAnsi="Arabic Typesetting" w:cs="Arabic Typesetting"/>
                <w:b/>
                <w:bCs/>
                <w:sz w:val="36"/>
                <w:szCs w:val="36"/>
                <w:lang w:bidi="ar-EG"/>
              </w:rPr>
            </w:pPr>
            <w:proofErr w:type="gramStart"/>
            <w:r w:rsidRPr="00D55E35">
              <w:rPr>
                <w:rFonts w:ascii="Arabic Typesetting" w:hAnsi="Arabic Typesetting" w:cs="Arabic Typesetting"/>
                <w:b/>
                <w:bCs/>
                <w:sz w:val="36"/>
                <w:szCs w:val="36"/>
                <w:rtl/>
                <w:lang w:bidi="ar-EG"/>
              </w:rPr>
              <w:t>مخرجات</w:t>
            </w:r>
            <w:proofErr w:type="gramEnd"/>
            <w:r w:rsidRPr="00D55E35">
              <w:rPr>
                <w:rFonts w:ascii="Arabic Typesetting" w:hAnsi="Arabic Typesetting" w:cs="Arabic Typesetting"/>
                <w:b/>
                <w:bCs/>
                <w:sz w:val="36"/>
                <w:szCs w:val="36"/>
                <w:rtl/>
                <w:lang w:bidi="ar-EG"/>
              </w:rPr>
              <w:t xml:space="preserve"> المنتجات</w:t>
            </w:r>
          </w:p>
        </w:tc>
      </w:tr>
      <w:tr w:rsidR="00A071B7" w:rsidRPr="00530D24" w:rsidTr="00FB02B3">
        <w:trPr>
          <w:trHeight w:val="516"/>
        </w:trPr>
        <w:tc>
          <w:tcPr>
            <w:tcW w:w="1728" w:type="dxa"/>
            <w:tcBorders>
              <w:top w:val="nil"/>
              <w:left w:val="single" w:sz="8" w:space="0" w:color="auto"/>
              <w:bottom w:val="single" w:sz="8" w:space="0" w:color="auto"/>
              <w:right w:val="single" w:sz="8" w:space="0" w:color="auto"/>
            </w:tcBorders>
            <w:shd w:val="clear" w:color="auto" w:fill="auto"/>
            <w:vAlign w:val="center"/>
            <w:hideMark/>
          </w:tcPr>
          <w:p w:rsidR="00A071B7" w:rsidRPr="00A071B7" w:rsidRDefault="00A071B7" w:rsidP="00D55E35">
            <w:pPr>
              <w:keepNext/>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 </w:t>
            </w:r>
          </w:p>
        </w:tc>
        <w:tc>
          <w:tcPr>
            <w:tcW w:w="1232" w:type="dxa"/>
            <w:tcBorders>
              <w:top w:val="nil"/>
              <w:left w:val="nil"/>
              <w:bottom w:val="single" w:sz="8" w:space="0" w:color="auto"/>
              <w:right w:val="single" w:sz="8" w:space="0" w:color="auto"/>
            </w:tcBorders>
            <w:shd w:val="clear" w:color="auto" w:fill="auto"/>
            <w:vAlign w:val="center"/>
            <w:hideMark/>
          </w:tcPr>
          <w:p w:rsidR="00A071B7" w:rsidRPr="00A071B7" w:rsidRDefault="00107544" w:rsidP="00D55E35">
            <w:pPr>
              <w:keepNext/>
              <w:bidi/>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2011-2012</w:t>
            </w:r>
          </w:p>
        </w:tc>
        <w:tc>
          <w:tcPr>
            <w:tcW w:w="960" w:type="dxa"/>
            <w:tcBorders>
              <w:top w:val="nil"/>
              <w:left w:val="nil"/>
              <w:bottom w:val="single" w:sz="8" w:space="0" w:color="auto"/>
              <w:right w:val="single" w:sz="8" w:space="0" w:color="auto"/>
            </w:tcBorders>
            <w:shd w:val="clear" w:color="auto" w:fill="auto"/>
            <w:vAlign w:val="center"/>
            <w:hideMark/>
          </w:tcPr>
          <w:p w:rsidR="00A071B7" w:rsidRPr="00A071B7" w:rsidRDefault="00107544" w:rsidP="00D55E35">
            <w:pPr>
              <w:keepNext/>
              <w:bidi/>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2012-2013</w:t>
            </w:r>
          </w:p>
        </w:tc>
        <w:tc>
          <w:tcPr>
            <w:tcW w:w="960" w:type="dxa"/>
            <w:tcBorders>
              <w:top w:val="nil"/>
              <w:left w:val="nil"/>
              <w:bottom w:val="single" w:sz="8" w:space="0" w:color="auto"/>
              <w:right w:val="single" w:sz="8" w:space="0" w:color="auto"/>
            </w:tcBorders>
            <w:shd w:val="clear" w:color="auto" w:fill="auto"/>
            <w:vAlign w:val="center"/>
            <w:hideMark/>
          </w:tcPr>
          <w:p w:rsidR="00A071B7" w:rsidRPr="00A071B7" w:rsidRDefault="00107544" w:rsidP="00D55E35">
            <w:pPr>
              <w:keepNext/>
              <w:bidi/>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2013-2014</w:t>
            </w:r>
          </w:p>
        </w:tc>
        <w:tc>
          <w:tcPr>
            <w:tcW w:w="960" w:type="dxa"/>
            <w:tcBorders>
              <w:top w:val="nil"/>
              <w:left w:val="nil"/>
              <w:bottom w:val="single" w:sz="8" w:space="0" w:color="auto"/>
              <w:right w:val="single" w:sz="8" w:space="0" w:color="auto"/>
            </w:tcBorders>
            <w:shd w:val="clear" w:color="auto" w:fill="auto"/>
            <w:vAlign w:val="center"/>
            <w:hideMark/>
          </w:tcPr>
          <w:p w:rsidR="00A071B7" w:rsidRPr="00A071B7" w:rsidRDefault="00107544" w:rsidP="00D55E35">
            <w:pPr>
              <w:keepNext/>
              <w:bidi/>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2014-2015</w:t>
            </w:r>
          </w:p>
        </w:tc>
        <w:tc>
          <w:tcPr>
            <w:tcW w:w="960" w:type="dxa"/>
            <w:tcBorders>
              <w:top w:val="nil"/>
              <w:left w:val="nil"/>
              <w:bottom w:val="single" w:sz="8" w:space="0" w:color="auto"/>
              <w:right w:val="single" w:sz="8" w:space="0" w:color="auto"/>
            </w:tcBorders>
          </w:tcPr>
          <w:p w:rsidR="00A071B7" w:rsidRPr="00A071B7" w:rsidRDefault="00107544" w:rsidP="00D55E35">
            <w:pPr>
              <w:keepNext/>
              <w:bidi/>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2015-2016</w:t>
            </w:r>
          </w:p>
        </w:tc>
      </w:tr>
      <w:tr w:rsidR="00A071B7" w:rsidRPr="006A6C1D" w:rsidTr="00FB02B3">
        <w:trPr>
          <w:trHeight w:val="1020"/>
        </w:trPr>
        <w:tc>
          <w:tcPr>
            <w:tcW w:w="1728" w:type="dxa"/>
            <w:tcBorders>
              <w:top w:val="nil"/>
              <w:left w:val="single" w:sz="8" w:space="0" w:color="auto"/>
              <w:bottom w:val="single" w:sz="8" w:space="0" w:color="auto"/>
              <w:right w:val="single" w:sz="8" w:space="0" w:color="auto"/>
            </w:tcBorders>
            <w:shd w:val="clear" w:color="auto" w:fill="auto"/>
            <w:vAlign w:val="center"/>
            <w:hideMark/>
          </w:tcPr>
          <w:p w:rsidR="00A071B7" w:rsidRPr="00A071B7" w:rsidRDefault="00A071B7" w:rsidP="00D55E35">
            <w:pPr>
              <w:keepNext/>
              <w:bidi/>
              <w:rPr>
                <w:rFonts w:ascii="Arabic Typesetting" w:hAnsi="Arabic Typesetting" w:cs="Arabic Typesetting"/>
                <w:sz w:val="36"/>
                <w:szCs w:val="36"/>
                <w:lang w:bidi="ar-EG"/>
              </w:rPr>
            </w:pPr>
            <w:proofErr w:type="gramStart"/>
            <w:r w:rsidRPr="00A071B7">
              <w:rPr>
                <w:rFonts w:ascii="Arabic Typesetting" w:hAnsi="Arabic Typesetting" w:cs="Arabic Typesetting"/>
                <w:sz w:val="36"/>
                <w:szCs w:val="36"/>
                <w:rtl/>
                <w:lang w:bidi="ar-EG"/>
              </w:rPr>
              <w:t>طلبات</w:t>
            </w:r>
            <w:proofErr w:type="gramEnd"/>
            <w:r w:rsidRPr="00A071B7">
              <w:rPr>
                <w:rFonts w:ascii="Arabic Typesetting" w:hAnsi="Arabic Typesetting" w:cs="Arabic Typesetting"/>
                <w:sz w:val="36"/>
                <w:szCs w:val="36"/>
                <w:rtl/>
                <w:lang w:bidi="ar-EG"/>
              </w:rPr>
              <w:t xml:space="preserve"> الفحص</w:t>
            </w:r>
          </w:p>
        </w:tc>
        <w:tc>
          <w:tcPr>
            <w:tcW w:w="1232" w:type="dxa"/>
            <w:tcBorders>
              <w:top w:val="nil"/>
              <w:left w:val="nil"/>
              <w:bottom w:val="single" w:sz="8" w:space="0" w:color="auto"/>
              <w:right w:val="single" w:sz="8" w:space="0" w:color="auto"/>
            </w:tcBorders>
            <w:shd w:val="clear" w:color="auto" w:fill="auto"/>
            <w:vAlign w:val="center"/>
            <w:hideMark/>
          </w:tcPr>
          <w:p w:rsidR="00A071B7" w:rsidRPr="00A071B7" w:rsidRDefault="00A071B7" w:rsidP="00D55E35">
            <w:pPr>
              <w:keepNext/>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29 077</w:t>
            </w:r>
          </w:p>
        </w:tc>
        <w:tc>
          <w:tcPr>
            <w:tcW w:w="960" w:type="dxa"/>
            <w:tcBorders>
              <w:top w:val="nil"/>
              <w:left w:val="nil"/>
              <w:bottom w:val="single" w:sz="8" w:space="0" w:color="auto"/>
              <w:right w:val="single" w:sz="8" w:space="0" w:color="auto"/>
            </w:tcBorders>
            <w:shd w:val="clear" w:color="auto" w:fill="auto"/>
            <w:vAlign w:val="center"/>
            <w:hideMark/>
          </w:tcPr>
          <w:p w:rsidR="00A071B7" w:rsidRPr="00A071B7" w:rsidRDefault="00A071B7" w:rsidP="00D55E35">
            <w:pPr>
              <w:keepNext/>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28 161</w:t>
            </w:r>
          </w:p>
        </w:tc>
        <w:tc>
          <w:tcPr>
            <w:tcW w:w="960" w:type="dxa"/>
            <w:tcBorders>
              <w:top w:val="nil"/>
              <w:left w:val="nil"/>
              <w:bottom w:val="single" w:sz="8" w:space="0" w:color="auto"/>
              <w:right w:val="single" w:sz="8" w:space="0" w:color="auto"/>
            </w:tcBorders>
            <w:shd w:val="clear" w:color="auto" w:fill="auto"/>
            <w:vAlign w:val="center"/>
            <w:hideMark/>
          </w:tcPr>
          <w:p w:rsidR="00A071B7" w:rsidRPr="00A071B7" w:rsidRDefault="00A071B7" w:rsidP="00D55E35">
            <w:pPr>
              <w:keepNext/>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28 497</w:t>
            </w:r>
          </w:p>
        </w:tc>
        <w:tc>
          <w:tcPr>
            <w:tcW w:w="960" w:type="dxa"/>
            <w:tcBorders>
              <w:top w:val="nil"/>
              <w:left w:val="nil"/>
              <w:bottom w:val="single" w:sz="8" w:space="0" w:color="auto"/>
              <w:right w:val="single" w:sz="8" w:space="0" w:color="auto"/>
            </w:tcBorders>
            <w:shd w:val="clear" w:color="auto" w:fill="auto"/>
            <w:vAlign w:val="center"/>
            <w:hideMark/>
          </w:tcPr>
          <w:p w:rsidR="00A071B7" w:rsidRPr="00A071B7" w:rsidRDefault="00A071B7" w:rsidP="00D55E35">
            <w:pPr>
              <w:keepNext/>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28 776</w:t>
            </w:r>
          </w:p>
        </w:tc>
        <w:tc>
          <w:tcPr>
            <w:tcW w:w="960" w:type="dxa"/>
            <w:tcBorders>
              <w:top w:val="nil"/>
              <w:left w:val="nil"/>
              <w:bottom w:val="single" w:sz="8" w:space="0" w:color="auto"/>
              <w:right w:val="single" w:sz="8" w:space="0" w:color="auto"/>
            </w:tcBorders>
            <w:vAlign w:val="center"/>
          </w:tcPr>
          <w:p w:rsidR="00A071B7" w:rsidRPr="00A071B7" w:rsidRDefault="00A071B7" w:rsidP="00D55E35">
            <w:pPr>
              <w:keepNext/>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29 050</w:t>
            </w:r>
          </w:p>
        </w:tc>
      </w:tr>
      <w:tr w:rsidR="00A071B7" w:rsidRPr="006A6C1D" w:rsidTr="00FB02B3">
        <w:trPr>
          <w:trHeight w:val="516"/>
        </w:trPr>
        <w:tc>
          <w:tcPr>
            <w:tcW w:w="1728" w:type="dxa"/>
            <w:tcBorders>
              <w:top w:val="nil"/>
              <w:left w:val="single" w:sz="8" w:space="0" w:color="auto"/>
              <w:bottom w:val="single" w:sz="8" w:space="0" w:color="auto"/>
              <w:right w:val="single" w:sz="8" w:space="0" w:color="auto"/>
            </w:tcBorders>
            <w:shd w:val="clear" w:color="auto" w:fill="auto"/>
            <w:vAlign w:val="center"/>
            <w:hideMark/>
          </w:tcPr>
          <w:p w:rsidR="00A071B7" w:rsidRPr="00A071B7" w:rsidRDefault="00363D21" w:rsidP="00D55E35">
            <w:pPr>
              <w:keepNext/>
              <w:bidi/>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التقارير</w:t>
            </w:r>
            <w:bookmarkStart w:id="2" w:name="_GoBack"/>
            <w:bookmarkEnd w:id="2"/>
          </w:p>
        </w:tc>
        <w:tc>
          <w:tcPr>
            <w:tcW w:w="1232" w:type="dxa"/>
            <w:tcBorders>
              <w:top w:val="nil"/>
              <w:left w:val="nil"/>
              <w:bottom w:val="single" w:sz="8" w:space="0" w:color="auto"/>
              <w:right w:val="single" w:sz="8" w:space="0" w:color="auto"/>
            </w:tcBorders>
            <w:shd w:val="clear" w:color="auto" w:fill="auto"/>
            <w:vAlign w:val="center"/>
            <w:hideMark/>
          </w:tcPr>
          <w:p w:rsidR="00A071B7" w:rsidRPr="00A071B7" w:rsidRDefault="00A071B7" w:rsidP="00D55E35">
            <w:pPr>
              <w:keepNext/>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36 211</w:t>
            </w:r>
          </w:p>
        </w:tc>
        <w:tc>
          <w:tcPr>
            <w:tcW w:w="960" w:type="dxa"/>
            <w:tcBorders>
              <w:top w:val="nil"/>
              <w:left w:val="nil"/>
              <w:bottom w:val="single" w:sz="8" w:space="0" w:color="auto"/>
              <w:right w:val="single" w:sz="8" w:space="0" w:color="auto"/>
            </w:tcBorders>
            <w:shd w:val="clear" w:color="auto" w:fill="auto"/>
            <w:vAlign w:val="center"/>
            <w:hideMark/>
          </w:tcPr>
          <w:p w:rsidR="00A071B7" w:rsidRPr="00A071B7" w:rsidRDefault="00A071B7" w:rsidP="00D55E35">
            <w:pPr>
              <w:keepNext/>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37 682</w:t>
            </w:r>
          </w:p>
        </w:tc>
        <w:tc>
          <w:tcPr>
            <w:tcW w:w="960" w:type="dxa"/>
            <w:tcBorders>
              <w:top w:val="nil"/>
              <w:left w:val="nil"/>
              <w:bottom w:val="single" w:sz="8" w:space="0" w:color="auto"/>
              <w:right w:val="single" w:sz="8" w:space="0" w:color="auto"/>
            </w:tcBorders>
            <w:shd w:val="clear" w:color="auto" w:fill="auto"/>
            <w:vAlign w:val="center"/>
            <w:hideMark/>
          </w:tcPr>
          <w:p w:rsidR="00A071B7" w:rsidRPr="00A071B7" w:rsidRDefault="00A071B7" w:rsidP="00D55E35">
            <w:pPr>
              <w:keepNext/>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38 533</w:t>
            </w:r>
          </w:p>
        </w:tc>
        <w:tc>
          <w:tcPr>
            <w:tcW w:w="960" w:type="dxa"/>
            <w:tcBorders>
              <w:top w:val="nil"/>
              <w:left w:val="nil"/>
              <w:bottom w:val="single" w:sz="8" w:space="0" w:color="auto"/>
              <w:right w:val="single" w:sz="8" w:space="0" w:color="auto"/>
            </w:tcBorders>
            <w:shd w:val="clear" w:color="auto" w:fill="auto"/>
            <w:vAlign w:val="center"/>
            <w:hideMark/>
          </w:tcPr>
          <w:p w:rsidR="00A071B7" w:rsidRPr="00A071B7" w:rsidRDefault="00A071B7" w:rsidP="00D55E35">
            <w:pPr>
              <w:keepNext/>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36 370</w:t>
            </w:r>
          </w:p>
        </w:tc>
        <w:tc>
          <w:tcPr>
            <w:tcW w:w="960" w:type="dxa"/>
            <w:tcBorders>
              <w:top w:val="nil"/>
              <w:left w:val="nil"/>
              <w:bottom w:val="single" w:sz="8" w:space="0" w:color="auto"/>
              <w:right w:val="single" w:sz="8" w:space="0" w:color="auto"/>
            </w:tcBorders>
            <w:vAlign w:val="center"/>
          </w:tcPr>
          <w:p w:rsidR="00A071B7" w:rsidRPr="00A071B7" w:rsidRDefault="00A071B7" w:rsidP="00D55E35">
            <w:pPr>
              <w:keepNext/>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37 820</w:t>
            </w:r>
          </w:p>
        </w:tc>
      </w:tr>
      <w:tr w:rsidR="00A071B7" w:rsidRPr="006A6C1D" w:rsidTr="00FB02B3">
        <w:trPr>
          <w:trHeight w:val="300"/>
        </w:trPr>
        <w:tc>
          <w:tcPr>
            <w:tcW w:w="1728" w:type="dxa"/>
            <w:tcBorders>
              <w:top w:val="nil"/>
              <w:left w:val="single" w:sz="8" w:space="0" w:color="auto"/>
              <w:bottom w:val="single" w:sz="8" w:space="0" w:color="auto"/>
              <w:right w:val="single" w:sz="8" w:space="0" w:color="auto"/>
            </w:tcBorders>
            <w:shd w:val="clear" w:color="auto" w:fill="auto"/>
            <w:vAlign w:val="center"/>
            <w:hideMark/>
          </w:tcPr>
          <w:p w:rsidR="00A071B7" w:rsidRPr="00A071B7" w:rsidRDefault="00A071B7" w:rsidP="00D55E35">
            <w:pPr>
              <w:keepNext/>
              <w:bidi/>
              <w:rPr>
                <w:rFonts w:ascii="Arabic Typesetting" w:hAnsi="Arabic Typesetting" w:cs="Arabic Typesetting"/>
                <w:sz w:val="36"/>
                <w:szCs w:val="36"/>
                <w:lang w:bidi="ar-EG"/>
              </w:rPr>
            </w:pPr>
            <w:r w:rsidRPr="00A071B7">
              <w:rPr>
                <w:rFonts w:ascii="Arabic Typesetting" w:hAnsi="Arabic Typesetting" w:cs="Arabic Typesetting"/>
                <w:sz w:val="36"/>
                <w:szCs w:val="36"/>
                <w:rtl/>
                <w:lang w:bidi="ar-EG"/>
              </w:rPr>
              <w:t>المنح</w:t>
            </w:r>
          </w:p>
        </w:tc>
        <w:tc>
          <w:tcPr>
            <w:tcW w:w="1232" w:type="dxa"/>
            <w:tcBorders>
              <w:top w:val="nil"/>
              <w:left w:val="nil"/>
              <w:bottom w:val="single" w:sz="8" w:space="0" w:color="auto"/>
              <w:right w:val="single" w:sz="8" w:space="0" w:color="auto"/>
            </w:tcBorders>
            <w:shd w:val="clear" w:color="auto" w:fill="auto"/>
            <w:vAlign w:val="center"/>
            <w:hideMark/>
          </w:tcPr>
          <w:p w:rsidR="00A071B7" w:rsidRPr="00A071B7" w:rsidRDefault="00A071B7" w:rsidP="00D55E35">
            <w:pPr>
              <w:keepNext/>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20 624</w:t>
            </w:r>
          </w:p>
        </w:tc>
        <w:tc>
          <w:tcPr>
            <w:tcW w:w="960" w:type="dxa"/>
            <w:tcBorders>
              <w:top w:val="nil"/>
              <w:left w:val="nil"/>
              <w:bottom w:val="single" w:sz="8" w:space="0" w:color="auto"/>
              <w:right w:val="single" w:sz="8" w:space="0" w:color="auto"/>
            </w:tcBorders>
            <w:shd w:val="clear" w:color="auto" w:fill="auto"/>
            <w:vAlign w:val="center"/>
            <w:hideMark/>
          </w:tcPr>
          <w:p w:rsidR="00A071B7" w:rsidRPr="00A071B7" w:rsidRDefault="00A071B7" w:rsidP="00D55E35">
            <w:pPr>
              <w:keepNext/>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21 529</w:t>
            </w:r>
          </w:p>
        </w:tc>
        <w:tc>
          <w:tcPr>
            <w:tcW w:w="960" w:type="dxa"/>
            <w:tcBorders>
              <w:top w:val="nil"/>
              <w:left w:val="nil"/>
              <w:bottom w:val="single" w:sz="8" w:space="0" w:color="auto"/>
              <w:right w:val="single" w:sz="8" w:space="0" w:color="auto"/>
            </w:tcBorders>
            <w:shd w:val="clear" w:color="auto" w:fill="auto"/>
            <w:vAlign w:val="center"/>
            <w:hideMark/>
          </w:tcPr>
          <w:p w:rsidR="00A071B7" w:rsidRPr="00A071B7" w:rsidRDefault="00A071B7" w:rsidP="00D55E35">
            <w:pPr>
              <w:keepNext/>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23 482</w:t>
            </w:r>
          </w:p>
        </w:tc>
        <w:tc>
          <w:tcPr>
            <w:tcW w:w="960" w:type="dxa"/>
            <w:tcBorders>
              <w:top w:val="nil"/>
              <w:left w:val="nil"/>
              <w:bottom w:val="single" w:sz="8" w:space="0" w:color="auto"/>
              <w:right w:val="single" w:sz="8" w:space="0" w:color="auto"/>
            </w:tcBorders>
            <w:shd w:val="clear" w:color="auto" w:fill="auto"/>
            <w:vAlign w:val="center"/>
            <w:hideMark/>
          </w:tcPr>
          <w:p w:rsidR="00A071B7" w:rsidRPr="00A071B7" w:rsidRDefault="00A071B7" w:rsidP="00D55E35">
            <w:pPr>
              <w:keepNext/>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23 746</w:t>
            </w:r>
          </w:p>
        </w:tc>
        <w:tc>
          <w:tcPr>
            <w:tcW w:w="960" w:type="dxa"/>
            <w:tcBorders>
              <w:top w:val="nil"/>
              <w:left w:val="nil"/>
              <w:bottom w:val="single" w:sz="8" w:space="0" w:color="auto"/>
              <w:right w:val="single" w:sz="8" w:space="0" w:color="auto"/>
            </w:tcBorders>
            <w:vAlign w:val="center"/>
          </w:tcPr>
          <w:p w:rsidR="00A071B7" w:rsidRPr="00A071B7" w:rsidRDefault="00A071B7" w:rsidP="00D55E35">
            <w:pPr>
              <w:keepNext/>
              <w:bidi/>
              <w:rPr>
                <w:rFonts w:ascii="Arabic Typesetting" w:hAnsi="Arabic Typesetting" w:cs="Arabic Typesetting"/>
                <w:sz w:val="36"/>
                <w:szCs w:val="36"/>
                <w:lang w:bidi="ar-EG"/>
              </w:rPr>
            </w:pPr>
            <w:r w:rsidRPr="00A071B7">
              <w:rPr>
                <w:rFonts w:ascii="Arabic Typesetting" w:hAnsi="Arabic Typesetting" w:cs="Arabic Typesetting"/>
                <w:sz w:val="36"/>
                <w:szCs w:val="36"/>
                <w:lang w:bidi="ar-EG"/>
              </w:rPr>
              <w:t>25 088</w:t>
            </w:r>
          </w:p>
        </w:tc>
      </w:tr>
    </w:tbl>
    <w:p w:rsidR="00A071B7" w:rsidRPr="00825D6D" w:rsidRDefault="00A071B7" w:rsidP="00F37D35">
      <w:pPr>
        <w:pStyle w:val="NormalParaAR"/>
        <w:rPr>
          <w:rtl/>
          <w:lang w:bidi="ar-EG"/>
        </w:rPr>
      </w:pPr>
    </w:p>
    <w:p w:rsidR="00E11C05" w:rsidRDefault="00825D6D" w:rsidP="00825D6D">
      <w:pPr>
        <w:pStyle w:val="NormalParaAR"/>
        <w:keepNext/>
        <w:rPr>
          <w:b/>
          <w:bCs/>
          <w:rtl/>
          <w:lang w:bidi="ar-EG"/>
        </w:rPr>
      </w:pPr>
      <w:proofErr w:type="gramStart"/>
      <w:r>
        <w:rPr>
          <w:rFonts w:hint="cs"/>
          <w:b/>
          <w:bCs/>
          <w:rtl/>
          <w:lang w:bidi="ar-EG"/>
        </w:rPr>
        <w:lastRenderedPageBreak/>
        <w:t>الطلبات</w:t>
      </w:r>
      <w:proofErr w:type="gramEnd"/>
      <w:r>
        <w:rPr>
          <w:rFonts w:hint="cs"/>
          <w:b/>
          <w:bCs/>
          <w:rtl/>
          <w:lang w:bidi="ar-EG"/>
        </w:rPr>
        <w:t xml:space="preserve"> الوطنية المتراكمة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990"/>
        <w:gridCol w:w="1080"/>
        <w:gridCol w:w="1080"/>
        <w:gridCol w:w="1080"/>
        <w:gridCol w:w="2533"/>
      </w:tblGrid>
      <w:tr w:rsidR="00A071B7" w:rsidRPr="00A071B7" w:rsidTr="00A071B7">
        <w:trPr>
          <w:cantSplit/>
        </w:trPr>
        <w:tc>
          <w:tcPr>
            <w:tcW w:w="2808" w:type="dxa"/>
            <w:shd w:val="clear" w:color="auto" w:fill="auto"/>
          </w:tcPr>
          <w:p w:rsidR="00A071B7" w:rsidRPr="00A071B7" w:rsidRDefault="007C136B" w:rsidP="00A071B7">
            <w:pPr>
              <w:pStyle w:val="NormalParaAR"/>
              <w:jc w:val="center"/>
              <w:rPr>
                <w:b/>
                <w:bCs/>
                <w:lang w:bidi="ar-EG"/>
              </w:rPr>
            </w:pPr>
            <w:r>
              <w:rPr>
                <w:rFonts w:hint="cs"/>
                <w:b/>
                <w:bCs/>
                <w:rtl/>
                <w:lang w:bidi="ar-EG"/>
              </w:rPr>
              <w:t>المقياس</w:t>
            </w:r>
          </w:p>
        </w:tc>
        <w:tc>
          <w:tcPr>
            <w:tcW w:w="990" w:type="dxa"/>
            <w:vAlign w:val="center"/>
          </w:tcPr>
          <w:p w:rsidR="00A071B7" w:rsidRPr="00A071B7" w:rsidRDefault="00D6308F" w:rsidP="00D6308F">
            <w:pPr>
              <w:pStyle w:val="NormalParaAR"/>
              <w:jc w:val="center"/>
              <w:rPr>
                <w:b/>
                <w:bCs/>
                <w:lang w:bidi="ar-EG"/>
              </w:rPr>
            </w:pPr>
            <w:r>
              <w:rPr>
                <w:rFonts w:hint="cs"/>
                <w:b/>
                <w:bCs/>
                <w:rtl/>
                <w:lang w:bidi="ar-EG"/>
              </w:rPr>
              <w:t>2011-2012</w:t>
            </w:r>
          </w:p>
        </w:tc>
        <w:tc>
          <w:tcPr>
            <w:tcW w:w="1080" w:type="dxa"/>
            <w:vAlign w:val="center"/>
          </w:tcPr>
          <w:p w:rsidR="00A071B7" w:rsidRPr="00A071B7" w:rsidRDefault="00D6308F" w:rsidP="00D6308F">
            <w:pPr>
              <w:pStyle w:val="NormalParaAR"/>
              <w:jc w:val="center"/>
              <w:rPr>
                <w:b/>
                <w:bCs/>
                <w:lang w:bidi="ar-EG"/>
              </w:rPr>
            </w:pPr>
            <w:r>
              <w:rPr>
                <w:rFonts w:hint="cs"/>
                <w:b/>
                <w:bCs/>
                <w:rtl/>
                <w:lang w:bidi="ar-EG"/>
              </w:rPr>
              <w:t>2012-2013</w:t>
            </w:r>
          </w:p>
        </w:tc>
        <w:tc>
          <w:tcPr>
            <w:tcW w:w="1080" w:type="dxa"/>
            <w:shd w:val="clear" w:color="auto" w:fill="auto"/>
            <w:vAlign w:val="center"/>
          </w:tcPr>
          <w:p w:rsidR="00A071B7" w:rsidRPr="00A071B7" w:rsidRDefault="00D6308F" w:rsidP="00D6308F">
            <w:pPr>
              <w:pStyle w:val="NormalParaAR"/>
              <w:jc w:val="center"/>
              <w:rPr>
                <w:b/>
                <w:bCs/>
                <w:lang w:bidi="ar-EG"/>
              </w:rPr>
            </w:pPr>
            <w:r>
              <w:rPr>
                <w:rFonts w:hint="cs"/>
                <w:b/>
                <w:bCs/>
                <w:rtl/>
                <w:lang w:bidi="ar-EG"/>
              </w:rPr>
              <w:t>2013-2014</w:t>
            </w:r>
          </w:p>
        </w:tc>
        <w:tc>
          <w:tcPr>
            <w:tcW w:w="1080" w:type="dxa"/>
            <w:vAlign w:val="center"/>
          </w:tcPr>
          <w:p w:rsidR="00A071B7" w:rsidRPr="00A071B7" w:rsidRDefault="00D6308F" w:rsidP="00D6308F">
            <w:pPr>
              <w:pStyle w:val="NormalParaAR"/>
              <w:jc w:val="center"/>
              <w:rPr>
                <w:b/>
                <w:bCs/>
                <w:lang w:bidi="ar-EG"/>
              </w:rPr>
            </w:pPr>
            <w:r>
              <w:rPr>
                <w:rFonts w:hint="cs"/>
                <w:b/>
                <w:bCs/>
                <w:rtl/>
                <w:lang w:bidi="ar-EG"/>
              </w:rPr>
              <w:t>2014-2015</w:t>
            </w:r>
          </w:p>
        </w:tc>
        <w:tc>
          <w:tcPr>
            <w:tcW w:w="2533" w:type="dxa"/>
          </w:tcPr>
          <w:p w:rsidR="00A071B7" w:rsidRPr="00A071B7" w:rsidRDefault="007C136B" w:rsidP="00D6308F">
            <w:pPr>
              <w:pStyle w:val="NormalParaAR"/>
              <w:jc w:val="center"/>
              <w:rPr>
                <w:b/>
                <w:bCs/>
                <w:lang w:bidi="ar-EG"/>
              </w:rPr>
            </w:pPr>
            <w:r>
              <w:rPr>
                <w:b/>
                <w:bCs/>
                <w:rtl/>
                <w:lang w:bidi="ar-EG"/>
              </w:rPr>
              <w:t>عدد الطلبات</w:t>
            </w:r>
            <w:r w:rsidR="00D6308F">
              <w:rPr>
                <w:b/>
                <w:bCs/>
                <w:rtl/>
                <w:lang w:bidi="ar-EG"/>
              </w:rPr>
              <w:br/>
            </w:r>
            <w:r w:rsidR="00A071B7" w:rsidRPr="00A071B7">
              <w:rPr>
                <w:b/>
                <w:bCs/>
                <w:rtl/>
                <w:lang w:bidi="ar-EG"/>
              </w:rPr>
              <w:t>(</w:t>
            </w:r>
            <w:r>
              <w:rPr>
                <w:rFonts w:hint="cs"/>
                <w:b/>
                <w:bCs/>
                <w:rtl/>
                <w:lang w:bidi="ar-EG"/>
              </w:rPr>
              <w:t>في 31</w:t>
            </w:r>
            <w:r w:rsidR="00A071B7" w:rsidRPr="00A071B7">
              <w:rPr>
                <w:b/>
                <w:bCs/>
                <w:rtl/>
                <w:lang w:bidi="ar-EG"/>
              </w:rPr>
              <w:t xml:space="preserve"> ديسمبر </w:t>
            </w:r>
            <w:r w:rsidR="00A071B7" w:rsidRPr="00A071B7">
              <w:rPr>
                <w:b/>
                <w:bCs/>
                <w:lang w:bidi="ar-EG"/>
              </w:rPr>
              <w:t>2016</w:t>
            </w:r>
            <w:r w:rsidR="00A071B7" w:rsidRPr="00A071B7">
              <w:rPr>
                <w:b/>
                <w:bCs/>
                <w:rtl/>
                <w:lang w:bidi="ar-EG"/>
              </w:rPr>
              <w:t>)</w:t>
            </w:r>
          </w:p>
        </w:tc>
      </w:tr>
      <w:tr w:rsidR="00A071B7" w:rsidRPr="006A6C1D" w:rsidTr="00A071B7">
        <w:trPr>
          <w:cantSplit/>
        </w:trPr>
        <w:tc>
          <w:tcPr>
            <w:tcW w:w="2808" w:type="dxa"/>
            <w:shd w:val="clear" w:color="auto" w:fill="auto"/>
          </w:tcPr>
          <w:p w:rsidR="00A071B7" w:rsidRPr="006A6C1D" w:rsidRDefault="00A071B7" w:rsidP="007C136B">
            <w:pPr>
              <w:pStyle w:val="NormalParaAR"/>
              <w:rPr>
                <w:lang w:bidi="ar-EG"/>
              </w:rPr>
            </w:pPr>
            <w:proofErr w:type="gramStart"/>
            <w:r w:rsidRPr="00A071B7">
              <w:rPr>
                <w:rtl/>
                <w:lang w:bidi="ar-EG"/>
              </w:rPr>
              <w:t>جميع</w:t>
            </w:r>
            <w:proofErr w:type="gramEnd"/>
            <w:r w:rsidRPr="00A071B7">
              <w:rPr>
                <w:rtl/>
                <w:lang w:bidi="ar-EG"/>
              </w:rPr>
              <w:t xml:space="preserve"> الطلبات العالقة</w:t>
            </w:r>
          </w:p>
        </w:tc>
        <w:tc>
          <w:tcPr>
            <w:tcW w:w="990" w:type="dxa"/>
            <w:vAlign w:val="center"/>
          </w:tcPr>
          <w:p w:rsidR="00A071B7" w:rsidRPr="006A6C1D" w:rsidRDefault="00D6308F" w:rsidP="00A071B7">
            <w:pPr>
              <w:pStyle w:val="NormalParaAR"/>
              <w:rPr>
                <w:lang w:bidi="ar-EG"/>
              </w:rPr>
            </w:pPr>
            <w:proofErr w:type="gramStart"/>
            <w:r>
              <w:rPr>
                <w:rtl/>
                <w:lang w:bidi="ar-EG"/>
              </w:rPr>
              <w:t>لا</w:t>
            </w:r>
            <w:proofErr w:type="gramEnd"/>
            <w:r>
              <w:rPr>
                <w:rtl/>
                <w:lang w:bidi="ar-EG"/>
              </w:rPr>
              <w:t xml:space="preserve"> </w:t>
            </w:r>
            <w:r>
              <w:rPr>
                <w:rFonts w:hint="cs"/>
                <w:rtl/>
                <w:lang w:bidi="ar-EG"/>
              </w:rPr>
              <w:t>ي</w:t>
            </w:r>
            <w:r w:rsidR="00A071B7" w:rsidRPr="00A071B7">
              <w:rPr>
                <w:rtl/>
                <w:lang w:bidi="ar-EG"/>
              </w:rPr>
              <w:t>نطبق</w:t>
            </w:r>
          </w:p>
        </w:tc>
        <w:tc>
          <w:tcPr>
            <w:tcW w:w="1080" w:type="dxa"/>
            <w:vAlign w:val="center"/>
          </w:tcPr>
          <w:p w:rsidR="00A071B7" w:rsidRPr="006A6C1D" w:rsidRDefault="00D6308F" w:rsidP="00A071B7">
            <w:pPr>
              <w:pStyle w:val="NormalParaAR"/>
              <w:rPr>
                <w:lang w:bidi="ar-EG"/>
              </w:rPr>
            </w:pPr>
            <w:proofErr w:type="gramStart"/>
            <w:r>
              <w:rPr>
                <w:rtl/>
                <w:lang w:bidi="ar-EG"/>
              </w:rPr>
              <w:t>لا</w:t>
            </w:r>
            <w:proofErr w:type="gramEnd"/>
            <w:r>
              <w:rPr>
                <w:rtl/>
                <w:lang w:bidi="ar-EG"/>
              </w:rPr>
              <w:t xml:space="preserve"> </w:t>
            </w:r>
            <w:r>
              <w:rPr>
                <w:rFonts w:hint="cs"/>
                <w:rtl/>
                <w:lang w:bidi="ar-EG"/>
              </w:rPr>
              <w:t>ي</w:t>
            </w:r>
            <w:r w:rsidR="00A071B7" w:rsidRPr="00A071B7">
              <w:rPr>
                <w:rtl/>
                <w:lang w:bidi="ar-EG"/>
              </w:rPr>
              <w:t>نطبق</w:t>
            </w:r>
          </w:p>
        </w:tc>
        <w:tc>
          <w:tcPr>
            <w:tcW w:w="1080" w:type="dxa"/>
            <w:shd w:val="clear" w:color="auto" w:fill="auto"/>
            <w:vAlign w:val="center"/>
          </w:tcPr>
          <w:p w:rsidR="00A071B7" w:rsidRPr="006A6C1D" w:rsidRDefault="00D6308F" w:rsidP="00A071B7">
            <w:pPr>
              <w:pStyle w:val="NormalParaAR"/>
              <w:rPr>
                <w:lang w:bidi="ar-EG"/>
              </w:rPr>
            </w:pPr>
            <w:proofErr w:type="gramStart"/>
            <w:r>
              <w:rPr>
                <w:rtl/>
                <w:lang w:bidi="ar-EG"/>
              </w:rPr>
              <w:t>لا</w:t>
            </w:r>
            <w:proofErr w:type="gramEnd"/>
            <w:r>
              <w:rPr>
                <w:rtl/>
                <w:lang w:bidi="ar-EG"/>
              </w:rPr>
              <w:t xml:space="preserve"> </w:t>
            </w:r>
            <w:r>
              <w:rPr>
                <w:rFonts w:hint="cs"/>
                <w:rtl/>
                <w:lang w:bidi="ar-EG"/>
              </w:rPr>
              <w:t>ي</w:t>
            </w:r>
            <w:r w:rsidR="00A071B7" w:rsidRPr="00A071B7">
              <w:rPr>
                <w:rtl/>
                <w:lang w:bidi="ar-EG"/>
              </w:rPr>
              <w:t>نطبق</w:t>
            </w:r>
          </w:p>
        </w:tc>
        <w:tc>
          <w:tcPr>
            <w:tcW w:w="1080" w:type="dxa"/>
            <w:vAlign w:val="center"/>
          </w:tcPr>
          <w:p w:rsidR="00A071B7" w:rsidRPr="006A6C1D" w:rsidRDefault="00D6308F" w:rsidP="00A071B7">
            <w:pPr>
              <w:pStyle w:val="NormalParaAR"/>
              <w:rPr>
                <w:lang w:bidi="ar-EG"/>
              </w:rPr>
            </w:pPr>
            <w:proofErr w:type="gramStart"/>
            <w:r>
              <w:rPr>
                <w:rtl/>
                <w:lang w:bidi="ar-EG"/>
              </w:rPr>
              <w:t>لا</w:t>
            </w:r>
            <w:proofErr w:type="gramEnd"/>
            <w:r>
              <w:rPr>
                <w:rtl/>
                <w:lang w:bidi="ar-EG"/>
              </w:rPr>
              <w:t xml:space="preserve"> </w:t>
            </w:r>
            <w:r>
              <w:rPr>
                <w:rFonts w:hint="cs"/>
                <w:rtl/>
                <w:lang w:bidi="ar-EG"/>
              </w:rPr>
              <w:t>ي</w:t>
            </w:r>
            <w:r w:rsidR="00A071B7" w:rsidRPr="00A071B7">
              <w:rPr>
                <w:rtl/>
                <w:lang w:bidi="ar-EG"/>
              </w:rPr>
              <w:t>نطبق</w:t>
            </w:r>
          </w:p>
        </w:tc>
        <w:tc>
          <w:tcPr>
            <w:tcW w:w="2533" w:type="dxa"/>
            <w:vAlign w:val="center"/>
          </w:tcPr>
          <w:p w:rsidR="00A071B7" w:rsidRPr="006A6C1D" w:rsidRDefault="00A071B7" w:rsidP="00A071B7">
            <w:pPr>
              <w:pStyle w:val="NormalParaAR"/>
              <w:rPr>
                <w:lang w:bidi="ar-EG"/>
              </w:rPr>
            </w:pPr>
            <w:r w:rsidRPr="006A6C1D">
              <w:rPr>
                <w:lang w:bidi="ar-EG"/>
              </w:rPr>
              <w:t>177</w:t>
            </w:r>
            <w:r>
              <w:rPr>
                <w:lang w:bidi="ar-EG"/>
              </w:rPr>
              <w:t xml:space="preserve"> </w:t>
            </w:r>
            <w:r w:rsidRPr="006A6C1D">
              <w:rPr>
                <w:lang w:bidi="ar-EG"/>
              </w:rPr>
              <w:t>710</w:t>
            </w:r>
          </w:p>
        </w:tc>
      </w:tr>
      <w:tr w:rsidR="00A071B7" w:rsidRPr="006A6C1D" w:rsidTr="00A071B7">
        <w:trPr>
          <w:cantSplit/>
        </w:trPr>
        <w:tc>
          <w:tcPr>
            <w:tcW w:w="2808" w:type="dxa"/>
            <w:shd w:val="clear" w:color="auto" w:fill="auto"/>
          </w:tcPr>
          <w:p w:rsidR="00A071B7" w:rsidRPr="006A6C1D" w:rsidRDefault="00A071B7" w:rsidP="00A071B7">
            <w:pPr>
              <w:pStyle w:val="NormalParaAR"/>
              <w:rPr>
                <w:lang w:bidi="ar-EG"/>
              </w:rPr>
            </w:pPr>
            <w:r w:rsidRPr="00A071B7">
              <w:rPr>
                <w:rtl/>
                <w:lang w:bidi="ar-EG"/>
              </w:rPr>
              <w:t>طلبات في انتظار البحث (</w:t>
            </w:r>
            <w:proofErr w:type="gramStart"/>
            <w:r w:rsidR="007C136B" w:rsidRPr="007C136B">
              <w:rPr>
                <w:rtl/>
                <w:lang w:bidi="ar-EG"/>
              </w:rPr>
              <w:t>في</w:t>
            </w:r>
            <w:proofErr w:type="gramEnd"/>
            <w:r w:rsidR="007C136B" w:rsidRPr="007C136B">
              <w:rPr>
                <w:rtl/>
                <w:lang w:bidi="ar-EG"/>
              </w:rPr>
              <w:t xml:space="preserve"> حال دفعت الرسوم المعنية</w:t>
            </w:r>
            <w:r w:rsidRPr="00A071B7">
              <w:rPr>
                <w:rtl/>
                <w:lang w:bidi="ar-EG"/>
              </w:rPr>
              <w:t>)</w:t>
            </w:r>
          </w:p>
        </w:tc>
        <w:tc>
          <w:tcPr>
            <w:tcW w:w="6763" w:type="dxa"/>
            <w:gridSpan w:val="5"/>
            <w:vAlign w:val="center"/>
          </w:tcPr>
          <w:p w:rsidR="00A071B7" w:rsidRPr="006A6C1D" w:rsidRDefault="00A071B7" w:rsidP="00D6308F">
            <w:pPr>
              <w:pStyle w:val="NormalParaAR"/>
              <w:rPr>
                <w:lang w:bidi="ar-EG"/>
              </w:rPr>
            </w:pPr>
            <w:proofErr w:type="gramStart"/>
            <w:r w:rsidRPr="00A071B7">
              <w:rPr>
                <w:rtl/>
                <w:lang w:bidi="ar-EG"/>
              </w:rPr>
              <w:t>لا</w:t>
            </w:r>
            <w:proofErr w:type="gramEnd"/>
            <w:r w:rsidRPr="00A071B7">
              <w:rPr>
                <w:rtl/>
                <w:lang w:bidi="ar-EG"/>
              </w:rPr>
              <w:t xml:space="preserve"> تتوافر بيانات محدد </w:t>
            </w:r>
            <w:r w:rsidR="00D6308F">
              <w:rPr>
                <w:rFonts w:hint="cs"/>
                <w:rtl/>
              </w:rPr>
              <w:t>و</w:t>
            </w:r>
            <w:r w:rsidRPr="00A071B7">
              <w:rPr>
                <w:rtl/>
                <w:lang w:bidi="ar-EG"/>
              </w:rPr>
              <w:t xml:space="preserve">منفصلة إذ </w:t>
            </w:r>
            <w:r w:rsidR="00D6308F" w:rsidRPr="00D6308F">
              <w:rPr>
                <w:rFonts w:hint="cs"/>
                <w:rtl/>
                <w:lang w:bidi="ar-EG"/>
              </w:rPr>
              <w:t>يضطلع الفاحص</w:t>
            </w:r>
            <w:r w:rsidR="00D6308F" w:rsidRPr="00D6308F">
              <w:rPr>
                <w:rtl/>
                <w:lang w:bidi="ar-EG"/>
              </w:rPr>
              <w:t xml:space="preserve"> </w:t>
            </w:r>
            <w:r w:rsidR="00D6308F" w:rsidRPr="00D6308F">
              <w:rPr>
                <w:rFonts w:hint="cs"/>
                <w:rtl/>
                <w:lang w:bidi="ar-EG"/>
              </w:rPr>
              <w:t>نفسه ب</w:t>
            </w:r>
            <w:r w:rsidR="00D6308F" w:rsidRPr="00D6308F">
              <w:rPr>
                <w:rtl/>
                <w:lang w:bidi="ar-EG"/>
              </w:rPr>
              <w:t xml:space="preserve">مهام البحث والفحص </w:t>
            </w:r>
            <w:r w:rsidR="00D6308F" w:rsidRPr="00D6308F">
              <w:rPr>
                <w:rFonts w:hint="cs"/>
                <w:rtl/>
                <w:lang w:bidi="ar-EG"/>
              </w:rPr>
              <w:t>في الوقت ذاته.</w:t>
            </w:r>
          </w:p>
        </w:tc>
      </w:tr>
      <w:tr w:rsidR="00A071B7" w:rsidRPr="006A6C1D" w:rsidTr="00A071B7">
        <w:trPr>
          <w:cantSplit/>
        </w:trPr>
        <w:tc>
          <w:tcPr>
            <w:tcW w:w="2808" w:type="dxa"/>
            <w:shd w:val="clear" w:color="auto" w:fill="auto"/>
          </w:tcPr>
          <w:p w:rsidR="00A071B7" w:rsidRPr="006A6C1D" w:rsidRDefault="00A071B7" w:rsidP="00A071B7">
            <w:pPr>
              <w:pStyle w:val="NormalParaAR"/>
              <w:rPr>
                <w:lang w:bidi="ar-EG"/>
              </w:rPr>
            </w:pPr>
            <w:r w:rsidRPr="00A071B7">
              <w:rPr>
                <w:rtl/>
                <w:lang w:bidi="ar-EG"/>
              </w:rPr>
              <w:t>طلبات في انتظار الفحص الأول (</w:t>
            </w:r>
            <w:proofErr w:type="gramStart"/>
            <w:r w:rsidR="007C136B" w:rsidRPr="007C136B">
              <w:rPr>
                <w:rtl/>
                <w:lang w:bidi="ar-EG"/>
              </w:rPr>
              <w:t>في</w:t>
            </w:r>
            <w:proofErr w:type="gramEnd"/>
            <w:r w:rsidR="007C136B" w:rsidRPr="007C136B">
              <w:rPr>
                <w:rtl/>
                <w:lang w:bidi="ar-EG"/>
              </w:rPr>
              <w:t xml:space="preserve"> حال دفعت الرسوم المعنية</w:t>
            </w:r>
            <w:r w:rsidRPr="00A071B7">
              <w:rPr>
                <w:rtl/>
                <w:lang w:bidi="ar-EG"/>
              </w:rPr>
              <w:t>)</w:t>
            </w:r>
          </w:p>
        </w:tc>
        <w:tc>
          <w:tcPr>
            <w:tcW w:w="990" w:type="dxa"/>
            <w:vAlign w:val="center"/>
          </w:tcPr>
          <w:p w:rsidR="00A071B7" w:rsidRPr="006A6C1D" w:rsidRDefault="00A071B7" w:rsidP="00A071B7">
            <w:pPr>
              <w:pStyle w:val="NormalParaAR"/>
              <w:rPr>
                <w:lang w:bidi="ar-EG"/>
              </w:rPr>
            </w:pPr>
            <w:r w:rsidRPr="006A6C1D">
              <w:rPr>
                <w:lang w:bidi="ar-EG"/>
              </w:rPr>
              <w:t>45</w:t>
            </w:r>
            <w:r>
              <w:rPr>
                <w:lang w:bidi="ar-EG"/>
              </w:rPr>
              <w:t xml:space="preserve"> </w:t>
            </w:r>
            <w:r w:rsidRPr="006A6C1D">
              <w:rPr>
                <w:lang w:bidi="ar-EG"/>
              </w:rPr>
              <w:t>281</w:t>
            </w:r>
          </w:p>
        </w:tc>
        <w:tc>
          <w:tcPr>
            <w:tcW w:w="1080" w:type="dxa"/>
            <w:vAlign w:val="center"/>
          </w:tcPr>
          <w:p w:rsidR="00A071B7" w:rsidRPr="006A6C1D" w:rsidRDefault="00A071B7" w:rsidP="00A071B7">
            <w:pPr>
              <w:pStyle w:val="NormalParaAR"/>
              <w:rPr>
                <w:lang w:bidi="ar-EG"/>
              </w:rPr>
            </w:pPr>
            <w:r w:rsidRPr="006A6C1D">
              <w:rPr>
                <w:lang w:bidi="ar-EG"/>
              </w:rPr>
              <w:t>36</w:t>
            </w:r>
            <w:r>
              <w:rPr>
                <w:lang w:bidi="ar-EG"/>
              </w:rPr>
              <w:t xml:space="preserve"> </w:t>
            </w:r>
            <w:r w:rsidRPr="006A6C1D">
              <w:rPr>
                <w:lang w:bidi="ar-EG"/>
              </w:rPr>
              <w:t>872</w:t>
            </w:r>
          </w:p>
        </w:tc>
        <w:tc>
          <w:tcPr>
            <w:tcW w:w="1080" w:type="dxa"/>
            <w:shd w:val="clear" w:color="auto" w:fill="auto"/>
            <w:vAlign w:val="center"/>
          </w:tcPr>
          <w:p w:rsidR="00A071B7" w:rsidRPr="006A6C1D" w:rsidRDefault="00A071B7" w:rsidP="00A071B7">
            <w:pPr>
              <w:pStyle w:val="NormalParaAR"/>
              <w:rPr>
                <w:lang w:bidi="ar-EG"/>
              </w:rPr>
            </w:pPr>
            <w:r w:rsidRPr="006A6C1D">
              <w:rPr>
                <w:lang w:bidi="ar-EG"/>
              </w:rPr>
              <w:t>30</w:t>
            </w:r>
            <w:r>
              <w:rPr>
                <w:lang w:bidi="ar-EG"/>
              </w:rPr>
              <w:t xml:space="preserve"> </w:t>
            </w:r>
            <w:r w:rsidRPr="006A6C1D">
              <w:rPr>
                <w:lang w:bidi="ar-EG"/>
              </w:rPr>
              <w:t>125</w:t>
            </w:r>
          </w:p>
        </w:tc>
        <w:tc>
          <w:tcPr>
            <w:tcW w:w="1080" w:type="dxa"/>
            <w:vAlign w:val="center"/>
          </w:tcPr>
          <w:p w:rsidR="00A071B7" w:rsidRPr="006A6C1D" w:rsidRDefault="00A071B7" w:rsidP="00A071B7">
            <w:pPr>
              <w:pStyle w:val="NormalParaAR"/>
              <w:rPr>
                <w:lang w:bidi="ar-EG"/>
              </w:rPr>
            </w:pPr>
            <w:r w:rsidRPr="006A6C1D">
              <w:rPr>
                <w:lang w:bidi="ar-EG"/>
              </w:rPr>
              <w:t>28</w:t>
            </w:r>
            <w:r>
              <w:rPr>
                <w:lang w:bidi="ar-EG"/>
              </w:rPr>
              <w:t xml:space="preserve"> </w:t>
            </w:r>
            <w:r w:rsidRPr="006A6C1D">
              <w:rPr>
                <w:lang w:bidi="ar-EG"/>
              </w:rPr>
              <w:t>367</w:t>
            </w:r>
          </w:p>
        </w:tc>
        <w:tc>
          <w:tcPr>
            <w:tcW w:w="2533" w:type="dxa"/>
            <w:vAlign w:val="center"/>
          </w:tcPr>
          <w:p w:rsidR="00A071B7" w:rsidRPr="006A6C1D" w:rsidRDefault="00A071B7" w:rsidP="00A071B7">
            <w:pPr>
              <w:pStyle w:val="NormalParaAR"/>
              <w:rPr>
                <w:lang w:bidi="ar-EG"/>
              </w:rPr>
            </w:pPr>
            <w:r w:rsidRPr="006A6C1D">
              <w:rPr>
                <w:lang w:bidi="ar-EG"/>
              </w:rPr>
              <w:t>22</w:t>
            </w:r>
            <w:r>
              <w:rPr>
                <w:lang w:bidi="ar-EG"/>
              </w:rPr>
              <w:t xml:space="preserve"> </w:t>
            </w:r>
            <w:r w:rsidRPr="006A6C1D">
              <w:rPr>
                <w:lang w:bidi="ar-EG"/>
              </w:rPr>
              <w:t>562</w:t>
            </w:r>
          </w:p>
        </w:tc>
      </w:tr>
    </w:tbl>
    <w:p w:rsidR="00D6308F" w:rsidRPr="00D6308F" w:rsidRDefault="00D6308F" w:rsidP="00D6308F">
      <w:pPr>
        <w:pStyle w:val="NormalParaAR"/>
        <w:rPr>
          <w:rtl/>
          <w:lang w:bidi="ar-EG"/>
        </w:rPr>
      </w:pPr>
    </w:p>
    <w:p w:rsidR="00E11C05" w:rsidRDefault="00E11C05" w:rsidP="00D6308F">
      <w:pPr>
        <w:pStyle w:val="NormalParaAR"/>
        <w:keepNext/>
        <w:rPr>
          <w:b/>
          <w:bCs/>
          <w:rtl/>
          <w:lang w:bidi="ar-EG"/>
        </w:rPr>
      </w:pPr>
      <w:r>
        <w:rPr>
          <w:rFonts w:hint="cs"/>
          <w:b/>
          <w:bCs/>
          <w:rtl/>
          <w:lang w:bidi="ar-EG"/>
        </w:rPr>
        <w:t>ا</w:t>
      </w:r>
      <w:r w:rsidRPr="00E11C05">
        <w:rPr>
          <w:b/>
          <w:bCs/>
          <w:rtl/>
          <w:lang w:bidi="ar-EG"/>
        </w:rPr>
        <w:t>لمكاتب/الدول الرئيسية التي تمت فيها المطالبة بالأولوية من طلبات وطنية:</w:t>
      </w:r>
    </w:p>
    <w:p w:rsidR="00E11C05" w:rsidRDefault="00E11C05" w:rsidP="00D6308F">
      <w:pPr>
        <w:pStyle w:val="NormalParaAR"/>
        <w:keepNext/>
        <w:rPr>
          <w:b/>
          <w:bCs/>
          <w:rtl/>
          <w:lang w:bidi="ar-EG"/>
        </w:rPr>
      </w:pPr>
      <w:r>
        <w:rPr>
          <w:rFonts w:hint="cs"/>
          <w:b/>
          <w:bCs/>
          <w:rtl/>
          <w:lang w:bidi="ar-EG"/>
        </w:rPr>
        <w:t>بلد</w:t>
      </w:r>
      <w:r w:rsidR="00B34BF0">
        <w:rPr>
          <w:rFonts w:hint="cs"/>
          <w:b/>
          <w:bCs/>
          <w:rtl/>
          <w:lang w:bidi="ar-EG"/>
        </w:rPr>
        <w:t>ان المنشأ الرئيسية لل</w:t>
      </w:r>
      <w:r>
        <w:rPr>
          <w:rFonts w:hint="cs"/>
          <w:b/>
          <w:bCs/>
          <w:rtl/>
          <w:lang w:bidi="ar-EG"/>
        </w:rPr>
        <w:t xml:space="preserve">طلبات </w:t>
      </w:r>
      <w:r w:rsidR="00B34BF0">
        <w:rPr>
          <w:rFonts w:hint="cs"/>
          <w:b/>
          <w:bCs/>
          <w:rtl/>
          <w:lang w:bidi="ar-EG"/>
        </w:rPr>
        <w:t xml:space="preserve">المودعة </w:t>
      </w:r>
      <w:r>
        <w:rPr>
          <w:rFonts w:hint="cs"/>
          <w:b/>
          <w:bCs/>
          <w:rtl/>
          <w:lang w:bidi="ar-EG"/>
        </w:rPr>
        <w:t>لد</w:t>
      </w:r>
      <w:r w:rsidR="00D6308F">
        <w:rPr>
          <w:rFonts w:hint="cs"/>
          <w:b/>
          <w:bCs/>
          <w:rtl/>
          <w:lang w:bidi="ar-EG"/>
        </w:rPr>
        <w:t>ى المكتب الكندي للملكية الفكرية</w:t>
      </w:r>
    </w:p>
    <w:p w:rsidR="00E11C05" w:rsidRPr="00B34BF0" w:rsidRDefault="00E11C05" w:rsidP="00F37D35">
      <w:pPr>
        <w:pStyle w:val="NormalParaAR"/>
        <w:rPr>
          <w:i/>
          <w:iCs/>
          <w:rtl/>
          <w:lang w:bidi="ar-EG"/>
        </w:rPr>
      </w:pPr>
      <w:r w:rsidRPr="00B34BF0">
        <w:rPr>
          <w:rFonts w:hint="cs"/>
          <w:i/>
          <w:iCs/>
          <w:rtl/>
          <w:lang w:bidi="ar-EG"/>
        </w:rPr>
        <w:t>المصدر: التقرير السنوي للمكتب الكندي للملكية الفكرية 2014/2015</w:t>
      </w:r>
    </w:p>
    <w:p w:rsidR="00E11C05" w:rsidRPr="00B34BF0" w:rsidRDefault="00E11C05" w:rsidP="00F37D35">
      <w:pPr>
        <w:pStyle w:val="NormalParaAR"/>
        <w:rPr>
          <w:i/>
          <w:iCs/>
          <w:rtl/>
          <w:lang w:bidi="ar-EG"/>
        </w:rPr>
      </w:pPr>
      <w:r w:rsidRPr="00B34BF0">
        <w:rPr>
          <w:rFonts w:hint="cs"/>
          <w:i/>
          <w:iCs/>
          <w:rtl/>
          <w:lang w:bidi="ar-EG"/>
        </w:rPr>
        <w:t xml:space="preserve">البلدان </w:t>
      </w:r>
      <w:r w:rsidRPr="00B34BF0">
        <w:rPr>
          <w:rFonts w:hint="cs"/>
          <w:i/>
          <w:iCs/>
          <w:rtl/>
          <w:lang w:bidi="ar-EG"/>
        </w:rPr>
        <w:tab/>
      </w:r>
      <w:r w:rsidRPr="00B34BF0">
        <w:rPr>
          <w:rFonts w:hint="cs"/>
          <w:i/>
          <w:iCs/>
          <w:rtl/>
          <w:lang w:bidi="ar-EG"/>
        </w:rPr>
        <w:tab/>
      </w:r>
      <w:r w:rsidRPr="00B34BF0">
        <w:rPr>
          <w:rFonts w:hint="cs"/>
          <w:i/>
          <w:iCs/>
          <w:rtl/>
          <w:lang w:bidi="ar-EG"/>
        </w:rPr>
        <w:tab/>
      </w:r>
      <w:r w:rsidRPr="00B34BF0">
        <w:rPr>
          <w:rFonts w:hint="cs"/>
          <w:i/>
          <w:iCs/>
          <w:rtl/>
          <w:lang w:bidi="ar-EG"/>
        </w:rPr>
        <w:tab/>
      </w:r>
      <w:r w:rsidRPr="00B34BF0">
        <w:rPr>
          <w:rFonts w:hint="cs"/>
          <w:i/>
          <w:iCs/>
          <w:rtl/>
          <w:lang w:bidi="ar-EG"/>
        </w:rPr>
        <w:tab/>
        <w:t>البراءات</w:t>
      </w:r>
    </w:p>
    <w:p w:rsidR="00E11C05" w:rsidRDefault="00E11C05" w:rsidP="00E11C05">
      <w:pPr>
        <w:pStyle w:val="NormalParaAR"/>
        <w:rPr>
          <w:lang w:bidi="ar-EG"/>
        </w:rPr>
      </w:pPr>
      <w:proofErr w:type="gramStart"/>
      <w:r>
        <w:rPr>
          <w:rFonts w:hint="cs"/>
          <w:rtl/>
          <w:lang w:bidi="ar-EG"/>
        </w:rPr>
        <w:t>الولايات</w:t>
      </w:r>
      <w:proofErr w:type="gramEnd"/>
      <w:r>
        <w:rPr>
          <w:rFonts w:hint="cs"/>
          <w:rtl/>
          <w:lang w:bidi="ar-EG"/>
        </w:rPr>
        <w:t xml:space="preserve"> المتحدة الأمريكية</w:t>
      </w:r>
      <w:r>
        <w:rPr>
          <w:rFonts w:hint="cs"/>
          <w:rtl/>
          <w:lang w:bidi="ar-EG"/>
        </w:rPr>
        <w:tab/>
      </w:r>
      <w:r>
        <w:rPr>
          <w:rFonts w:hint="cs"/>
          <w:rtl/>
          <w:lang w:bidi="ar-EG"/>
        </w:rPr>
        <w:tab/>
      </w:r>
      <w:r>
        <w:rPr>
          <w:rFonts w:hint="cs"/>
          <w:rtl/>
          <w:lang w:bidi="ar-EG"/>
        </w:rPr>
        <w:tab/>
      </w:r>
      <w:r>
        <w:rPr>
          <w:lang w:bidi="ar-EG"/>
        </w:rPr>
        <w:t>17 129</w:t>
      </w:r>
    </w:p>
    <w:p w:rsidR="00E11C05" w:rsidRDefault="00E11C05" w:rsidP="00F37D35">
      <w:pPr>
        <w:pStyle w:val="NormalParaAR"/>
        <w:rPr>
          <w:rtl/>
          <w:lang w:bidi="ar-EG"/>
        </w:rPr>
      </w:pPr>
      <w:r>
        <w:rPr>
          <w:rFonts w:hint="cs"/>
          <w:rtl/>
          <w:lang w:bidi="ar-EG"/>
        </w:rPr>
        <w:t>كندا</w:t>
      </w:r>
      <w:r>
        <w:rPr>
          <w:lang w:bidi="ar-EG"/>
        </w:rPr>
        <w:tab/>
      </w:r>
      <w:r>
        <w:rPr>
          <w:lang w:bidi="ar-EG"/>
        </w:rPr>
        <w:tab/>
      </w:r>
      <w:r>
        <w:rPr>
          <w:lang w:bidi="ar-EG"/>
        </w:rPr>
        <w:tab/>
      </w:r>
      <w:r>
        <w:rPr>
          <w:lang w:bidi="ar-EG"/>
        </w:rPr>
        <w:tab/>
      </w:r>
      <w:r>
        <w:rPr>
          <w:lang w:bidi="ar-EG"/>
        </w:rPr>
        <w:tab/>
      </w:r>
      <w:r>
        <w:rPr>
          <w:lang w:bidi="ar-EG"/>
        </w:rPr>
        <w:tab/>
        <w:t>4 812</w:t>
      </w:r>
    </w:p>
    <w:p w:rsidR="00E11C05" w:rsidRDefault="00E11C05" w:rsidP="00F37D35">
      <w:pPr>
        <w:pStyle w:val="NormalParaAR"/>
        <w:rPr>
          <w:rtl/>
          <w:lang w:bidi="ar-EG"/>
        </w:rPr>
      </w:pPr>
      <w:r>
        <w:rPr>
          <w:rFonts w:hint="cs"/>
          <w:rtl/>
          <w:lang w:bidi="ar-EG"/>
        </w:rPr>
        <w:t>ألمانيا</w:t>
      </w:r>
      <w:r>
        <w:rPr>
          <w:lang w:bidi="ar-EG"/>
        </w:rPr>
        <w:tab/>
      </w:r>
      <w:r>
        <w:rPr>
          <w:lang w:bidi="ar-EG"/>
        </w:rPr>
        <w:tab/>
      </w:r>
      <w:r>
        <w:rPr>
          <w:lang w:bidi="ar-EG"/>
        </w:rPr>
        <w:tab/>
      </w:r>
      <w:r>
        <w:rPr>
          <w:lang w:bidi="ar-EG"/>
        </w:rPr>
        <w:tab/>
      </w:r>
      <w:r>
        <w:rPr>
          <w:lang w:bidi="ar-EG"/>
        </w:rPr>
        <w:tab/>
      </w:r>
      <w:r>
        <w:rPr>
          <w:lang w:bidi="ar-EG"/>
        </w:rPr>
        <w:tab/>
        <w:t>2 374</w:t>
      </w:r>
    </w:p>
    <w:p w:rsidR="00E11C05" w:rsidRDefault="00E11C05" w:rsidP="00F37D35">
      <w:pPr>
        <w:pStyle w:val="NormalParaAR"/>
        <w:rPr>
          <w:rtl/>
          <w:lang w:bidi="ar-EG"/>
        </w:rPr>
      </w:pPr>
      <w:r>
        <w:rPr>
          <w:rFonts w:hint="cs"/>
          <w:rtl/>
          <w:lang w:bidi="ar-EG"/>
        </w:rPr>
        <w:t>اليابان</w:t>
      </w:r>
      <w:r>
        <w:rPr>
          <w:lang w:bidi="ar-EG"/>
        </w:rPr>
        <w:tab/>
      </w:r>
      <w:r>
        <w:rPr>
          <w:lang w:bidi="ar-EG"/>
        </w:rPr>
        <w:tab/>
      </w:r>
      <w:r>
        <w:rPr>
          <w:lang w:bidi="ar-EG"/>
        </w:rPr>
        <w:tab/>
      </w:r>
      <w:r>
        <w:rPr>
          <w:lang w:bidi="ar-EG"/>
        </w:rPr>
        <w:tab/>
      </w:r>
      <w:r>
        <w:rPr>
          <w:lang w:bidi="ar-EG"/>
        </w:rPr>
        <w:tab/>
      </w:r>
      <w:r>
        <w:rPr>
          <w:lang w:bidi="ar-EG"/>
        </w:rPr>
        <w:tab/>
        <w:t>1 903</w:t>
      </w:r>
    </w:p>
    <w:p w:rsidR="00E11C05" w:rsidRDefault="00E11C05" w:rsidP="00F37D35">
      <w:pPr>
        <w:pStyle w:val="NormalParaAR"/>
        <w:rPr>
          <w:rtl/>
          <w:lang w:bidi="ar-EG"/>
        </w:rPr>
      </w:pPr>
      <w:r>
        <w:rPr>
          <w:rFonts w:hint="cs"/>
          <w:rtl/>
          <w:lang w:bidi="ar-EG"/>
        </w:rPr>
        <w:t>فرنسا</w:t>
      </w:r>
      <w:r>
        <w:rPr>
          <w:lang w:bidi="ar-EG"/>
        </w:rPr>
        <w:tab/>
      </w:r>
      <w:r>
        <w:rPr>
          <w:lang w:bidi="ar-EG"/>
        </w:rPr>
        <w:tab/>
      </w:r>
      <w:r>
        <w:rPr>
          <w:lang w:bidi="ar-EG"/>
        </w:rPr>
        <w:tab/>
      </w:r>
      <w:r>
        <w:rPr>
          <w:lang w:bidi="ar-EG"/>
        </w:rPr>
        <w:tab/>
      </w:r>
      <w:r>
        <w:rPr>
          <w:lang w:bidi="ar-EG"/>
        </w:rPr>
        <w:tab/>
      </w:r>
      <w:r>
        <w:rPr>
          <w:lang w:bidi="ar-EG"/>
        </w:rPr>
        <w:tab/>
        <w:t>1 876</w:t>
      </w:r>
    </w:p>
    <w:p w:rsidR="00E11C05" w:rsidRDefault="00E11C05" w:rsidP="00F37D35">
      <w:pPr>
        <w:pStyle w:val="NormalParaAR"/>
        <w:rPr>
          <w:rtl/>
          <w:lang w:bidi="ar-EG"/>
        </w:rPr>
      </w:pPr>
      <w:r>
        <w:rPr>
          <w:rFonts w:hint="cs"/>
          <w:rtl/>
          <w:lang w:bidi="ar-EG"/>
        </w:rPr>
        <w:t>سويسرا</w:t>
      </w:r>
      <w:r>
        <w:rPr>
          <w:lang w:bidi="ar-EG"/>
        </w:rPr>
        <w:tab/>
      </w:r>
      <w:r>
        <w:rPr>
          <w:lang w:bidi="ar-EG"/>
        </w:rPr>
        <w:tab/>
      </w:r>
      <w:r>
        <w:rPr>
          <w:lang w:bidi="ar-EG"/>
        </w:rPr>
        <w:tab/>
      </w:r>
      <w:r>
        <w:rPr>
          <w:lang w:bidi="ar-EG"/>
        </w:rPr>
        <w:tab/>
      </w:r>
      <w:r>
        <w:rPr>
          <w:lang w:bidi="ar-EG"/>
        </w:rPr>
        <w:tab/>
        <w:t>1 476</w:t>
      </w:r>
    </w:p>
    <w:p w:rsidR="00E11C05" w:rsidRDefault="00E11C05" w:rsidP="00F37D35">
      <w:pPr>
        <w:pStyle w:val="NormalParaAR"/>
        <w:rPr>
          <w:rtl/>
          <w:lang w:bidi="ar-EG"/>
        </w:rPr>
      </w:pPr>
      <w:proofErr w:type="gramStart"/>
      <w:r>
        <w:rPr>
          <w:rFonts w:hint="cs"/>
          <w:rtl/>
          <w:lang w:bidi="ar-EG"/>
        </w:rPr>
        <w:t>المملكة</w:t>
      </w:r>
      <w:proofErr w:type="gramEnd"/>
      <w:r>
        <w:rPr>
          <w:rFonts w:hint="cs"/>
          <w:rtl/>
          <w:lang w:bidi="ar-EG"/>
        </w:rPr>
        <w:t xml:space="preserve"> المتحدة</w:t>
      </w:r>
      <w:r>
        <w:rPr>
          <w:lang w:bidi="ar-EG"/>
        </w:rPr>
        <w:tab/>
      </w:r>
      <w:r>
        <w:rPr>
          <w:lang w:bidi="ar-EG"/>
        </w:rPr>
        <w:tab/>
      </w:r>
      <w:r>
        <w:rPr>
          <w:lang w:bidi="ar-EG"/>
        </w:rPr>
        <w:tab/>
      </w:r>
      <w:r>
        <w:rPr>
          <w:lang w:bidi="ar-EG"/>
        </w:rPr>
        <w:tab/>
      </w:r>
      <w:r>
        <w:rPr>
          <w:lang w:bidi="ar-EG"/>
        </w:rPr>
        <w:tab/>
        <w:t>1 229</w:t>
      </w:r>
    </w:p>
    <w:p w:rsidR="00E11C05" w:rsidRDefault="00E11C05" w:rsidP="00F37D35">
      <w:pPr>
        <w:pStyle w:val="NormalParaAR"/>
        <w:rPr>
          <w:rtl/>
          <w:lang w:bidi="ar-EG"/>
        </w:rPr>
      </w:pPr>
      <w:r>
        <w:rPr>
          <w:rFonts w:hint="cs"/>
          <w:rtl/>
          <w:lang w:bidi="ar-EG"/>
        </w:rPr>
        <w:t>الصين</w:t>
      </w:r>
      <w:r>
        <w:rPr>
          <w:lang w:bidi="ar-EG"/>
        </w:rPr>
        <w:tab/>
      </w:r>
      <w:r>
        <w:rPr>
          <w:lang w:bidi="ar-EG"/>
        </w:rPr>
        <w:tab/>
      </w:r>
      <w:r>
        <w:rPr>
          <w:lang w:bidi="ar-EG"/>
        </w:rPr>
        <w:tab/>
      </w:r>
      <w:r>
        <w:rPr>
          <w:lang w:bidi="ar-EG"/>
        </w:rPr>
        <w:tab/>
      </w:r>
      <w:r>
        <w:rPr>
          <w:lang w:bidi="ar-EG"/>
        </w:rPr>
        <w:tab/>
      </w:r>
      <w:r>
        <w:rPr>
          <w:lang w:bidi="ar-EG"/>
        </w:rPr>
        <w:tab/>
        <w:t>661</w:t>
      </w:r>
    </w:p>
    <w:p w:rsidR="00E11C05" w:rsidRDefault="00E11C05" w:rsidP="00F37D35">
      <w:pPr>
        <w:pStyle w:val="NormalParaAR"/>
        <w:rPr>
          <w:rtl/>
          <w:lang w:bidi="ar-EG"/>
        </w:rPr>
      </w:pPr>
      <w:r>
        <w:rPr>
          <w:rFonts w:hint="cs"/>
          <w:rtl/>
          <w:lang w:bidi="ar-EG"/>
        </w:rPr>
        <w:t>هولندا</w:t>
      </w:r>
      <w:r>
        <w:rPr>
          <w:lang w:bidi="ar-EG"/>
        </w:rPr>
        <w:tab/>
      </w:r>
      <w:r>
        <w:rPr>
          <w:lang w:bidi="ar-EG"/>
        </w:rPr>
        <w:tab/>
      </w:r>
      <w:r>
        <w:rPr>
          <w:lang w:bidi="ar-EG"/>
        </w:rPr>
        <w:tab/>
      </w:r>
      <w:r>
        <w:rPr>
          <w:lang w:bidi="ar-EG"/>
        </w:rPr>
        <w:tab/>
      </w:r>
      <w:r>
        <w:rPr>
          <w:lang w:bidi="ar-EG"/>
        </w:rPr>
        <w:tab/>
      </w:r>
      <w:r>
        <w:rPr>
          <w:lang w:bidi="ar-EG"/>
        </w:rPr>
        <w:tab/>
        <w:t>601</w:t>
      </w:r>
    </w:p>
    <w:p w:rsidR="00E11C05" w:rsidRDefault="00E11C05" w:rsidP="00A071B7">
      <w:pPr>
        <w:pStyle w:val="NormalParaAR"/>
        <w:rPr>
          <w:lang w:bidi="ar-EG"/>
        </w:rPr>
      </w:pPr>
      <w:r>
        <w:rPr>
          <w:rFonts w:hint="cs"/>
          <w:rtl/>
          <w:lang w:bidi="ar-EG"/>
        </w:rPr>
        <w:t>إيطاليا</w:t>
      </w:r>
      <w:r>
        <w:rPr>
          <w:lang w:bidi="ar-EG"/>
        </w:rPr>
        <w:tab/>
      </w:r>
      <w:r>
        <w:rPr>
          <w:lang w:bidi="ar-EG"/>
        </w:rPr>
        <w:tab/>
      </w:r>
      <w:r>
        <w:rPr>
          <w:lang w:bidi="ar-EG"/>
        </w:rPr>
        <w:tab/>
      </w:r>
      <w:r>
        <w:rPr>
          <w:lang w:bidi="ar-EG"/>
        </w:rPr>
        <w:tab/>
      </w:r>
      <w:r>
        <w:rPr>
          <w:lang w:bidi="ar-EG"/>
        </w:rPr>
        <w:tab/>
      </w:r>
      <w:r>
        <w:rPr>
          <w:lang w:bidi="ar-EG"/>
        </w:rPr>
        <w:tab/>
        <w:t>569</w:t>
      </w:r>
    </w:p>
    <w:p w:rsidR="00160CD7" w:rsidRPr="00DB436A" w:rsidRDefault="00160CD7" w:rsidP="00160CD7">
      <w:pPr>
        <w:pStyle w:val="SectionHeading"/>
        <w:bidi/>
        <w:rPr>
          <w:rFonts w:ascii="Arabic Typesetting" w:hAnsi="Arabic Typesetting" w:cs="Arabic Typesetting"/>
          <w:sz w:val="40"/>
          <w:szCs w:val="40"/>
        </w:rPr>
      </w:pPr>
      <w:r>
        <w:rPr>
          <w:rFonts w:ascii="Arabic Typesetting" w:hAnsi="Arabic Typesetting" w:cs="Arabic Typesetting" w:hint="cs"/>
          <w:sz w:val="40"/>
          <w:szCs w:val="40"/>
          <w:rtl/>
        </w:rPr>
        <w:lastRenderedPageBreak/>
        <w:t xml:space="preserve">7 - </w:t>
      </w:r>
      <w:proofErr w:type="gramStart"/>
      <w:r w:rsidRPr="00160CD7">
        <w:rPr>
          <w:rFonts w:ascii="Arabic Typesetting" w:hAnsi="Arabic Typesetting" w:cs="Arabic Typesetting"/>
          <w:sz w:val="40"/>
          <w:szCs w:val="40"/>
          <w:rtl/>
          <w:lang w:bidi="ar-EG"/>
        </w:rPr>
        <w:t>الدعم</w:t>
      </w:r>
      <w:proofErr w:type="gramEnd"/>
      <w:r w:rsidRPr="00160CD7">
        <w:rPr>
          <w:rFonts w:ascii="Arabic Typesetting" w:hAnsi="Arabic Typesetting" w:cs="Arabic Typesetting"/>
          <w:sz w:val="40"/>
          <w:szCs w:val="40"/>
          <w:rtl/>
          <w:lang w:bidi="ar-EG"/>
        </w:rPr>
        <w:t xml:space="preserve"> المطلوب</w:t>
      </w:r>
    </w:p>
    <w:p w:rsidR="00E11C05" w:rsidRDefault="00E11C05" w:rsidP="00160CD7">
      <w:pPr>
        <w:pStyle w:val="NormalParaAR"/>
        <w:rPr>
          <w:rtl/>
          <w:lang w:bidi="ar-EG"/>
        </w:rPr>
      </w:pPr>
      <w:proofErr w:type="gramStart"/>
      <w:r>
        <w:rPr>
          <w:rFonts w:hint="cs"/>
          <w:rtl/>
          <w:lang w:bidi="ar-EG"/>
        </w:rPr>
        <w:t>لن</w:t>
      </w:r>
      <w:proofErr w:type="gramEnd"/>
      <w:r>
        <w:rPr>
          <w:rFonts w:hint="cs"/>
          <w:rtl/>
          <w:lang w:bidi="ar-EG"/>
        </w:rPr>
        <w:t xml:space="preserve"> يحتاج المكتب الكندي للملكية الفكرية إلا إلى دعم محدود من المكتب الدولي على مدار السنة المقبلة لمساعدتنا في اختبار استخدام نظام</w:t>
      </w:r>
      <w:r w:rsidR="00160CD7">
        <w:rPr>
          <w:rFonts w:hint="eastAsia"/>
          <w:rtl/>
          <w:lang w:bidi="ar-EG"/>
        </w:rPr>
        <w:t> </w:t>
      </w:r>
      <w:proofErr w:type="spellStart"/>
      <w:r>
        <w:rPr>
          <w:lang w:bidi="ar-EG"/>
        </w:rPr>
        <w:t>ePCT</w:t>
      </w:r>
      <w:proofErr w:type="spellEnd"/>
      <w:r w:rsidR="00160CD7">
        <w:rPr>
          <w:rFonts w:hint="cs"/>
          <w:rtl/>
          <w:lang w:bidi="ar-EG"/>
        </w:rPr>
        <w:t xml:space="preserve"> لأغراض </w:t>
      </w:r>
      <w:r>
        <w:rPr>
          <w:rFonts w:hint="cs"/>
          <w:rtl/>
          <w:lang w:bidi="ar-EG"/>
        </w:rPr>
        <w:t>الو</w:t>
      </w:r>
      <w:r w:rsidR="00160CD7">
        <w:rPr>
          <w:rFonts w:hint="cs"/>
          <w:rtl/>
          <w:lang w:bidi="ar-EG"/>
        </w:rPr>
        <w:t>ثائق المودعة عقب إيداع الطلبات.</w:t>
      </w:r>
    </w:p>
    <w:p w:rsidR="00160CD7" w:rsidRPr="00DB436A" w:rsidRDefault="00090EBA" w:rsidP="00160CD7">
      <w:pPr>
        <w:pStyle w:val="SectionHeading"/>
        <w:bidi/>
        <w:rPr>
          <w:rFonts w:ascii="Arabic Typesetting" w:hAnsi="Arabic Typesetting" w:cs="Arabic Typesetting"/>
          <w:sz w:val="40"/>
          <w:szCs w:val="40"/>
        </w:rPr>
      </w:pPr>
      <w:r>
        <w:rPr>
          <w:rFonts w:ascii="Arabic Typesetting" w:hAnsi="Arabic Typesetting" w:cs="Arabic Typesetting" w:hint="cs"/>
          <w:sz w:val="40"/>
          <w:szCs w:val="40"/>
          <w:rtl/>
        </w:rPr>
        <w:t>8</w:t>
      </w:r>
      <w:r w:rsidR="00160CD7">
        <w:rPr>
          <w:rFonts w:ascii="Arabic Typesetting" w:hAnsi="Arabic Typesetting" w:cs="Arabic Typesetting" w:hint="cs"/>
          <w:sz w:val="40"/>
          <w:szCs w:val="40"/>
          <w:rtl/>
        </w:rPr>
        <w:t xml:space="preserve"> </w:t>
      </w:r>
      <w:r w:rsidR="00160CD7">
        <w:rPr>
          <w:rFonts w:ascii="Arabic Typesetting" w:hAnsi="Arabic Typesetting" w:cs="Arabic Typesetting"/>
          <w:sz w:val="40"/>
          <w:szCs w:val="40"/>
          <w:rtl/>
        </w:rPr>
        <w:t>–</w:t>
      </w:r>
      <w:r w:rsidR="00160CD7">
        <w:rPr>
          <w:rFonts w:ascii="Arabic Typesetting" w:hAnsi="Arabic Typesetting" w:cs="Arabic Typesetting" w:hint="cs"/>
          <w:sz w:val="40"/>
          <w:szCs w:val="40"/>
          <w:rtl/>
        </w:rPr>
        <w:t xml:space="preserve"> </w:t>
      </w:r>
      <w:proofErr w:type="gramStart"/>
      <w:r w:rsidR="00160CD7">
        <w:rPr>
          <w:rFonts w:ascii="Arabic Typesetting" w:hAnsi="Arabic Typesetting" w:cs="Arabic Typesetting" w:hint="cs"/>
          <w:sz w:val="40"/>
          <w:szCs w:val="40"/>
          <w:rtl/>
          <w:lang w:bidi="ar-EG"/>
        </w:rPr>
        <w:t>مسائل</w:t>
      </w:r>
      <w:proofErr w:type="gramEnd"/>
      <w:r w:rsidR="00160CD7">
        <w:rPr>
          <w:rFonts w:ascii="Arabic Typesetting" w:hAnsi="Arabic Typesetting" w:cs="Arabic Typesetting" w:hint="cs"/>
          <w:sz w:val="40"/>
          <w:szCs w:val="40"/>
          <w:rtl/>
          <w:lang w:bidi="ar-EG"/>
        </w:rPr>
        <w:t xml:space="preserve"> أخرى</w:t>
      </w:r>
    </w:p>
    <w:p w:rsidR="00E11C05" w:rsidRDefault="00E11C05" w:rsidP="00160CD7">
      <w:pPr>
        <w:pStyle w:val="NormalParaAR"/>
        <w:keepNext/>
        <w:rPr>
          <w:b/>
          <w:bCs/>
          <w:rtl/>
          <w:lang w:bidi="ar-EG"/>
        </w:rPr>
      </w:pPr>
      <w:r>
        <w:rPr>
          <w:rFonts w:hint="cs"/>
          <w:b/>
          <w:bCs/>
          <w:rtl/>
          <w:lang w:bidi="ar-EG"/>
        </w:rPr>
        <w:t>نبذة عن المكتب الكندي للملكية الفكرية</w:t>
      </w:r>
    </w:p>
    <w:p w:rsidR="00356753" w:rsidRPr="00160CD7" w:rsidRDefault="00E11C05" w:rsidP="00A071B7">
      <w:pPr>
        <w:pStyle w:val="NormalParaAR"/>
        <w:rPr>
          <w:i/>
          <w:iCs/>
          <w:rtl/>
          <w:lang w:bidi="ar-EG"/>
        </w:rPr>
      </w:pPr>
      <w:r w:rsidRPr="00160CD7">
        <w:rPr>
          <w:rFonts w:hint="cs"/>
          <w:i/>
          <w:iCs/>
          <w:rtl/>
          <w:lang w:bidi="ar-EG"/>
        </w:rPr>
        <w:t>المصدر: التقرير السنوي للمكتب الكندي للملكية الفكرية 2014/2015</w:t>
      </w:r>
    </w:p>
    <w:p w:rsidR="005B6E8A" w:rsidRDefault="00A764B1" w:rsidP="00937A65">
      <w:pPr>
        <w:pStyle w:val="NormalParaAR"/>
        <w:rPr>
          <w:rtl/>
        </w:rPr>
      </w:pPr>
      <w:r>
        <w:rPr>
          <w:rFonts w:hint="cs"/>
          <w:rtl/>
        </w:rPr>
        <w:t>يضطلع المكتب ال</w:t>
      </w:r>
      <w:r w:rsidR="00160CD7">
        <w:rPr>
          <w:rFonts w:hint="cs"/>
          <w:rtl/>
        </w:rPr>
        <w:t xml:space="preserve">كندي للملكية الفكرية، وهو </w:t>
      </w:r>
      <w:r>
        <w:rPr>
          <w:rFonts w:hint="cs"/>
          <w:rtl/>
        </w:rPr>
        <w:t xml:space="preserve">وكالة </w:t>
      </w:r>
      <w:r w:rsidR="00937A65">
        <w:rPr>
          <w:rFonts w:hint="cs"/>
          <w:rtl/>
        </w:rPr>
        <w:t>عمل</w:t>
      </w:r>
      <w:r>
        <w:rPr>
          <w:rFonts w:hint="cs"/>
          <w:rtl/>
        </w:rPr>
        <w:t xml:space="preserve"> خاصة مرتبطة بوزارة الابتكار والع</w:t>
      </w:r>
      <w:r w:rsidR="00160CD7">
        <w:rPr>
          <w:rFonts w:hint="cs"/>
          <w:rtl/>
        </w:rPr>
        <w:t xml:space="preserve">لوم والتنمية الاقتصادية في كندا، </w:t>
      </w:r>
      <w:r>
        <w:rPr>
          <w:rFonts w:hint="cs"/>
          <w:rtl/>
        </w:rPr>
        <w:t>بمسؤولية إدارة وتسيير القسم الأكبر من الملكية الفكرية في كندا. ومن بين مجالات عمل المكتب ما يلي: البراءات والعلامات التجارية وحق المؤلف والتصاميم الصناعية و</w:t>
      </w:r>
      <w:r w:rsidRPr="00A764B1">
        <w:rPr>
          <w:rtl/>
        </w:rPr>
        <w:t>تصاميم الدوائر المتكاملة</w:t>
      </w:r>
      <w:r>
        <w:rPr>
          <w:rFonts w:hint="cs"/>
          <w:rtl/>
        </w:rPr>
        <w:t>.</w:t>
      </w:r>
    </w:p>
    <w:p w:rsidR="00A764B1" w:rsidRDefault="00A764B1" w:rsidP="0068497D">
      <w:pPr>
        <w:pStyle w:val="NormalParaAR"/>
        <w:keepNext/>
        <w:rPr>
          <w:b/>
          <w:bCs/>
          <w:rtl/>
          <w:lang w:bidi="ar-EG"/>
        </w:rPr>
      </w:pPr>
      <w:r>
        <w:rPr>
          <w:rFonts w:hint="cs"/>
          <w:b/>
          <w:bCs/>
          <w:rtl/>
          <w:lang w:bidi="ar-EG"/>
        </w:rPr>
        <w:t>نبذة تاريخية عن المكتب الكندي للملكية الفكرية:</w:t>
      </w:r>
    </w:p>
    <w:p w:rsidR="00A764B1" w:rsidRPr="0068497D" w:rsidRDefault="00A764B1" w:rsidP="0068497D">
      <w:pPr>
        <w:pStyle w:val="NormalParaAR"/>
        <w:rPr>
          <w:i/>
          <w:iCs/>
          <w:rtl/>
        </w:rPr>
      </w:pPr>
      <w:r w:rsidRPr="0068497D">
        <w:rPr>
          <w:rFonts w:hint="cs"/>
          <w:i/>
          <w:iCs/>
          <w:rtl/>
        </w:rPr>
        <w:t xml:space="preserve">المصدر: </w:t>
      </w:r>
      <w:proofErr w:type="gramStart"/>
      <w:r w:rsidRPr="0068497D">
        <w:rPr>
          <w:rFonts w:hint="cs"/>
          <w:i/>
          <w:iCs/>
          <w:rtl/>
        </w:rPr>
        <w:t>مكتبة</w:t>
      </w:r>
      <w:proofErr w:type="gramEnd"/>
      <w:r w:rsidRPr="0068497D">
        <w:rPr>
          <w:rFonts w:hint="cs"/>
          <w:i/>
          <w:iCs/>
          <w:rtl/>
        </w:rPr>
        <w:t xml:space="preserve"> ودار </w:t>
      </w:r>
      <w:r w:rsidR="0068497D">
        <w:rPr>
          <w:rFonts w:hint="cs"/>
          <w:i/>
          <w:iCs/>
          <w:rtl/>
        </w:rPr>
        <w:t>المحفوظات</w:t>
      </w:r>
      <w:r w:rsidRPr="0068497D">
        <w:rPr>
          <w:rFonts w:hint="cs"/>
          <w:i/>
          <w:iCs/>
          <w:rtl/>
        </w:rPr>
        <w:t xml:space="preserve"> الكندية، </w:t>
      </w:r>
      <w:r w:rsidRPr="0068497D">
        <w:rPr>
          <w:i/>
          <w:iCs/>
        </w:rPr>
        <w:t xml:space="preserve">Canadian Intellectual Property Office </w:t>
      </w:r>
      <w:proofErr w:type="spellStart"/>
      <w:r w:rsidRPr="0068497D">
        <w:rPr>
          <w:i/>
          <w:iCs/>
        </w:rPr>
        <w:t>fonds</w:t>
      </w:r>
      <w:proofErr w:type="spellEnd"/>
      <w:r w:rsidRPr="0068497D">
        <w:rPr>
          <w:i/>
          <w:iCs/>
        </w:rPr>
        <w:t>/R9271-0-3-E</w:t>
      </w:r>
    </w:p>
    <w:p w:rsidR="00A764B1" w:rsidRDefault="00A764B1" w:rsidP="00356753">
      <w:pPr>
        <w:pStyle w:val="NormalParaAR"/>
        <w:rPr>
          <w:i/>
          <w:rtl/>
        </w:rPr>
      </w:pPr>
      <w:r>
        <w:rPr>
          <w:rFonts w:hint="cs"/>
          <w:i/>
          <w:rtl/>
        </w:rPr>
        <w:t>1869</w:t>
      </w:r>
      <w:r>
        <w:rPr>
          <w:rFonts w:hint="cs"/>
          <w:i/>
          <w:rtl/>
        </w:rPr>
        <w:tab/>
      </w:r>
      <w:r>
        <w:rPr>
          <w:rFonts w:hint="cs"/>
          <w:i/>
          <w:rtl/>
        </w:rPr>
        <w:tab/>
      </w:r>
      <w:r>
        <w:rPr>
          <w:rFonts w:hint="cs"/>
          <w:i/>
          <w:rtl/>
        </w:rPr>
        <w:tab/>
        <w:t>تأسيس مكاتب للبراءات والعلامات التجارية والتصاميم الصناعية وربطها بوزارة الزراعة</w:t>
      </w:r>
      <w:r w:rsidR="0068497D">
        <w:rPr>
          <w:rFonts w:hint="cs"/>
          <w:i/>
          <w:rtl/>
        </w:rPr>
        <w:t>.</w:t>
      </w:r>
    </w:p>
    <w:p w:rsidR="00A764B1" w:rsidRDefault="00A764B1" w:rsidP="009046E0">
      <w:pPr>
        <w:pStyle w:val="NormalParaAR"/>
        <w:ind w:left="1701" w:hanging="1701"/>
        <w:rPr>
          <w:rtl/>
        </w:rPr>
      </w:pPr>
      <w:r>
        <w:rPr>
          <w:rFonts w:hint="cs"/>
          <w:rtl/>
        </w:rPr>
        <w:t>1918</w:t>
      </w:r>
      <w:r>
        <w:rPr>
          <w:rFonts w:hint="cs"/>
          <w:rtl/>
        </w:rPr>
        <w:tab/>
      </w:r>
      <w:r w:rsidR="009046E0">
        <w:rPr>
          <w:rFonts w:hint="cs"/>
          <w:rtl/>
        </w:rPr>
        <w:t>الاختصاص في مجالات</w:t>
      </w:r>
      <w:r>
        <w:rPr>
          <w:rFonts w:hint="cs"/>
          <w:rtl/>
        </w:rPr>
        <w:t xml:space="preserve"> البراءات والعلامات التجارية وحق المؤلف والتصاميم الصناعية وعلامات الأخشاب </w:t>
      </w:r>
      <w:r w:rsidR="009046E0">
        <w:rPr>
          <w:rFonts w:hint="cs"/>
          <w:rtl/>
        </w:rPr>
        <w:t>مسند</w:t>
      </w:r>
      <w:r w:rsidR="0068497D">
        <w:rPr>
          <w:rFonts w:hint="cs"/>
          <w:rtl/>
        </w:rPr>
        <w:t xml:space="preserve"> إلى</w:t>
      </w:r>
      <w:r>
        <w:rPr>
          <w:rFonts w:hint="cs"/>
          <w:rtl/>
        </w:rPr>
        <w:t xml:space="preserve"> وزارة التجارة والتبادل التجاري</w:t>
      </w:r>
      <w:r w:rsidR="0068497D">
        <w:rPr>
          <w:rFonts w:hint="cs"/>
          <w:rtl/>
        </w:rPr>
        <w:t>.</w:t>
      </w:r>
    </w:p>
    <w:p w:rsidR="00A764B1" w:rsidRDefault="00A764B1" w:rsidP="009046E0">
      <w:pPr>
        <w:pStyle w:val="NormalParaAR"/>
        <w:ind w:left="1701" w:hanging="1701"/>
        <w:rPr>
          <w:rtl/>
        </w:rPr>
      </w:pPr>
      <w:r>
        <w:rPr>
          <w:rFonts w:hint="cs"/>
          <w:rtl/>
        </w:rPr>
        <w:t>1927</w:t>
      </w:r>
      <w:r>
        <w:rPr>
          <w:rFonts w:hint="cs"/>
          <w:rtl/>
        </w:rPr>
        <w:tab/>
      </w:r>
      <w:r w:rsidR="0068497D">
        <w:rPr>
          <w:rFonts w:hint="cs"/>
          <w:rtl/>
        </w:rPr>
        <w:t xml:space="preserve">نقل </w:t>
      </w:r>
      <w:r w:rsidR="009046E0">
        <w:rPr>
          <w:rFonts w:hint="cs"/>
          <w:rtl/>
        </w:rPr>
        <w:t>الاختصاص في مجالات</w:t>
      </w:r>
      <w:r>
        <w:rPr>
          <w:rFonts w:hint="cs"/>
          <w:rtl/>
        </w:rPr>
        <w:t xml:space="preserve"> البراءات والعلامات التجارية وحق المؤلف والتصاميم الصناعية وعلامات الأخشاب </w:t>
      </w:r>
      <w:r w:rsidR="0068497D">
        <w:rPr>
          <w:rFonts w:hint="cs"/>
          <w:rtl/>
        </w:rPr>
        <w:t>إلى</w:t>
      </w:r>
      <w:r>
        <w:rPr>
          <w:rFonts w:hint="cs"/>
          <w:rtl/>
        </w:rPr>
        <w:t xml:space="preserve"> وزارة الدولة للشؤون الخارجية</w:t>
      </w:r>
      <w:r w:rsidR="0068497D">
        <w:rPr>
          <w:rFonts w:hint="cs"/>
          <w:rtl/>
        </w:rPr>
        <w:t>.</w:t>
      </w:r>
    </w:p>
    <w:p w:rsidR="00A764B1" w:rsidRDefault="0068497D" w:rsidP="009046E0">
      <w:pPr>
        <w:pStyle w:val="NormalParaAR"/>
        <w:ind w:left="1701" w:hanging="1701"/>
        <w:rPr>
          <w:rtl/>
        </w:rPr>
      </w:pPr>
      <w:r>
        <w:rPr>
          <w:rFonts w:hint="cs"/>
          <w:rtl/>
        </w:rPr>
        <w:t>1966</w:t>
      </w:r>
      <w:r>
        <w:rPr>
          <w:rFonts w:hint="cs"/>
          <w:rtl/>
        </w:rPr>
        <w:tab/>
        <w:t xml:space="preserve">عمل مكتب </w:t>
      </w:r>
      <w:r w:rsidR="009046E0">
        <w:rPr>
          <w:rFonts w:hint="cs"/>
          <w:rtl/>
        </w:rPr>
        <w:t>المسجل العام</w:t>
      </w:r>
      <w:r>
        <w:rPr>
          <w:rFonts w:hint="cs"/>
          <w:rtl/>
        </w:rPr>
        <w:t>، لفترة وجيزة، ك</w:t>
      </w:r>
      <w:r w:rsidR="00A764B1">
        <w:rPr>
          <w:rFonts w:hint="cs"/>
          <w:rtl/>
        </w:rPr>
        <w:t>إدارة حكومية منفصلة تتولى مسؤولية البراءات والعلامات التجارية وحق المؤلف والتصاميم الصناعية وعلامات الأخشاب</w:t>
      </w:r>
      <w:r>
        <w:rPr>
          <w:rFonts w:hint="cs"/>
          <w:rtl/>
        </w:rPr>
        <w:t>.</w:t>
      </w:r>
    </w:p>
    <w:p w:rsidR="00A764B1" w:rsidRDefault="00A764B1" w:rsidP="009046E0">
      <w:pPr>
        <w:pStyle w:val="NormalParaAR"/>
        <w:ind w:left="1701" w:hanging="1701"/>
        <w:rPr>
          <w:rtl/>
        </w:rPr>
      </w:pPr>
      <w:r>
        <w:rPr>
          <w:rFonts w:hint="cs"/>
          <w:rtl/>
        </w:rPr>
        <w:t>1967</w:t>
      </w:r>
      <w:r>
        <w:rPr>
          <w:rFonts w:hint="cs"/>
          <w:rtl/>
        </w:rPr>
        <w:tab/>
        <w:t xml:space="preserve">نقل مكتب </w:t>
      </w:r>
      <w:r w:rsidR="009046E0">
        <w:rPr>
          <w:rFonts w:hint="cs"/>
          <w:rtl/>
        </w:rPr>
        <w:t>المسجل العام</w:t>
      </w:r>
      <w:r>
        <w:rPr>
          <w:rFonts w:hint="cs"/>
          <w:rtl/>
        </w:rPr>
        <w:t xml:space="preserve"> إلى </w:t>
      </w:r>
      <w:r w:rsidR="00B13EE8">
        <w:rPr>
          <w:rFonts w:hint="cs"/>
          <w:rtl/>
        </w:rPr>
        <w:t>وزارة</w:t>
      </w:r>
      <w:r>
        <w:rPr>
          <w:rFonts w:hint="cs"/>
          <w:rtl/>
        </w:rPr>
        <w:t xml:space="preserve"> شؤون المستهلك </w:t>
      </w:r>
      <w:proofErr w:type="gramStart"/>
      <w:r>
        <w:rPr>
          <w:rFonts w:hint="cs"/>
          <w:rtl/>
        </w:rPr>
        <w:t>والشركات</w:t>
      </w:r>
      <w:proofErr w:type="gramEnd"/>
      <w:r w:rsidR="009046E0">
        <w:rPr>
          <w:rFonts w:hint="cs"/>
          <w:rtl/>
        </w:rPr>
        <w:t>.</w:t>
      </w:r>
    </w:p>
    <w:p w:rsidR="00A764B1" w:rsidRDefault="00A764B1" w:rsidP="009046E0">
      <w:pPr>
        <w:pStyle w:val="NormalParaAR"/>
        <w:ind w:left="1701" w:hanging="1701"/>
        <w:rPr>
          <w:rtl/>
        </w:rPr>
      </w:pPr>
      <w:r>
        <w:rPr>
          <w:rFonts w:hint="cs"/>
          <w:rtl/>
        </w:rPr>
        <w:t>1973</w:t>
      </w:r>
      <w:r>
        <w:rPr>
          <w:rFonts w:hint="cs"/>
          <w:rtl/>
        </w:rPr>
        <w:tab/>
        <w:t xml:space="preserve">تأسيس مكتب الملكية الفكرية </w:t>
      </w:r>
      <w:r w:rsidR="009046E0">
        <w:rPr>
          <w:rFonts w:hint="cs"/>
          <w:rtl/>
        </w:rPr>
        <w:t>ضمن</w:t>
      </w:r>
      <w:r w:rsidR="00B13EE8">
        <w:rPr>
          <w:rFonts w:hint="cs"/>
          <w:rtl/>
        </w:rPr>
        <w:t xml:space="preserve"> وزارة</w:t>
      </w:r>
      <w:r>
        <w:rPr>
          <w:rFonts w:hint="cs"/>
          <w:rtl/>
        </w:rPr>
        <w:t xml:space="preserve"> شؤون المستهلك والشركات "لإتاحة نهج منسق تجاه مسؤوليات </w:t>
      </w:r>
      <w:r w:rsidR="009046E0">
        <w:rPr>
          <w:rFonts w:hint="cs"/>
          <w:rtl/>
        </w:rPr>
        <w:t>الوزارة</w:t>
      </w:r>
      <w:r>
        <w:rPr>
          <w:rFonts w:hint="cs"/>
          <w:rtl/>
        </w:rPr>
        <w:t xml:space="preserve"> عن البراءات وحق المؤلف والعلامات التجارية والتصاميم الصناعية."</w:t>
      </w:r>
    </w:p>
    <w:p w:rsidR="00A764B1" w:rsidRDefault="00A764B1" w:rsidP="009046E0">
      <w:pPr>
        <w:pStyle w:val="NormalParaAR"/>
        <w:ind w:left="1701" w:hanging="1701"/>
        <w:rPr>
          <w:rtl/>
        </w:rPr>
      </w:pPr>
      <w:r>
        <w:rPr>
          <w:rFonts w:hint="cs"/>
          <w:rtl/>
        </w:rPr>
        <w:t>1992</w:t>
      </w:r>
      <w:r>
        <w:rPr>
          <w:rFonts w:hint="cs"/>
          <w:rtl/>
        </w:rPr>
        <w:tab/>
      </w:r>
      <w:proofErr w:type="gramStart"/>
      <w:r w:rsidR="009046E0">
        <w:rPr>
          <w:rFonts w:hint="cs"/>
          <w:rtl/>
        </w:rPr>
        <w:t>تحوّل</w:t>
      </w:r>
      <w:proofErr w:type="gramEnd"/>
      <w:r>
        <w:rPr>
          <w:rFonts w:hint="cs"/>
          <w:rtl/>
        </w:rPr>
        <w:t xml:space="preserve"> المكتب الكندي للملكية الفكرية</w:t>
      </w:r>
      <w:r w:rsidR="009046E0">
        <w:rPr>
          <w:rFonts w:hint="cs"/>
          <w:rtl/>
        </w:rPr>
        <w:t xml:space="preserve"> إلى</w:t>
      </w:r>
      <w:r>
        <w:rPr>
          <w:rFonts w:hint="cs"/>
          <w:rtl/>
        </w:rPr>
        <w:t xml:space="preserve"> </w:t>
      </w:r>
      <w:r w:rsidR="0050773A">
        <w:rPr>
          <w:rFonts w:hint="cs"/>
          <w:rtl/>
        </w:rPr>
        <w:t xml:space="preserve">وكالة </w:t>
      </w:r>
      <w:r w:rsidR="00937A65">
        <w:rPr>
          <w:rFonts w:hint="cs"/>
          <w:rtl/>
        </w:rPr>
        <w:t>عمل</w:t>
      </w:r>
      <w:r w:rsidR="0050773A">
        <w:rPr>
          <w:rFonts w:hint="cs"/>
          <w:rtl/>
        </w:rPr>
        <w:t xml:space="preserve"> خاصة </w:t>
      </w:r>
      <w:r w:rsidR="009046E0">
        <w:rPr>
          <w:rFonts w:hint="cs"/>
          <w:rtl/>
        </w:rPr>
        <w:t>ضمن</w:t>
      </w:r>
      <w:r w:rsidR="0050773A">
        <w:rPr>
          <w:rFonts w:hint="cs"/>
          <w:rtl/>
        </w:rPr>
        <w:t xml:space="preserve"> </w:t>
      </w:r>
      <w:r w:rsidR="007F599E">
        <w:rPr>
          <w:rFonts w:hint="cs"/>
          <w:rtl/>
        </w:rPr>
        <w:t>وزارة</w:t>
      </w:r>
      <w:r w:rsidR="0050773A">
        <w:rPr>
          <w:rFonts w:hint="cs"/>
          <w:rtl/>
        </w:rPr>
        <w:t xml:space="preserve"> شؤون المستهلك والشركات.</w:t>
      </w:r>
    </w:p>
    <w:p w:rsidR="0050773A" w:rsidRDefault="007F599E" w:rsidP="009046E0">
      <w:pPr>
        <w:pStyle w:val="NormalParaAR"/>
        <w:ind w:left="1701" w:hanging="1701"/>
        <w:rPr>
          <w:rtl/>
        </w:rPr>
      </w:pPr>
      <w:r>
        <w:rPr>
          <w:rFonts w:hint="cs"/>
          <w:rtl/>
        </w:rPr>
        <w:t>1994</w:t>
      </w:r>
      <w:r>
        <w:rPr>
          <w:rFonts w:hint="cs"/>
          <w:rtl/>
        </w:rPr>
        <w:tab/>
      </w:r>
      <w:proofErr w:type="gramStart"/>
      <w:r w:rsidR="009046E0">
        <w:rPr>
          <w:rFonts w:hint="cs"/>
          <w:rtl/>
        </w:rPr>
        <w:t>إعادة</w:t>
      </w:r>
      <w:proofErr w:type="gramEnd"/>
      <w:r>
        <w:rPr>
          <w:rFonts w:hint="cs"/>
          <w:rtl/>
        </w:rPr>
        <w:t xml:space="preserve"> تسمية وزارة</w:t>
      </w:r>
      <w:r w:rsidR="0050773A">
        <w:rPr>
          <w:rFonts w:hint="cs"/>
          <w:rtl/>
        </w:rPr>
        <w:t xml:space="preserve"> شؤون المستهلك والشركات </w:t>
      </w:r>
      <w:r w:rsidR="009046E0">
        <w:rPr>
          <w:rFonts w:hint="cs"/>
          <w:rtl/>
        </w:rPr>
        <w:t>لت</w:t>
      </w:r>
      <w:r>
        <w:rPr>
          <w:rFonts w:hint="cs"/>
          <w:rtl/>
        </w:rPr>
        <w:t>صبح وزارة</w:t>
      </w:r>
      <w:r w:rsidR="0050773A">
        <w:rPr>
          <w:rFonts w:hint="cs"/>
          <w:rtl/>
        </w:rPr>
        <w:t xml:space="preserve"> الصناعة في كندا.</w:t>
      </w:r>
    </w:p>
    <w:p w:rsidR="0050773A" w:rsidRDefault="0050773A" w:rsidP="009046E0">
      <w:pPr>
        <w:pStyle w:val="NormalParaAR"/>
        <w:ind w:left="1701" w:hanging="1701"/>
        <w:rPr>
          <w:rtl/>
        </w:rPr>
      </w:pPr>
      <w:proofErr w:type="gramStart"/>
      <w:r>
        <w:rPr>
          <w:rFonts w:hint="cs"/>
          <w:rtl/>
        </w:rPr>
        <w:t>20</w:t>
      </w:r>
      <w:r w:rsidR="007F599E">
        <w:rPr>
          <w:rFonts w:hint="cs"/>
          <w:rtl/>
        </w:rPr>
        <w:t xml:space="preserve">16 </w:t>
      </w:r>
      <w:r w:rsidR="007F599E">
        <w:rPr>
          <w:rFonts w:hint="cs"/>
          <w:rtl/>
        </w:rPr>
        <w:tab/>
      </w:r>
      <w:r w:rsidR="009046E0">
        <w:rPr>
          <w:rFonts w:hint="cs"/>
          <w:rtl/>
        </w:rPr>
        <w:t>تحديث</w:t>
      </w:r>
      <w:proofErr w:type="gramEnd"/>
      <w:r w:rsidR="009046E0">
        <w:rPr>
          <w:rFonts w:hint="cs"/>
          <w:rtl/>
        </w:rPr>
        <w:t xml:space="preserve"> </w:t>
      </w:r>
      <w:r w:rsidR="007F599E">
        <w:rPr>
          <w:rFonts w:hint="cs"/>
          <w:rtl/>
        </w:rPr>
        <w:t>ولاية وزارة</w:t>
      </w:r>
      <w:r>
        <w:rPr>
          <w:rFonts w:hint="cs"/>
          <w:rtl/>
        </w:rPr>
        <w:t xml:space="preserve"> الصناعة في كندا </w:t>
      </w:r>
      <w:r w:rsidR="009046E0">
        <w:rPr>
          <w:rFonts w:hint="cs"/>
          <w:rtl/>
        </w:rPr>
        <w:t>وإعادة</w:t>
      </w:r>
      <w:r>
        <w:rPr>
          <w:rFonts w:hint="cs"/>
          <w:rtl/>
        </w:rPr>
        <w:t xml:space="preserve"> تسميتها باسم وزارة الابتكار والعلوم والتنمية الاقتصادية في كندا</w:t>
      </w:r>
      <w:r w:rsidR="009046E0">
        <w:rPr>
          <w:rFonts w:hint="cs"/>
          <w:rtl/>
        </w:rPr>
        <w:t>.</w:t>
      </w:r>
    </w:p>
    <w:p w:rsidR="0050773A" w:rsidRDefault="0050773A" w:rsidP="005A5FFF">
      <w:pPr>
        <w:pStyle w:val="NormalParaAR"/>
        <w:ind w:left="-5" w:firstLine="5"/>
        <w:rPr>
          <w:rtl/>
        </w:rPr>
      </w:pPr>
      <w:r>
        <w:rPr>
          <w:rFonts w:hint="cs"/>
          <w:rtl/>
        </w:rPr>
        <w:lastRenderedPageBreak/>
        <w:t>أصبحت كندا ملتزمة بمعاهدة التعاون بشأن البراءات في 2 يناير 1990. وبدأ المكتب الكندي للملكية الفكرية عمله كإدارة للبحث الدولي وإدارة ل</w:t>
      </w:r>
      <w:r w:rsidR="005A5FFF">
        <w:rPr>
          <w:rFonts w:hint="cs"/>
          <w:rtl/>
        </w:rPr>
        <w:t>لفحص التمهيدي الدولي في 26 يوليو</w:t>
      </w:r>
      <w:r>
        <w:rPr>
          <w:rFonts w:hint="cs"/>
          <w:rtl/>
        </w:rPr>
        <w:t xml:space="preserve"> 2004، وأعيد تعيينه أثناء الدورة السادسة والثلاثين (الدورة</w:t>
      </w:r>
      <w:r w:rsidR="005A5FFF">
        <w:rPr>
          <w:rFonts w:hint="eastAsia"/>
          <w:rtl/>
        </w:rPr>
        <w:t> </w:t>
      </w:r>
      <w:r w:rsidR="005A5FFF">
        <w:rPr>
          <w:rFonts w:hint="cs"/>
          <w:rtl/>
        </w:rPr>
        <w:t>العادية السادسة عشرة) لجمعية ا</w:t>
      </w:r>
      <w:r>
        <w:rPr>
          <w:rFonts w:hint="cs"/>
          <w:rtl/>
        </w:rPr>
        <w:t>تحاد معاهدة التعاون بشأن البراءات في خريف</w:t>
      </w:r>
      <w:r w:rsidR="005A5FFF">
        <w:rPr>
          <w:rFonts w:hint="cs"/>
          <w:rtl/>
        </w:rPr>
        <w:t xml:space="preserve"> عام</w:t>
      </w:r>
      <w:r w:rsidR="005A5FFF">
        <w:rPr>
          <w:rFonts w:hint="eastAsia"/>
          <w:rtl/>
        </w:rPr>
        <w:t> </w:t>
      </w:r>
      <w:r>
        <w:rPr>
          <w:rFonts w:hint="cs"/>
          <w:rtl/>
        </w:rPr>
        <w:t>20</w:t>
      </w:r>
      <w:r w:rsidR="005A5FFF">
        <w:rPr>
          <w:rFonts w:hint="cs"/>
          <w:rtl/>
        </w:rPr>
        <w:t>07. وب</w:t>
      </w:r>
      <w:r>
        <w:rPr>
          <w:rFonts w:hint="cs"/>
          <w:rtl/>
        </w:rPr>
        <w:t>حلول مايو</w:t>
      </w:r>
      <w:r w:rsidR="005A5FFF">
        <w:rPr>
          <w:rFonts w:hint="eastAsia"/>
          <w:rtl/>
        </w:rPr>
        <w:t> </w:t>
      </w:r>
      <w:r w:rsidR="005A5FFF">
        <w:rPr>
          <w:rFonts w:hint="cs"/>
          <w:rtl/>
        </w:rPr>
        <w:t xml:space="preserve">2017، </w:t>
      </w:r>
      <w:r>
        <w:rPr>
          <w:rFonts w:hint="cs"/>
          <w:rtl/>
        </w:rPr>
        <w:t>سيبلغ عدد سنوات خبرة المكتب 13</w:t>
      </w:r>
      <w:r w:rsidR="005A5FFF">
        <w:rPr>
          <w:rFonts w:hint="eastAsia"/>
          <w:rtl/>
        </w:rPr>
        <w:t> </w:t>
      </w:r>
      <w:r>
        <w:rPr>
          <w:rFonts w:hint="cs"/>
          <w:rtl/>
        </w:rPr>
        <w:t>سنة كإدارة للبحث الدولي وإدارة للفحص التمهيدي الدولي بموجب معاهدة التعاون بشأن البراءات.</w:t>
      </w:r>
    </w:p>
    <w:p w:rsidR="0050773A" w:rsidRDefault="005A5FFF" w:rsidP="0050773A">
      <w:pPr>
        <w:pStyle w:val="NormalParaAR"/>
        <w:ind w:left="-5" w:firstLine="5"/>
        <w:rPr>
          <w:rtl/>
        </w:rPr>
      </w:pPr>
      <w:r>
        <w:rPr>
          <w:rFonts w:hint="cs"/>
          <w:rtl/>
        </w:rPr>
        <w:t xml:space="preserve">وختامًا، </w:t>
      </w:r>
      <w:r w:rsidR="0050773A">
        <w:rPr>
          <w:rFonts w:hint="cs"/>
          <w:rtl/>
        </w:rPr>
        <w:t>برهن المكتب الكندي للملكية الفكرية أن</w:t>
      </w:r>
      <w:r w:rsidR="007F599E">
        <w:rPr>
          <w:rFonts w:hint="cs"/>
          <w:rtl/>
        </w:rPr>
        <w:t>ه</w:t>
      </w:r>
      <w:r w:rsidR="0050773A">
        <w:rPr>
          <w:rFonts w:hint="cs"/>
          <w:rtl/>
        </w:rPr>
        <w:t xml:space="preserve"> يفي باشتراطات وظيفته كإدارة للبحث الدولي وإدارة للفحص التمهيدي الدولي بموجب معاهدة التعاون بشأن البراءات بناء على الخصائص الآتية:</w:t>
      </w:r>
    </w:p>
    <w:p w:rsidR="0050773A" w:rsidRDefault="0050773A" w:rsidP="0050773A">
      <w:pPr>
        <w:pStyle w:val="NormalParaAR"/>
        <w:numPr>
          <w:ilvl w:val="0"/>
          <w:numId w:val="25"/>
        </w:numPr>
      </w:pPr>
      <w:r>
        <w:rPr>
          <w:rFonts w:hint="cs"/>
          <w:rtl/>
        </w:rPr>
        <w:t>مجموعة من فاحصي البراءات متنامية وذات كفاءة ومتمتعة بمؤهلات عالية تعمل في جميع المجالات وتمتلك مهارات لغوية ثنائية ومتعددة في بعض الأحيان؛</w:t>
      </w:r>
    </w:p>
    <w:p w:rsidR="0050773A" w:rsidRDefault="0050773A" w:rsidP="005A5FFF">
      <w:pPr>
        <w:pStyle w:val="NormalParaAR"/>
        <w:numPr>
          <w:ilvl w:val="0"/>
          <w:numId w:val="25"/>
        </w:numPr>
      </w:pPr>
      <w:r>
        <w:rPr>
          <w:rFonts w:hint="cs"/>
          <w:rtl/>
        </w:rPr>
        <w:t xml:space="preserve">نظام </w:t>
      </w:r>
      <w:r w:rsidR="005A5FFF">
        <w:rPr>
          <w:rFonts w:hint="cs"/>
          <w:rtl/>
        </w:rPr>
        <w:t>مؤتمت</w:t>
      </w:r>
      <w:r>
        <w:rPr>
          <w:rFonts w:hint="cs"/>
          <w:rtl/>
        </w:rPr>
        <w:t xml:space="preserve"> حديث وكفء لمعالجة </w:t>
      </w:r>
      <w:r w:rsidR="005A5FFF">
        <w:rPr>
          <w:rFonts w:hint="cs"/>
          <w:rtl/>
        </w:rPr>
        <w:t xml:space="preserve">طلبات </w:t>
      </w:r>
      <w:r>
        <w:rPr>
          <w:rFonts w:hint="cs"/>
          <w:rtl/>
        </w:rPr>
        <w:t>البراءات</w:t>
      </w:r>
      <w:r w:rsidR="005A5FFF">
        <w:rPr>
          <w:rFonts w:hint="cs"/>
          <w:rtl/>
        </w:rPr>
        <w:t>،</w:t>
      </w:r>
      <w:r>
        <w:rPr>
          <w:rFonts w:hint="cs"/>
          <w:rtl/>
        </w:rPr>
        <w:t xml:space="preserve"> </w:t>
      </w:r>
      <w:r w:rsidR="00C3712C">
        <w:rPr>
          <w:rFonts w:hint="cs"/>
          <w:rtl/>
        </w:rPr>
        <w:t xml:space="preserve">مدعوم ببنية </w:t>
      </w:r>
      <w:r w:rsidR="005A5FFF">
        <w:rPr>
          <w:rFonts w:hint="cs"/>
          <w:rtl/>
        </w:rPr>
        <w:t xml:space="preserve">معلوماتية </w:t>
      </w:r>
      <w:r w:rsidR="00C3712C">
        <w:rPr>
          <w:rFonts w:hint="cs"/>
          <w:rtl/>
        </w:rPr>
        <w:t>تحتية متقدمة وشاملة؛</w:t>
      </w:r>
    </w:p>
    <w:p w:rsidR="00C3712C" w:rsidRDefault="00C3712C" w:rsidP="00090EBA">
      <w:pPr>
        <w:pStyle w:val="NormalParaAR"/>
        <w:numPr>
          <w:ilvl w:val="0"/>
          <w:numId w:val="25"/>
        </w:numPr>
      </w:pPr>
      <w:r>
        <w:rPr>
          <w:rFonts w:hint="cs"/>
          <w:rtl/>
        </w:rPr>
        <w:t>مجموعة هائلة من الوثائق ا</w:t>
      </w:r>
      <w:r w:rsidR="005A5FFF">
        <w:rPr>
          <w:rFonts w:hint="cs"/>
          <w:rtl/>
        </w:rPr>
        <w:t>لمتعلقة بالبراءات والموارد الإل</w:t>
      </w:r>
      <w:r>
        <w:rPr>
          <w:rFonts w:hint="cs"/>
          <w:rtl/>
        </w:rPr>
        <w:t>ك</w:t>
      </w:r>
      <w:r w:rsidR="00090EBA">
        <w:rPr>
          <w:rFonts w:hint="cs"/>
          <w:rtl/>
        </w:rPr>
        <w:t xml:space="preserve">ترونية التي تتيح للمكتب تلبية </w:t>
      </w:r>
      <w:r>
        <w:rPr>
          <w:rFonts w:hint="cs"/>
          <w:rtl/>
        </w:rPr>
        <w:t xml:space="preserve">متطلبات </w:t>
      </w:r>
      <w:r w:rsidR="00090EBA">
        <w:rPr>
          <w:rFonts w:hint="cs"/>
          <w:rtl/>
        </w:rPr>
        <w:t>الحد الأدنى من مجموعة الوثائق</w:t>
      </w:r>
      <w:r>
        <w:rPr>
          <w:rFonts w:hint="cs"/>
          <w:rtl/>
        </w:rPr>
        <w:t>؛</w:t>
      </w:r>
    </w:p>
    <w:p w:rsidR="00C3712C" w:rsidRDefault="00C3712C" w:rsidP="00090EBA">
      <w:pPr>
        <w:pStyle w:val="NormalParaAR"/>
        <w:numPr>
          <w:ilvl w:val="0"/>
          <w:numId w:val="25"/>
        </w:numPr>
      </w:pPr>
      <w:r>
        <w:rPr>
          <w:rFonts w:hint="cs"/>
          <w:rtl/>
        </w:rPr>
        <w:t xml:space="preserve">التزام </w:t>
      </w:r>
      <w:r w:rsidR="00090EBA">
        <w:rPr>
          <w:rFonts w:hint="cs"/>
          <w:rtl/>
        </w:rPr>
        <w:t xml:space="preserve">مؤسسي بالسعي إلى </w:t>
      </w:r>
      <w:r>
        <w:rPr>
          <w:rFonts w:hint="cs"/>
          <w:rtl/>
        </w:rPr>
        <w:t xml:space="preserve">تحقيق </w:t>
      </w:r>
      <w:r w:rsidR="00090EBA">
        <w:rPr>
          <w:rFonts w:hint="cs"/>
          <w:rtl/>
        </w:rPr>
        <w:t xml:space="preserve">الامتياز في العلاقات مع </w:t>
      </w:r>
      <w:r>
        <w:rPr>
          <w:rFonts w:hint="cs"/>
          <w:rtl/>
        </w:rPr>
        <w:t xml:space="preserve">الزبائن </w:t>
      </w:r>
      <w:proofErr w:type="gramStart"/>
      <w:r>
        <w:rPr>
          <w:rFonts w:hint="cs"/>
          <w:rtl/>
        </w:rPr>
        <w:t>وتقديم</w:t>
      </w:r>
      <w:proofErr w:type="gramEnd"/>
      <w:r>
        <w:rPr>
          <w:rFonts w:hint="cs"/>
          <w:rtl/>
        </w:rPr>
        <w:t xml:space="preserve"> الخدمات؛</w:t>
      </w:r>
    </w:p>
    <w:p w:rsidR="00C3712C" w:rsidRDefault="00C3712C" w:rsidP="00090EBA">
      <w:pPr>
        <w:pStyle w:val="NormalParaAR"/>
        <w:numPr>
          <w:ilvl w:val="0"/>
          <w:numId w:val="25"/>
        </w:numPr>
      </w:pPr>
      <w:proofErr w:type="gramStart"/>
      <w:r>
        <w:rPr>
          <w:rFonts w:hint="cs"/>
          <w:rtl/>
        </w:rPr>
        <w:t>توافر</w:t>
      </w:r>
      <w:proofErr w:type="gramEnd"/>
      <w:r>
        <w:rPr>
          <w:rFonts w:hint="cs"/>
          <w:rtl/>
        </w:rPr>
        <w:t xml:space="preserve"> </w:t>
      </w:r>
      <w:r w:rsidR="00090EBA">
        <w:rPr>
          <w:rFonts w:hint="cs"/>
          <w:rtl/>
        </w:rPr>
        <w:t xml:space="preserve">مستوى كاف من </w:t>
      </w:r>
      <w:r>
        <w:rPr>
          <w:rFonts w:hint="cs"/>
          <w:rtl/>
        </w:rPr>
        <w:t xml:space="preserve">كفاءات الفحص </w:t>
      </w:r>
      <w:r w:rsidR="00090EBA">
        <w:rPr>
          <w:rFonts w:hint="cs"/>
          <w:rtl/>
        </w:rPr>
        <w:t>اللازمة</w:t>
      </w:r>
      <w:r>
        <w:rPr>
          <w:rFonts w:hint="cs"/>
          <w:rtl/>
        </w:rPr>
        <w:t xml:space="preserve"> لإدارة عبء العمل الدولي المتوقع </w:t>
      </w:r>
      <w:r w:rsidR="00090EBA">
        <w:rPr>
          <w:rFonts w:hint="cs"/>
          <w:rtl/>
        </w:rPr>
        <w:t>والكفيلة</w:t>
      </w:r>
      <w:r>
        <w:rPr>
          <w:rFonts w:hint="cs"/>
          <w:rtl/>
        </w:rPr>
        <w:t xml:space="preserve"> </w:t>
      </w:r>
      <w:r w:rsidR="00090EBA">
        <w:rPr>
          <w:rFonts w:hint="cs"/>
          <w:rtl/>
        </w:rPr>
        <w:t>ب</w:t>
      </w:r>
      <w:r>
        <w:rPr>
          <w:rFonts w:hint="cs"/>
          <w:rtl/>
        </w:rPr>
        <w:t xml:space="preserve">تقديم </w:t>
      </w:r>
      <w:r w:rsidR="00090EBA">
        <w:rPr>
          <w:rFonts w:hint="cs"/>
          <w:rtl/>
        </w:rPr>
        <w:t>الخدمات إلى مودعي الطلبات من خلال المكاتب</w:t>
      </w:r>
      <w:r>
        <w:rPr>
          <w:rFonts w:hint="cs"/>
          <w:rtl/>
        </w:rPr>
        <w:t xml:space="preserve"> الأخرى</w:t>
      </w:r>
      <w:r w:rsidR="00090EBA">
        <w:rPr>
          <w:rFonts w:hint="cs"/>
          <w:rtl/>
        </w:rPr>
        <w:t xml:space="preserve"> لتسلم الطلبات</w:t>
      </w:r>
      <w:r>
        <w:rPr>
          <w:rFonts w:hint="cs"/>
          <w:rtl/>
        </w:rPr>
        <w:t>.</w:t>
      </w:r>
    </w:p>
    <w:p w:rsidR="004B5973" w:rsidRPr="00DB436A" w:rsidRDefault="004B5973" w:rsidP="004B5973">
      <w:pPr>
        <w:pStyle w:val="SectionHeading"/>
        <w:bidi/>
        <w:ind w:left="-1"/>
        <w:rPr>
          <w:rFonts w:ascii="Arabic Typesetting" w:hAnsi="Arabic Typesetting" w:cs="Arabic Typesetting"/>
          <w:sz w:val="40"/>
          <w:szCs w:val="40"/>
        </w:rPr>
      </w:pPr>
      <w:r>
        <w:rPr>
          <w:rFonts w:ascii="Arabic Typesetting" w:hAnsi="Arabic Typesetting" w:cs="Arabic Typesetting" w:hint="cs"/>
          <w:sz w:val="40"/>
          <w:szCs w:val="40"/>
          <w:rtl/>
        </w:rPr>
        <w:t xml:space="preserve">9 </w:t>
      </w:r>
      <w:r>
        <w:rPr>
          <w:rFonts w:ascii="Arabic Typesetting" w:hAnsi="Arabic Typesetting" w:cs="Arabic Typesetting"/>
          <w:sz w:val="40"/>
          <w:szCs w:val="40"/>
          <w:rtl/>
        </w:rPr>
        <w:t>–</w:t>
      </w:r>
      <w:r>
        <w:rPr>
          <w:rFonts w:ascii="Arabic Typesetting" w:hAnsi="Arabic Typesetting" w:cs="Arabic Typesetting" w:hint="cs"/>
          <w:sz w:val="40"/>
          <w:szCs w:val="40"/>
          <w:rtl/>
        </w:rPr>
        <w:t xml:space="preserve"> </w:t>
      </w:r>
      <w:r w:rsidRPr="004B5973">
        <w:rPr>
          <w:rFonts w:ascii="Arabic Typesetting" w:hAnsi="Arabic Typesetting" w:cs="Arabic Typesetting" w:hint="cs"/>
          <w:sz w:val="40"/>
          <w:szCs w:val="40"/>
          <w:rtl/>
        </w:rPr>
        <w:t>التقييم من إدارات أخرى</w:t>
      </w:r>
    </w:p>
    <w:p w:rsidR="00C3712C" w:rsidRDefault="00C3712C" w:rsidP="00C3712C">
      <w:pPr>
        <w:pStyle w:val="NormalParaAR"/>
        <w:rPr>
          <w:rtl/>
        </w:rPr>
      </w:pPr>
      <w:r>
        <w:rPr>
          <w:rFonts w:hint="cs"/>
          <w:rtl/>
        </w:rPr>
        <w:t xml:space="preserve">فيما يلي بيان موجز بالتعليقات الواردة من الإدارات الأخرى التي استعرضت </w:t>
      </w:r>
      <w:proofErr w:type="gramStart"/>
      <w:r>
        <w:rPr>
          <w:rFonts w:hint="cs"/>
          <w:rtl/>
        </w:rPr>
        <w:t>التقارير</w:t>
      </w:r>
      <w:proofErr w:type="gramEnd"/>
      <w:r>
        <w:rPr>
          <w:rFonts w:hint="cs"/>
          <w:rtl/>
        </w:rPr>
        <w:t xml:space="preserve"> الصادرة عن الفريق الفرعي الع</w:t>
      </w:r>
      <w:r w:rsidR="004B5973">
        <w:rPr>
          <w:rFonts w:hint="cs"/>
          <w:rtl/>
        </w:rPr>
        <w:t>امل المعني بالجودة كما يلي:</w:t>
      </w:r>
    </w:p>
    <w:p w:rsidR="00C3712C" w:rsidRDefault="00C3712C" w:rsidP="001842F1">
      <w:pPr>
        <w:pStyle w:val="NormalParaAR"/>
        <w:numPr>
          <w:ilvl w:val="0"/>
          <w:numId w:val="25"/>
        </w:numPr>
        <w:ind w:left="-1" w:firstLine="0"/>
      </w:pPr>
      <w:r>
        <w:rPr>
          <w:rFonts w:hint="cs"/>
          <w:rtl/>
        </w:rPr>
        <w:t xml:space="preserve">المجالات التي </w:t>
      </w:r>
      <w:proofErr w:type="gramStart"/>
      <w:r w:rsidR="004B5973">
        <w:rPr>
          <w:rFonts w:hint="cs"/>
          <w:rtl/>
        </w:rPr>
        <w:t>كان</w:t>
      </w:r>
      <w:proofErr w:type="gramEnd"/>
      <w:r w:rsidR="004B5973">
        <w:rPr>
          <w:rFonts w:hint="cs"/>
          <w:rtl/>
        </w:rPr>
        <w:t xml:space="preserve"> فيها أداؤنا جيدا </w:t>
      </w:r>
      <w:r>
        <w:rPr>
          <w:rFonts w:hint="cs"/>
          <w:rtl/>
        </w:rPr>
        <w:t>(تعليقات جميع المكاتب مجمعة):</w:t>
      </w:r>
    </w:p>
    <w:p w:rsidR="00C3712C" w:rsidRDefault="004B5973" w:rsidP="00C3712C">
      <w:pPr>
        <w:pStyle w:val="NormalParaAR"/>
        <w:numPr>
          <w:ilvl w:val="0"/>
          <w:numId w:val="25"/>
        </w:numPr>
      </w:pPr>
      <w:r>
        <w:rPr>
          <w:rFonts w:hint="cs"/>
          <w:rtl/>
        </w:rPr>
        <w:t>رسم خرائط العمليات</w:t>
      </w:r>
    </w:p>
    <w:p w:rsidR="00C3712C" w:rsidRDefault="004B5973" w:rsidP="00C3712C">
      <w:pPr>
        <w:pStyle w:val="NormalParaAR"/>
        <w:numPr>
          <w:ilvl w:val="0"/>
          <w:numId w:val="25"/>
        </w:numPr>
      </w:pPr>
      <w:r>
        <w:rPr>
          <w:rFonts w:hint="cs"/>
          <w:rtl/>
        </w:rPr>
        <w:t xml:space="preserve">نهجا إدارة الجودة </w:t>
      </w:r>
      <w:proofErr w:type="gramStart"/>
      <w:r>
        <w:rPr>
          <w:rFonts w:hint="cs"/>
          <w:rtl/>
        </w:rPr>
        <w:t>وتدقيق</w:t>
      </w:r>
      <w:proofErr w:type="gramEnd"/>
      <w:r>
        <w:rPr>
          <w:rFonts w:hint="cs"/>
          <w:rtl/>
        </w:rPr>
        <w:t xml:space="preserve"> الجودة</w:t>
      </w:r>
    </w:p>
    <w:p w:rsidR="00C3712C" w:rsidRDefault="00C3712C" w:rsidP="004B5973">
      <w:pPr>
        <w:pStyle w:val="NormalParaAR"/>
        <w:numPr>
          <w:ilvl w:val="0"/>
          <w:numId w:val="25"/>
        </w:numPr>
      </w:pPr>
      <w:r>
        <w:rPr>
          <w:rFonts w:hint="cs"/>
          <w:rtl/>
        </w:rPr>
        <w:t xml:space="preserve">التزام الإدارة العليا بنظام إدارة الجودة من خلال عقد اجتماعات </w:t>
      </w:r>
      <w:r w:rsidR="004B5973">
        <w:rPr>
          <w:rFonts w:hint="cs"/>
          <w:rtl/>
        </w:rPr>
        <w:t>منتظمة</w:t>
      </w:r>
      <w:r>
        <w:rPr>
          <w:rFonts w:hint="cs"/>
          <w:rtl/>
        </w:rPr>
        <w:t xml:space="preserve"> للجنة التوجيهية المعنية بالجودة</w:t>
      </w:r>
    </w:p>
    <w:p w:rsidR="00C3712C" w:rsidRDefault="00C3712C" w:rsidP="004B5973">
      <w:pPr>
        <w:pStyle w:val="NormalParaAR"/>
        <w:numPr>
          <w:ilvl w:val="0"/>
          <w:numId w:val="25"/>
        </w:numPr>
      </w:pPr>
      <w:r>
        <w:rPr>
          <w:rFonts w:hint="cs"/>
          <w:rtl/>
        </w:rPr>
        <w:t>نظام اتفاق إدارة أداء الموظفين (أهداف واضحة لجميع الموظفين)</w:t>
      </w:r>
    </w:p>
    <w:p w:rsidR="00C3712C" w:rsidRDefault="00C3712C" w:rsidP="00C3712C">
      <w:pPr>
        <w:pStyle w:val="NormalParaAR"/>
        <w:numPr>
          <w:ilvl w:val="0"/>
          <w:numId w:val="25"/>
        </w:numPr>
      </w:pPr>
      <w:r>
        <w:rPr>
          <w:rFonts w:hint="cs"/>
          <w:rtl/>
        </w:rPr>
        <w:t>التدريب</w:t>
      </w:r>
    </w:p>
    <w:p w:rsidR="00C3712C" w:rsidRDefault="00C3712C" w:rsidP="004B5973">
      <w:pPr>
        <w:pStyle w:val="NormalParaAR"/>
        <w:numPr>
          <w:ilvl w:val="0"/>
          <w:numId w:val="25"/>
        </w:numPr>
      </w:pPr>
      <w:r>
        <w:rPr>
          <w:rFonts w:hint="cs"/>
          <w:rtl/>
        </w:rPr>
        <w:t>إدارة عبء العمل من خلال واجهة</w:t>
      </w:r>
      <w:r w:rsidR="004B5973">
        <w:rPr>
          <w:rFonts w:hint="eastAsia"/>
          <w:rtl/>
        </w:rPr>
        <w:t> </w:t>
      </w:r>
      <w:proofErr w:type="spellStart"/>
      <w:r>
        <w:t>InterApp</w:t>
      </w:r>
      <w:proofErr w:type="spellEnd"/>
    </w:p>
    <w:p w:rsidR="00C3712C" w:rsidRDefault="004B5973" w:rsidP="001842F1">
      <w:pPr>
        <w:pStyle w:val="NormalParaAR"/>
        <w:numPr>
          <w:ilvl w:val="0"/>
          <w:numId w:val="25"/>
        </w:numPr>
      </w:pPr>
      <w:r>
        <w:rPr>
          <w:rFonts w:hint="cs"/>
          <w:rtl/>
          <w:lang w:bidi="ar-EG"/>
        </w:rPr>
        <w:t>ال</w:t>
      </w:r>
      <w:r w:rsidR="00C3712C">
        <w:rPr>
          <w:rFonts w:hint="cs"/>
          <w:rtl/>
          <w:lang w:bidi="ar-EG"/>
        </w:rPr>
        <w:t xml:space="preserve">وقت </w:t>
      </w:r>
      <w:r>
        <w:rPr>
          <w:rFonts w:hint="cs"/>
          <w:rtl/>
          <w:lang w:bidi="ar-EG"/>
        </w:rPr>
        <w:t>المستغرق للرد والتعقيب</w:t>
      </w:r>
      <w:r w:rsidR="00C3712C">
        <w:rPr>
          <w:rFonts w:hint="cs"/>
          <w:rtl/>
          <w:lang w:bidi="ar-EG"/>
        </w:rPr>
        <w:t xml:space="preserve"> (</w:t>
      </w:r>
      <w:r>
        <w:rPr>
          <w:rFonts w:hint="cs"/>
          <w:rtl/>
          <w:lang w:bidi="ar-EG"/>
        </w:rPr>
        <w:t xml:space="preserve">تُعتبر </w:t>
      </w:r>
      <w:r w:rsidR="001842F1">
        <w:rPr>
          <w:rFonts w:hint="cs"/>
          <w:rtl/>
          <w:lang w:bidi="ar-EG"/>
        </w:rPr>
        <w:t>مدة</w:t>
      </w:r>
      <w:r>
        <w:rPr>
          <w:rFonts w:hint="cs"/>
          <w:rtl/>
          <w:lang w:bidi="ar-EG"/>
        </w:rPr>
        <w:t xml:space="preserve"> </w:t>
      </w:r>
      <w:r w:rsidR="00C3712C">
        <w:rPr>
          <w:rFonts w:hint="cs"/>
          <w:rtl/>
          <w:lang w:bidi="ar-EG"/>
        </w:rPr>
        <w:t xml:space="preserve">3 أيام </w:t>
      </w:r>
      <w:r w:rsidR="001842F1">
        <w:rPr>
          <w:rFonts w:hint="cs"/>
          <w:rtl/>
          <w:lang w:bidi="ar-EG"/>
        </w:rPr>
        <w:t>مدة</w:t>
      </w:r>
      <w:r w:rsidR="001B1CDF">
        <w:rPr>
          <w:rFonts w:hint="cs"/>
          <w:rtl/>
          <w:lang w:bidi="ar-EG"/>
        </w:rPr>
        <w:t xml:space="preserve"> قصير</w:t>
      </w:r>
      <w:r w:rsidR="001842F1">
        <w:rPr>
          <w:rFonts w:hint="cs"/>
          <w:rtl/>
          <w:lang w:bidi="ar-EG"/>
        </w:rPr>
        <w:t>ة</w:t>
      </w:r>
      <w:r w:rsidR="001B1CDF">
        <w:rPr>
          <w:rFonts w:hint="cs"/>
          <w:rtl/>
          <w:lang w:bidi="ar-EG"/>
        </w:rPr>
        <w:t xml:space="preserve"> مقارنة ب</w:t>
      </w:r>
      <w:r w:rsidR="001842F1">
        <w:rPr>
          <w:rFonts w:hint="cs"/>
          <w:rtl/>
          <w:lang w:bidi="ar-EG"/>
        </w:rPr>
        <w:t xml:space="preserve">مدة 15 يوما </w:t>
      </w:r>
      <w:proofErr w:type="gramStart"/>
      <w:r w:rsidR="001842F1">
        <w:rPr>
          <w:rFonts w:hint="cs"/>
          <w:rtl/>
          <w:lang w:bidi="ar-EG"/>
        </w:rPr>
        <w:t>تعد</w:t>
      </w:r>
      <w:proofErr w:type="gramEnd"/>
      <w:r w:rsidR="001842F1">
        <w:rPr>
          <w:rFonts w:hint="cs"/>
          <w:rtl/>
          <w:lang w:bidi="ar-EG"/>
        </w:rPr>
        <w:t xml:space="preserve"> بها مكاتب </w:t>
      </w:r>
      <w:r w:rsidR="001B1CDF">
        <w:rPr>
          <w:rFonts w:hint="cs"/>
          <w:rtl/>
          <w:lang w:bidi="ar-EG"/>
        </w:rPr>
        <w:t>أخرى)</w:t>
      </w:r>
    </w:p>
    <w:p w:rsidR="001B1CDF" w:rsidRDefault="001B1CDF" w:rsidP="001842F1">
      <w:pPr>
        <w:pStyle w:val="NormalParaAR"/>
        <w:numPr>
          <w:ilvl w:val="0"/>
          <w:numId w:val="25"/>
        </w:numPr>
        <w:ind w:left="-1" w:firstLine="0"/>
        <w:rPr>
          <w:rtl/>
          <w:lang w:bidi="ar-EG"/>
        </w:rPr>
      </w:pPr>
      <w:proofErr w:type="gramStart"/>
      <w:r>
        <w:rPr>
          <w:rFonts w:hint="cs"/>
          <w:rtl/>
          <w:lang w:bidi="ar-EG"/>
        </w:rPr>
        <w:lastRenderedPageBreak/>
        <w:t>المجالات</w:t>
      </w:r>
      <w:proofErr w:type="gramEnd"/>
      <w:r>
        <w:rPr>
          <w:rFonts w:hint="cs"/>
          <w:rtl/>
          <w:lang w:bidi="ar-EG"/>
        </w:rPr>
        <w:t xml:space="preserve"> التي يمكن </w:t>
      </w:r>
      <w:r w:rsidR="001842F1">
        <w:rPr>
          <w:rFonts w:hint="cs"/>
          <w:rtl/>
          <w:lang w:bidi="ar-EG"/>
        </w:rPr>
        <w:t>تحسينها</w:t>
      </w:r>
      <w:r>
        <w:rPr>
          <w:rFonts w:hint="cs"/>
          <w:rtl/>
          <w:lang w:bidi="ar-EG"/>
        </w:rPr>
        <w:t xml:space="preserve"> (لم </w:t>
      </w:r>
      <w:r w:rsidR="001842F1">
        <w:rPr>
          <w:rFonts w:hint="cs"/>
          <w:rtl/>
          <w:lang w:bidi="ar-EG"/>
        </w:rPr>
        <w:t>تُسجل</w:t>
      </w:r>
      <w:r>
        <w:rPr>
          <w:rFonts w:hint="cs"/>
          <w:rtl/>
          <w:lang w:bidi="ar-EG"/>
        </w:rPr>
        <w:t xml:space="preserve"> </w:t>
      </w:r>
      <w:r w:rsidR="001842F1">
        <w:rPr>
          <w:rFonts w:hint="cs"/>
          <w:rtl/>
          <w:lang w:bidi="ar-EG"/>
        </w:rPr>
        <w:t>مشكلات</w:t>
      </w:r>
      <w:r>
        <w:rPr>
          <w:rFonts w:hint="cs"/>
          <w:rtl/>
          <w:lang w:bidi="ar-EG"/>
        </w:rPr>
        <w:t xml:space="preserve"> </w:t>
      </w:r>
      <w:r w:rsidR="007F599E">
        <w:rPr>
          <w:rFonts w:hint="cs"/>
          <w:rtl/>
          <w:lang w:bidi="ar-EG"/>
        </w:rPr>
        <w:t>جسيمة</w:t>
      </w:r>
      <w:r>
        <w:rPr>
          <w:rFonts w:hint="cs"/>
          <w:rtl/>
          <w:lang w:bidi="ar-EG"/>
        </w:rPr>
        <w:t xml:space="preserve"> بشكل عام، </w:t>
      </w:r>
      <w:r w:rsidR="001842F1">
        <w:rPr>
          <w:rFonts w:hint="cs"/>
          <w:rtl/>
          <w:lang w:bidi="ar-EG"/>
        </w:rPr>
        <w:t xml:space="preserve">وطُلب </w:t>
      </w:r>
      <w:r>
        <w:rPr>
          <w:rFonts w:hint="cs"/>
          <w:rtl/>
          <w:lang w:bidi="ar-EG"/>
        </w:rPr>
        <w:t>مزيد من الإيضاحات بشأن بعض الموضوعات)</w:t>
      </w:r>
    </w:p>
    <w:p w:rsidR="001B1CDF" w:rsidRDefault="001B1CDF" w:rsidP="001B1CDF">
      <w:pPr>
        <w:pStyle w:val="NormalParaAR"/>
        <w:numPr>
          <w:ilvl w:val="0"/>
          <w:numId w:val="25"/>
        </w:numPr>
      </w:pPr>
      <w:proofErr w:type="gramStart"/>
      <w:r>
        <w:rPr>
          <w:rFonts w:hint="cs"/>
          <w:rtl/>
          <w:lang w:bidi="ar-EG"/>
        </w:rPr>
        <w:t>توفير</w:t>
      </w:r>
      <w:proofErr w:type="gramEnd"/>
      <w:r>
        <w:rPr>
          <w:rFonts w:hint="cs"/>
          <w:rtl/>
          <w:lang w:bidi="ar-EG"/>
        </w:rPr>
        <w:t xml:space="preserve"> هيكل تنظيمي للفروع</w:t>
      </w:r>
    </w:p>
    <w:p w:rsidR="001B1CDF" w:rsidRDefault="001B1CDF" w:rsidP="001B1CDF">
      <w:pPr>
        <w:pStyle w:val="NormalParaAR"/>
        <w:numPr>
          <w:ilvl w:val="0"/>
          <w:numId w:val="25"/>
        </w:numPr>
      </w:pPr>
      <w:proofErr w:type="gramStart"/>
      <w:r>
        <w:rPr>
          <w:rFonts w:hint="cs"/>
          <w:rtl/>
          <w:lang w:bidi="ar-EG"/>
        </w:rPr>
        <w:t>تحديد</w:t>
      </w:r>
      <w:proofErr w:type="gramEnd"/>
      <w:r>
        <w:rPr>
          <w:rFonts w:hint="cs"/>
          <w:rtl/>
          <w:lang w:bidi="ar-EG"/>
        </w:rPr>
        <w:t xml:space="preserve"> نوع الاعتماد بشهادة </w:t>
      </w:r>
      <w:r>
        <w:rPr>
          <w:lang w:bidi="ar-EG"/>
        </w:rPr>
        <w:t>ISO</w:t>
      </w:r>
      <w:r>
        <w:rPr>
          <w:rFonts w:hint="cs"/>
          <w:rtl/>
          <w:lang w:bidi="ar-EG"/>
        </w:rPr>
        <w:t xml:space="preserve"> (لا يوضح التقرير الحصول على الاعتماد من عدمه)</w:t>
      </w:r>
    </w:p>
    <w:p w:rsidR="001B1CDF" w:rsidRDefault="001B1CDF" w:rsidP="001842F1">
      <w:pPr>
        <w:pStyle w:val="NormalParaAR"/>
        <w:numPr>
          <w:ilvl w:val="0"/>
          <w:numId w:val="25"/>
        </w:numPr>
      </w:pPr>
      <w:r>
        <w:rPr>
          <w:rFonts w:hint="cs"/>
          <w:rtl/>
        </w:rPr>
        <w:t xml:space="preserve">المزيد من المعلومات بشأن نوع </w:t>
      </w:r>
      <w:r w:rsidR="001842F1">
        <w:rPr>
          <w:rFonts w:hint="cs"/>
          <w:rtl/>
        </w:rPr>
        <w:t>الإجراءات المزمع اتخاذها في حال تأخ</w:t>
      </w:r>
      <w:r>
        <w:rPr>
          <w:rFonts w:hint="cs"/>
          <w:rtl/>
        </w:rPr>
        <w:t xml:space="preserve">ر </w:t>
      </w:r>
      <w:r w:rsidR="001842F1">
        <w:rPr>
          <w:rFonts w:hint="cs"/>
          <w:rtl/>
        </w:rPr>
        <w:t xml:space="preserve">معالجة </w:t>
      </w:r>
      <w:r>
        <w:rPr>
          <w:rFonts w:hint="cs"/>
          <w:rtl/>
        </w:rPr>
        <w:t>الطلبات (المزيد من المعلومات المحددة عن الفح</w:t>
      </w:r>
      <w:r w:rsidR="001842F1">
        <w:rPr>
          <w:rFonts w:hint="cs"/>
          <w:rtl/>
        </w:rPr>
        <w:t>ص و</w:t>
      </w:r>
      <w:r w:rsidR="00937A65">
        <w:rPr>
          <w:rFonts w:hint="cs"/>
          <w:rtl/>
        </w:rPr>
        <w:t>العمل</w:t>
      </w:r>
      <w:r w:rsidR="001842F1">
        <w:rPr>
          <w:rFonts w:hint="cs"/>
          <w:rtl/>
        </w:rPr>
        <w:t>يات الأخرى</w:t>
      </w:r>
      <w:r>
        <w:rPr>
          <w:rFonts w:hint="cs"/>
          <w:rtl/>
        </w:rPr>
        <w:t>)</w:t>
      </w:r>
    </w:p>
    <w:p w:rsidR="001B1CDF" w:rsidRDefault="001B1CDF" w:rsidP="001842F1">
      <w:pPr>
        <w:pStyle w:val="NormalParaAR"/>
        <w:numPr>
          <w:ilvl w:val="0"/>
          <w:numId w:val="25"/>
        </w:numPr>
      </w:pPr>
      <w:r>
        <w:rPr>
          <w:rFonts w:hint="cs"/>
          <w:rtl/>
        </w:rPr>
        <w:t xml:space="preserve">المزيد من المعلومات المحددة بشأن المسؤول عن </w:t>
      </w:r>
      <w:r w:rsidR="001842F1">
        <w:rPr>
          <w:rFonts w:hint="cs"/>
          <w:rtl/>
        </w:rPr>
        <w:t xml:space="preserve">اعتماد </w:t>
      </w:r>
      <w:r>
        <w:rPr>
          <w:rFonts w:hint="cs"/>
          <w:rtl/>
        </w:rPr>
        <w:t xml:space="preserve">سياسة الجودة / </w:t>
      </w:r>
      <w:r w:rsidR="001842F1">
        <w:rPr>
          <w:rFonts w:hint="cs"/>
          <w:rtl/>
        </w:rPr>
        <w:t>ومدى إتاحتها للعموم</w:t>
      </w:r>
    </w:p>
    <w:p w:rsidR="001B1CDF" w:rsidRDefault="001B1CDF" w:rsidP="006233E4">
      <w:pPr>
        <w:pStyle w:val="NormalParaAR"/>
        <w:numPr>
          <w:ilvl w:val="0"/>
          <w:numId w:val="25"/>
        </w:numPr>
        <w:spacing w:after="480"/>
        <w:ind w:left="714" w:hanging="357"/>
      </w:pPr>
      <w:r>
        <w:rPr>
          <w:rFonts w:hint="cs"/>
          <w:rtl/>
        </w:rPr>
        <w:t>المزيد من الإيضاح بشأن استعراض الإدارة</w:t>
      </w:r>
    </w:p>
    <w:p w:rsidR="001B1CDF" w:rsidRPr="00C3712C" w:rsidRDefault="001B1CDF" w:rsidP="006233E4">
      <w:pPr>
        <w:pStyle w:val="EndofDocumentAR"/>
        <w:rPr>
          <w:rtl/>
        </w:rPr>
      </w:pPr>
      <w:r>
        <w:rPr>
          <w:rFonts w:hint="cs"/>
          <w:rtl/>
        </w:rPr>
        <w:t xml:space="preserve">[نهاية المرفق </w:t>
      </w:r>
      <w:proofErr w:type="gramStart"/>
      <w:r>
        <w:rPr>
          <w:rFonts w:hint="cs"/>
          <w:rtl/>
        </w:rPr>
        <w:t>والوثيقة</w:t>
      </w:r>
      <w:proofErr w:type="gramEnd"/>
      <w:r>
        <w:rPr>
          <w:rFonts w:hint="cs"/>
          <w:rtl/>
        </w:rPr>
        <w:t>]</w:t>
      </w:r>
    </w:p>
    <w:sectPr w:rsidR="001B1CDF" w:rsidRPr="00C3712C" w:rsidSect="00356753">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CD7" w:rsidRDefault="00160CD7">
      <w:r>
        <w:separator/>
      </w:r>
    </w:p>
  </w:endnote>
  <w:endnote w:type="continuationSeparator" w:id="0">
    <w:p w:rsidR="00160CD7" w:rsidRDefault="00160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CD7" w:rsidRDefault="00160CD7" w:rsidP="009622BF">
      <w:pPr>
        <w:bidi/>
      </w:pPr>
      <w:bookmarkStart w:id="0" w:name="OLE_LINK1"/>
      <w:bookmarkStart w:id="1" w:name="OLE_LINK2"/>
      <w:r>
        <w:separator/>
      </w:r>
      <w:bookmarkEnd w:id="0"/>
      <w:bookmarkEnd w:id="1"/>
    </w:p>
  </w:footnote>
  <w:footnote w:type="continuationSeparator" w:id="0">
    <w:p w:rsidR="00160CD7" w:rsidRDefault="00160CD7" w:rsidP="009622BF">
      <w:pPr>
        <w:bidi/>
      </w:pPr>
      <w:r>
        <w:separator/>
      </w:r>
    </w:p>
  </w:footnote>
  <w:footnote w:id="1">
    <w:p w:rsidR="00160CD7" w:rsidRDefault="00160CD7" w:rsidP="006233E4">
      <w:pPr>
        <w:pStyle w:val="FootnoteText"/>
        <w:rPr>
          <w:lang w:bidi="ar-EG"/>
        </w:rPr>
      </w:pPr>
      <w:r>
        <w:rPr>
          <w:rStyle w:val="FootnoteReference"/>
        </w:rPr>
        <w:footnoteRef/>
      </w:r>
      <w:r>
        <w:rPr>
          <w:rtl/>
        </w:rPr>
        <w:t xml:space="preserve"> </w:t>
      </w:r>
      <w:r>
        <w:rPr>
          <w:rFonts w:hint="cs"/>
          <w:rtl/>
        </w:rPr>
        <w:t xml:space="preserve">يمكن الاطلاع على التقارير على موقع </w:t>
      </w:r>
      <w:proofErr w:type="spellStart"/>
      <w:r>
        <w:rPr>
          <w:rFonts w:hint="cs"/>
          <w:rtl/>
        </w:rPr>
        <w:t>الويبو</w:t>
      </w:r>
      <w:proofErr w:type="spellEnd"/>
      <w:r>
        <w:rPr>
          <w:rFonts w:hint="cs"/>
          <w:rtl/>
        </w:rPr>
        <w:t xml:space="preserve"> الإلكتروني التالي: </w:t>
      </w:r>
      <w:r w:rsidRPr="00354444">
        <w:rPr>
          <w:u w:val="single"/>
        </w:rPr>
        <w:t>http://www.wipo.int/pct/en/quality/authorities.html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CD7" w:rsidRDefault="00160CD7" w:rsidP="0057160F">
    <w:r>
      <w:t>PCT/CTC/30/--</w:t>
    </w:r>
  </w:p>
  <w:p w:rsidR="00160CD7" w:rsidRDefault="00160CD7" w:rsidP="00D61541">
    <w:r>
      <w:fldChar w:fldCharType="begin"/>
    </w:r>
    <w:r>
      <w:instrText xml:space="preserve"> PAGE  \* MERGEFORMAT </w:instrText>
    </w:r>
    <w:r>
      <w:fldChar w:fldCharType="separate"/>
    </w:r>
    <w:r>
      <w:rPr>
        <w:noProof/>
      </w:rPr>
      <w:t>3</w:t>
    </w:r>
    <w:r>
      <w:rPr>
        <w:noProof/>
      </w:rPr>
      <w:fldChar w:fldCharType="end"/>
    </w:r>
  </w:p>
  <w:p w:rsidR="00160CD7" w:rsidRDefault="00160CD7"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CD7" w:rsidRDefault="00160CD7" w:rsidP="0057160F">
    <w:r>
      <w:t>PCT/CTC/30/6</w:t>
    </w:r>
  </w:p>
  <w:p w:rsidR="00160CD7" w:rsidRDefault="00160CD7" w:rsidP="0057160F">
    <w:r>
      <w:t>Annex</w:t>
    </w:r>
  </w:p>
  <w:p w:rsidR="00160CD7" w:rsidRDefault="00160CD7" w:rsidP="00D61541">
    <w:r>
      <w:fldChar w:fldCharType="begin"/>
    </w:r>
    <w:r>
      <w:instrText xml:space="preserve"> PAGE  \* MERGEFORMAT </w:instrText>
    </w:r>
    <w:r>
      <w:fldChar w:fldCharType="separate"/>
    </w:r>
    <w:r w:rsidR="00C22F8A">
      <w:rPr>
        <w:noProof/>
      </w:rPr>
      <w:t>25</w:t>
    </w:r>
    <w:r>
      <w:rPr>
        <w:noProof/>
      </w:rPr>
      <w:fldChar w:fldCharType="end"/>
    </w:r>
  </w:p>
  <w:p w:rsidR="00160CD7" w:rsidRDefault="00160CD7"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CD7" w:rsidRDefault="00160CD7" w:rsidP="00C85B60">
    <w:pPr>
      <w:rPr>
        <w:rtl/>
      </w:rPr>
    </w:pPr>
    <w:r>
      <w:t>PCT/CTC/30/6</w:t>
    </w:r>
  </w:p>
  <w:p w:rsidR="00160CD7" w:rsidRDefault="00160CD7" w:rsidP="00356753">
    <w:r>
      <w:t>ANNEX</w:t>
    </w:r>
  </w:p>
  <w:p w:rsidR="00160CD7" w:rsidRPr="00356753" w:rsidRDefault="00160CD7" w:rsidP="00C85B60">
    <w:pPr>
      <w:bidi/>
      <w:jc w:val="right"/>
      <w:rPr>
        <w:rFonts w:ascii="Arabic Typesetting" w:hAnsi="Arabic Typesetting" w:cs="Arabic Typesetting"/>
        <w:sz w:val="40"/>
        <w:szCs w:val="40"/>
        <w:rtl/>
        <w:lang w:bidi="ar-EG"/>
      </w:rPr>
    </w:pPr>
    <w:r w:rsidRPr="00356753">
      <w:rPr>
        <w:rFonts w:ascii="Arabic Typesetting" w:hAnsi="Arabic Typesetting" w:cs="Arabic Typesetting"/>
        <w:sz w:val="40"/>
        <w:szCs w:val="40"/>
        <w:rtl/>
        <w:lang w:bidi="ar-EG"/>
      </w:rPr>
      <w:t>المرفق</w:t>
    </w:r>
  </w:p>
  <w:p w:rsidR="00160CD7" w:rsidRDefault="00160C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E92395C"/>
    <w:multiLevelType w:val="multilevel"/>
    <w:tmpl w:val="79CCF452"/>
    <w:lvl w:ilvl="0">
      <w:start w:val="1"/>
      <w:numFmt w:val="decimal"/>
      <w:lvlText w:val="%1."/>
      <w:lvlJc w:val="left"/>
      <w:pPr>
        <w:ind w:left="1080" w:hanging="360"/>
      </w:pPr>
      <w:rPr>
        <w:rFonts w:hint="default"/>
        <w:b/>
      </w:rPr>
    </w:lvl>
    <w:lvl w:ilvl="1">
      <w:start w:val="2"/>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16D47317"/>
    <w:multiLevelType w:val="hybridMultilevel"/>
    <w:tmpl w:val="69623774"/>
    <w:lvl w:ilvl="0" w:tplc="7B444452">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8181FE6"/>
    <w:multiLevelType w:val="hybridMultilevel"/>
    <w:tmpl w:val="B7E09302"/>
    <w:lvl w:ilvl="0" w:tplc="C16A8514">
      <w:start w:val="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4F784E"/>
    <w:multiLevelType w:val="hybridMultilevel"/>
    <w:tmpl w:val="05CCC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4AA3282"/>
    <w:multiLevelType w:val="hybridMultilevel"/>
    <w:tmpl w:val="A2867372"/>
    <w:lvl w:ilvl="0" w:tplc="7B444452">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FED560C"/>
    <w:multiLevelType w:val="hybridMultilevel"/>
    <w:tmpl w:val="D61EB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AE35233"/>
    <w:multiLevelType w:val="hybridMultilevel"/>
    <w:tmpl w:val="DAB85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5">
    <w:nsid w:val="72CB2F91"/>
    <w:multiLevelType w:val="hybridMultilevel"/>
    <w:tmpl w:val="C3229C82"/>
    <w:lvl w:ilvl="0" w:tplc="BBDEEB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B647439"/>
    <w:multiLevelType w:val="hybridMultilevel"/>
    <w:tmpl w:val="029EA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18"/>
  </w:num>
  <w:num w:numId="3">
    <w:abstractNumId w:val="12"/>
  </w:num>
  <w:num w:numId="4">
    <w:abstractNumId w:val="24"/>
  </w:num>
  <w:num w:numId="5">
    <w:abstractNumId w:val="8"/>
  </w:num>
  <w:num w:numId="6">
    <w:abstractNumId w:val="26"/>
  </w:num>
  <w:num w:numId="7">
    <w:abstractNumId w:val="15"/>
  </w:num>
  <w:num w:numId="8">
    <w:abstractNumId w:val="22"/>
  </w:num>
  <w:num w:numId="9">
    <w:abstractNumId w:val="20"/>
  </w:num>
  <w:num w:numId="10">
    <w:abstractNumId w:val="28"/>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5"/>
  </w:num>
  <w:num w:numId="22">
    <w:abstractNumId w:val="16"/>
  </w:num>
  <w:num w:numId="23">
    <w:abstractNumId w:val="10"/>
  </w:num>
  <w:num w:numId="24">
    <w:abstractNumId w:val="11"/>
  </w:num>
  <w:num w:numId="25">
    <w:abstractNumId w:val="19"/>
  </w:num>
  <w:num w:numId="26">
    <w:abstractNumId w:val="23"/>
  </w:num>
  <w:num w:numId="27">
    <w:abstractNumId w:val="21"/>
  </w:num>
  <w:num w:numId="28">
    <w:abstractNumId w:val="17"/>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475"/>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5567"/>
    <w:rsid w:val="0001645D"/>
    <w:rsid w:val="000173B1"/>
    <w:rsid w:val="00017A43"/>
    <w:rsid w:val="0002157B"/>
    <w:rsid w:val="00023101"/>
    <w:rsid w:val="0002407C"/>
    <w:rsid w:val="0002476F"/>
    <w:rsid w:val="00024E17"/>
    <w:rsid w:val="000258DB"/>
    <w:rsid w:val="000259E5"/>
    <w:rsid w:val="00031B2C"/>
    <w:rsid w:val="000323B1"/>
    <w:rsid w:val="00033D2C"/>
    <w:rsid w:val="00035CE8"/>
    <w:rsid w:val="00036041"/>
    <w:rsid w:val="00040637"/>
    <w:rsid w:val="00040688"/>
    <w:rsid w:val="0004070F"/>
    <w:rsid w:val="0004115B"/>
    <w:rsid w:val="00042F2D"/>
    <w:rsid w:val="000432B2"/>
    <w:rsid w:val="000432CF"/>
    <w:rsid w:val="000438A8"/>
    <w:rsid w:val="00044470"/>
    <w:rsid w:val="00044AC0"/>
    <w:rsid w:val="00045B68"/>
    <w:rsid w:val="00045E69"/>
    <w:rsid w:val="00046EDC"/>
    <w:rsid w:val="00047497"/>
    <w:rsid w:val="00047CD5"/>
    <w:rsid w:val="000500C9"/>
    <w:rsid w:val="0005014C"/>
    <w:rsid w:val="000507C6"/>
    <w:rsid w:val="000508E2"/>
    <w:rsid w:val="00050A69"/>
    <w:rsid w:val="00050C55"/>
    <w:rsid w:val="00050F28"/>
    <w:rsid w:val="00053532"/>
    <w:rsid w:val="00053836"/>
    <w:rsid w:val="00054659"/>
    <w:rsid w:val="00055FA2"/>
    <w:rsid w:val="000571DD"/>
    <w:rsid w:val="00061FF5"/>
    <w:rsid w:val="00062502"/>
    <w:rsid w:val="0006291C"/>
    <w:rsid w:val="00063C91"/>
    <w:rsid w:val="000640E7"/>
    <w:rsid w:val="00066DC7"/>
    <w:rsid w:val="0006770F"/>
    <w:rsid w:val="0006794A"/>
    <w:rsid w:val="00067F31"/>
    <w:rsid w:val="00071138"/>
    <w:rsid w:val="00073402"/>
    <w:rsid w:val="00075745"/>
    <w:rsid w:val="00075A04"/>
    <w:rsid w:val="00075D39"/>
    <w:rsid w:val="000760C3"/>
    <w:rsid w:val="000763A4"/>
    <w:rsid w:val="00076901"/>
    <w:rsid w:val="0008237C"/>
    <w:rsid w:val="00082A3F"/>
    <w:rsid w:val="000833C3"/>
    <w:rsid w:val="0008421F"/>
    <w:rsid w:val="0008451C"/>
    <w:rsid w:val="00085A0B"/>
    <w:rsid w:val="000863B7"/>
    <w:rsid w:val="00086E2D"/>
    <w:rsid w:val="00087DB6"/>
    <w:rsid w:val="00090139"/>
    <w:rsid w:val="0009024C"/>
    <w:rsid w:val="00090ADD"/>
    <w:rsid w:val="00090EBA"/>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74C"/>
    <w:rsid w:val="000B29B3"/>
    <w:rsid w:val="000B3889"/>
    <w:rsid w:val="000B3B3B"/>
    <w:rsid w:val="000B42E7"/>
    <w:rsid w:val="000B70B7"/>
    <w:rsid w:val="000B73E6"/>
    <w:rsid w:val="000B7759"/>
    <w:rsid w:val="000C111E"/>
    <w:rsid w:val="000C1E3C"/>
    <w:rsid w:val="000C1FB4"/>
    <w:rsid w:val="000C2A3E"/>
    <w:rsid w:val="000C2CE8"/>
    <w:rsid w:val="000C2EAB"/>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69B1"/>
    <w:rsid w:val="000E06A5"/>
    <w:rsid w:val="000E16EB"/>
    <w:rsid w:val="000E516C"/>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544"/>
    <w:rsid w:val="00110107"/>
    <w:rsid w:val="00110531"/>
    <w:rsid w:val="00110794"/>
    <w:rsid w:val="00112524"/>
    <w:rsid w:val="00113769"/>
    <w:rsid w:val="00114141"/>
    <w:rsid w:val="00114827"/>
    <w:rsid w:val="00115266"/>
    <w:rsid w:val="001154FB"/>
    <w:rsid w:val="00115B51"/>
    <w:rsid w:val="001168FC"/>
    <w:rsid w:val="001171EF"/>
    <w:rsid w:val="001173C5"/>
    <w:rsid w:val="00121092"/>
    <w:rsid w:val="00121AA0"/>
    <w:rsid w:val="00121FE6"/>
    <w:rsid w:val="00123F16"/>
    <w:rsid w:val="0012405D"/>
    <w:rsid w:val="0012410B"/>
    <w:rsid w:val="001252B1"/>
    <w:rsid w:val="00126897"/>
    <w:rsid w:val="0012696D"/>
    <w:rsid w:val="00130E53"/>
    <w:rsid w:val="00130FC9"/>
    <w:rsid w:val="001310EE"/>
    <w:rsid w:val="0013191A"/>
    <w:rsid w:val="00131E8F"/>
    <w:rsid w:val="00135C24"/>
    <w:rsid w:val="00135E8E"/>
    <w:rsid w:val="00136389"/>
    <w:rsid w:val="00136A1A"/>
    <w:rsid w:val="00136A96"/>
    <w:rsid w:val="001376B6"/>
    <w:rsid w:val="0014031F"/>
    <w:rsid w:val="00140A35"/>
    <w:rsid w:val="00140DBA"/>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25E"/>
    <w:rsid w:val="00155CEA"/>
    <w:rsid w:val="00156153"/>
    <w:rsid w:val="001563D9"/>
    <w:rsid w:val="00156428"/>
    <w:rsid w:val="001568F4"/>
    <w:rsid w:val="001572CE"/>
    <w:rsid w:val="001603F7"/>
    <w:rsid w:val="00160C95"/>
    <w:rsid w:val="00160CD7"/>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0B0"/>
    <w:rsid w:val="0018414E"/>
    <w:rsid w:val="001842F1"/>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1CDF"/>
    <w:rsid w:val="001B3131"/>
    <w:rsid w:val="001B4B2F"/>
    <w:rsid w:val="001B7C00"/>
    <w:rsid w:val="001C09D2"/>
    <w:rsid w:val="001C1620"/>
    <w:rsid w:val="001C18B2"/>
    <w:rsid w:val="001C1994"/>
    <w:rsid w:val="001C2933"/>
    <w:rsid w:val="001C57A4"/>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2B81"/>
    <w:rsid w:val="001E3FB9"/>
    <w:rsid w:val="001E4083"/>
    <w:rsid w:val="001E5588"/>
    <w:rsid w:val="001E56CB"/>
    <w:rsid w:val="001E56FC"/>
    <w:rsid w:val="001E582D"/>
    <w:rsid w:val="001E6318"/>
    <w:rsid w:val="001F0AD5"/>
    <w:rsid w:val="001F0C0A"/>
    <w:rsid w:val="001F0F59"/>
    <w:rsid w:val="001F1509"/>
    <w:rsid w:val="001F18E7"/>
    <w:rsid w:val="001F3A75"/>
    <w:rsid w:val="001F3A9D"/>
    <w:rsid w:val="001F3FDB"/>
    <w:rsid w:val="001F6545"/>
    <w:rsid w:val="001F66B5"/>
    <w:rsid w:val="001F6F36"/>
    <w:rsid w:val="001F76FD"/>
    <w:rsid w:val="002004C0"/>
    <w:rsid w:val="002012F2"/>
    <w:rsid w:val="002014D7"/>
    <w:rsid w:val="0020279E"/>
    <w:rsid w:val="00202F07"/>
    <w:rsid w:val="00203030"/>
    <w:rsid w:val="00203D45"/>
    <w:rsid w:val="00205495"/>
    <w:rsid w:val="002061DE"/>
    <w:rsid w:val="002065E2"/>
    <w:rsid w:val="00206C61"/>
    <w:rsid w:val="00206F30"/>
    <w:rsid w:val="002072D8"/>
    <w:rsid w:val="00207616"/>
    <w:rsid w:val="00207D3C"/>
    <w:rsid w:val="00207F10"/>
    <w:rsid w:val="002112E6"/>
    <w:rsid w:val="00213213"/>
    <w:rsid w:val="0021457F"/>
    <w:rsid w:val="00214D6C"/>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37B9C"/>
    <w:rsid w:val="00240911"/>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2109"/>
    <w:rsid w:val="002A3C9D"/>
    <w:rsid w:val="002A5250"/>
    <w:rsid w:val="002A5403"/>
    <w:rsid w:val="002A6C9F"/>
    <w:rsid w:val="002A77F3"/>
    <w:rsid w:val="002B14F0"/>
    <w:rsid w:val="002B1F0F"/>
    <w:rsid w:val="002B2EE0"/>
    <w:rsid w:val="002B53D3"/>
    <w:rsid w:val="002B6202"/>
    <w:rsid w:val="002C014C"/>
    <w:rsid w:val="002C060C"/>
    <w:rsid w:val="002C0BA6"/>
    <w:rsid w:val="002C12A7"/>
    <w:rsid w:val="002C214A"/>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9D"/>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278D"/>
    <w:rsid w:val="003237A2"/>
    <w:rsid w:val="00324729"/>
    <w:rsid w:val="00325C8B"/>
    <w:rsid w:val="00327011"/>
    <w:rsid w:val="00330EF6"/>
    <w:rsid w:val="00334127"/>
    <w:rsid w:val="00335CA6"/>
    <w:rsid w:val="003365F0"/>
    <w:rsid w:val="00336C50"/>
    <w:rsid w:val="00337388"/>
    <w:rsid w:val="0034007D"/>
    <w:rsid w:val="00340919"/>
    <w:rsid w:val="003433E5"/>
    <w:rsid w:val="00344082"/>
    <w:rsid w:val="0034582C"/>
    <w:rsid w:val="00345916"/>
    <w:rsid w:val="00345CAC"/>
    <w:rsid w:val="0034789E"/>
    <w:rsid w:val="003501DA"/>
    <w:rsid w:val="003503E2"/>
    <w:rsid w:val="00351DC1"/>
    <w:rsid w:val="003534EE"/>
    <w:rsid w:val="00356753"/>
    <w:rsid w:val="00357461"/>
    <w:rsid w:val="003600A2"/>
    <w:rsid w:val="003612D8"/>
    <w:rsid w:val="003637B6"/>
    <w:rsid w:val="00363D21"/>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42E"/>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B21"/>
    <w:rsid w:val="003A07FF"/>
    <w:rsid w:val="003A146E"/>
    <w:rsid w:val="003A1CA9"/>
    <w:rsid w:val="003A26CD"/>
    <w:rsid w:val="003A37F7"/>
    <w:rsid w:val="003A54E9"/>
    <w:rsid w:val="003A5E7C"/>
    <w:rsid w:val="003A78C7"/>
    <w:rsid w:val="003A7E9A"/>
    <w:rsid w:val="003B15FE"/>
    <w:rsid w:val="003B1C41"/>
    <w:rsid w:val="003B46AD"/>
    <w:rsid w:val="003B5C96"/>
    <w:rsid w:val="003B65FB"/>
    <w:rsid w:val="003B6A26"/>
    <w:rsid w:val="003C218D"/>
    <w:rsid w:val="003C2F0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0B3D"/>
    <w:rsid w:val="003E1A49"/>
    <w:rsid w:val="003E2D01"/>
    <w:rsid w:val="003E330E"/>
    <w:rsid w:val="003E3AE3"/>
    <w:rsid w:val="003E5733"/>
    <w:rsid w:val="003E5E27"/>
    <w:rsid w:val="003E65F8"/>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5DD5"/>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5973"/>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35A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0773A"/>
    <w:rsid w:val="005104E8"/>
    <w:rsid w:val="005107DB"/>
    <w:rsid w:val="00510DB0"/>
    <w:rsid w:val="005119F6"/>
    <w:rsid w:val="00511B7D"/>
    <w:rsid w:val="00511D00"/>
    <w:rsid w:val="005137E7"/>
    <w:rsid w:val="00516256"/>
    <w:rsid w:val="005162CF"/>
    <w:rsid w:val="00517A63"/>
    <w:rsid w:val="00517C8D"/>
    <w:rsid w:val="00517FD1"/>
    <w:rsid w:val="00520A65"/>
    <w:rsid w:val="005219E6"/>
    <w:rsid w:val="00521B4A"/>
    <w:rsid w:val="0052212E"/>
    <w:rsid w:val="00522E91"/>
    <w:rsid w:val="0052302D"/>
    <w:rsid w:val="005236A5"/>
    <w:rsid w:val="005266BD"/>
    <w:rsid w:val="0052772D"/>
    <w:rsid w:val="00530442"/>
    <w:rsid w:val="00534AF0"/>
    <w:rsid w:val="00535060"/>
    <w:rsid w:val="00535738"/>
    <w:rsid w:val="00537A66"/>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160F"/>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5FFF"/>
    <w:rsid w:val="005A6AFE"/>
    <w:rsid w:val="005A7BF3"/>
    <w:rsid w:val="005A7DE0"/>
    <w:rsid w:val="005B0AEF"/>
    <w:rsid w:val="005B37D9"/>
    <w:rsid w:val="005B38EC"/>
    <w:rsid w:val="005B445B"/>
    <w:rsid w:val="005B474E"/>
    <w:rsid w:val="005B489A"/>
    <w:rsid w:val="005B63A6"/>
    <w:rsid w:val="005B64D1"/>
    <w:rsid w:val="005B6A88"/>
    <w:rsid w:val="005B6E05"/>
    <w:rsid w:val="005B6E8A"/>
    <w:rsid w:val="005B7F42"/>
    <w:rsid w:val="005C1D45"/>
    <w:rsid w:val="005C3C9B"/>
    <w:rsid w:val="005C42AB"/>
    <w:rsid w:val="005C45C0"/>
    <w:rsid w:val="005C5335"/>
    <w:rsid w:val="005C5D7B"/>
    <w:rsid w:val="005C5E29"/>
    <w:rsid w:val="005C6474"/>
    <w:rsid w:val="005C6A68"/>
    <w:rsid w:val="005D0AE3"/>
    <w:rsid w:val="005D1103"/>
    <w:rsid w:val="005D276D"/>
    <w:rsid w:val="005D351E"/>
    <w:rsid w:val="005D39F4"/>
    <w:rsid w:val="005D5912"/>
    <w:rsid w:val="005D794C"/>
    <w:rsid w:val="005D7A9F"/>
    <w:rsid w:val="005D7AA2"/>
    <w:rsid w:val="005E2154"/>
    <w:rsid w:val="005E2FC7"/>
    <w:rsid w:val="005E37B9"/>
    <w:rsid w:val="005E427F"/>
    <w:rsid w:val="005E4574"/>
    <w:rsid w:val="005E4BBE"/>
    <w:rsid w:val="005E4C97"/>
    <w:rsid w:val="005E5014"/>
    <w:rsid w:val="005E61CD"/>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063"/>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3E4"/>
    <w:rsid w:val="00623A4F"/>
    <w:rsid w:val="00624D17"/>
    <w:rsid w:val="00624F56"/>
    <w:rsid w:val="00626594"/>
    <w:rsid w:val="00630442"/>
    <w:rsid w:val="0063048C"/>
    <w:rsid w:val="00630FCD"/>
    <w:rsid w:val="006319C2"/>
    <w:rsid w:val="00631D9F"/>
    <w:rsid w:val="00631FF6"/>
    <w:rsid w:val="006326AB"/>
    <w:rsid w:val="0063292C"/>
    <w:rsid w:val="00633086"/>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B77"/>
    <w:rsid w:val="00664C9F"/>
    <w:rsid w:val="00666548"/>
    <w:rsid w:val="00666A71"/>
    <w:rsid w:val="00667537"/>
    <w:rsid w:val="00670865"/>
    <w:rsid w:val="00671AED"/>
    <w:rsid w:val="006725B5"/>
    <w:rsid w:val="00672D6B"/>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497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574"/>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2854"/>
    <w:rsid w:val="00705027"/>
    <w:rsid w:val="0070758C"/>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30B"/>
    <w:rsid w:val="00744889"/>
    <w:rsid w:val="00744910"/>
    <w:rsid w:val="0074561A"/>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01CD"/>
    <w:rsid w:val="0076281A"/>
    <w:rsid w:val="00762ADE"/>
    <w:rsid w:val="0076365D"/>
    <w:rsid w:val="007642DC"/>
    <w:rsid w:val="007660E6"/>
    <w:rsid w:val="007661A9"/>
    <w:rsid w:val="007662C0"/>
    <w:rsid w:val="0076742F"/>
    <w:rsid w:val="00767712"/>
    <w:rsid w:val="007711D0"/>
    <w:rsid w:val="007712E6"/>
    <w:rsid w:val="007715EE"/>
    <w:rsid w:val="00771D3D"/>
    <w:rsid w:val="007728AB"/>
    <w:rsid w:val="00772CFE"/>
    <w:rsid w:val="007730CF"/>
    <w:rsid w:val="00774756"/>
    <w:rsid w:val="00775181"/>
    <w:rsid w:val="007751B6"/>
    <w:rsid w:val="00775345"/>
    <w:rsid w:val="0077612F"/>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2F58"/>
    <w:rsid w:val="00795460"/>
    <w:rsid w:val="0079659B"/>
    <w:rsid w:val="00796CF7"/>
    <w:rsid w:val="007A0313"/>
    <w:rsid w:val="007A0A83"/>
    <w:rsid w:val="007A265F"/>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136B"/>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402B"/>
    <w:rsid w:val="007E529D"/>
    <w:rsid w:val="007E7997"/>
    <w:rsid w:val="007E7B47"/>
    <w:rsid w:val="007F04EF"/>
    <w:rsid w:val="007F342F"/>
    <w:rsid w:val="007F38D1"/>
    <w:rsid w:val="007F45CA"/>
    <w:rsid w:val="007F56BB"/>
    <w:rsid w:val="007F599E"/>
    <w:rsid w:val="007F63CE"/>
    <w:rsid w:val="007F6EA4"/>
    <w:rsid w:val="008002A5"/>
    <w:rsid w:val="0080050E"/>
    <w:rsid w:val="00801329"/>
    <w:rsid w:val="00801424"/>
    <w:rsid w:val="00801757"/>
    <w:rsid w:val="00801AA4"/>
    <w:rsid w:val="00801B7E"/>
    <w:rsid w:val="008021B9"/>
    <w:rsid w:val="00806E68"/>
    <w:rsid w:val="00807FC3"/>
    <w:rsid w:val="00810034"/>
    <w:rsid w:val="008114CF"/>
    <w:rsid w:val="008117CC"/>
    <w:rsid w:val="00811AB3"/>
    <w:rsid w:val="0081421D"/>
    <w:rsid w:val="00814ADB"/>
    <w:rsid w:val="00815C5D"/>
    <w:rsid w:val="0081618B"/>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5D6D"/>
    <w:rsid w:val="00826560"/>
    <w:rsid w:val="00826CBB"/>
    <w:rsid w:val="00827180"/>
    <w:rsid w:val="0082770D"/>
    <w:rsid w:val="00827B6D"/>
    <w:rsid w:val="00827C90"/>
    <w:rsid w:val="00827E3D"/>
    <w:rsid w:val="0083004E"/>
    <w:rsid w:val="00830F0A"/>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2E"/>
    <w:rsid w:val="008505B8"/>
    <w:rsid w:val="008506B0"/>
    <w:rsid w:val="00851005"/>
    <w:rsid w:val="00851ADD"/>
    <w:rsid w:val="00854FB1"/>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6B88"/>
    <w:rsid w:val="0087762E"/>
    <w:rsid w:val="00877823"/>
    <w:rsid w:val="008803F5"/>
    <w:rsid w:val="008812BF"/>
    <w:rsid w:val="00881341"/>
    <w:rsid w:val="00882931"/>
    <w:rsid w:val="00883D37"/>
    <w:rsid w:val="00884939"/>
    <w:rsid w:val="008853E0"/>
    <w:rsid w:val="00885BE2"/>
    <w:rsid w:val="00885C87"/>
    <w:rsid w:val="008863C8"/>
    <w:rsid w:val="00886D40"/>
    <w:rsid w:val="008872A4"/>
    <w:rsid w:val="00887A0E"/>
    <w:rsid w:val="008907F3"/>
    <w:rsid w:val="00890C6E"/>
    <w:rsid w:val="008920C2"/>
    <w:rsid w:val="008922C7"/>
    <w:rsid w:val="0089525B"/>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A94"/>
    <w:rsid w:val="008D5E47"/>
    <w:rsid w:val="008D7D8C"/>
    <w:rsid w:val="008E004E"/>
    <w:rsid w:val="008E04FB"/>
    <w:rsid w:val="008E3923"/>
    <w:rsid w:val="008E3E79"/>
    <w:rsid w:val="008E5282"/>
    <w:rsid w:val="008E5E2C"/>
    <w:rsid w:val="008E78F1"/>
    <w:rsid w:val="008F03CE"/>
    <w:rsid w:val="008F075B"/>
    <w:rsid w:val="008F0E9E"/>
    <w:rsid w:val="008F1DAF"/>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46E0"/>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3893"/>
    <w:rsid w:val="009241E8"/>
    <w:rsid w:val="00924719"/>
    <w:rsid w:val="00925956"/>
    <w:rsid w:val="00925DD2"/>
    <w:rsid w:val="00926344"/>
    <w:rsid w:val="00926929"/>
    <w:rsid w:val="00927301"/>
    <w:rsid w:val="00927E9D"/>
    <w:rsid w:val="00931859"/>
    <w:rsid w:val="00931D23"/>
    <w:rsid w:val="0093205C"/>
    <w:rsid w:val="009343F5"/>
    <w:rsid w:val="0093456A"/>
    <w:rsid w:val="009345AE"/>
    <w:rsid w:val="00935301"/>
    <w:rsid w:val="00936F64"/>
    <w:rsid w:val="00937A65"/>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8C"/>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3EC5"/>
    <w:rsid w:val="009B528E"/>
    <w:rsid w:val="009B54FE"/>
    <w:rsid w:val="009B77DD"/>
    <w:rsid w:val="009C0CED"/>
    <w:rsid w:val="009C13BF"/>
    <w:rsid w:val="009C2943"/>
    <w:rsid w:val="009C4B2C"/>
    <w:rsid w:val="009C4CB3"/>
    <w:rsid w:val="009C4F15"/>
    <w:rsid w:val="009C511C"/>
    <w:rsid w:val="009C5416"/>
    <w:rsid w:val="009C587B"/>
    <w:rsid w:val="009C64C5"/>
    <w:rsid w:val="009C6E31"/>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0E3E"/>
    <w:rsid w:val="00A01925"/>
    <w:rsid w:val="00A01DEB"/>
    <w:rsid w:val="00A06D32"/>
    <w:rsid w:val="00A071B7"/>
    <w:rsid w:val="00A07545"/>
    <w:rsid w:val="00A11FB3"/>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1B34"/>
    <w:rsid w:val="00A320BA"/>
    <w:rsid w:val="00A32283"/>
    <w:rsid w:val="00A32342"/>
    <w:rsid w:val="00A325EC"/>
    <w:rsid w:val="00A32B81"/>
    <w:rsid w:val="00A337E5"/>
    <w:rsid w:val="00A33E74"/>
    <w:rsid w:val="00A34981"/>
    <w:rsid w:val="00A3658D"/>
    <w:rsid w:val="00A36E51"/>
    <w:rsid w:val="00A377C5"/>
    <w:rsid w:val="00A37B2E"/>
    <w:rsid w:val="00A37D45"/>
    <w:rsid w:val="00A401FD"/>
    <w:rsid w:val="00A40558"/>
    <w:rsid w:val="00A40AF2"/>
    <w:rsid w:val="00A411DC"/>
    <w:rsid w:val="00A43904"/>
    <w:rsid w:val="00A44521"/>
    <w:rsid w:val="00A4582E"/>
    <w:rsid w:val="00A459A3"/>
    <w:rsid w:val="00A45BD2"/>
    <w:rsid w:val="00A45DFA"/>
    <w:rsid w:val="00A46A1E"/>
    <w:rsid w:val="00A50083"/>
    <w:rsid w:val="00A50595"/>
    <w:rsid w:val="00A50A39"/>
    <w:rsid w:val="00A51DF1"/>
    <w:rsid w:val="00A52AFB"/>
    <w:rsid w:val="00A5363B"/>
    <w:rsid w:val="00A53967"/>
    <w:rsid w:val="00A5455C"/>
    <w:rsid w:val="00A545EC"/>
    <w:rsid w:val="00A54C5F"/>
    <w:rsid w:val="00A54D3B"/>
    <w:rsid w:val="00A5578A"/>
    <w:rsid w:val="00A5710A"/>
    <w:rsid w:val="00A57973"/>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4B1"/>
    <w:rsid w:val="00A76648"/>
    <w:rsid w:val="00A76DF7"/>
    <w:rsid w:val="00A77523"/>
    <w:rsid w:val="00A80ABB"/>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810"/>
    <w:rsid w:val="00AA291C"/>
    <w:rsid w:val="00AA30F6"/>
    <w:rsid w:val="00AA334D"/>
    <w:rsid w:val="00AA37B1"/>
    <w:rsid w:val="00AA47B8"/>
    <w:rsid w:val="00AA550A"/>
    <w:rsid w:val="00AA5EBD"/>
    <w:rsid w:val="00AA628B"/>
    <w:rsid w:val="00AA6DE4"/>
    <w:rsid w:val="00AA7221"/>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ACD"/>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7337"/>
    <w:rsid w:val="00B0072E"/>
    <w:rsid w:val="00B03B63"/>
    <w:rsid w:val="00B0513A"/>
    <w:rsid w:val="00B0620B"/>
    <w:rsid w:val="00B072A3"/>
    <w:rsid w:val="00B07FCD"/>
    <w:rsid w:val="00B1149C"/>
    <w:rsid w:val="00B11F60"/>
    <w:rsid w:val="00B121EF"/>
    <w:rsid w:val="00B127AA"/>
    <w:rsid w:val="00B130CB"/>
    <w:rsid w:val="00B13EE8"/>
    <w:rsid w:val="00B14D9D"/>
    <w:rsid w:val="00B14EF5"/>
    <w:rsid w:val="00B16048"/>
    <w:rsid w:val="00B2028C"/>
    <w:rsid w:val="00B21771"/>
    <w:rsid w:val="00B2191C"/>
    <w:rsid w:val="00B21B30"/>
    <w:rsid w:val="00B2231E"/>
    <w:rsid w:val="00B22E76"/>
    <w:rsid w:val="00B23016"/>
    <w:rsid w:val="00B23771"/>
    <w:rsid w:val="00B24B61"/>
    <w:rsid w:val="00B24EA8"/>
    <w:rsid w:val="00B26625"/>
    <w:rsid w:val="00B26A5A"/>
    <w:rsid w:val="00B2713B"/>
    <w:rsid w:val="00B2769B"/>
    <w:rsid w:val="00B307D2"/>
    <w:rsid w:val="00B32F05"/>
    <w:rsid w:val="00B3398B"/>
    <w:rsid w:val="00B33B1E"/>
    <w:rsid w:val="00B34BF0"/>
    <w:rsid w:val="00B362D9"/>
    <w:rsid w:val="00B36B99"/>
    <w:rsid w:val="00B36D20"/>
    <w:rsid w:val="00B36F67"/>
    <w:rsid w:val="00B4022C"/>
    <w:rsid w:val="00B40633"/>
    <w:rsid w:val="00B44049"/>
    <w:rsid w:val="00B44318"/>
    <w:rsid w:val="00B44C4B"/>
    <w:rsid w:val="00B477CB"/>
    <w:rsid w:val="00B508A7"/>
    <w:rsid w:val="00B52081"/>
    <w:rsid w:val="00B52695"/>
    <w:rsid w:val="00B545AF"/>
    <w:rsid w:val="00B54A0A"/>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282"/>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475"/>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C7FEF"/>
    <w:rsid w:val="00BD00D1"/>
    <w:rsid w:val="00BD07A2"/>
    <w:rsid w:val="00BD2603"/>
    <w:rsid w:val="00BD4EEC"/>
    <w:rsid w:val="00BD4F34"/>
    <w:rsid w:val="00BD537C"/>
    <w:rsid w:val="00BD6F5B"/>
    <w:rsid w:val="00BD7662"/>
    <w:rsid w:val="00BE05ED"/>
    <w:rsid w:val="00BE350E"/>
    <w:rsid w:val="00BE3801"/>
    <w:rsid w:val="00BE38CF"/>
    <w:rsid w:val="00BE394B"/>
    <w:rsid w:val="00BE42AA"/>
    <w:rsid w:val="00BE48A8"/>
    <w:rsid w:val="00BE528F"/>
    <w:rsid w:val="00BE5850"/>
    <w:rsid w:val="00BE58D6"/>
    <w:rsid w:val="00BE5CA6"/>
    <w:rsid w:val="00BE707F"/>
    <w:rsid w:val="00BE73CB"/>
    <w:rsid w:val="00BE7F5D"/>
    <w:rsid w:val="00BF0707"/>
    <w:rsid w:val="00BF164F"/>
    <w:rsid w:val="00BF1AAF"/>
    <w:rsid w:val="00BF268B"/>
    <w:rsid w:val="00BF4D03"/>
    <w:rsid w:val="00BF4E85"/>
    <w:rsid w:val="00BF54BD"/>
    <w:rsid w:val="00BF5892"/>
    <w:rsid w:val="00C00CE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2F8A"/>
    <w:rsid w:val="00C2338E"/>
    <w:rsid w:val="00C23FB0"/>
    <w:rsid w:val="00C24021"/>
    <w:rsid w:val="00C248AF"/>
    <w:rsid w:val="00C24B09"/>
    <w:rsid w:val="00C24BDE"/>
    <w:rsid w:val="00C24E9F"/>
    <w:rsid w:val="00C32151"/>
    <w:rsid w:val="00C3217A"/>
    <w:rsid w:val="00C32805"/>
    <w:rsid w:val="00C33551"/>
    <w:rsid w:val="00C3357D"/>
    <w:rsid w:val="00C33BE9"/>
    <w:rsid w:val="00C33C13"/>
    <w:rsid w:val="00C348C7"/>
    <w:rsid w:val="00C35B2A"/>
    <w:rsid w:val="00C36742"/>
    <w:rsid w:val="00C37013"/>
    <w:rsid w:val="00C3712C"/>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0F23"/>
    <w:rsid w:val="00C83A4C"/>
    <w:rsid w:val="00C8533B"/>
    <w:rsid w:val="00C858BA"/>
    <w:rsid w:val="00C85B60"/>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26C"/>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3F7"/>
    <w:rsid w:val="00CE23CD"/>
    <w:rsid w:val="00CE247A"/>
    <w:rsid w:val="00CE2843"/>
    <w:rsid w:val="00CE2A1A"/>
    <w:rsid w:val="00CE2F05"/>
    <w:rsid w:val="00CE4A51"/>
    <w:rsid w:val="00CE4F80"/>
    <w:rsid w:val="00CE50E4"/>
    <w:rsid w:val="00CE51E8"/>
    <w:rsid w:val="00CE56A1"/>
    <w:rsid w:val="00CE5C9A"/>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CB6"/>
    <w:rsid w:val="00D11D8D"/>
    <w:rsid w:val="00D12B12"/>
    <w:rsid w:val="00D12DD7"/>
    <w:rsid w:val="00D13A8C"/>
    <w:rsid w:val="00D149E1"/>
    <w:rsid w:val="00D14A44"/>
    <w:rsid w:val="00D15BCC"/>
    <w:rsid w:val="00D1628F"/>
    <w:rsid w:val="00D17FCE"/>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DB1"/>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0AB1"/>
    <w:rsid w:val="00D52B95"/>
    <w:rsid w:val="00D5362B"/>
    <w:rsid w:val="00D53A09"/>
    <w:rsid w:val="00D54AAB"/>
    <w:rsid w:val="00D552F9"/>
    <w:rsid w:val="00D55E35"/>
    <w:rsid w:val="00D56B39"/>
    <w:rsid w:val="00D56EDF"/>
    <w:rsid w:val="00D56F08"/>
    <w:rsid w:val="00D57361"/>
    <w:rsid w:val="00D57B2C"/>
    <w:rsid w:val="00D61406"/>
    <w:rsid w:val="00D61541"/>
    <w:rsid w:val="00D61575"/>
    <w:rsid w:val="00D621B7"/>
    <w:rsid w:val="00D6294E"/>
    <w:rsid w:val="00D6308F"/>
    <w:rsid w:val="00D63C9A"/>
    <w:rsid w:val="00D640BC"/>
    <w:rsid w:val="00D654D5"/>
    <w:rsid w:val="00D65A9D"/>
    <w:rsid w:val="00D65CB5"/>
    <w:rsid w:val="00D677BB"/>
    <w:rsid w:val="00D70544"/>
    <w:rsid w:val="00D71463"/>
    <w:rsid w:val="00D7194A"/>
    <w:rsid w:val="00D72AE4"/>
    <w:rsid w:val="00D73026"/>
    <w:rsid w:val="00D73FA1"/>
    <w:rsid w:val="00D7469D"/>
    <w:rsid w:val="00D74A82"/>
    <w:rsid w:val="00D7550B"/>
    <w:rsid w:val="00D75EEB"/>
    <w:rsid w:val="00D75F1E"/>
    <w:rsid w:val="00D809AE"/>
    <w:rsid w:val="00D80F87"/>
    <w:rsid w:val="00D812A5"/>
    <w:rsid w:val="00D82A5C"/>
    <w:rsid w:val="00D82D11"/>
    <w:rsid w:val="00D83CD3"/>
    <w:rsid w:val="00D83E51"/>
    <w:rsid w:val="00D84719"/>
    <w:rsid w:val="00D856EA"/>
    <w:rsid w:val="00D85ACD"/>
    <w:rsid w:val="00D85E47"/>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BAA"/>
    <w:rsid w:val="00DB1E1A"/>
    <w:rsid w:val="00DB2AF6"/>
    <w:rsid w:val="00DB364F"/>
    <w:rsid w:val="00DB39E7"/>
    <w:rsid w:val="00DB3AAE"/>
    <w:rsid w:val="00DB3B3E"/>
    <w:rsid w:val="00DB436A"/>
    <w:rsid w:val="00DB71DB"/>
    <w:rsid w:val="00DB71E1"/>
    <w:rsid w:val="00DB7B0F"/>
    <w:rsid w:val="00DB7CB3"/>
    <w:rsid w:val="00DC0D57"/>
    <w:rsid w:val="00DC16F7"/>
    <w:rsid w:val="00DC1CA3"/>
    <w:rsid w:val="00DC2641"/>
    <w:rsid w:val="00DC2B1E"/>
    <w:rsid w:val="00DC7481"/>
    <w:rsid w:val="00DC7591"/>
    <w:rsid w:val="00DD0839"/>
    <w:rsid w:val="00DD26D0"/>
    <w:rsid w:val="00DD4581"/>
    <w:rsid w:val="00DD47D5"/>
    <w:rsid w:val="00DD6729"/>
    <w:rsid w:val="00DD7960"/>
    <w:rsid w:val="00DD7B0D"/>
    <w:rsid w:val="00DE1F29"/>
    <w:rsid w:val="00DE3FEB"/>
    <w:rsid w:val="00DE4905"/>
    <w:rsid w:val="00DE510C"/>
    <w:rsid w:val="00DE7822"/>
    <w:rsid w:val="00DF081A"/>
    <w:rsid w:val="00DF265D"/>
    <w:rsid w:val="00DF2DD7"/>
    <w:rsid w:val="00DF2EB0"/>
    <w:rsid w:val="00DF31C1"/>
    <w:rsid w:val="00DF427A"/>
    <w:rsid w:val="00DF45C5"/>
    <w:rsid w:val="00DF5A8C"/>
    <w:rsid w:val="00DF71D8"/>
    <w:rsid w:val="00E00CCA"/>
    <w:rsid w:val="00E01623"/>
    <w:rsid w:val="00E02B93"/>
    <w:rsid w:val="00E03FE3"/>
    <w:rsid w:val="00E06951"/>
    <w:rsid w:val="00E10C35"/>
    <w:rsid w:val="00E10C94"/>
    <w:rsid w:val="00E10EC4"/>
    <w:rsid w:val="00E118D7"/>
    <w:rsid w:val="00E11C05"/>
    <w:rsid w:val="00E13F46"/>
    <w:rsid w:val="00E15BD4"/>
    <w:rsid w:val="00E16458"/>
    <w:rsid w:val="00E16FB6"/>
    <w:rsid w:val="00E17001"/>
    <w:rsid w:val="00E17814"/>
    <w:rsid w:val="00E17CEF"/>
    <w:rsid w:val="00E20FBC"/>
    <w:rsid w:val="00E2374F"/>
    <w:rsid w:val="00E244CA"/>
    <w:rsid w:val="00E2512D"/>
    <w:rsid w:val="00E2548C"/>
    <w:rsid w:val="00E2662B"/>
    <w:rsid w:val="00E26736"/>
    <w:rsid w:val="00E268AC"/>
    <w:rsid w:val="00E2711E"/>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7CA"/>
    <w:rsid w:val="00E51C5E"/>
    <w:rsid w:val="00E523FB"/>
    <w:rsid w:val="00E528AF"/>
    <w:rsid w:val="00E53629"/>
    <w:rsid w:val="00E5372C"/>
    <w:rsid w:val="00E537A9"/>
    <w:rsid w:val="00E541BF"/>
    <w:rsid w:val="00E541C7"/>
    <w:rsid w:val="00E5480C"/>
    <w:rsid w:val="00E54AB7"/>
    <w:rsid w:val="00E55131"/>
    <w:rsid w:val="00E55F3E"/>
    <w:rsid w:val="00E56392"/>
    <w:rsid w:val="00E5685F"/>
    <w:rsid w:val="00E5712F"/>
    <w:rsid w:val="00E601DA"/>
    <w:rsid w:val="00E60547"/>
    <w:rsid w:val="00E60978"/>
    <w:rsid w:val="00E609FF"/>
    <w:rsid w:val="00E61AA8"/>
    <w:rsid w:val="00E6247F"/>
    <w:rsid w:val="00E62E59"/>
    <w:rsid w:val="00E63E99"/>
    <w:rsid w:val="00E6454D"/>
    <w:rsid w:val="00E65301"/>
    <w:rsid w:val="00E6598A"/>
    <w:rsid w:val="00E667A7"/>
    <w:rsid w:val="00E679B3"/>
    <w:rsid w:val="00E7190A"/>
    <w:rsid w:val="00E71E5C"/>
    <w:rsid w:val="00E7245E"/>
    <w:rsid w:val="00E72518"/>
    <w:rsid w:val="00E72C6A"/>
    <w:rsid w:val="00E73831"/>
    <w:rsid w:val="00E73B66"/>
    <w:rsid w:val="00E7498E"/>
    <w:rsid w:val="00E74BB9"/>
    <w:rsid w:val="00E74FF5"/>
    <w:rsid w:val="00E7584A"/>
    <w:rsid w:val="00E760D0"/>
    <w:rsid w:val="00E76D85"/>
    <w:rsid w:val="00E77C2E"/>
    <w:rsid w:val="00E80A1A"/>
    <w:rsid w:val="00E8292A"/>
    <w:rsid w:val="00E82DE7"/>
    <w:rsid w:val="00E83C4D"/>
    <w:rsid w:val="00E84116"/>
    <w:rsid w:val="00E84C5C"/>
    <w:rsid w:val="00E85533"/>
    <w:rsid w:val="00E86343"/>
    <w:rsid w:val="00E866CD"/>
    <w:rsid w:val="00E877ED"/>
    <w:rsid w:val="00E87D6B"/>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2CC5"/>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1A1"/>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B77"/>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37D35"/>
    <w:rsid w:val="00F40178"/>
    <w:rsid w:val="00F40DB9"/>
    <w:rsid w:val="00F40ED1"/>
    <w:rsid w:val="00F415A3"/>
    <w:rsid w:val="00F41778"/>
    <w:rsid w:val="00F41B3E"/>
    <w:rsid w:val="00F421D1"/>
    <w:rsid w:val="00F4323B"/>
    <w:rsid w:val="00F43B8E"/>
    <w:rsid w:val="00F43CDE"/>
    <w:rsid w:val="00F45196"/>
    <w:rsid w:val="00F45D23"/>
    <w:rsid w:val="00F45D51"/>
    <w:rsid w:val="00F46842"/>
    <w:rsid w:val="00F4765F"/>
    <w:rsid w:val="00F479B5"/>
    <w:rsid w:val="00F47A1B"/>
    <w:rsid w:val="00F47C4B"/>
    <w:rsid w:val="00F52410"/>
    <w:rsid w:val="00F53775"/>
    <w:rsid w:val="00F539A6"/>
    <w:rsid w:val="00F53C8F"/>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AF3"/>
    <w:rsid w:val="00FA2C4B"/>
    <w:rsid w:val="00FA5CC6"/>
    <w:rsid w:val="00FA64D5"/>
    <w:rsid w:val="00FA6760"/>
    <w:rsid w:val="00FA70F6"/>
    <w:rsid w:val="00FA7420"/>
    <w:rsid w:val="00FA756C"/>
    <w:rsid w:val="00FA75E4"/>
    <w:rsid w:val="00FA776B"/>
    <w:rsid w:val="00FB02B3"/>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6CF9"/>
    <w:rsid w:val="00FF76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160F"/>
    <w:rPr>
      <w:rFonts w:ascii="Tahoma" w:hAnsi="Tahoma" w:cs="Tahoma"/>
      <w:sz w:val="16"/>
      <w:szCs w:val="16"/>
    </w:rPr>
  </w:style>
  <w:style w:type="character" w:customStyle="1" w:styleId="BalloonTextChar">
    <w:name w:val="Balloon Text Char"/>
    <w:basedOn w:val="DefaultParagraphFont"/>
    <w:link w:val="BalloonText"/>
    <w:rsid w:val="0057160F"/>
    <w:rPr>
      <w:rFonts w:ascii="Tahoma" w:hAnsi="Tahoma" w:cs="Tahoma"/>
      <w:sz w:val="16"/>
      <w:szCs w:val="16"/>
    </w:rPr>
  </w:style>
  <w:style w:type="character" w:customStyle="1" w:styleId="HeaderChar">
    <w:name w:val="Header Char"/>
    <w:basedOn w:val="DefaultParagraphFont"/>
    <w:link w:val="Header"/>
    <w:uiPriority w:val="99"/>
    <w:rsid w:val="00DB1BAA"/>
    <w:rPr>
      <w:rFonts w:ascii="Arial" w:hAnsi="Arial" w:cs="Arial"/>
      <w:sz w:val="22"/>
    </w:rPr>
  </w:style>
  <w:style w:type="character" w:styleId="Hyperlink">
    <w:name w:val="Hyperlink"/>
    <w:basedOn w:val="DefaultParagraphFont"/>
    <w:rsid w:val="00207D3C"/>
    <w:rPr>
      <w:color w:val="0000FF" w:themeColor="hyperlink"/>
      <w:u w:val="single"/>
    </w:rPr>
  </w:style>
  <w:style w:type="table" w:customStyle="1" w:styleId="TableGrid1">
    <w:name w:val="Table Grid1"/>
    <w:basedOn w:val="TableNormal"/>
    <w:next w:val="TableGrid"/>
    <w:rsid w:val="0074561A"/>
    <w:rPr>
      <w:rFonts w:asciiTheme="minorHAnsi" w:eastAsiaTheme="minorHAnsi" w:hAnsiTheme="minorHAnsi" w:cstheme="minorBid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Heading1"/>
    <w:link w:val="SectionHeadingChar"/>
    <w:qFormat/>
    <w:rsid w:val="00DB436A"/>
    <w:pPr>
      <w:pBdr>
        <w:top w:val="single" w:sz="4" w:space="1" w:color="auto"/>
        <w:bottom w:val="single" w:sz="4" w:space="1" w:color="auto"/>
      </w:pBdr>
      <w:bidi w:val="0"/>
      <w:spacing w:before="360" w:after="200" w:line="240" w:lineRule="auto"/>
    </w:pPr>
    <w:rPr>
      <w:rFonts w:ascii="Arial" w:eastAsia="SimSun" w:hAnsi="Arial" w:cs="Arial"/>
      <w:b/>
      <w:caps/>
      <w:kern w:val="32"/>
      <w:sz w:val="22"/>
      <w:szCs w:val="32"/>
      <w:lang w:val="en-US" w:eastAsia="zh-CN"/>
    </w:rPr>
  </w:style>
  <w:style w:type="character" w:customStyle="1" w:styleId="SectionHeadingChar">
    <w:name w:val="Section Heading Char"/>
    <w:basedOn w:val="DefaultParagraphFont"/>
    <w:link w:val="SectionHeading"/>
    <w:rsid w:val="00DB436A"/>
    <w:rPr>
      <w:rFonts w:ascii="Arial" w:eastAsia="SimSun" w:hAnsi="Arial" w:cs="Arial"/>
      <w:b/>
      <w:bCs/>
      <w:caps/>
      <w:kern w:val="32"/>
      <w:sz w:val="2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160F"/>
    <w:rPr>
      <w:rFonts w:ascii="Tahoma" w:hAnsi="Tahoma" w:cs="Tahoma"/>
      <w:sz w:val="16"/>
      <w:szCs w:val="16"/>
    </w:rPr>
  </w:style>
  <w:style w:type="character" w:customStyle="1" w:styleId="BalloonTextChar">
    <w:name w:val="Balloon Text Char"/>
    <w:basedOn w:val="DefaultParagraphFont"/>
    <w:link w:val="BalloonText"/>
    <w:rsid w:val="0057160F"/>
    <w:rPr>
      <w:rFonts w:ascii="Tahoma" w:hAnsi="Tahoma" w:cs="Tahoma"/>
      <w:sz w:val="16"/>
      <w:szCs w:val="16"/>
    </w:rPr>
  </w:style>
  <w:style w:type="character" w:customStyle="1" w:styleId="HeaderChar">
    <w:name w:val="Header Char"/>
    <w:basedOn w:val="DefaultParagraphFont"/>
    <w:link w:val="Header"/>
    <w:uiPriority w:val="99"/>
    <w:rsid w:val="00DB1BAA"/>
    <w:rPr>
      <w:rFonts w:ascii="Arial" w:hAnsi="Arial" w:cs="Arial"/>
      <w:sz w:val="22"/>
    </w:rPr>
  </w:style>
  <w:style w:type="character" w:styleId="Hyperlink">
    <w:name w:val="Hyperlink"/>
    <w:basedOn w:val="DefaultParagraphFont"/>
    <w:rsid w:val="00207D3C"/>
    <w:rPr>
      <w:color w:val="0000FF" w:themeColor="hyperlink"/>
      <w:u w:val="single"/>
    </w:rPr>
  </w:style>
  <w:style w:type="table" w:customStyle="1" w:styleId="TableGrid1">
    <w:name w:val="Table Grid1"/>
    <w:basedOn w:val="TableNormal"/>
    <w:next w:val="TableGrid"/>
    <w:rsid w:val="0074561A"/>
    <w:rPr>
      <w:rFonts w:asciiTheme="minorHAnsi" w:eastAsiaTheme="minorHAnsi" w:hAnsiTheme="minorHAnsi" w:cstheme="minorBid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Heading1"/>
    <w:link w:val="SectionHeadingChar"/>
    <w:qFormat/>
    <w:rsid w:val="00DB436A"/>
    <w:pPr>
      <w:pBdr>
        <w:top w:val="single" w:sz="4" w:space="1" w:color="auto"/>
        <w:bottom w:val="single" w:sz="4" w:space="1" w:color="auto"/>
      </w:pBdr>
      <w:bidi w:val="0"/>
      <w:spacing w:before="360" w:after="200" w:line="240" w:lineRule="auto"/>
    </w:pPr>
    <w:rPr>
      <w:rFonts w:ascii="Arial" w:eastAsia="SimSun" w:hAnsi="Arial" w:cs="Arial"/>
      <w:b/>
      <w:caps/>
      <w:kern w:val="32"/>
      <w:sz w:val="22"/>
      <w:szCs w:val="32"/>
      <w:lang w:val="en-US" w:eastAsia="zh-CN"/>
    </w:rPr>
  </w:style>
  <w:style w:type="character" w:customStyle="1" w:styleId="SectionHeadingChar">
    <w:name w:val="Section Heading Char"/>
    <w:basedOn w:val="DefaultParagraphFont"/>
    <w:link w:val="SectionHeading"/>
    <w:rsid w:val="00DB436A"/>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aine.hellyer@canada.c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CTC_3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AE17E-3931-4253-A1B8-77EFC39E8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PCT_CTC_30_AR.dotx</Template>
  <TotalTime>578</TotalTime>
  <Pages>26</Pages>
  <Words>6521</Words>
  <Characters>35500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PCT/CTC/30/6 (Arabic)</vt:lpstr>
    </vt:vector>
  </TitlesOfParts>
  <Company>World Intellectual Property Organization</Company>
  <LinksUpToDate>false</LinksUpToDate>
  <CharactersWithSpaces>41938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PCT/CTC/30/6 (Arabic)</dc:title>
  <dc:creator>CHADAREVIAN Diane</dc:creator>
  <cp:lastModifiedBy>MERZOUK Fawzi</cp:lastModifiedBy>
  <cp:revision>107</cp:revision>
  <cp:lastPrinted>2017-03-30T10:16:00Z</cp:lastPrinted>
  <dcterms:created xsi:type="dcterms:W3CDTF">2017-03-29T08:16:00Z</dcterms:created>
  <dcterms:modified xsi:type="dcterms:W3CDTF">2017-03-30T10:16:00Z</dcterms:modified>
</cp:coreProperties>
</file>