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F012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Pr="007F012F" w:rsidRDefault="00772E46" w:rsidP="00246E87">
            <w:pPr>
              <w:bidi/>
              <w:spacing w:after="20"/>
              <w:rPr>
                <w:rFonts w:ascii="Arabic Typesetting" w:hAnsi="Arabic Typesetting" w:cs="Arabic Typesetting"/>
                <w:sz w:val="36"/>
                <w:szCs w:val="36"/>
                <w:rtl/>
              </w:rPr>
            </w:pPr>
            <w:r w:rsidRPr="007F012F">
              <w:rPr>
                <w:noProof/>
              </w:rPr>
              <w:drawing>
                <wp:inline distT="0" distB="0" distL="0" distR="0" wp14:anchorId="70F55030" wp14:editId="0E1228D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7F012F" w:rsidRDefault="001667B6" w:rsidP="001667B6">
            <w:pPr>
              <w:rPr>
                <w:b/>
                <w:bCs/>
                <w:sz w:val="40"/>
                <w:szCs w:val="40"/>
              </w:rPr>
            </w:pPr>
            <w:r w:rsidRPr="007F012F">
              <w:rPr>
                <w:b/>
                <w:bCs/>
                <w:sz w:val="40"/>
                <w:szCs w:val="40"/>
              </w:rPr>
              <w:t>A</w:t>
            </w:r>
          </w:p>
        </w:tc>
      </w:tr>
      <w:tr w:rsidR="001667B6" w:rsidRPr="007F012F" w:rsidTr="00B6101C">
        <w:trPr>
          <w:trHeight w:val="333"/>
        </w:trPr>
        <w:tc>
          <w:tcPr>
            <w:tcW w:w="9571" w:type="dxa"/>
            <w:gridSpan w:val="3"/>
            <w:tcBorders>
              <w:top w:val="single" w:sz="4" w:space="0" w:color="auto"/>
            </w:tcBorders>
            <w:vAlign w:val="bottom"/>
          </w:tcPr>
          <w:p w:rsidR="00B6101C" w:rsidRPr="007F012F" w:rsidRDefault="00AB54AE" w:rsidP="001E7535">
            <w:pPr>
              <w:pStyle w:val="DocumentCodeAR"/>
              <w:bidi/>
              <w:rPr>
                <w:rtl/>
              </w:rPr>
            </w:pPr>
            <w:r w:rsidRPr="007F012F">
              <w:t>PCT</w:t>
            </w:r>
            <w:r w:rsidR="00772E46" w:rsidRPr="007F012F">
              <w:t>/</w:t>
            </w:r>
            <w:r w:rsidR="00C742C5" w:rsidRPr="007F012F">
              <w:t>WG</w:t>
            </w:r>
            <w:r w:rsidR="00100F97" w:rsidRPr="007F012F">
              <w:t>/</w:t>
            </w:r>
            <w:r w:rsidR="00CE7F8E" w:rsidRPr="007F012F">
              <w:t>11</w:t>
            </w:r>
            <w:r w:rsidR="00B6101C" w:rsidRPr="007F012F">
              <w:t>/</w:t>
            </w:r>
            <w:r w:rsidR="001E7535" w:rsidRPr="007F012F">
              <w:t>23</w:t>
            </w:r>
          </w:p>
        </w:tc>
      </w:tr>
      <w:tr w:rsidR="001667B6" w:rsidRPr="007F012F" w:rsidTr="00BF164F">
        <w:tc>
          <w:tcPr>
            <w:tcW w:w="9571" w:type="dxa"/>
            <w:gridSpan w:val="3"/>
          </w:tcPr>
          <w:p w:rsidR="001667B6" w:rsidRPr="007F012F" w:rsidRDefault="00B6101C" w:rsidP="001E7535">
            <w:pPr>
              <w:pStyle w:val="DocumentLanguageAR"/>
              <w:bidi/>
              <w:rPr>
                <w:rtl/>
              </w:rPr>
            </w:pPr>
            <w:r w:rsidRPr="007F012F">
              <w:rPr>
                <w:rFonts w:hint="cs"/>
                <w:rtl/>
              </w:rPr>
              <w:t xml:space="preserve">الأصل: </w:t>
            </w:r>
            <w:r w:rsidR="001E7535" w:rsidRPr="007F012F">
              <w:rPr>
                <w:rFonts w:hint="cs"/>
                <w:rtl/>
              </w:rPr>
              <w:t>بالإنكليزية</w:t>
            </w:r>
          </w:p>
        </w:tc>
      </w:tr>
      <w:tr w:rsidR="001667B6" w:rsidRPr="007F012F" w:rsidTr="00BF164F">
        <w:tc>
          <w:tcPr>
            <w:tcW w:w="9571" w:type="dxa"/>
            <w:gridSpan w:val="3"/>
          </w:tcPr>
          <w:p w:rsidR="001667B6" w:rsidRPr="007F012F" w:rsidRDefault="00B6101C" w:rsidP="001E7535">
            <w:pPr>
              <w:pStyle w:val="DocumentDateAR"/>
              <w:bidi/>
              <w:rPr>
                <w:rtl/>
              </w:rPr>
            </w:pPr>
            <w:r w:rsidRPr="007F012F">
              <w:rPr>
                <w:rFonts w:hint="cs"/>
                <w:rtl/>
              </w:rPr>
              <w:t xml:space="preserve">التاريخ: </w:t>
            </w:r>
            <w:r w:rsidR="001E7535" w:rsidRPr="007F012F">
              <w:rPr>
                <w:rFonts w:hint="cs"/>
                <w:rtl/>
              </w:rPr>
              <w:t>15</w:t>
            </w:r>
            <w:r w:rsidRPr="007F012F">
              <w:rPr>
                <w:rFonts w:hint="cs"/>
                <w:rtl/>
              </w:rPr>
              <w:t xml:space="preserve"> </w:t>
            </w:r>
            <w:r w:rsidR="001E7535" w:rsidRPr="007F012F">
              <w:rPr>
                <w:rFonts w:hint="cs"/>
                <w:rtl/>
              </w:rPr>
              <w:t>مايو</w:t>
            </w:r>
            <w:r w:rsidRPr="007F012F">
              <w:rPr>
                <w:rFonts w:hint="cs"/>
                <w:rtl/>
              </w:rPr>
              <w:t xml:space="preserve"> </w:t>
            </w:r>
            <w:r w:rsidR="005C64F7" w:rsidRPr="007F012F">
              <w:rPr>
                <w:rFonts w:hint="cs"/>
                <w:rtl/>
              </w:rPr>
              <w:t>201</w:t>
            </w:r>
            <w:r w:rsidR="00CE7F8E" w:rsidRPr="007F012F">
              <w:rPr>
                <w:rFonts w:hint="cs"/>
                <w:rtl/>
              </w:rPr>
              <w:t>8</w:t>
            </w:r>
          </w:p>
        </w:tc>
      </w:tr>
    </w:tbl>
    <w:p w:rsidR="000F5E56" w:rsidRPr="007F012F" w:rsidRDefault="000F5E56" w:rsidP="001667B6">
      <w:pPr>
        <w:bidi/>
        <w:spacing w:line="360" w:lineRule="exact"/>
        <w:rPr>
          <w:rFonts w:ascii="Arabic Typesetting" w:hAnsi="Arabic Typesetting" w:cs="Arabic Typesetting"/>
          <w:sz w:val="36"/>
          <w:szCs w:val="36"/>
          <w:rtl/>
        </w:rPr>
      </w:pPr>
    </w:p>
    <w:p w:rsidR="001667B6" w:rsidRPr="007F012F" w:rsidRDefault="001667B6" w:rsidP="001667B6">
      <w:pPr>
        <w:bidi/>
        <w:spacing w:line="360" w:lineRule="exact"/>
        <w:rPr>
          <w:rFonts w:ascii="Arabic Typesetting" w:hAnsi="Arabic Typesetting" w:cs="Arabic Typesetting"/>
          <w:sz w:val="36"/>
          <w:szCs w:val="36"/>
          <w:rtl/>
        </w:rPr>
      </w:pPr>
    </w:p>
    <w:p w:rsidR="00F27305" w:rsidRPr="007F012F" w:rsidRDefault="00F27305" w:rsidP="00F27305">
      <w:pPr>
        <w:bidi/>
        <w:spacing w:line="360" w:lineRule="exact"/>
        <w:rPr>
          <w:rFonts w:ascii="Arabic Typesetting" w:hAnsi="Arabic Typesetting" w:cs="Arabic Typesetting"/>
          <w:sz w:val="36"/>
          <w:szCs w:val="36"/>
          <w:rtl/>
        </w:rPr>
      </w:pPr>
    </w:p>
    <w:p w:rsidR="001667B6" w:rsidRPr="007F012F" w:rsidRDefault="00AB54AE" w:rsidP="00983389">
      <w:pPr>
        <w:pStyle w:val="MeetingTitleAR"/>
        <w:bidi/>
        <w:ind w:right="550"/>
        <w:rPr>
          <w:rtl/>
        </w:rPr>
      </w:pPr>
      <w:r w:rsidRPr="007F012F">
        <w:rPr>
          <w:rFonts w:hint="cs"/>
          <w:rtl/>
        </w:rPr>
        <w:t>معاهدة التعاون بشأن البراءات</w:t>
      </w:r>
    </w:p>
    <w:p w:rsidR="00AB54AE" w:rsidRPr="007F012F" w:rsidRDefault="00C742C5" w:rsidP="00AB54AE">
      <w:pPr>
        <w:pStyle w:val="MeetingTitleAR"/>
        <w:bidi/>
        <w:ind w:right="550"/>
        <w:rPr>
          <w:rtl/>
        </w:rPr>
      </w:pPr>
      <w:r w:rsidRPr="007F012F">
        <w:rPr>
          <w:rFonts w:hint="cs"/>
          <w:rtl/>
        </w:rPr>
        <w:t>الفريق العامل</w:t>
      </w:r>
    </w:p>
    <w:p w:rsidR="001667B6" w:rsidRPr="007F012F" w:rsidRDefault="001667B6" w:rsidP="001667B6">
      <w:pPr>
        <w:bidi/>
        <w:spacing w:line="360" w:lineRule="exact"/>
        <w:rPr>
          <w:rFonts w:ascii="Arabic Typesetting" w:hAnsi="Arabic Typesetting" w:cs="Arabic Typesetting"/>
          <w:sz w:val="36"/>
          <w:szCs w:val="36"/>
          <w:rtl/>
        </w:rPr>
      </w:pPr>
    </w:p>
    <w:p w:rsidR="001667B6" w:rsidRPr="007F012F" w:rsidRDefault="00F27305" w:rsidP="00CE7F8E">
      <w:pPr>
        <w:pStyle w:val="MeetingSessionAR"/>
        <w:bidi/>
        <w:rPr>
          <w:rFonts w:ascii="Cambria Math" w:hAnsi="Cambria Math"/>
          <w:rtl/>
          <w:lang w:val="fr-FR" w:bidi="ar-EG"/>
        </w:rPr>
      </w:pPr>
      <w:r w:rsidRPr="007F012F">
        <w:rPr>
          <w:rFonts w:ascii="Cambria Math" w:hAnsi="Cambria Math"/>
          <w:rtl/>
        </w:rPr>
        <w:t xml:space="preserve">الدورة </w:t>
      </w:r>
      <w:r w:rsidR="00CE7F8E" w:rsidRPr="007F012F">
        <w:rPr>
          <w:rFonts w:ascii="Cambria Math" w:hAnsi="Cambria Math" w:hint="cs"/>
          <w:rtl/>
          <w:lang w:val="fr-FR" w:bidi="ar-EG"/>
        </w:rPr>
        <w:t>الحادية عشرة</w:t>
      </w:r>
    </w:p>
    <w:p w:rsidR="00D61541" w:rsidRPr="007F012F" w:rsidRDefault="00D61541" w:rsidP="007F680B">
      <w:pPr>
        <w:pStyle w:val="MeetingDatesAR"/>
        <w:bidi/>
        <w:rPr>
          <w:rtl/>
        </w:rPr>
      </w:pPr>
      <w:r w:rsidRPr="007F012F">
        <w:rPr>
          <w:rFonts w:hint="cs"/>
          <w:rtl/>
        </w:rPr>
        <w:t xml:space="preserve">جنيف، من </w:t>
      </w:r>
      <w:r w:rsidR="00CE7F8E" w:rsidRPr="007F012F">
        <w:rPr>
          <w:rFonts w:hint="cs"/>
          <w:rtl/>
        </w:rPr>
        <w:t>18</w:t>
      </w:r>
      <w:r w:rsidR="00C742C5" w:rsidRPr="007F012F">
        <w:rPr>
          <w:rFonts w:hint="cs"/>
          <w:rtl/>
        </w:rPr>
        <w:t xml:space="preserve"> إلى </w:t>
      </w:r>
      <w:r w:rsidR="007F680B" w:rsidRPr="007F012F">
        <w:rPr>
          <w:rFonts w:hint="cs"/>
          <w:rtl/>
        </w:rPr>
        <w:t>2</w:t>
      </w:r>
      <w:r w:rsidR="008369C1" w:rsidRPr="007F012F">
        <w:rPr>
          <w:rFonts w:hint="cs"/>
          <w:rtl/>
        </w:rPr>
        <w:t>2</w:t>
      </w:r>
      <w:r w:rsidR="00D07291" w:rsidRPr="007F012F">
        <w:rPr>
          <w:rFonts w:hint="cs"/>
          <w:rtl/>
        </w:rPr>
        <w:t xml:space="preserve"> </w:t>
      </w:r>
      <w:r w:rsidR="00CE7F8E" w:rsidRPr="007F012F">
        <w:rPr>
          <w:rFonts w:hint="cs"/>
          <w:rtl/>
        </w:rPr>
        <w:t>يونيو</w:t>
      </w:r>
      <w:r w:rsidR="00C742C5" w:rsidRPr="007F012F">
        <w:rPr>
          <w:rFonts w:hint="cs"/>
          <w:rtl/>
        </w:rPr>
        <w:t xml:space="preserve"> </w:t>
      </w:r>
      <w:r w:rsidR="005C64F7" w:rsidRPr="007F012F">
        <w:rPr>
          <w:rFonts w:hint="cs"/>
          <w:rtl/>
        </w:rPr>
        <w:t>201</w:t>
      </w:r>
      <w:r w:rsidR="00CE7F8E" w:rsidRPr="007F012F">
        <w:rPr>
          <w:rFonts w:hint="cs"/>
          <w:rtl/>
        </w:rPr>
        <w:t>8</w:t>
      </w:r>
    </w:p>
    <w:p w:rsidR="00D61541" w:rsidRPr="007F012F" w:rsidRDefault="00D61541" w:rsidP="00D61541">
      <w:pPr>
        <w:bidi/>
        <w:spacing w:line="360" w:lineRule="exact"/>
        <w:rPr>
          <w:rFonts w:ascii="Arabic Typesetting" w:hAnsi="Arabic Typesetting" w:cs="Arabic Typesetting"/>
          <w:sz w:val="36"/>
          <w:szCs w:val="36"/>
          <w:rtl/>
        </w:rPr>
      </w:pPr>
    </w:p>
    <w:p w:rsidR="00D61541" w:rsidRPr="007F012F" w:rsidRDefault="00D61541" w:rsidP="00D61541">
      <w:pPr>
        <w:bidi/>
        <w:spacing w:line="360" w:lineRule="exact"/>
        <w:rPr>
          <w:rFonts w:ascii="Arabic Typesetting" w:hAnsi="Arabic Typesetting" w:cs="Arabic Typesetting"/>
          <w:sz w:val="36"/>
          <w:szCs w:val="36"/>
          <w:rtl/>
        </w:rPr>
      </w:pPr>
    </w:p>
    <w:p w:rsidR="00D61541" w:rsidRPr="007F012F" w:rsidRDefault="001E7535" w:rsidP="00FB7EC9">
      <w:pPr>
        <w:pStyle w:val="DocumentTitleAR"/>
        <w:bidi/>
        <w:rPr>
          <w:rtl/>
        </w:rPr>
      </w:pPr>
      <w:r w:rsidRPr="007F012F">
        <w:rPr>
          <w:rFonts w:hint="cs"/>
          <w:rtl/>
        </w:rPr>
        <w:t>تحديث</w:t>
      </w:r>
      <w:r w:rsidRPr="007F012F">
        <w:rPr>
          <w:rtl/>
        </w:rPr>
        <w:t xml:space="preserve"> التقرير المرحلي بشأن تنفيذ تغييرات على تخفيضات الرسوم</w:t>
      </w:r>
    </w:p>
    <w:p w:rsidR="00D61541" w:rsidRPr="007F012F" w:rsidRDefault="001E7535" w:rsidP="00931859">
      <w:pPr>
        <w:pStyle w:val="PreparedbyAR"/>
        <w:bidi/>
        <w:rPr>
          <w:rtl/>
        </w:rPr>
      </w:pPr>
      <w:r w:rsidRPr="007F012F">
        <w:rPr>
          <w:rFonts w:hint="cs"/>
          <w:rtl/>
        </w:rPr>
        <w:t xml:space="preserve">وثيقة </w:t>
      </w:r>
      <w:r w:rsidR="00D61541" w:rsidRPr="007F012F">
        <w:rPr>
          <w:rFonts w:hint="cs"/>
          <w:rtl/>
        </w:rPr>
        <w:t>من إعداد</w:t>
      </w:r>
      <w:r w:rsidRPr="007F012F">
        <w:rPr>
          <w:rFonts w:hint="cs"/>
          <w:rtl/>
        </w:rPr>
        <w:t xml:space="preserve"> المكتب الدولي</w:t>
      </w:r>
    </w:p>
    <w:p w:rsidR="0008403F" w:rsidRDefault="0008403F" w:rsidP="0008403F">
      <w:pPr>
        <w:pStyle w:val="Heading1"/>
      </w:pPr>
      <w:r w:rsidRPr="007F012F">
        <w:rPr>
          <w:rtl/>
        </w:rPr>
        <w:t>ملخص</w:t>
      </w:r>
    </w:p>
    <w:p w:rsidR="005847D5" w:rsidRPr="005847D5" w:rsidRDefault="005847D5" w:rsidP="0048665F">
      <w:pPr>
        <w:pStyle w:val="NumberedParaAR"/>
        <w:rPr>
          <w:rtl/>
        </w:rPr>
      </w:pPr>
      <w:r w:rsidRPr="005847D5">
        <w:rPr>
          <w:rtl/>
        </w:rPr>
        <w:t>تقدم هذه الوثيقة تحديثاً</w:t>
      </w:r>
      <w:r>
        <w:rPr>
          <w:rFonts w:hint="cs"/>
          <w:rtl/>
        </w:rPr>
        <w:t xml:space="preserve"> للتقرير المرحلي </w:t>
      </w:r>
      <w:r w:rsidR="007A3289">
        <w:rPr>
          <w:rFonts w:hint="cs"/>
          <w:rtl/>
        </w:rPr>
        <w:t xml:space="preserve">بشأن </w:t>
      </w:r>
      <w:r w:rsidRPr="005847D5">
        <w:rPr>
          <w:rtl/>
        </w:rPr>
        <w:t>تنفيذ معايير الأهلية المنقحة للاستفادة من تخفيضات في بعض الرسوم المستحقة للمكتب الدولي</w:t>
      </w:r>
      <w:r w:rsidR="001478ED">
        <w:t xml:space="preserve"> </w:t>
      </w:r>
      <w:r w:rsidR="001478ED">
        <w:rPr>
          <w:rFonts w:hint="cs"/>
          <w:rtl/>
        </w:rPr>
        <w:t>الذي</w:t>
      </w:r>
      <w:r w:rsidR="00A30652">
        <w:rPr>
          <w:rFonts w:hint="cs"/>
          <w:rtl/>
        </w:rPr>
        <w:t xml:space="preserve"> قُد</w:t>
      </w:r>
      <w:r w:rsidR="005B30E0">
        <w:rPr>
          <w:rFonts w:hint="cs"/>
          <w:rtl/>
        </w:rPr>
        <w:t>ِّ</w:t>
      </w:r>
      <w:r w:rsidR="00A30652">
        <w:rPr>
          <w:rFonts w:hint="cs"/>
          <w:rtl/>
        </w:rPr>
        <w:t>م إلى ا</w:t>
      </w:r>
      <w:r w:rsidR="001478ED">
        <w:rPr>
          <w:rFonts w:hint="cs"/>
          <w:rtl/>
        </w:rPr>
        <w:t>لدورة العاشرة للفريق العامل</w:t>
      </w:r>
      <w:r>
        <w:rPr>
          <w:rFonts w:hint="cs"/>
          <w:rtl/>
        </w:rPr>
        <w:t>.</w:t>
      </w:r>
    </w:p>
    <w:p w:rsidR="0008403F" w:rsidRDefault="0008403F" w:rsidP="0048665F">
      <w:pPr>
        <w:pStyle w:val="Heading1"/>
        <w:rPr>
          <w:rtl/>
        </w:rPr>
      </w:pPr>
      <w:r w:rsidRPr="007F012F">
        <w:rPr>
          <w:rtl/>
        </w:rPr>
        <w:t>معلومات أساسية</w:t>
      </w:r>
    </w:p>
    <w:p w:rsidR="00B42DC5" w:rsidRPr="0068089F" w:rsidRDefault="00B42DC5" w:rsidP="0048665F">
      <w:pPr>
        <w:pStyle w:val="NumberedParaAR"/>
      </w:pPr>
      <w:r w:rsidRPr="006E1D93">
        <w:rPr>
          <w:rtl/>
          <w:lang w:val="fr-CH"/>
        </w:rPr>
        <w:t xml:space="preserve">وافق الفريق </w:t>
      </w:r>
      <w:r w:rsidRPr="0068089F">
        <w:rPr>
          <w:rtl/>
        </w:rPr>
        <w:t>العامل في دورته السابعة</w:t>
      </w:r>
      <w:r w:rsidRPr="0068089F">
        <w:rPr>
          <w:rFonts w:hint="cs"/>
          <w:rtl/>
        </w:rPr>
        <w:t xml:space="preserve"> التي ع</w:t>
      </w:r>
      <w:r w:rsidR="005B30E0" w:rsidRPr="0068089F">
        <w:rPr>
          <w:rFonts w:hint="cs"/>
          <w:rtl/>
        </w:rPr>
        <w:t>ُ</w:t>
      </w:r>
      <w:r w:rsidRPr="0068089F">
        <w:rPr>
          <w:rFonts w:hint="cs"/>
          <w:rtl/>
        </w:rPr>
        <w:t>قدت</w:t>
      </w:r>
      <w:r w:rsidRPr="0068089F">
        <w:rPr>
          <w:rtl/>
        </w:rPr>
        <w:t xml:space="preserve"> في يونيو</w:t>
      </w:r>
      <w:r w:rsidRPr="0068089F">
        <w:rPr>
          <w:rFonts w:hint="cs"/>
          <w:rtl/>
        </w:rPr>
        <w:t xml:space="preserve"> </w:t>
      </w:r>
      <w:r w:rsidRPr="0068089F">
        <w:rPr>
          <w:rtl/>
        </w:rPr>
        <w:t>2014 على التعديلات المقترحة على جدول رسوم معاهدة التعاون بشأن البراءات وعلى التوجيهات المقترحة لتحديث قوائم الدول المستوفية لضوابط تخفيض رسوم معينة في المعاهدة، بهدف تقديمها إلى جمعية معاهدة التعاون بشأن البراءات</w:t>
      </w:r>
      <w:r w:rsidRPr="0068089F">
        <w:rPr>
          <w:rFonts w:hint="cs"/>
          <w:rtl/>
        </w:rPr>
        <w:t xml:space="preserve"> </w:t>
      </w:r>
      <w:r w:rsidRPr="0068089F">
        <w:rPr>
          <w:rtl/>
        </w:rPr>
        <w:t>ل</w:t>
      </w:r>
      <w:r w:rsidRPr="0068089F">
        <w:rPr>
          <w:rFonts w:hint="cs"/>
          <w:rtl/>
        </w:rPr>
        <w:t>ت</w:t>
      </w:r>
      <w:r w:rsidRPr="0068089F">
        <w:rPr>
          <w:rtl/>
        </w:rPr>
        <w:t>نظر فيه</w:t>
      </w:r>
      <w:r w:rsidRPr="0068089F">
        <w:rPr>
          <w:rFonts w:hint="cs"/>
          <w:rtl/>
        </w:rPr>
        <w:t>ا</w:t>
      </w:r>
      <w:r w:rsidRPr="0068089F">
        <w:rPr>
          <w:rtl/>
        </w:rPr>
        <w:t xml:space="preserve"> في دورتها </w:t>
      </w:r>
      <w:r w:rsidRPr="0068089F">
        <w:rPr>
          <w:rFonts w:hint="cs"/>
          <w:rtl/>
        </w:rPr>
        <w:t>التي ع</w:t>
      </w:r>
      <w:r w:rsidR="002B7416" w:rsidRPr="0068089F">
        <w:rPr>
          <w:rFonts w:hint="cs"/>
          <w:rtl/>
        </w:rPr>
        <w:t>ُ</w:t>
      </w:r>
      <w:r w:rsidRPr="0068089F">
        <w:rPr>
          <w:rFonts w:hint="cs"/>
          <w:rtl/>
        </w:rPr>
        <w:t xml:space="preserve">قدت </w:t>
      </w:r>
      <w:r w:rsidRPr="0068089F">
        <w:rPr>
          <w:rtl/>
        </w:rPr>
        <w:t>في سبتمبر 2014.</w:t>
      </w:r>
      <w:r w:rsidRPr="0068089F">
        <w:rPr>
          <w:rFonts w:hint="cs"/>
          <w:rtl/>
        </w:rPr>
        <w:t xml:space="preserve"> </w:t>
      </w:r>
      <w:r w:rsidRPr="0068089F">
        <w:rPr>
          <w:rtl/>
        </w:rPr>
        <w:t>وأوصى الفريق العامل بإعداد تقرير متابعة عن تنفيذ التعديلات على جدول رسوم معاهدة التعاون بشأن البراءا</w:t>
      </w:r>
      <w:r w:rsidRPr="0068089F">
        <w:rPr>
          <w:rFonts w:hint="cs"/>
          <w:rtl/>
        </w:rPr>
        <w:t xml:space="preserve">ت </w:t>
      </w:r>
      <w:r w:rsidRPr="0068089F">
        <w:rPr>
          <w:rtl/>
        </w:rPr>
        <w:t>بعد مرور سنتين من بدء تنفيذها</w:t>
      </w:r>
      <w:r w:rsidRPr="0068089F">
        <w:rPr>
          <w:rFonts w:hint="cs"/>
          <w:rtl/>
        </w:rPr>
        <w:t xml:space="preserve"> </w:t>
      </w:r>
      <w:r w:rsidR="0050713E" w:rsidRPr="0068089F">
        <w:rPr>
          <w:rtl/>
        </w:rPr>
        <w:t xml:space="preserve">(انظر </w:t>
      </w:r>
      <w:r w:rsidRPr="0068089F">
        <w:rPr>
          <w:rtl/>
        </w:rPr>
        <w:t xml:space="preserve">الوثيقة </w:t>
      </w:r>
      <w:r w:rsidRPr="0068089F">
        <w:t>PCT/WG/7/30</w:t>
      </w:r>
      <w:r w:rsidRPr="0068089F">
        <w:rPr>
          <w:rFonts w:hint="cs"/>
          <w:rtl/>
        </w:rPr>
        <w:t>،</w:t>
      </w:r>
      <w:r w:rsidRPr="0068089F">
        <w:rPr>
          <w:rtl/>
        </w:rPr>
        <w:t xml:space="preserve"> الفقرات </w:t>
      </w:r>
      <w:r w:rsidRPr="0068089F">
        <w:rPr>
          <w:rFonts w:hint="cs"/>
          <w:rtl/>
        </w:rPr>
        <w:t xml:space="preserve">من </w:t>
      </w:r>
      <w:r w:rsidRPr="0068089F">
        <w:rPr>
          <w:rtl/>
        </w:rPr>
        <w:t>98 إلى</w:t>
      </w:r>
      <w:r w:rsidRPr="0068089F">
        <w:t> </w:t>
      </w:r>
      <w:r w:rsidRPr="0068089F">
        <w:rPr>
          <w:rtl/>
        </w:rPr>
        <w:t>100).</w:t>
      </w:r>
    </w:p>
    <w:p w:rsidR="00AA70B3" w:rsidRPr="00847011" w:rsidRDefault="00AA70B3" w:rsidP="00ED7493">
      <w:pPr>
        <w:pStyle w:val="NumberedParaAR"/>
        <w:rPr>
          <w:rtl/>
        </w:rPr>
      </w:pPr>
      <w:r>
        <w:rPr>
          <w:rFonts w:hint="cs"/>
          <w:rtl/>
        </w:rPr>
        <w:t>وق</w:t>
      </w:r>
      <w:r w:rsidR="00631BF1">
        <w:rPr>
          <w:rFonts w:hint="cs"/>
          <w:rtl/>
        </w:rPr>
        <w:t>ُ</w:t>
      </w:r>
      <w:r>
        <w:rPr>
          <w:rFonts w:hint="cs"/>
          <w:rtl/>
        </w:rPr>
        <w:t>دم</w:t>
      </w:r>
      <w:r w:rsidR="0050713E">
        <w:rPr>
          <w:rFonts w:hint="cs"/>
          <w:rtl/>
        </w:rPr>
        <w:t xml:space="preserve"> هذا</w:t>
      </w:r>
      <w:r>
        <w:rPr>
          <w:rFonts w:hint="cs"/>
          <w:rtl/>
        </w:rPr>
        <w:t xml:space="preserve"> التقرير المرحلي </w:t>
      </w:r>
      <w:r w:rsidR="00A30652">
        <w:rPr>
          <w:rFonts w:hint="cs"/>
          <w:rtl/>
        </w:rPr>
        <w:t>إلى ا</w:t>
      </w:r>
      <w:r>
        <w:rPr>
          <w:rFonts w:hint="cs"/>
          <w:rtl/>
        </w:rPr>
        <w:t xml:space="preserve">لدورة العاشرة </w:t>
      </w:r>
      <w:r w:rsidR="0050713E">
        <w:rPr>
          <w:rFonts w:hint="cs"/>
          <w:rtl/>
        </w:rPr>
        <w:t>للفريق العامل التي ع</w:t>
      </w:r>
      <w:r w:rsidR="004B0D8C">
        <w:rPr>
          <w:rFonts w:hint="cs"/>
          <w:rtl/>
        </w:rPr>
        <w:t>ُ</w:t>
      </w:r>
      <w:r w:rsidR="0050713E">
        <w:rPr>
          <w:rFonts w:hint="cs"/>
          <w:rtl/>
        </w:rPr>
        <w:t xml:space="preserve">قدت </w:t>
      </w:r>
      <w:r w:rsidR="00631BF1">
        <w:rPr>
          <w:rFonts w:hint="cs"/>
          <w:rtl/>
        </w:rPr>
        <w:t>في مايو 2017 (الوثيقة</w:t>
      </w:r>
      <w:r w:rsidR="00ED7493">
        <w:rPr>
          <w:rFonts w:hint="eastAsia"/>
          <w:rtl/>
          <w:lang w:val="fr-FR" w:bidi="ar-EG"/>
        </w:rPr>
        <w:t> </w:t>
      </w:r>
      <w:r w:rsidR="00631BF1" w:rsidRPr="00847011">
        <w:t>PCT/WG/10/20</w:t>
      </w:r>
      <w:r w:rsidR="00631BF1" w:rsidRPr="00847011">
        <w:rPr>
          <w:rFonts w:hint="cs"/>
          <w:rtl/>
        </w:rPr>
        <w:t>). وي</w:t>
      </w:r>
      <w:r w:rsidR="00DB45E4">
        <w:rPr>
          <w:rFonts w:hint="cs"/>
          <w:rtl/>
        </w:rPr>
        <w:t>ُ</w:t>
      </w:r>
      <w:r w:rsidR="00631BF1" w:rsidRPr="00847011">
        <w:rPr>
          <w:rFonts w:hint="cs"/>
          <w:rtl/>
        </w:rPr>
        <w:t xml:space="preserve">ظهر هذا التقرير </w:t>
      </w:r>
      <w:r w:rsidR="00AC3230" w:rsidRPr="00847011">
        <w:rPr>
          <w:rFonts w:hint="cs"/>
          <w:rtl/>
        </w:rPr>
        <w:t>الانتفاع بتخفيضات الرسوم</w:t>
      </w:r>
      <w:r w:rsidR="004B0D8C">
        <w:rPr>
          <w:rFonts w:hint="cs"/>
          <w:rtl/>
        </w:rPr>
        <w:t xml:space="preserve"> </w:t>
      </w:r>
      <w:r w:rsidR="004B0D8C" w:rsidRPr="006E1D93">
        <w:rPr>
          <w:rFonts w:hint="cs"/>
          <w:rtl/>
        </w:rPr>
        <w:t xml:space="preserve">على مدى </w:t>
      </w:r>
      <w:r w:rsidR="004B0D8C" w:rsidRPr="006E1D93">
        <w:rPr>
          <w:rtl/>
        </w:rPr>
        <w:t xml:space="preserve">18 </w:t>
      </w:r>
      <w:r w:rsidR="004B0D8C" w:rsidRPr="006E1D93">
        <w:rPr>
          <w:rFonts w:hint="cs"/>
          <w:rtl/>
        </w:rPr>
        <w:t>شهرا</w:t>
      </w:r>
      <w:r w:rsidR="004B0D8C">
        <w:rPr>
          <w:rFonts w:hint="cs"/>
          <w:rtl/>
        </w:rPr>
        <w:t>ً</w:t>
      </w:r>
      <w:r w:rsidR="004B0D8C" w:rsidRPr="006E1D93">
        <w:rPr>
          <w:rFonts w:hint="cs"/>
          <w:rtl/>
        </w:rPr>
        <w:t xml:space="preserve"> </w:t>
      </w:r>
      <w:r w:rsidR="004B0D8C" w:rsidRPr="006E1D93">
        <w:rPr>
          <w:rtl/>
        </w:rPr>
        <w:t>سبق</w:t>
      </w:r>
      <w:r w:rsidR="004B0D8C" w:rsidRPr="006E1D93">
        <w:rPr>
          <w:rFonts w:hint="cs"/>
          <w:rtl/>
        </w:rPr>
        <w:t>ت</w:t>
      </w:r>
      <w:r w:rsidR="004B0D8C" w:rsidRPr="006E1D93">
        <w:rPr>
          <w:rtl/>
        </w:rPr>
        <w:t xml:space="preserve"> </w:t>
      </w:r>
      <w:r w:rsidR="00F3540C">
        <w:rPr>
          <w:rFonts w:hint="cs"/>
          <w:rtl/>
        </w:rPr>
        <w:t xml:space="preserve">التغييرات </w:t>
      </w:r>
      <w:r w:rsidR="004B0D8C" w:rsidRPr="006E1D93">
        <w:rPr>
          <w:rFonts w:hint="cs"/>
          <w:rtl/>
        </w:rPr>
        <w:t>وعلى مدى</w:t>
      </w:r>
      <w:r w:rsidR="00C52EAE">
        <w:rPr>
          <w:rFonts w:hint="eastAsia"/>
        </w:rPr>
        <w:t> </w:t>
      </w:r>
      <w:r w:rsidR="004B0D8C" w:rsidRPr="006E1D93">
        <w:rPr>
          <w:rtl/>
        </w:rPr>
        <w:t xml:space="preserve">18 </w:t>
      </w:r>
      <w:r w:rsidR="004B0D8C" w:rsidRPr="006E1D93">
        <w:rPr>
          <w:rFonts w:hint="cs"/>
          <w:rtl/>
        </w:rPr>
        <w:t>شهرا</w:t>
      </w:r>
      <w:r w:rsidR="004B0D8C">
        <w:rPr>
          <w:rFonts w:hint="cs"/>
          <w:rtl/>
        </w:rPr>
        <w:t>ً</w:t>
      </w:r>
      <w:r w:rsidR="004B0D8C" w:rsidRPr="006E1D93">
        <w:rPr>
          <w:rFonts w:hint="cs"/>
          <w:rtl/>
        </w:rPr>
        <w:t xml:space="preserve"> تلت</w:t>
      </w:r>
      <w:r w:rsidR="004B0D8C" w:rsidRPr="006E1D93">
        <w:rPr>
          <w:rtl/>
        </w:rPr>
        <w:t xml:space="preserve"> </w:t>
      </w:r>
      <w:r w:rsidR="007A3289">
        <w:rPr>
          <w:rFonts w:hint="cs"/>
          <w:rtl/>
        </w:rPr>
        <w:t>هذه التغييرات</w:t>
      </w:r>
      <w:r w:rsidR="00AC3230">
        <w:rPr>
          <w:rFonts w:hint="cs"/>
          <w:rtl/>
        </w:rPr>
        <w:t>،</w:t>
      </w:r>
      <w:r w:rsidR="00631BF1" w:rsidRPr="00AD1E0F">
        <w:rPr>
          <w:rtl/>
        </w:rPr>
        <w:t xml:space="preserve"> </w:t>
      </w:r>
      <w:r w:rsidR="000C082A">
        <w:rPr>
          <w:rFonts w:hint="cs"/>
          <w:rtl/>
        </w:rPr>
        <w:t>بما ف</w:t>
      </w:r>
      <w:r w:rsidR="000D6179">
        <w:rPr>
          <w:rFonts w:hint="cs"/>
          <w:rtl/>
        </w:rPr>
        <w:t>ي ذلك المعلومات المتعلقة بإجمالي</w:t>
      </w:r>
      <w:r w:rsidR="000C082A">
        <w:rPr>
          <w:rFonts w:hint="cs"/>
          <w:rtl/>
        </w:rPr>
        <w:t xml:space="preserve"> الإيداعات المقدمة من مقيمي مختلف الدول</w:t>
      </w:r>
      <w:r w:rsidR="00C52EAE">
        <w:rPr>
          <w:rFonts w:hint="eastAsia"/>
        </w:rPr>
        <w:t> </w:t>
      </w:r>
      <w:r w:rsidR="000C082A">
        <w:rPr>
          <w:rFonts w:hint="cs"/>
          <w:rtl/>
        </w:rPr>
        <w:t>وعدد الطلبات التي لا تدرج إلا الأشخاص الطبيعيين بوصفهم مودعين. و</w:t>
      </w:r>
      <w:r w:rsidR="005129B8">
        <w:rPr>
          <w:rFonts w:hint="cs"/>
          <w:rtl/>
        </w:rPr>
        <w:t>دُعي</w:t>
      </w:r>
      <w:r w:rsidR="000C082A">
        <w:rPr>
          <w:rFonts w:hint="cs"/>
          <w:rtl/>
        </w:rPr>
        <w:t xml:space="preserve"> المكتب الدولي إلى تقديم تحديث للوثيقة</w:t>
      </w:r>
      <w:r w:rsidR="00C52EAE">
        <w:rPr>
          <w:rFonts w:hint="eastAsia"/>
        </w:rPr>
        <w:t> </w:t>
      </w:r>
      <w:r w:rsidR="000C082A">
        <w:rPr>
          <w:rFonts w:hint="cs"/>
          <w:rtl/>
        </w:rPr>
        <w:t xml:space="preserve">مع إحصاءات </w:t>
      </w:r>
      <w:r w:rsidR="0099578E">
        <w:rPr>
          <w:rFonts w:hint="cs"/>
          <w:rtl/>
        </w:rPr>
        <w:t>حديثة أكثر</w:t>
      </w:r>
      <w:r w:rsidR="000C082A">
        <w:rPr>
          <w:rFonts w:hint="cs"/>
          <w:rtl/>
        </w:rPr>
        <w:t xml:space="preserve"> إلى الدورة الحالية للفريق العامل (انظر الفقرات</w:t>
      </w:r>
      <w:r w:rsidR="0099578E">
        <w:rPr>
          <w:rFonts w:hint="cs"/>
          <w:rtl/>
        </w:rPr>
        <w:t xml:space="preserve"> من</w:t>
      </w:r>
      <w:r w:rsidR="000C082A">
        <w:rPr>
          <w:rFonts w:hint="cs"/>
          <w:rtl/>
        </w:rPr>
        <w:t xml:space="preserve"> 115 إلى 119 من </w:t>
      </w:r>
      <w:r w:rsidR="00C52EAE">
        <w:rPr>
          <w:rFonts w:hint="cs"/>
          <w:rtl/>
        </w:rPr>
        <w:t>الوثيقة </w:t>
      </w:r>
      <w:r w:rsidR="0099578E" w:rsidRPr="00847011">
        <w:t>PCT/WG/10/25</w:t>
      </w:r>
      <w:r w:rsidR="0099578E" w:rsidRPr="00847011">
        <w:rPr>
          <w:rFonts w:hint="cs"/>
          <w:rtl/>
        </w:rPr>
        <w:t>).</w:t>
      </w:r>
    </w:p>
    <w:p w:rsidR="0008403F" w:rsidRDefault="0008403F" w:rsidP="0048665F">
      <w:pPr>
        <w:pStyle w:val="Heading1"/>
        <w:rPr>
          <w:rtl/>
        </w:rPr>
      </w:pPr>
      <w:r w:rsidRPr="007F012F">
        <w:rPr>
          <w:rtl/>
        </w:rPr>
        <w:lastRenderedPageBreak/>
        <w:t>التقرير</w:t>
      </w:r>
    </w:p>
    <w:p w:rsidR="00B50B5A" w:rsidRPr="006E1D93" w:rsidRDefault="00B50B5A" w:rsidP="0048665F">
      <w:pPr>
        <w:pStyle w:val="NumberedParaAR"/>
      </w:pPr>
      <w:r>
        <w:rPr>
          <w:rFonts w:hint="cs"/>
          <w:rtl/>
        </w:rPr>
        <w:t xml:space="preserve">يتضمن </w:t>
      </w:r>
      <w:r w:rsidRPr="006E1D93">
        <w:rPr>
          <w:rtl/>
        </w:rPr>
        <w:t xml:space="preserve">مرفق هذه الوثيقة جداول تبين عدد الطلبات المودعة </w:t>
      </w:r>
      <w:r w:rsidRPr="006E1D93">
        <w:rPr>
          <w:rFonts w:hint="cs"/>
          <w:rtl/>
        </w:rPr>
        <w:t xml:space="preserve">على مدى </w:t>
      </w:r>
      <w:r>
        <w:rPr>
          <w:rFonts w:hint="cs"/>
          <w:rtl/>
        </w:rPr>
        <w:t>24</w:t>
      </w:r>
      <w:r w:rsidRPr="006E1D93">
        <w:rPr>
          <w:rtl/>
        </w:rPr>
        <w:t xml:space="preserve"> </w:t>
      </w:r>
      <w:r w:rsidRPr="006E1D93">
        <w:rPr>
          <w:rFonts w:hint="cs"/>
          <w:rtl/>
        </w:rPr>
        <w:t>شهرا</w:t>
      </w:r>
      <w:r>
        <w:rPr>
          <w:rFonts w:hint="cs"/>
          <w:rtl/>
        </w:rPr>
        <w:t>ً</w:t>
      </w:r>
      <w:r w:rsidRPr="006E1D93">
        <w:rPr>
          <w:rFonts w:hint="cs"/>
          <w:rtl/>
        </w:rPr>
        <w:t xml:space="preserve"> </w:t>
      </w:r>
      <w:r w:rsidRPr="006E1D93">
        <w:rPr>
          <w:rtl/>
        </w:rPr>
        <w:t>سبق</w:t>
      </w:r>
      <w:r w:rsidRPr="006E1D93">
        <w:rPr>
          <w:rFonts w:hint="cs"/>
          <w:rtl/>
        </w:rPr>
        <w:t>ت</w:t>
      </w:r>
      <w:r w:rsidRPr="006E1D93">
        <w:rPr>
          <w:rtl/>
        </w:rPr>
        <w:t xml:space="preserve"> مباشرة تغيير معايير الأهلية </w:t>
      </w:r>
      <w:r w:rsidRPr="006E1D93">
        <w:rPr>
          <w:rFonts w:hint="cs"/>
          <w:rtl/>
        </w:rPr>
        <w:t xml:space="preserve">وعلى مدى </w:t>
      </w:r>
      <w:r>
        <w:rPr>
          <w:rFonts w:hint="cs"/>
          <w:rtl/>
        </w:rPr>
        <w:t>24</w:t>
      </w:r>
      <w:r w:rsidRPr="006E1D93">
        <w:rPr>
          <w:rtl/>
        </w:rPr>
        <w:t xml:space="preserve"> </w:t>
      </w:r>
      <w:r w:rsidRPr="006E1D93">
        <w:rPr>
          <w:rFonts w:hint="cs"/>
          <w:rtl/>
        </w:rPr>
        <w:t>شهرا</w:t>
      </w:r>
      <w:r>
        <w:rPr>
          <w:rFonts w:hint="cs"/>
          <w:rtl/>
        </w:rPr>
        <w:t>ً</w:t>
      </w:r>
      <w:r w:rsidRPr="006E1D93">
        <w:rPr>
          <w:rFonts w:hint="cs"/>
          <w:rtl/>
        </w:rPr>
        <w:t xml:space="preserve"> تلت</w:t>
      </w:r>
      <w:r w:rsidRPr="006E1D93">
        <w:rPr>
          <w:rtl/>
        </w:rPr>
        <w:t xml:space="preserve"> مباشرة</w:t>
      </w:r>
      <w:r w:rsidRPr="006E1D93">
        <w:rPr>
          <w:rFonts w:hint="cs"/>
          <w:rtl/>
        </w:rPr>
        <w:t xml:space="preserve"> </w:t>
      </w:r>
      <w:r w:rsidRPr="006E1D93">
        <w:rPr>
          <w:rtl/>
        </w:rPr>
        <w:t xml:space="preserve">بدء نفاذ معايير الأهلية الجديدة، </w:t>
      </w:r>
      <w:r w:rsidRPr="006E1D93">
        <w:rPr>
          <w:rFonts w:hint="cs"/>
          <w:rtl/>
        </w:rPr>
        <w:t>بحسب</w:t>
      </w:r>
      <w:r w:rsidRPr="006E1D93">
        <w:rPr>
          <w:rtl/>
        </w:rPr>
        <w:t xml:space="preserve"> دولة الإقامة الم</w:t>
      </w:r>
      <w:r w:rsidRPr="006E1D93">
        <w:rPr>
          <w:rFonts w:hint="cs"/>
          <w:rtl/>
        </w:rPr>
        <w:t>عينة للمودع</w:t>
      </w:r>
      <w:r w:rsidRPr="006E1D93">
        <w:rPr>
          <w:rtl/>
        </w:rPr>
        <w:t xml:space="preserve"> الأول المذكور في الطلب الدولي. ولا ت</w:t>
      </w:r>
      <w:r w:rsidR="00DB45E4">
        <w:rPr>
          <w:rFonts w:hint="cs"/>
          <w:rtl/>
        </w:rPr>
        <w:t>ُ</w:t>
      </w:r>
      <w:r w:rsidRPr="006E1D93">
        <w:rPr>
          <w:rtl/>
        </w:rPr>
        <w:t xml:space="preserve">ظهر </w:t>
      </w:r>
      <w:r w:rsidRPr="006E1D93">
        <w:rPr>
          <w:rFonts w:hint="cs"/>
          <w:rtl/>
        </w:rPr>
        <w:t xml:space="preserve">الجداول </w:t>
      </w:r>
      <w:r w:rsidRPr="006E1D93">
        <w:rPr>
          <w:rtl/>
        </w:rPr>
        <w:t xml:space="preserve">الدول التي لم </w:t>
      </w:r>
      <w:r w:rsidRPr="006E1D93">
        <w:rPr>
          <w:rFonts w:hint="cs"/>
          <w:rtl/>
        </w:rPr>
        <w:t>تحدد</w:t>
      </w:r>
      <w:r w:rsidRPr="006E1D93">
        <w:rPr>
          <w:rtl/>
        </w:rPr>
        <w:t xml:space="preserve"> كدولة إقامة </w:t>
      </w:r>
      <w:r w:rsidRPr="006E1D93">
        <w:rPr>
          <w:rFonts w:hint="cs"/>
          <w:rtl/>
        </w:rPr>
        <w:t>للمودع</w:t>
      </w:r>
      <w:r w:rsidRPr="006E1D93">
        <w:rPr>
          <w:rtl/>
        </w:rPr>
        <w:t xml:space="preserve"> الأول على أي طلب </w:t>
      </w:r>
      <w:r w:rsidRPr="006E1D93">
        <w:rPr>
          <w:rFonts w:hint="cs"/>
          <w:rtl/>
        </w:rPr>
        <w:t>أ</w:t>
      </w:r>
      <w:r w:rsidRPr="006E1D93">
        <w:rPr>
          <w:rtl/>
        </w:rPr>
        <w:t xml:space="preserve">ودع خلال الفترة </w:t>
      </w:r>
      <w:r w:rsidRPr="006E1D93">
        <w:rPr>
          <w:rFonts w:hint="cs"/>
          <w:rtl/>
        </w:rPr>
        <w:t xml:space="preserve">المذكورة </w:t>
      </w:r>
      <w:r w:rsidRPr="006E1D93">
        <w:rPr>
          <w:rtl/>
        </w:rPr>
        <w:t>(بما في ذلك ناورو وبالاو وسورينام).</w:t>
      </w:r>
    </w:p>
    <w:p w:rsidR="000F6EAB" w:rsidRDefault="000F6EAB" w:rsidP="0048665F">
      <w:pPr>
        <w:pStyle w:val="NumberedParaAR"/>
        <w:rPr>
          <w:rtl/>
        </w:rPr>
      </w:pPr>
      <w:r>
        <w:rPr>
          <w:rFonts w:hint="cs"/>
          <w:rtl/>
        </w:rPr>
        <w:t>وق</w:t>
      </w:r>
      <w:r w:rsidR="00495DCC">
        <w:rPr>
          <w:rFonts w:hint="cs"/>
          <w:rtl/>
        </w:rPr>
        <w:t>ُ</w:t>
      </w:r>
      <w:r>
        <w:rPr>
          <w:rFonts w:hint="cs"/>
          <w:rtl/>
        </w:rPr>
        <w:t xml:space="preserve">دمت هذه المعلومات، مقارنة مع البيانات الواردة في الوثيقة </w:t>
      </w:r>
      <w:r w:rsidRPr="00847011">
        <w:t>PCT/WG/10/20</w:t>
      </w:r>
      <w:r w:rsidRPr="00847011">
        <w:rPr>
          <w:rFonts w:hint="cs"/>
          <w:rtl/>
        </w:rPr>
        <w:t xml:space="preserve">، </w:t>
      </w:r>
      <w:r>
        <w:rPr>
          <w:rFonts w:hint="cs"/>
          <w:rtl/>
        </w:rPr>
        <w:t>بمزيد من التفصيل بالإضافة إلى تغطية نطاق زمني أكبر</w:t>
      </w:r>
      <w:r>
        <w:rPr>
          <w:rFonts w:hint="cs"/>
        </w:rPr>
        <w:t>.</w:t>
      </w:r>
    </w:p>
    <w:p w:rsidR="00FE0D9E" w:rsidRDefault="00B50B5A" w:rsidP="0048665F">
      <w:pPr>
        <w:pStyle w:val="NumberedParaAR"/>
        <w:rPr>
          <w:rtl/>
        </w:rPr>
      </w:pPr>
      <w:r w:rsidRPr="006E1D93">
        <w:rPr>
          <w:rtl/>
        </w:rPr>
        <w:t>وتبين الجداول ب</w:t>
      </w:r>
      <w:r w:rsidRPr="006E1D93">
        <w:rPr>
          <w:rFonts w:hint="cs"/>
          <w:rtl/>
        </w:rPr>
        <w:t xml:space="preserve">حسب </w:t>
      </w:r>
      <w:r>
        <w:rPr>
          <w:rtl/>
        </w:rPr>
        <w:t>كل دولة وكل</w:t>
      </w:r>
      <w:r w:rsidR="00FA59DF">
        <w:rPr>
          <w:rFonts w:hint="cs"/>
          <w:rtl/>
        </w:rPr>
        <w:t xml:space="preserve"> فترة من</w:t>
      </w:r>
      <w:r>
        <w:rPr>
          <w:rtl/>
        </w:rPr>
        <w:t xml:space="preserve"> </w:t>
      </w:r>
      <w:r>
        <w:rPr>
          <w:rFonts w:hint="cs"/>
          <w:rtl/>
        </w:rPr>
        <w:t>فترتي</w:t>
      </w:r>
      <w:r w:rsidR="00454E9F">
        <w:rPr>
          <w:rFonts w:hint="cs"/>
          <w:rtl/>
        </w:rPr>
        <w:t xml:space="preserve"> </w:t>
      </w:r>
      <w:r w:rsidR="0048665F">
        <w:rPr>
          <w:rFonts w:hint="cs"/>
          <w:rtl/>
        </w:rPr>
        <w:t>الاثني عشر</w:t>
      </w:r>
      <w:r w:rsidR="00847011">
        <w:rPr>
          <w:rFonts w:hint="cs"/>
          <w:rtl/>
        </w:rPr>
        <w:t xml:space="preserve"> شهراً</w:t>
      </w:r>
      <w:r w:rsidR="00FE0D9E">
        <w:rPr>
          <w:rFonts w:hint="cs"/>
          <w:rtl/>
        </w:rPr>
        <w:t xml:space="preserve"> </w:t>
      </w:r>
      <w:r w:rsidR="00454E9F">
        <w:rPr>
          <w:rFonts w:hint="cs"/>
          <w:rtl/>
        </w:rPr>
        <w:t xml:space="preserve">اللتين </w:t>
      </w:r>
      <w:r w:rsidR="007A3289">
        <w:rPr>
          <w:rFonts w:hint="cs"/>
          <w:rtl/>
        </w:rPr>
        <w:t>سبقت</w:t>
      </w:r>
      <w:r w:rsidR="004E1705">
        <w:rPr>
          <w:rFonts w:hint="cs"/>
          <w:rtl/>
        </w:rPr>
        <w:t>ا</w:t>
      </w:r>
      <w:r w:rsidR="00FA59DF">
        <w:rPr>
          <w:rFonts w:hint="cs"/>
          <w:rtl/>
        </w:rPr>
        <w:t xml:space="preserve"> التغيير وكل فترة من فترتي</w:t>
      </w:r>
      <w:r w:rsidR="00454E9F">
        <w:rPr>
          <w:rFonts w:hint="cs"/>
          <w:rtl/>
        </w:rPr>
        <w:t xml:space="preserve"> </w:t>
      </w:r>
      <w:r w:rsidR="0048665F">
        <w:rPr>
          <w:rFonts w:hint="cs"/>
          <w:rtl/>
        </w:rPr>
        <w:t>الاثني عشر شهراً</w:t>
      </w:r>
      <w:r w:rsidR="00FA59DF">
        <w:rPr>
          <w:rFonts w:hint="cs"/>
          <w:rtl/>
        </w:rPr>
        <w:t xml:space="preserve"> </w:t>
      </w:r>
      <w:r w:rsidR="00454E9F">
        <w:rPr>
          <w:rFonts w:hint="cs"/>
          <w:rtl/>
        </w:rPr>
        <w:t xml:space="preserve">اللتين </w:t>
      </w:r>
      <w:r w:rsidR="00FA59DF">
        <w:rPr>
          <w:rFonts w:hint="cs"/>
          <w:rtl/>
        </w:rPr>
        <w:t>تلت</w:t>
      </w:r>
      <w:r w:rsidR="004E1705">
        <w:rPr>
          <w:rFonts w:hint="cs"/>
          <w:rtl/>
        </w:rPr>
        <w:t>ا</w:t>
      </w:r>
      <w:r w:rsidR="00FA59DF">
        <w:rPr>
          <w:rFonts w:hint="cs"/>
          <w:rtl/>
        </w:rPr>
        <w:t xml:space="preserve"> التغيير</w:t>
      </w:r>
      <w:r w:rsidR="00FE0D9E">
        <w:rPr>
          <w:rFonts w:hint="cs"/>
          <w:rtl/>
        </w:rPr>
        <w:t>:</w:t>
      </w:r>
    </w:p>
    <w:p w:rsidR="00786507" w:rsidRPr="0068089F" w:rsidRDefault="00786507" w:rsidP="0048665F">
      <w:pPr>
        <w:pStyle w:val="ListParagraph"/>
        <w:numPr>
          <w:ilvl w:val="0"/>
          <w:numId w:val="32"/>
        </w:numPr>
        <w:bidi/>
        <w:spacing w:after="240" w:line="276" w:lineRule="auto"/>
        <w:ind w:left="1133" w:hanging="567"/>
        <w:rPr>
          <w:rFonts w:ascii="Arabic Typesetting" w:hAnsi="Arabic Typesetting" w:cs="Arabic Typesetting"/>
          <w:sz w:val="36"/>
          <w:szCs w:val="36"/>
          <w:rtl/>
        </w:rPr>
      </w:pPr>
      <w:r w:rsidRPr="0068089F">
        <w:rPr>
          <w:rFonts w:ascii="Arabic Typesetting" w:hAnsi="Arabic Typesetting" w:cs="Arabic Typesetting"/>
          <w:sz w:val="36"/>
          <w:szCs w:val="36"/>
          <w:rtl/>
        </w:rPr>
        <w:t xml:space="preserve">العدد الإجمالي للطلبات </w:t>
      </w:r>
      <w:r w:rsidRPr="0068089F">
        <w:rPr>
          <w:rFonts w:ascii="Arabic Typesetting" w:hAnsi="Arabic Typesetting" w:cs="Arabic Typesetting" w:hint="cs"/>
          <w:sz w:val="36"/>
          <w:szCs w:val="36"/>
          <w:rtl/>
        </w:rPr>
        <w:t xml:space="preserve">التي تشمل مودعاً </w:t>
      </w:r>
      <w:r w:rsidRPr="0068089F">
        <w:rPr>
          <w:rFonts w:ascii="Arabic Typesetting" w:hAnsi="Arabic Typesetting" w:cs="Arabic Typesetting"/>
          <w:sz w:val="36"/>
          <w:szCs w:val="36"/>
          <w:rtl/>
        </w:rPr>
        <w:t>أول</w:t>
      </w:r>
      <w:r w:rsidRPr="0068089F">
        <w:rPr>
          <w:rFonts w:ascii="Arabic Typesetting" w:hAnsi="Arabic Typesetting" w:cs="Arabic Typesetting" w:hint="cs"/>
          <w:sz w:val="36"/>
          <w:szCs w:val="36"/>
          <w:rtl/>
        </w:rPr>
        <w:t>ا</w:t>
      </w:r>
      <w:r w:rsidRPr="0068089F">
        <w:rPr>
          <w:rFonts w:ascii="Arabic Typesetting" w:hAnsi="Arabic Typesetting" w:cs="Arabic Typesetting"/>
          <w:sz w:val="36"/>
          <w:szCs w:val="36"/>
          <w:rtl/>
        </w:rPr>
        <w:t xml:space="preserve"> </w:t>
      </w:r>
      <w:r w:rsidRPr="0068089F">
        <w:rPr>
          <w:rFonts w:ascii="Arabic Typesetting" w:hAnsi="Arabic Typesetting" w:cs="Arabic Typesetting" w:hint="cs"/>
          <w:sz w:val="36"/>
          <w:szCs w:val="36"/>
          <w:rtl/>
        </w:rPr>
        <w:t>ي</w:t>
      </w:r>
      <w:r w:rsidRPr="0068089F">
        <w:rPr>
          <w:rFonts w:ascii="Arabic Typesetting" w:hAnsi="Arabic Typesetting" w:cs="Arabic Typesetting"/>
          <w:sz w:val="36"/>
          <w:szCs w:val="36"/>
          <w:rtl/>
        </w:rPr>
        <w:t>قيم في تلك الدولة؛</w:t>
      </w:r>
    </w:p>
    <w:p w:rsidR="00786507" w:rsidRPr="0068089F" w:rsidRDefault="00786507" w:rsidP="0048665F">
      <w:pPr>
        <w:pStyle w:val="ListParagraph"/>
        <w:numPr>
          <w:ilvl w:val="0"/>
          <w:numId w:val="32"/>
        </w:numPr>
        <w:bidi/>
        <w:spacing w:after="240" w:line="276" w:lineRule="auto"/>
        <w:ind w:left="566" w:firstLine="0"/>
        <w:rPr>
          <w:rFonts w:ascii="Arabic Typesetting" w:hAnsi="Arabic Typesetting" w:cs="Arabic Typesetting"/>
          <w:sz w:val="36"/>
          <w:szCs w:val="36"/>
          <w:rtl/>
        </w:rPr>
      </w:pPr>
      <w:r w:rsidRPr="004113AB">
        <w:rPr>
          <w:rFonts w:ascii="Arabic Typesetting" w:eastAsia="Times New Roman" w:hAnsi="Arabic Typesetting" w:cs="Arabic Typesetting" w:hint="cs"/>
          <w:sz w:val="36"/>
          <w:szCs w:val="36"/>
          <w:rtl/>
        </w:rPr>
        <w:t>و</w:t>
      </w:r>
      <w:r w:rsidRPr="004113AB">
        <w:rPr>
          <w:rFonts w:ascii="Arabic Typesetting" w:eastAsia="Times New Roman" w:hAnsi="Arabic Typesetting" w:cs="Arabic Typesetting"/>
          <w:sz w:val="36"/>
          <w:szCs w:val="36"/>
          <w:rtl/>
        </w:rPr>
        <w:t xml:space="preserve">عدد </w:t>
      </w:r>
      <w:r w:rsidRPr="0068089F">
        <w:rPr>
          <w:rFonts w:ascii="Arabic Typesetting" w:hAnsi="Arabic Typesetting" w:cs="Arabic Typesetting"/>
          <w:sz w:val="36"/>
          <w:szCs w:val="36"/>
          <w:rtl/>
        </w:rPr>
        <w:t xml:space="preserve">الطلبات التي </w:t>
      </w:r>
      <w:r w:rsidRPr="0068089F">
        <w:rPr>
          <w:rFonts w:ascii="Arabic Typesetting" w:hAnsi="Arabic Typesetting" w:cs="Arabic Typesetting" w:hint="cs"/>
          <w:sz w:val="36"/>
          <w:szCs w:val="36"/>
          <w:rtl/>
        </w:rPr>
        <w:t xml:space="preserve">تشمل </w:t>
      </w:r>
      <w:r w:rsidRPr="0068089F">
        <w:rPr>
          <w:rFonts w:ascii="Arabic Typesetting" w:hAnsi="Arabic Typesetting" w:cs="Arabic Typesetting"/>
          <w:sz w:val="36"/>
          <w:szCs w:val="36"/>
          <w:rtl/>
        </w:rPr>
        <w:t>م</w:t>
      </w:r>
      <w:r w:rsidRPr="0068089F">
        <w:rPr>
          <w:rFonts w:ascii="Arabic Typesetting" w:hAnsi="Arabic Typesetting" w:cs="Arabic Typesetting" w:hint="cs"/>
          <w:sz w:val="36"/>
          <w:szCs w:val="36"/>
          <w:rtl/>
        </w:rPr>
        <w:t>ودع</w:t>
      </w:r>
      <w:r w:rsidRPr="0068089F">
        <w:rPr>
          <w:rFonts w:ascii="Arabic Typesetting" w:hAnsi="Arabic Typesetting" w:cs="Arabic Typesetting"/>
          <w:sz w:val="36"/>
          <w:szCs w:val="36"/>
          <w:rtl/>
        </w:rPr>
        <w:t xml:space="preserve">ين </w:t>
      </w:r>
      <w:r w:rsidRPr="0068089F">
        <w:rPr>
          <w:rFonts w:ascii="Arabic Typesetting" w:hAnsi="Arabic Typesetting" w:cs="Arabic Typesetting" w:hint="cs"/>
          <w:sz w:val="36"/>
          <w:szCs w:val="36"/>
          <w:rtl/>
        </w:rPr>
        <w:t xml:space="preserve">جميعهم </w:t>
      </w:r>
      <w:r w:rsidRPr="0068089F">
        <w:rPr>
          <w:rFonts w:ascii="Arabic Typesetting" w:hAnsi="Arabic Typesetting" w:cs="Arabic Typesetting"/>
          <w:sz w:val="36"/>
          <w:szCs w:val="36"/>
          <w:rtl/>
        </w:rPr>
        <w:t>أشخاص طبيعي</w:t>
      </w:r>
      <w:r w:rsidRPr="0068089F">
        <w:rPr>
          <w:rFonts w:ascii="Arabic Typesetting" w:hAnsi="Arabic Typesetting" w:cs="Arabic Typesetting" w:hint="cs"/>
          <w:sz w:val="36"/>
          <w:szCs w:val="36"/>
          <w:rtl/>
        </w:rPr>
        <w:t>و</w:t>
      </w:r>
      <w:r w:rsidRPr="0068089F">
        <w:rPr>
          <w:rFonts w:ascii="Arabic Typesetting" w:hAnsi="Arabic Typesetting" w:cs="Arabic Typesetting"/>
          <w:sz w:val="36"/>
          <w:szCs w:val="36"/>
          <w:rtl/>
        </w:rPr>
        <w:t>ن</w:t>
      </w:r>
      <w:r w:rsidRPr="0068089F">
        <w:rPr>
          <w:rFonts w:ascii="Arabic Typesetting" w:hAnsi="Arabic Typesetting" w:cs="Arabic Typesetting" w:hint="cs"/>
          <w:sz w:val="36"/>
          <w:szCs w:val="36"/>
          <w:rtl/>
        </w:rPr>
        <w:t>،</w:t>
      </w:r>
      <w:r w:rsidRPr="0068089F">
        <w:rPr>
          <w:rFonts w:ascii="Arabic Typesetting" w:hAnsi="Arabic Typesetting" w:cs="Arabic Typesetting"/>
          <w:sz w:val="36"/>
          <w:szCs w:val="36"/>
          <w:rtl/>
        </w:rPr>
        <w:t xml:space="preserve"> والنسبة المئوية للمجموع الذي </w:t>
      </w:r>
      <w:r w:rsidRPr="0068089F">
        <w:rPr>
          <w:rFonts w:ascii="Arabic Typesetting" w:hAnsi="Arabic Typesetting" w:cs="Arabic Typesetting" w:hint="cs"/>
          <w:sz w:val="36"/>
          <w:szCs w:val="36"/>
          <w:rtl/>
        </w:rPr>
        <w:t>ت</w:t>
      </w:r>
      <w:r w:rsidRPr="0068089F">
        <w:rPr>
          <w:rFonts w:ascii="Arabic Typesetting" w:hAnsi="Arabic Typesetting" w:cs="Arabic Typesetting"/>
          <w:sz w:val="36"/>
          <w:szCs w:val="36"/>
          <w:rtl/>
        </w:rPr>
        <w:t>مثله</w:t>
      </w:r>
      <w:r w:rsidRPr="0068089F">
        <w:rPr>
          <w:rFonts w:ascii="Arabic Typesetting" w:hAnsi="Arabic Typesetting" w:cs="Arabic Typesetting" w:hint="cs"/>
          <w:sz w:val="36"/>
          <w:szCs w:val="36"/>
          <w:rtl/>
        </w:rPr>
        <w:t xml:space="preserve"> هذه</w:t>
      </w:r>
      <w:r w:rsidRPr="0068089F">
        <w:rPr>
          <w:rFonts w:ascii="Arabic Typesetting" w:hAnsi="Arabic Typesetting" w:cs="Arabic Typesetting" w:hint="eastAsia"/>
          <w:sz w:val="36"/>
          <w:szCs w:val="36"/>
        </w:rPr>
        <w:t> </w:t>
      </w:r>
      <w:r w:rsidRPr="0068089F">
        <w:rPr>
          <w:rFonts w:ascii="Arabic Typesetting" w:hAnsi="Arabic Typesetting" w:cs="Arabic Typesetting" w:hint="cs"/>
          <w:sz w:val="36"/>
          <w:szCs w:val="36"/>
          <w:rtl/>
        </w:rPr>
        <w:t>الطلبات</w:t>
      </w:r>
      <w:r w:rsidRPr="0068089F">
        <w:rPr>
          <w:rFonts w:ascii="Arabic Typesetting" w:hAnsi="Arabic Typesetting" w:cs="Arabic Typesetting"/>
          <w:sz w:val="36"/>
          <w:szCs w:val="36"/>
          <w:rtl/>
        </w:rPr>
        <w:t>؛</w:t>
      </w:r>
    </w:p>
    <w:p w:rsidR="00786507" w:rsidRPr="0068089F" w:rsidRDefault="00786507" w:rsidP="0048665F">
      <w:pPr>
        <w:pStyle w:val="ListParagraph"/>
        <w:numPr>
          <w:ilvl w:val="0"/>
          <w:numId w:val="32"/>
        </w:numPr>
        <w:bidi/>
        <w:spacing w:after="240" w:line="276" w:lineRule="auto"/>
        <w:ind w:left="566" w:firstLine="0"/>
        <w:rPr>
          <w:rFonts w:ascii="Arabic Typesetting" w:hAnsi="Arabic Typesetting" w:cs="Arabic Typesetting"/>
          <w:sz w:val="36"/>
          <w:szCs w:val="36"/>
          <w:rtl/>
        </w:rPr>
      </w:pPr>
      <w:r w:rsidRPr="0068089F">
        <w:rPr>
          <w:rFonts w:ascii="Arabic Typesetting" w:hAnsi="Arabic Typesetting" w:cs="Arabic Typesetting" w:hint="cs"/>
          <w:sz w:val="36"/>
          <w:szCs w:val="36"/>
          <w:rtl/>
        </w:rPr>
        <w:t>وع</w:t>
      </w:r>
      <w:r w:rsidRPr="0068089F">
        <w:rPr>
          <w:rFonts w:ascii="Arabic Typesetting" w:hAnsi="Arabic Typesetting" w:cs="Arabic Typesetting"/>
          <w:sz w:val="36"/>
          <w:szCs w:val="36"/>
          <w:rtl/>
        </w:rPr>
        <w:t>دد الطلبات الت</w:t>
      </w:r>
      <w:r w:rsidRPr="0068089F">
        <w:rPr>
          <w:rFonts w:ascii="Arabic Typesetting" w:hAnsi="Arabic Typesetting" w:cs="Arabic Typesetting" w:hint="cs"/>
          <w:sz w:val="36"/>
          <w:szCs w:val="36"/>
          <w:rtl/>
        </w:rPr>
        <w:t xml:space="preserve">ي أقام </w:t>
      </w:r>
      <w:r w:rsidRPr="0068089F">
        <w:rPr>
          <w:rFonts w:ascii="Arabic Typesetting" w:hAnsi="Arabic Typesetting" w:cs="Arabic Typesetting"/>
          <w:sz w:val="36"/>
          <w:szCs w:val="36"/>
          <w:rtl/>
        </w:rPr>
        <w:t>م</w:t>
      </w:r>
      <w:r w:rsidRPr="0068089F">
        <w:rPr>
          <w:rFonts w:ascii="Arabic Typesetting" w:hAnsi="Arabic Typesetting" w:cs="Arabic Typesetting" w:hint="cs"/>
          <w:sz w:val="36"/>
          <w:szCs w:val="36"/>
          <w:rtl/>
        </w:rPr>
        <w:t>ودعها</w:t>
      </w:r>
      <w:r w:rsidRPr="0068089F">
        <w:rPr>
          <w:rFonts w:ascii="Arabic Typesetting" w:hAnsi="Arabic Typesetting" w:cs="Arabic Typesetting"/>
          <w:sz w:val="36"/>
          <w:szCs w:val="36"/>
          <w:rtl/>
        </w:rPr>
        <w:t xml:space="preserve"> </w:t>
      </w:r>
      <w:r w:rsidRPr="0068089F">
        <w:rPr>
          <w:rFonts w:ascii="Arabic Typesetting" w:hAnsi="Arabic Typesetting" w:cs="Arabic Typesetting" w:hint="cs"/>
          <w:sz w:val="36"/>
          <w:szCs w:val="36"/>
          <w:rtl/>
        </w:rPr>
        <w:t>ال</w:t>
      </w:r>
      <w:r w:rsidRPr="0068089F">
        <w:rPr>
          <w:rFonts w:ascii="Arabic Typesetting" w:hAnsi="Arabic Typesetting" w:cs="Arabic Typesetting"/>
          <w:sz w:val="36"/>
          <w:szCs w:val="36"/>
          <w:rtl/>
        </w:rPr>
        <w:t>أول في</w:t>
      </w:r>
      <w:r w:rsidRPr="0068089F">
        <w:rPr>
          <w:rFonts w:ascii="Arabic Typesetting" w:hAnsi="Arabic Typesetting" w:cs="Arabic Typesetting" w:hint="cs"/>
          <w:sz w:val="36"/>
          <w:szCs w:val="36"/>
          <w:rtl/>
        </w:rPr>
        <w:t xml:space="preserve"> تلك الدولة وقت تقديمها</w:t>
      </w:r>
      <w:r w:rsidRPr="0068089F">
        <w:rPr>
          <w:rFonts w:ascii="Arabic Typesetting" w:hAnsi="Arabic Typesetting" w:cs="Arabic Typesetting"/>
          <w:sz w:val="36"/>
          <w:szCs w:val="36"/>
          <w:rtl/>
        </w:rPr>
        <w:t>، وم</w:t>
      </w:r>
      <w:r w:rsidRPr="0068089F">
        <w:rPr>
          <w:rFonts w:ascii="Arabic Typesetting" w:hAnsi="Arabic Typesetting" w:cs="Arabic Typesetting" w:hint="cs"/>
          <w:sz w:val="36"/>
          <w:szCs w:val="36"/>
          <w:rtl/>
        </w:rPr>
        <w:t>ُ</w:t>
      </w:r>
      <w:r w:rsidRPr="0068089F">
        <w:rPr>
          <w:rFonts w:ascii="Arabic Typesetting" w:hAnsi="Arabic Typesetting" w:cs="Arabic Typesetting"/>
          <w:sz w:val="36"/>
          <w:szCs w:val="36"/>
          <w:rtl/>
        </w:rPr>
        <w:t>نح تخفيض</w:t>
      </w:r>
      <w:r w:rsidRPr="0068089F">
        <w:rPr>
          <w:rFonts w:ascii="Arabic Typesetting" w:hAnsi="Arabic Typesetting" w:cs="Arabic Typesetting" w:hint="cs"/>
          <w:sz w:val="36"/>
          <w:szCs w:val="36"/>
          <w:rtl/>
        </w:rPr>
        <w:t>اً</w:t>
      </w:r>
      <w:r w:rsidRPr="0068089F">
        <w:rPr>
          <w:rFonts w:ascii="Arabic Typesetting" w:hAnsi="Arabic Typesetting" w:cs="Arabic Typesetting"/>
          <w:sz w:val="36"/>
          <w:szCs w:val="36"/>
          <w:rtl/>
        </w:rPr>
        <w:t xml:space="preserve"> قدره 90 في المائة</w:t>
      </w:r>
      <w:r w:rsidRPr="0068089F">
        <w:rPr>
          <w:rFonts w:ascii="Arabic Typesetting" w:hAnsi="Arabic Typesetting" w:cs="Arabic Typesetting" w:hint="cs"/>
          <w:sz w:val="36"/>
          <w:szCs w:val="36"/>
          <w:rtl/>
        </w:rPr>
        <w:t>،</w:t>
      </w:r>
      <w:r w:rsidRPr="0068089F">
        <w:rPr>
          <w:rFonts w:ascii="Arabic Typesetting" w:hAnsi="Arabic Typesetting" w:cs="Arabic Typesetting"/>
          <w:sz w:val="36"/>
          <w:szCs w:val="36"/>
          <w:rtl/>
        </w:rPr>
        <w:t xml:space="preserve"> و</w:t>
      </w:r>
      <w:r w:rsidRPr="0068089F">
        <w:rPr>
          <w:rFonts w:ascii="Arabic Typesetting" w:hAnsi="Arabic Typesetting" w:cs="Arabic Typesetting" w:hint="cs"/>
          <w:sz w:val="36"/>
          <w:szCs w:val="36"/>
          <w:rtl/>
        </w:rPr>
        <w:t>الن</w:t>
      </w:r>
      <w:r w:rsidRPr="0068089F">
        <w:rPr>
          <w:rFonts w:ascii="Arabic Typesetting" w:hAnsi="Arabic Typesetting" w:cs="Arabic Typesetting"/>
          <w:sz w:val="36"/>
          <w:szCs w:val="36"/>
          <w:rtl/>
        </w:rPr>
        <w:t xml:space="preserve">سبة </w:t>
      </w:r>
      <w:r w:rsidRPr="0068089F">
        <w:rPr>
          <w:rFonts w:ascii="Arabic Typesetting" w:hAnsi="Arabic Typesetting" w:cs="Arabic Typesetting" w:hint="cs"/>
          <w:sz w:val="36"/>
          <w:szCs w:val="36"/>
          <w:rtl/>
        </w:rPr>
        <w:t>ال</w:t>
      </w:r>
      <w:r w:rsidRPr="0068089F">
        <w:rPr>
          <w:rFonts w:ascii="Arabic Typesetting" w:hAnsi="Arabic Typesetting" w:cs="Arabic Typesetting"/>
          <w:sz w:val="36"/>
          <w:szCs w:val="36"/>
          <w:rtl/>
        </w:rPr>
        <w:t xml:space="preserve">مئوية </w:t>
      </w:r>
      <w:r w:rsidRPr="0068089F">
        <w:rPr>
          <w:rFonts w:ascii="Arabic Typesetting" w:hAnsi="Arabic Typesetting" w:cs="Arabic Typesetting" w:hint="cs"/>
          <w:sz w:val="36"/>
          <w:szCs w:val="36"/>
          <w:rtl/>
        </w:rPr>
        <w:t>لل</w:t>
      </w:r>
      <w:r w:rsidRPr="0068089F">
        <w:rPr>
          <w:rFonts w:ascii="Arabic Typesetting" w:hAnsi="Arabic Typesetting" w:cs="Arabic Typesetting"/>
          <w:sz w:val="36"/>
          <w:szCs w:val="36"/>
          <w:rtl/>
        </w:rPr>
        <w:t xml:space="preserve">مجموع الذي </w:t>
      </w:r>
      <w:r w:rsidRPr="0068089F">
        <w:rPr>
          <w:rFonts w:ascii="Arabic Typesetting" w:hAnsi="Arabic Typesetting" w:cs="Arabic Typesetting" w:hint="cs"/>
          <w:sz w:val="36"/>
          <w:szCs w:val="36"/>
          <w:rtl/>
        </w:rPr>
        <w:t>ت</w:t>
      </w:r>
      <w:r w:rsidRPr="0068089F">
        <w:rPr>
          <w:rFonts w:ascii="Arabic Typesetting" w:hAnsi="Arabic Typesetting" w:cs="Arabic Typesetting"/>
          <w:sz w:val="36"/>
          <w:szCs w:val="36"/>
          <w:rtl/>
        </w:rPr>
        <w:t>مثله</w:t>
      </w:r>
      <w:r w:rsidRPr="0068089F">
        <w:rPr>
          <w:rFonts w:ascii="Arabic Typesetting" w:hAnsi="Arabic Typesetting" w:cs="Arabic Typesetting" w:hint="cs"/>
          <w:sz w:val="36"/>
          <w:szCs w:val="36"/>
          <w:rtl/>
        </w:rPr>
        <w:t xml:space="preserve"> هذه الطلبات</w:t>
      </w:r>
      <w:r w:rsidRPr="0068089F">
        <w:rPr>
          <w:rFonts w:ascii="Arabic Typesetting" w:hAnsi="Arabic Typesetting" w:cs="Arabic Typesetting"/>
          <w:sz w:val="36"/>
          <w:szCs w:val="36"/>
          <w:rtl/>
        </w:rPr>
        <w:t>.</w:t>
      </w:r>
    </w:p>
    <w:p w:rsidR="00B42DC5" w:rsidRDefault="00B42DC5" w:rsidP="0048665F">
      <w:pPr>
        <w:pStyle w:val="NumberedParaAR"/>
        <w:rPr>
          <w:rtl/>
          <w:lang w:bidi="ar"/>
        </w:rPr>
      </w:pPr>
      <w:r>
        <w:rPr>
          <w:rFonts w:hint="cs"/>
          <w:rtl/>
        </w:rPr>
        <w:t>وعلاوة</w:t>
      </w:r>
      <w:r>
        <w:rPr>
          <w:rFonts w:hint="cs"/>
          <w:rtl/>
          <w:lang w:bidi="ar"/>
        </w:rPr>
        <w:t xml:space="preserve"> عل</w:t>
      </w:r>
      <w:r w:rsidR="0080223F">
        <w:rPr>
          <w:rFonts w:hint="cs"/>
          <w:rtl/>
        </w:rPr>
        <w:t>ى</w:t>
      </w:r>
      <w:r>
        <w:rPr>
          <w:rFonts w:hint="cs"/>
          <w:rtl/>
          <w:lang w:bidi="ar"/>
        </w:rPr>
        <w:t xml:space="preserve"> ذلك، ت</w:t>
      </w:r>
      <w:r w:rsidR="00786507">
        <w:rPr>
          <w:rFonts w:hint="cs"/>
          <w:rtl/>
          <w:lang w:bidi="ar"/>
        </w:rPr>
        <w:t xml:space="preserve">بين </w:t>
      </w:r>
      <w:r>
        <w:rPr>
          <w:rFonts w:hint="cs"/>
          <w:rtl/>
          <w:lang w:bidi="ar"/>
        </w:rPr>
        <w:t>الجداول ب</w:t>
      </w:r>
      <w:r w:rsidR="00786507">
        <w:rPr>
          <w:rFonts w:hint="cs"/>
          <w:rtl/>
          <w:lang w:bidi="ar"/>
        </w:rPr>
        <w:t xml:space="preserve">حسب </w:t>
      </w:r>
      <w:r>
        <w:rPr>
          <w:rFonts w:hint="cs"/>
          <w:rtl/>
          <w:lang w:bidi="ar"/>
        </w:rPr>
        <w:t>كل دولة:</w:t>
      </w:r>
    </w:p>
    <w:p w:rsidR="00FA69F9" w:rsidRPr="004113AB" w:rsidRDefault="00786507"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t>النسبة المئوية التقريبية للطلبات</w:t>
      </w:r>
      <w:r w:rsidR="00FA69F9" w:rsidRPr="004113AB">
        <w:rPr>
          <w:rFonts w:ascii="Arabic Typesetting" w:eastAsia="Times New Roman" w:hAnsi="Arabic Typesetting" w:cs="Arabic Typesetting" w:hint="cs"/>
          <w:sz w:val="36"/>
          <w:szCs w:val="36"/>
          <w:rtl/>
        </w:rPr>
        <w:t xml:space="preserve"> المطال</w:t>
      </w:r>
      <w:r w:rsidR="00C16A20">
        <w:rPr>
          <w:rFonts w:ascii="Arabic Typesetting" w:eastAsia="Times New Roman" w:hAnsi="Arabic Typesetting" w:cs="Arabic Typesetting" w:hint="cs"/>
          <w:sz w:val="36"/>
          <w:szCs w:val="36"/>
          <w:rtl/>
        </w:rPr>
        <w:t>ِبة بالتخفيض عن فترة</w:t>
      </w:r>
      <w:r w:rsidR="00FA69F9" w:rsidRPr="004113AB">
        <w:rPr>
          <w:rFonts w:ascii="Arabic Typesetting" w:eastAsia="Times New Roman" w:hAnsi="Arabic Typesetting" w:cs="Arabic Typesetting" w:hint="cs"/>
          <w:sz w:val="36"/>
          <w:szCs w:val="36"/>
          <w:rtl/>
        </w:rPr>
        <w:t xml:space="preserve"> 24</w:t>
      </w:r>
      <w:r w:rsidR="00FA69F9" w:rsidRPr="004113AB">
        <w:rPr>
          <w:rFonts w:ascii="Arabic Typesetting" w:eastAsia="Times New Roman" w:hAnsi="Arabic Typesetting" w:cs="Arabic Typesetting"/>
          <w:sz w:val="36"/>
          <w:szCs w:val="36"/>
          <w:rtl/>
        </w:rPr>
        <w:t xml:space="preserve"> </w:t>
      </w:r>
      <w:r w:rsidR="00FA69F9" w:rsidRPr="004113AB">
        <w:rPr>
          <w:rFonts w:ascii="Arabic Typesetting" w:eastAsia="Times New Roman" w:hAnsi="Arabic Typesetting" w:cs="Arabic Typesetting" w:hint="cs"/>
          <w:sz w:val="36"/>
          <w:szCs w:val="36"/>
          <w:rtl/>
        </w:rPr>
        <w:t xml:space="preserve">شهراً </w:t>
      </w:r>
      <w:r w:rsidR="007E549F">
        <w:rPr>
          <w:rFonts w:ascii="Arabic Typesetting" w:eastAsia="Times New Roman" w:hAnsi="Arabic Typesetting" w:cs="Arabic Typesetting" w:hint="cs"/>
          <w:sz w:val="36"/>
          <w:szCs w:val="36"/>
          <w:rtl/>
        </w:rPr>
        <w:t xml:space="preserve">الكاملة </w:t>
      </w:r>
      <w:r w:rsidR="00FA69F9" w:rsidRPr="004113AB">
        <w:rPr>
          <w:rFonts w:ascii="Arabic Typesetting" w:eastAsia="Times New Roman" w:hAnsi="Arabic Typesetting" w:cs="Arabic Typesetting" w:hint="cs"/>
          <w:sz w:val="36"/>
          <w:szCs w:val="36"/>
          <w:rtl/>
        </w:rPr>
        <w:t xml:space="preserve">التي </w:t>
      </w:r>
      <w:r w:rsidR="00FA69F9" w:rsidRPr="004113AB">
        <w:rPr>
          <w:rFonts w:ascii="Arabic Typesetting" w:eastAsia="Times New Roman" w:hAnsi="Arabic Typesetting" w:cs="Arabic Typesetting"/>
          <w:sz w:val="36"/>
          <w:szCs w:val="36"/>
          <w:rtl/>
        </w:rPr>
        <w:t>سبق</w:t>
      </w:r>
      <w:r w:rsidR="00FA69F9" w:rsidRPr="004113AB">
        <w:rPr>
          <w:rFonts w:ascii="Arabic Typesetting" w:eastAsia="Times New Roman" w:hAnsi="Arabic Typesetting" w:cs="Arabic Typesetting" w:hint="cs"/>
          <w:sz w:val="36"/>
          <w:szCs w:val="36"/>
          <w:rtl/>
        </w:rPr>
        <w:t>ت</w:t>
      </w:r>
      <w:r w:rsidR="00FA69F9" w:rsidRPr="004113AB">
        <w:rPr>
          <w:rFonts w:ascii="Arabic Typesetting" w:eastAsia="Times New Roman" w:hAnsi="Arabic Typesetting" w:cs="Arabic Typesetting"/>
          <w:sz w:val="36"/>
          <w:szCs w:val="36"/>
          <w:rtl/>
        </w:rPr>
        <w:t xml:space="preserve"> </w:t>
      </w:r>
      <w:r w:rsidR="00C16A20">
        <w:rPr>
          <w:rFonts w:ascii="Arabic Typesetting" w:eastAsia="Times New Roman" w:hAnsi="Arabic Typesetting" w:cs="Arabic Typesetting" w:hint="cs"/>
          <w:sz w:val="36"/>
          <w:szCs w:val="36"/>
          <w:rtl/>
        </w:rPr>
        <w:t>التغيير وعن فترة</w:t>
      </w:r>
      <w:r w:rsidR="00FA69F9" w:rsidRPr="004113AB">
        <w:rPr>
          <w:rFonts w:ascii="Arabic Typesetting" w:eastAsia="Times New Roman" w:hAnsi="Arabic Typesetting" w:cs="Arabic Typesetting" w:hint="cs"/>
          <w:sz w:val="36"/>
          <w:szCs w:val="36"/>
          <w:rtl/>
        </w:rPr>
        <w:t xml:space="preserve"> 24</w:t>
      </w:r>
      <w:r w:rsidR="004113AB">
        <w:rPr>
          <w:rFonts w:ascii="Arabic Typesetting" w:eastAsia="Times New Roman" w:hAnsi="Arabic Typesetting" w:cs="Arabic Typesetting" w:hint="cs"/>
          <w:sz w:val="36"/>
          <w:szCs w:val="36"/>
          <w:rtl/>
        </w:rPr>
        <w:t xml:space="preserve"> </w:t>
      </w:r>
      <w:r w:rsidR="00FA69F9" w:rsidRPr="004113AB">
        <w:rPr>
          <w:rFonts w:ascii="Arabic Typesetting" w:eastAsia="Times New Roman" w:hAnsi="Arabic Typesetting" w:cs="Arabic Typesetting" w:hint="cs"/>
          <w:sz w:val="36"/>
          <w:szCs w:val="36"/>
          <w:rtl/>
        </w:rPr>
        <w:t xml:space="preserve">شهراً </w:t>
      </w:r>
      <w:r w:rsidR="007E549F">
        <w:rPr>
          <w:rFonts w:ascii="Arabic Typesetting" w:eastAsia="Times New Roman" w:hAnsi="Arabic Typesetting" w:cs="Arabic Typesetting" w:hint="cs"/>
          <w:sz w:val="36"/>
          <w:szCs w:val="36"/>
          <w:rtl/>
        </w:rPr>
        <w:t xml:space="preserve">الكاملة </w:t>
      </w:r>
      <w:r w:rsidR="00FA69F9" w:rsidRPr="004113AB">
        <w:rPr>
          <w:rFonts w:ascii="Arabic Typesetting" w:eastAsia="Times New Roman" w:hAnsi="Arabic Typesetting" w:cs="Arabic Typesetting" w:hint="cs"/>
          <w:sz w:val="36"/>
          <w:szCs w:val="36"/>
          <w:rtl/>
        </w:rPr>
        <w:t>التي تلت</w:t>
      </w:r>
      <w:r w:rsidR="00FA69F9" w:rsidRPr="004113AB">
        <w:rPr>
          <w:rFonts w:ascii="Arabic Typesetting" w:eastAsia="Times New Roman" w:hAnsi="Arabic Typesetting" w:cs="Arabic Typesetting"/>
          <w:sz w:val="36"/>
          <w:szCs w:val="36"/>
          <w:rtl/>
        </w:rPr>
        <w:t xml:space="preserve"> </w:t>
      </w:r>
      <w:r w:rsidR="00FA69F9" w:rsidRPr="004113AB">
        <w:rPr>
          <w:rFonts w:ascii="Arabic Typesetting" w:eastAsia="Times New Roman" w:hAnsi="Arabic Typesetting" w:cs="Arabic Typesetting" w:hint="cs"/>
          <w:sz w:val="36"/>
          <w:szCs w:val="36"/>
          <w:rtl/>
        </w:rPr>
        <w:t xml:space="preserve">التغيير (وكما ورد في الوثيقة </w:t>
      </w:r>
      <w:r w:rsidR="00FA69F9" w:rsidRPr="004113AB">
        <w:rPr>
          <w:rFonts w:ascii="Arabic Typesetting" w:eastAsia="Times New Roman" w:hAnsi="Arabic Typesetting" w:cs="Arabic Typesetting"/>
          <w:sz w:val="36"/>
          <w:szCs w:val="36"/>
        </w:rPr>
        <w:t>PCT/WG/10/20</w:t>
      </w:r>
      <w:r w:rsidR="00FA69F9" w:rsidRPr="004113AB">
        <w:rPr>
          <w:rFonts w:ascii="Arabic Typesetting" w:eastAsia="Times New Roman" w:hAnsi="Arabic Typesetting" w:cs="Arabic Typesetting" w:hint="cs"/>
          <w:sz w:val="36"/>
          <w:szCs w:val="36"/>
          <w:rtl/>
        </w:rPr>
        <w:t xml:space="preserve">، تبقى هذه النسبة </w:t>
      </w:r>
      <w:r w:rsidR="00C16A20">
        <w:rPr>
          <w:rFonts w:ascii="Arabic Typesetting" w:eastAsia="Times New Roman" w:hAnsi="Arabic Typesetting" w:cs="Arabic Typesetting" w:hint="cs"/>
          <w:sz w:val="36"/>
          <w:szCs w:val="36"/>
          <w:rtl/>
        </w:rPr>
        <w:t xml:space="preserve">مجرد </w:t>
      </w:r>
      <w:r w:rsidR="00FA69F9" w:rsidRPr="004113AB">
        <w:rPr>
          <w:rFonts w:ascii="Arabic Typesetting" w:eastAsia="Times New Roman" w:hAnsi="Arabic Typesetting" w:cs="Arabic Typesetting" w:hint="cs"/>
          <w:sz w:val="36"/>
          <w:szCs w:val="36"/>
          <w:rtl/>
        </w:rPr>
        <w:t xml:space="preserve">تقديرات </w:t>
      </w:r>
      <w:r w:rsidR="00FA69F9" w:rsidRPr="004113AB">
        <w:rPr>
          <w:rFonts w:ascii="Arabic Typesetting" w:eastAsia="Times New Roman" w:hAnsi="Arabic Typesetting" w:cs="Arabic Typesetting"/>
          <w:sz w:val="36"/>
          <w:szCs w:val="36"/>
          <w:rtl/>
        </w:rPr>
        <w:t>تقريب</w:t>
      </w:r>
      <w:r w:rsidR="00FA69F9" w:rsidRPr="004113AB">
        <w:rPr>
          <w:rFonts w:ascii="Arabic Typesetting" w:eastAsia="Times New Roman" w:hAnsi="Arabic Typesetting" w:cs="Arabic Typesetting" w:hint="cs"/>
          <w:sz w:val="36"/>
          <w:szCs w:val="36"/>
          <w:rtl/>
        </w:rPr>
        <w:t>ية</w:t>
      </w:r>
      <w:r w:rsidR="00C16A20">
        <w:rPr>
          <w:rFonts w:ascii="Arabic Typesetting" w:eastAsia="Times New Roman" w:hAnsi="Arabic Typesetting" w:cs="Arabic Typesetting" w:hint="cs"/>
          <w:sz w:val="36"/>
          <w:szCs w:val="36"/>
          <w:rtl/>
        </w:rPr>
        <w:t xml:space="preserve"> </w:t>
      </w:r>
      <w:r w:rsidR="007E549F">
        <w:rPr>
          <w:rFonts w:ascii="Arabic Typesetting" w:eastAsia="Times New Roman" w:hAnsi="Arabic Typesetting" w:cs="Arabic Typesetting" w:hint="cs"/>
          <w:sz w:val="36"/>
          <w:szCs w:val="36"/>
          <w:rtl/>
        </w:rPr>
        <w:t xml:space="preserve">للأسباب الواردة </w:t>
      </w:r>
      <w:r w:rsidR="00FA69F9" w:rsidRPr="004113AB">
        <w:rPr>
          <w:rFonts w:ascii="Arabic Typesetting" w:eastAsia="Times New Roman" w:hAnsi="Arabic Typesetting" w:cs="Arabic Typesetting" w:hint="cs"/>
          <w:sz w:val="36"/>
          <w:szCs w:val="36"/>
          <w:rtl/>
        </w:rPr>
        <w:t>في المرفق)؛</w:t>
      </w:r>
    </w:p>
    <w:p w:rsidR="002A4F04" w:rsidRPr="004113AB" w:rsidRDefault="00FA69F9"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t>و</w:t>
      </w:r>
      <w:r w:rsidR="00AC0A31" w:rsidRPr="004113AB">
        <w:rPr>
          <w:rFonts w:ascii="Arabic Typesetting" w:eastAsia="Times New Roman" w:hAnsi="Arabic Typesetting" w:cs="Arabic Typesetting" w:hint="cs"/>
          <w:sz w:val="36"/>
          <w:szCs w:val="36"/>
          <w:rtl/>
        </w:rPr>
        <w:t xml:space="preserve">تغير النسبة المئوية في العدد الإجمالي للطلبات التي </w:t>
      </w:r>
      <w:r w:rsidR="00495DCC" w:rsidRPr="004113AB">
        <w:rPr>
          <w:rFonts w:ascii="Arabic Typesetting" w:eastAsia="Times New Roman" w:hAnsi="Arabic Typesetting" w:cs="Arabic Typesetting" w:hint="cs"/>
          <w:sz w:val="36"/>
          <w:szCs w:val="36"/>
          <w:rtl/>
        </w:rPr>
        <w:t>أودعها مقيمو الدولة</w:t>
      </w:r>
      <w:r w:rsidR="00AC0A31" w:rsidRPr="004113AB">
        <w:rPr>
          <w:rFonts w:ascii="Arabic Typesetting" w:eastAsia="Times New Roman" w:hAnsi="Arabic Typesetting" w:cs="Arabic Typesetting" w:hint="cs"/>
          <w:sz w:val="36"/>
          <w:szCs w:val="36"/>
          <w:rtl/>
        </w:rPr>
        <w:t xml:space="preserve"> والأشخاص الطبيعيون من الدولة </w:t>
      </w:r>
      <w:r w:rsidR="00AC0A31" w:rsidRPr="0068089F">
        <w:rPr>
          <w:rFonts w:ascii="Arabic Typesetting" w:hAnsi="Arabic Typesetting" w:cs="Arabic Typesetting" w:hint="cs"/>
          <w:sz w:val="36"/>
          <w:szCs w:val="36"/>
          <w:rtl/>
        </w:rPr>
        <w:t>المعنية</w:t>
      </w:r>
      <w:r w:rsidR="00AC0A31" w:rsidRPr="004113AB">
        <w:rPr>
          <w:rFonts w:ascii="Arabic Typesetting" w:eastAsia="Times New Roman" w:hAnsi="Arabic Typesetting" w:cs="Arabic Typesetting" w:hint="cs"/>
          <w:sz w:val="36"/>
          <w:szCs w:val="36"/>
          <w:rtl/>
        </w:rPr>
        <w:t xml:space="preserve"> </w:t>
      </w:r>
      <w:r w:rsidR="004113AB">
        <w:rPr>
          <w:rFonts w:ascii="Arabic Typesetting" w:eastAsia="Times New Roman" w:hAnsi="Arabic Typesetting" w:cs="Arabic Typesetting" w:hint="cs"/>
          <w:sz w:val="36"/>
          <w:szCs w:val="36"/>
          <w:rtl/>
        </w:rPr>
        <w:t xml:space="preserve">على </w:t>
      </w:r>
      <w:r w:rsidR="008122A6" w:rsidRPr="004113AB">
        <w:rPr>
          <w:rFonts w:ascii="Arabic Typesetting" w:eastAsia="Times New Roman" w:hAnsi="Arabic Typesetting" w:cs="Arabic Typesetting" w:hint="cs"/>
          <w:sz w:val="36"/>
          <w:szCs w:val="36"/>
          <w:rtl/>
        </w:rPr>
        <w:t>مدى</w:t>
      </w:r>
      <w:r w:rsidR="00C16A20">
        <w:rPr>
          <w:rFonts w:ascii="Arabic Typesetting" w:eastAsia="Times New Roman" w:hAnsi="Arabic Typesetting" w:cs="Arabic Typesetting" w:hint="cs"/>
          <w:sz w:val="36"/>
          <w:szCs w:val="36"/>
          <w:rtl/>
        </w:rPr>
        <w:t xml:space="preserve"> 24 شهراً</w:t>
      </w:r>
      <w:r w:rsidR="00AC0A31" w:rsidRPr="004113AB">
        <w:rPr>
          <w:rFonts w:ascii="Arabic Typesetting" w:eastAsia="Times New Roman" w:hAnsi="Arabic Typesetting" w:cs="Arabic Typesetting" w:hint="cs"/>
          <w:sz w:val="36"/>
          <w:szCs w:val="36"/>
          <w:rtl/>
        </w:rPr>
        <w:t xml:space="preserve"> تلت ال</w:t>
      </w:r>
      <w:r w:rsidR="0048665F">
        <w:rPr>
          <w:rFonts w:ascii="Arabic Typesetting" w:eastAsia="Times New Roman" w:hAnsi="Arabic Typesetting" w:cs="Arabic Typesetting" w:hint="cs"/>
          <w:sz w:val="36"/>
          <w:szCs w:val="36"/>
          <w:rtl/>
        </w:rPr>
        <w:t>تغيير مقارنة مع</w:t>
      </w:r>
      <w:r w:rsidR="00AC0A31" w:rsidRPr="004113AB">
        <w:rPr>
          <w:rFonts w:ascii="Arabic Typesetting" w:eastAsia="Times New Roman" w:hAnsi="Arabic Typesetting" w:cs="Arabic Typesetting" w:hint="cs"/>
          <w:sz w:val="36"/>
          <w:szCs w:val="36"/>
          <w:rtl/>
        </w:rPr>
        <w:t xml:space="preserve"> </w:t>
      </w:r>
      <w:r w:rsidR="0048665F">
        <w:rPr>
          <w:rFonts w:ascii="Arabic Typesetting" w:eastAsia="Times New Roman" w:hAnsi="Arabic Typesetting" w:cs="Arabic Typesetting" w:hint="cs"/>
          <w:sz w:val="36"/>
          <w:szCs w:val="36"/>
          <w:rtl/>
        </w:rPr>
        <w:t xml:space="preserve">الفترة الممتدة على </w:t>
      </w:r>
      <w:r w:rsidR="00AC0A31" w:rsidRPr="004113AB">
        <w:rPr>
          <w:rFonts w:ascii="Arabic Typesetting" w:eastAsia="Times New Roman" w:hAnsi="Arabic Typesetting" w:cs="Arabic Typesetting" w:hint="cs"/>
          <w:sz w:val="36"/>
          <w:szCs w:val="36"/>
          <w:rtl/>
        </w:rPr>
        <w:t xml:space="preserve">24 شهراً التي سبقت </w:t>
      </w:r>
      <w:r w:rsidR="00A214B8">
        <w:rPr>
          <w:rFonts w:ascii="Arabic Typesetting" w:eastAsia="Times New Roman" w:hAnsi="Arabic Typesetting" w:cs="Arabic Typesetting" w:hint="cs"/>
          <w:sz w:val="36"/>
          <w:szCs w:val="36"/>
          <w:rtl/>
        </w:rPr>
        <w:t xml:space="preserve">هذا </w:t>
      </w:r>
      <w:r w:rsidR="00AC0A31" w:rsidRPr="004113AB">
        <w:rPr>
          <w:rFonts w:ascii="Arabic Typesetting" w:eastAsia="Times New Roman" w:hAnsi="Arabic Typesetting" w:cs="Arabic Typesetting" w:hint="cs"/>
          <w:sz w:val="36"/>
          <w:szCs w:val="36"/>
          <w:rtl/>
        </w:rPr>
        <w:t>التغيير.</w:t>
      </w:r>
    </w:p>
    <w:p w:rsidR="002A4F04" w:rsidRPr="006E1D93" w:rsidRDefault="002A4F04" w:rsidP="0048665F">
      <w:pPr>
        <w:pStyle w:val="NumberedParaAR"/>
      </w:pPr>
      <w:r w:rsidRPr="006E1D93">
        <w:rPr>
          <w:rtl/>
        </w:rPr>
        <w:t>وت</w:t>
      </w:r>
      <w:r w:rsidRPr="006E1D93">
        <w:rPr>
          <w:rFonts w:hint="cs"/>
          <w:rtl/>
        </w:rPr>
        <w:t>صنّف</w:t>
      </w:r>
      <w:r w:rsidRPr="006E1D93">
        <w:rPr>
          <w:rtl/>
        </w:rPr>
        <w:t xml:space="preserve"> الجداول الدول </w:t>
      </w:r>
      <w:r w:rsidRPr="006E1D93">
        <w:rPr>
          <w:rFonts w:hint="cs"/>
          <w:rtl/>
        </w:rPr>
        <w:t xml:space="preserve">بحسب </w:t>
      </w:r>
      <w:r w:rsidRPr="006E1D93">
        <w:rPr>
          <w:rtl/>
        </w:rPr>
        <w:t>الترتيب التالي:</w:t>
      </w:r>
    </w:p>
    <w:p w:rsidR="002A4F04" w:rsidRPr="004113AB" w:rsidRDefault="002A4F04"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t>الجدول (أ</w:t>
      </w:r>
      <w:r w:rsidR="0048665F">
        <w:rPr>
          <w:rFonts w:ascii="Arabic Typesetting" w:eastAsia="Times New Roman" w:hAnsi="Arabic Typesetting" w:cs="Arabic Typesetting" w:hint="cs"/>
          <w:sz w:val="36"/>
          <w:szCs w:val="36"/>
          <w:rtl/>
        </w:rPr>
        <w:t>لف</w:t>
      </w:r>
      <w:r w:rsidRPr="004113AB">
        <w:rPr>
          <w:rFonts w:ascii="Arabic Typesetting" w:eastAsia="Times New Roman" w:hAnsi="Arabic Typesetting" w:cs="Arabic Typesetting" w:hint="cs"/>
          <w:sz w:val="36"/>
          <w:szCs w:val="36"/>
          <w:rtl/>
        </w:rPr>
        <w:t>): دول كان لأشخاصها الطبيعيين من مقيمين ومواطنين أهلية الا</w:t>
      </w:r>
      <w:r w:rsidRPr="004113AB">
        <w:rPr>
          <w:rFonts w:ascii="Arabic Typesetting" w:eastAsia="Times New Roman" w:hAnsi="Arabic Typesetting" w:cs="Arabic Typesetting"/>
          <w:sz w:val="36"/>
          <w:szCs w:val="36"/>
          <w:rtl/>
        </w:rPr>
        <w:t>ستف</w:t>
      </w:r>
      <w:r w:rsidRPr="004113AB">
        <w:rPr>
          <w:rFonts w:ascii="Arabic Typesetting" w:eastAsia="Times New Roman" w:hAnsi="Arabic Typesetting" w:cs="Arabic Typesetting" w:hint="cs"/>
          <w:sz w:val="36"/>
          <w:szCs w:val="36"/>
          <w:rtl/>
        </w:rPr>
        <w:t>ا</w:t>
      </w:r>
      <w:r w:rsidRPr="004113AB">
        <w:rPr>
          <w:rFonts w:ascii="Arabic Typesetting" w:eastAsia="Times New Roman" w:hAnsi="Arabic Typesetting" w:cs="Arabic Typesetting"/>
          <w:sz w:val="36"/>
          <w:szCs w:val="36"/>
          <w:rtl/>
        </w:rPr>
        <w:t>د</w:t>
      </w:r>
      <w:r w:rsidRPr="004113AB">
        <w:rPr>
          <w:rFonts w:ascii="Arabic Typesetting" w:eastAsia="Times New Roman" w:hAnsi="Arabic Typesetting" w:cs="Arabic Typesetting" w:hint="cs"/>
          <w:sz w:val="36"/>
          <w:szCs w:val="36"/>
          <w:rtl/>
        </w:rPr>
        <w:t>ة</w:t>
      </w:r>
      <w:r w:rsidRPr="004113AB">
        <w:rPr>
          <w:rFonts w:ascii="Arabic Typesetting" w:eastAsia="Times New Roman" w:hAnsi="Arabic Typesetting" w:cs="Arabic Typesetting"/>
          <w:sz w:val="36"/>
          <w:szCs w:val="36"/>
          <w:rtl/>
        </w:rPr>
        <w:t xml:space="preserve"> من تخفيضا</w:t>
      </w:r>
      <w:r w:rsidRPr="004113AB">
        <w:rPr>
          <w:rFonts w:ascii="Arabic Typesetting" w:eastAsia="Times New Roman" w:hAnsi="Arabic Typesetting" w:cs="Arabic Typesetting" w:hint="cs"/>
          <w:sz w:val="36"/>
          <w:szCs w:val="36"/>
          <w:rtl/>
        </w:rPr>
        <w:t>ت</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الرسوم لغاية</w:t>
      </w:r>
      <w:r w:rsidR="0048665F">
        <w:rPr>
          <w:rFonts w:ascii="Arabic Typesetting" w:eastAsia="Times New Roman" w:hAnsi="Arabic Typesetting" w:cs="Arabic Typesetting" w:hint="eastAsia"/>
          <w:sz w:val="36"/>
          <w:szCs w:val="36"/>
          <w:rtl/>
        </w:rPr>
        <w:t> </w:t>
      </w:r>
      <w:r w:rsidRPr="004113AB">
        <w:rPr>
          <w:rFonts w:ascii="Arabic Typesetting" w:eastAsia="Times New Roman" w:hAnsi="Arabic Typesetting" w:cs="Arabic Typesetting" w:hint="cs"/>
          <w:sz w:val="36"/>
          <w:szCs w:val="36"/>
          <w:rtl/>
        </w:rPr>
        <w:t>30 يونيو</w:t>
      </w:r>
      <w:r w:rsidRPr="004113AB">
        <w:rPr>
          <w:rFonts w:ascii="Arabic Typesetting" w:eastAsia="Times New Roman" w:hAnsi="Arabic Typesetting" w:cs="Arabic Typesetting" w:hint="eastAsia"/>
          <w:sz w:val="36"/>
          <w:szCs w:val="36"/>
        </w:rPr>
        <w:t> </w:t>
      </w:r>
      <w:r w:rsidRPr="004113AB">
        <w:rPr>
          <w:rFonts w:ascii="Arabic Typesetting" w:eastAsia="Times New Roman" w:hAnsi="Arabic Typesetting" w:cs="Arabic Typesetting" w:hint="cs"/>
          <w:sz w:val="36"/>
          <w:szCs w:val="36"/>
          <w:rtl/>
        </w:rPr>
        <w:t xml:space="preserve">2015، </w:t>
      </w:r>
      <w:r w:rsidRPr="004113AB">
        <w:rPr>
          <w:rFonts w:ascii="Arabic Typesetting" w:eastAsia="Times New Roman" w:hAnsi="Arabic Typesetting" w:cs="Arabic Typesetting"/>
          <w:sz w:val="36"/>
          <w:szCs w:val="36"/>
          <w:rtl/>
        </w:rPr>
        <w:t>ولكن ل</w:t>
      </w:r>
      <w:r w:rsidRPr="004113AB">
        <w:rPr>
          <w:rFonts w:ascii="Arabic Typesetting" w:eastAsia="Times New Roman" w:hAnsi="Arabic Typesetting" w:cs="Arabic Typesetting" w:hint="cs"/>
          <w:sz w:val="36"/>
          <w:szCs w:val="36"/>
          <w:rtl/>
        </w:rPr>
        <w:t>م</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 xml:space="preserve">يعودوا </w:t>
      </w:r>
      <w:r w:rsidRPr="004113AB">
        <w:rPr>
          <w:rFonts w:ascii="Arabic Typesetting" w:eastAsia="Times New Roman" w:hAnsi="Arabic Typesetting" w:cs="Arabic Typesetting"/>
          <w:sz w:val="36"/>
          <w:szCs w:val="36"/>
          <w:rtl/>
        </w:rPr>
        <w:t>م</w:t>
      </w:r>
      <w:r w:rsidRPr="004113AB">
        <w:rPr>
          <w:rFonts w:ascii="Arabic Typesetting" w:eastAsia="Times New Roman" w:hAnsi="Arabic Typesetting" w:cs="Arabic Typesetting" w:hint="cs"/>
          <w:sz w:val="36"/>
          <w:szCs w:val="36"/>
          <w:rtl/>
        </w:rPr>
        <w:t>ؤهلين</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بعد ذلك التاريخ؛</w:t>
      </w:r>
    </w:p>
    <w:p w:rsidR="002A4F04" w:rsidRPr="004113AB" w:rsidRDefault="002A4F04"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t>الجدول (ب</w:t>
      </w:r>
      <w:r w:rsidR="0048665F">
        <w:rPr>
          <w:rFonts w:ascii="Arabic Typesetting" w:eastAsia="Times New Roman" w:hAnsi="Arabic Typesetting" w:cs="Arabic Typesetting" w:hint="cs"/>
          <w:sz w:val="36"/>
          <w:szCs w:val="36"/>
          <w:rtl/>
        </w:rPr>
        <w:t>اء</w:t>
      </w:r>
      <w:r w:rsidRPr="004113AB">
        <w:rPr>
          <w:rFonts w:ascii="Arabic Typesetting" w:eastAsia="Times New Roman" w:hAnsi="Arabic Typesetting" w:cs="Arabic Typesetting" w:hint="cs"/>
          <w:sz w:val="36"/>
          <w:szCs w:val="36"/>
          <w:rtl/>
        </w:rPr>
        <w:t xml:space="preserve">): دول لم يكن لأشخاصها الطبيعيين من مقيمين ومواطنين </w:t>
      </w:r>
      <w:r w:rsidR="00F1517F" w:rsidRPr="004113AB">
        <w:rPr>
          <w:rFonts w:ascii="Arabic Typesetting" w:eastAsia="Times New Roman" w:hAnsi="Arabic Typesetting" w:cs="Arabic Typesetting" w:hint="cs"/>
          <w:sz w:val="36"/>
          <w:szCs w:val="36"/>
          <w:rtl/>
        </w:rPr>
        <w:t>أهلية ا</w:t>
      </w:r>
      <w:r w:rsidRPr="004113AB">
        <w:rPr>
          <w:rFonts w:ascii="Arabic Typesetting" w:eastAsia="Times New Roman" w:hAnsi="Arabic Typesetting" w:cs="Arabic Typesetting" w:hint="cs"/>
          <w:sz w:val="36"/>
          <w:szCs w:val="36"/>
          <w:rtl/>
        </w:rPr>
        <w:t>لا</w:t>
      </w:r>
      <w:r w:rsidRPr="004113AB">
        <w:rPr>
          <w:rFonts w:ascii="Arabic Typesetting" w:eastAsia="Times New Roman" w:hAnsi="Arabic Typesetting" w:cs="Arabic Typesetting"/>
          <w:sz w:val="36"/>
          <w:szCs w:val="36"/>
          <w:rtl/>
        </w:rPr>
        <w:t>ستف</w:t>
      </w:r>
      <w:r w:rsidRPr="004113AB">
        <w:rPr>
          <w:rFonts w:ascii="Arabic Typesetting" w:eastAsia="Times New Roman" w:hAnsi="Arabic Typesetting" w:cs="Arabic Typesetting" w:hint="cs"/>
          <w:sz w:val="36"/>
          <w:szCs w:val="36"/>
          <w:rtl/>
        </w:rPr>
        <w:t>ا</w:t>
      </w:r>
      <w:r w:rsidRPr="004113AB">
        <w:rPr>
          <w:rFonts w:ascii="Arabic Typesetting" w:eastAsia="Times New Roman" w:hAnsi="Arabic Typesetting" w:cs="Arabic Typesetting"/>
          <w:sz w:val="36"/>
          <w:szCs w:val="36"/>
          <w:rtl/>
        </w:rPr>
        <w:t>د</w:t>
      </w:r>
      <w:r w:rsidRPr="004113AB">
        <w:rPr>
          <w:rFonts w:ascii="Arabic Typesetting" w:eastAsia="Times New Roman" w:hAnsi="Arabic Typesetting" w:cs="Arabic Typesetting" w:hint="cs"/>
          <w:sz w:val="36"/>
          <w:szCs w:val="36"/>
          <w:rtl/>
        </w:rPr>
        <w:t>ة</w:t>
      </w:r>
      <w:r w:rsidRPr="004113AB">
        <w:rPr>
          <w:rFonts w:ascii="Arabic Typesetting" w:eastAsia="Times New Roman" w:hAnsi="Arabic Typesetting" w:cs="Arabic Typesetting"/>
          <w:sz w:val="36"/>
          <w:szCs w:val="36"/>
          <w:rtl/>
        </w:rPr>
        <w:t xml:space="preserve"> من تخفيضا</w:t>
      </w:r>
      <w:r w:rsidRPr="004113AB">
        <w:rPr>
          <w:rFonts w:ascii="Arabic Typesetting" w:eastAsia="Times New Roman" w:hAnsi="Arabic Typesetting" w:cs="Arabic Typesetting" w:hint="cs"/>
          <w:sz w:val="36"/>
          <w:szCs w:val="36"/>
          <w:rtl/>
        </w:rPr>
        <w:t>ت</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 xml:space="preserve">الرسوم حتى 30 يونيو 2015، </w:t>
      </w:r>
      <w:r w:rsidRPr="004113AB">
        <w:rPr>
          <w:rFonts w:ascii="Arabic Typesetting" w:eastAsia="Times New Roman" w:hAnsi="Arabic Typesetting" w:cs="Arabic Typesetting"/>
          <w:sz w:val="36"/>
          <w:szCs w:val="36"/>
          <w:rtl/>
        </w:rPr>
        <w:t>ولكن</w:t>
      </w:r>
      <w:r w:rsidRPr="004113AB">
        <w:rPr>
          <w:rFonts w:ascii="Arabic Typesetting" w:eastAsia="Times New Roman" w:hAnsi="Arabic Typesetting" w:cs="Arabic Typesetting" w:hint="cs"/>
          <w:sz w:val="36"/>
          <w:szCs w:val="36"/>
          <w:rtl/>
        </w:rPr>
        <w:t xml:space="preserve">هم أصبحوا </w:t>
      </w:r>
      <w:r w:rsidRPr="004113AB">
        <w:rPr>
          <w:rFonts w:ascii="Arabic Typesetting" w:eastAsia="Times New Roman" w:hAnsi="Arabic Typesetting" w:cs="Arabic Typesetting"/>
          <w:sz w:val="36"/>
          <w:szCs w:val="36"/>
          <w:rtl/>
        </w:rPr>
        <w:t>م</w:t>
      </w:r>
      <w:r w:rsidRPr="004113AB">
        <w:rPr>
          <w:rFonts w:ascii="Arabic Typesetting" w:eastAsia="Times New Roman" w:hAnsi="Arabic Typesetting" w:cs="Arabic Typesetting" w:hint="cs"/>
          <w:sz w:val="36"/>
          <w:szCs w:val="36"/>
          <w:rtl/>
        </w:rPr>
        <w:t>ؤهلين</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بعد ذلك التاريخ؛</w:t>
      </w:r>
    </w:p>
    <w:p w:rsidR="002A4F04" w:rsidRPr="004113AB" w:rsidRDefault="002A4F04"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t>الجدول (ج</w:t>
      </w:r>
      <w:r w:rsidR="0048665F">
        <w:rPr>
          <w:rFonts w:ascii="Arabic Typesetting" w:eastAsia="Times New Roman" w:hAnsi="Arabic Typesetting" w:cs="Arabic Typesetting" w:hint="cs"/>
          <w:sz w:val="36"/>
          <w:szCs w:val="36"/>
          <w:rtl/>
        </w:rPr>
        <w:t>يم</w:t>
      </w:r>
      <w:r w:rsidRPr="004113AB">
        <w:rPr>
          <w:rFonts w:ascii="Arabic Typesetting" w:eastAsia="Times New Roman" w:hAnsi="Arabic Typesetting" w:cs="Arabic Typesetting" w:hint="cs"/>
          <w:sz w:val="36"/>
          <w:szCs w:val="36"/>
          <w:rtl/>
        </w:rPr>
        <w:t>): دول كان لأشخاصها الطبيعيين من مقيمين ومواطنين أهلية الا</w:t>
      </w:r>
      <w:r w:rsidRPr="004113AB">
        <w:rPr>
          <w:rFonts w:ascii="Arabic Typesetting" w:eastAsia="Times New Roman" w:hAnsi="Arabic Typesetting" w:cs="Arabic Typesetting"/>
          <w:sz w:val="36"/>
          <w:szCs w:val="36"/>
          <w:rtl/>
        </w:rPr>
        <w:t>ستف</w:t>
      </w:r>
      <w:r w:rsidRPr="004113AB">
        <w:rPr>
          <w:rFonts w:ascii="Arabic Typesetting" w:eastAsia="Times New Roman" w:hAnsi="Arabic Typesetting" w:cs="Arabic Typesetting" w:hint="cs"/>
          <w:sz w:val="36"/>
          <w:szCs w:val="36"/>
          <w:rtl/>
        </w:rPr>
        <w:t>ا</w:t>
      </w:r>
      <w:r w:rsidRPr="004113AB">
        <w:rPr>
          <w:rFonts w:ascii="Arabic Typesetting" w:eastAsia="Times New Roman" w:hAnsi="Arabic Typesetting" w:cs="Arabic Typesetting"/>
          <w:sz w:val="36"/>
          <w:szCs w:val="36"/>
          <w:rtl/>
        </w:rPr>
        <w:t>د</w:t>
      </w:r>
      <w:r w:rsidRPr="004113AB">
        <w:rPr>
          <w:rFonts w:ascii="Arabic Typesetting" w:eastAsia="Times New Roman" w:hAnsi="Arabic Typesetting" w:cs="Arabic Typesetting" w:hint="cs"/>
          <w:sz w:val="36"/>
          <w:szCs w:val="36"/>
          <w:rtl/>
        </w:rPr>
        <w:t>ة</w:t>
      </w:r>
      <w:r w:rsidRPr="004113AB">
        <w:rPr>
          <w:rFonts w:ascii="Arabic Typesetting" w:eastAsia="Times New Roman" w:hAnsi="Arabic Typesetting" w:cs="Arabic Typesetting"/>
          <w:sz w:val="36"/>
          <w:szCs w:val="36"/>
          <w:rtl/>
        </w:rPr>
        <w:t xml:space="preserve"> من تخفيضا</w:t>
      </w:r>
      <w:r w:rsidRPr="004113AB">
        <w:rPr>
          <w:rFonts w:ascii="Arabic Typesetting" w:eastAsia="Times New Roman" w:hAnsi="Arabic Typesetting" w:cs="Arabic Typesetting" w:hint="cs"/>
          <w:sz w:val="36"/>
          <w:szCs w:val="36"/>
          <w:rtl/>
        </w:rPr>
        <w:t>ت</w:t>
      </w:r>
      <w:r w:rsidRPr="004113AB">
        <w:rPr>
          <w:rFonts w:ascii="Arabic Typesetting" w:eastAsia="Times New Roman" w:hAnsi="Arabic Typesetting" w:cs="Arabic Typesetting"/>
          <w:sz w:val="36"/>
          <w:szCs w:val="36"/>
          <w:rtl/>
        </w:rPr>
        <w:t xml:space="preserve"> </w:t>
      </w:r>
      <w:r w:rsidRPr="004113AB">
        <w:rPr>
          <w:rFonts w:ascii="Arabic Typesetting" w:eastAsia="Times New Roman" w:hAnsi="Arabic Typesetting" w:cs="Arabic Typesetting" w:hint="cs"/>
          <w:sz w:val="36"/>
          <w:szCs w:val="36"/>
          <w:rtl/>
        </w:rPr>
        <w:t>الرسوم طوال المدة التي يغطيها التقرير؛</w:t>
      </w:r>
    </w:p>
    <w:p w:rsidR="002A4F04" w:rsidRPr="004113AB" w:rsidRDefault="00AB2059"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tl/>
        </w:rPr>
      </w:pPr>
      <w:r w:rsidRPr="004113AB">
        <w:rPr>
          <w:rFonts w:ascii="Arabic Typesetting" w:eastAsia="Times New Roman" w:hAnsi="Arabic Typesetting" w:cs="Arabic Typesetting" w:hint="cs"/>
          <w:sz w:val="36"/>
          <w:szCs w:val="36"/>
          <w:rtl/>
        </w:rPr>
        <w:lastRenderedPageBreak/>
        <w:t xml:space="preserve">الجدول </w:t>
      </w:r>
      <w:r w:rsidR="002A4F04" w:rsidRPr="004113AB">
        <w:rPr>
          <w:rFonts w:ascii="Arabic Typesetting" w:eastAsia="Times New Roman" w:hAnsi="Arabic Typesetting" w:cs="Arabic Typesetting" w:hint="cs"/>
          <w:sz w:val="36"/>
          <w:szCs w:val="36"/>
          <w:rtl/>
        </w:rPr>
        <w:t>(د</w:t>
      </w:r>
      <w:r w:rsidR="0048665F">
        <w:rPr>
          <w:rFonts w:ascii="Arabic Typesetting" w:eastAsia="Times New Roman" w:hAnsi="Arabic Typesetting" w:cs="Arabic Typesetting" w:hint="cs"/>
          <w:sz w:val="36"/>
          <w:szCs w:val="36"/>
          <w:rtl/>
        </w:rPr>
        <w:t>ال</w:t>
      </w:r>
      <w:r w:rsidR="002A4F04" w:rsidRPr="004113AB">
        <w:rPr>
          <w:rFonts w:ascii="Arabic Typesetting" w:eastAsia="Times New Roman" w:hAnsi="Arabic Typesetting" w:cs="Arabic Typesetting" w:hint="cs"/>
          <w:sz w:val="36"/>
          <w:szCs w:val="36"/>
          <w:rtl/>
        </w:rPr>
        <w:t>)</w:t>
      </w:r>
      <w:r w:rsidRPr="004113AB">
        <w:rPr>
          <w:rFonts w:ascii="Arabic Typesetting" w:eastAsia="Times New Roman" w:hAnsi="Arabic Typesetting" w:cs="Arabic Typesetting" w:hint="cs"/>
          <w:sz w:val="36"/>
          <w:szCs w:val="36"/>
          <w:rtl/>
        </w:rPr>
        <w:t xml:space="preserve">: </w:t>
      </w:r>
      <w:r w:rsidR="002A4F04" w:rsidRPr="004113AB">
        <w:rPr>
          <w:rFonts w:ascii="Arabic Typesetting" w:eastAsia="Times New Roman" w:hAnsi="Arabic Typesetting" w:cs="Arabic Typesetting"/>
          <w:sz w:val="36"/>
          <w:szCs w:val="36"/>
          <w:rtl/>
        </w:rPr>
        <w:t>أقل البلدان نموا</w:t>
      </w:r>
      <w:r w:rsidRPr="004113AB">
        <w:rPr>
          <w:rFonts w:ascii="Arabic Typesetting" w:eastAsia="Times New Roman" w:hAnsi="Arabic Typesetting" w:cs="Arabic Typesetting" w:hint="cs"/>
          <w:sz w:val="36"/>
          <w:szCs w:val="36"/>
          <w:rtl/>
        </w:rPr>
        <w:t>ً</w:t>
      </w:r>
      <w:r w:rsidR="002A4F04" w:rsidRPr="004113AB">
        <w:rPr>
          <w:rFonts w:ascii="Arabic Typesetting" w:eastAsia="Times New Roman" w:hAnsi="Arabic Typesetting" w:cs="Arabic Typesetting"/>
          <w:sz w:val="36"/>
          <w:szCs w:val="36"/>
          <w:rtl/>
        </w:rPr>
        <w:t xml:space="preserve"> التي يحق لمواطنيها والمقيمين فيها </w:t>
      </w:r>
      <w:r w:rsidR="002A4F04" w:rsidRPr="004113AB">
        <w:rPr>
          <w:rFonts w:ascii="Arabic Typesetting" w:eastAsia="Times New Roman" w:hAnsi="Arabic Typesetting" w:cs="Arabic Typesetting" w:hint="cs"/>
          <w:sz w:val="36"/>
          <w:szCs w:val="36"/>
          <w:rtl/>
        </w:rPr>
        <w:t xml:space="preserve">الاستفادة من </w:t>
      </w:r>
      <w:r w:rsidR="002A4F04" w:rsidRPr="004113AB">
        <w:rPr>
          <w:rFonts w:ascii="Arabic Typesetting" w:eastAsia="Times New Roman" w:hAnsi="Arabic Typesetting" w:cs="Arabic Typesetting"/>
          <w:sz w:val="36"/>
          <w:szCs w:val="36"/>
          <w:rtl/>
        </w:rPr>
        <w:t>تخفيض</w:t>
      </w:r>
      <w:r w:rsidR="002A4F04" w:rsidRPr="004113AB">
        <w:rPr>
          <w:rFonts w:ascii="Arabic Typesetting" w:eastAsia="Times New Roman" w:hAnsi="Arabic Typesetting" w:cs="Arabic Typesetting" w:hint="cs"/>
          <w:sz w:val="36"/>
          <w:szCs w:val="36"/>
          <w:rtl/>
        </w:rPr>
        <w:t>ات</w:t>
      </w:r>
      <w:r w:rsidR="002A4F04" w:rsidRPr="004113AB">
        <w:rPr>
          <w:rFonts w:ascii="Arabic Typesetting" w:eastAsia="Times New Roman" w:hAnsi="Arabic Typesetting" w:cs="Arabic Typesetting"/>
          <w:sz w:val="36"/>
          <w:szCs w:val="36"/>
          <w:rtl/>
        </w:rPr>
        <w:t xml:space="preserve"> الرسوم سواء كانوا أشخاصا</w:t>
      </w:r>
      <w:r w:rsidRPr="004113AB">
        <w:rPr>
          <w:rFonts w:ascii="Arabic Typesetting" w:eastAsia="Times New Roman" w:hAnsi="Arabic Typesetting" w:cs="Arabic Typesetting" w:hint="cs"/>
          <w:sz w:val="36"/>
          <w:szCs w:val="36"/>
          <w:rtl/>
        </w:rPr>
        <w:t>ً</w:t>
      </w:r>
      <w:r w:rsidR="002A4F04" w:rsidRPr="004113AB">
        <w:rPr>
          <w:rFonts w:ascii="Arabic Typesetting" w:eastAsia="Times New Roman" w:hAnsi="Arabic Typesetting" w:cs="Arabic Typesetting"/>
          <w:sz w:val="36"/>
          <w:szCs w:val="36"/>
          <w:rtl/>
        </w:rPr>
        <w:t xml:space="preserve"> طبيعيين أم لا؛</w:t>
      </w:r>
    </w:p>
    <w:p w:rsidR="0068089F" w:rsidRDefault="00AB2059" w:rsidP="0048665F">
      <w:pPr>
        <w:pStyle w:val="ListParagraph"/>
        <w:numPr>
          <w:ilvl w:val="0"/>
          <w:numId w:val="32"/>
        </w:numPr>
        <w:bidi/>
        <w:spacing w:after="240" w:line="276" w:lineRule="auto"/>
        <w:ind w:left="566" w:firstLine="0"/>
        <w:rPr>
          <w:rFonts w:ascii="Arabic Typesetting" w:eastAsia="Times New Roman" w:hAnsi="Arabic Typesetting" w:cs="Arabic Typesetting"/>
          <w:sz w:val="36"/>
          <w:szCs w:val="36"/>
        </w:rPr>
      </w:pPr>
      <w:r w:rsidRPr="004113AB">
        <w:rPr>
          <w:rFonts w:ascii="Arabic Typesetting" w:eastAsia="Times New Roman" w:hAnsi="Arabic Typesetting" w:cs="Arabic Typesetting" w:hint="cs"/>
          <w:sz w:val="36"/>
          <w:szCs w:val="36"/>
          <w:rtl/>
        </w:rPr>
        <w:t xml:space="preserve">الجدول </w:t>
      </w:r>
      <w:r w:rsidR="002A4F04" w:rsidRPr="004113AB">
        <w:rPr>
          <w:rFonts w:ascii="Arabic Typesetting" w:eastAsia="Times New Roman" w:hAnsi="Arabic Typesetting" w:cs="Arabic Typesetting" w:hint="cs"/>
          <w:sz w:val="36"/>
          <w:szCs w:val="36"/>
          <w:rtl/>
        </w:rPr>
        <w:t>(ه</w:t>
      </w:r>
      <w:r w:rsidR="0048665F">
        <w:rPr>
          <w:rFonts w:ascii="Arabic Typesetting" w:eastAsia="Times New Roman" w:hAnsi="Arabic Typesetting" w:cs="Arabic Typesetting" w:hint="cs"/>
          <w:sz w:val="36"/>
          <w:szCs w:val="36"/>
          <w:rtl/>
        </w:rPr>
        <w:t>اء</w:t>
      </w:r>
      <w:r w:rsidR="002A4F04" w:rsidRPr="004113AB">
        <w:rPr>
          <w:rFonts w:ascii="Arabic Typesetting" w:eastAsia="Times New Roman" w:hAnsi="Arabic Typesetting" w:cs="Arabic Typesetting" w:hint="cs"/>
          <w:sz w:val="36"/>
          <w:szCs w:val="36"/>
          <w:rtl/>
        </w:rPr>
        <w:t>)</w:t>
      </w:r>
      <w:r w:rsidRPr="004113AB">
        <w:rPr>
          <w:rFonts w:ascii="Arabic Typesetting" w:eastAsia="Times New Roman" w:hAnsi="Arabic Typesetting" w:cs="Arabic Typesetting" w:hint="cs"/>
          <w:sz w:val="36"/>
          <w:szCs w:val="36"/>
          <w:rtl/>
        </w:rPr>
        <w:t xml:space="preserve">: </w:t>
      </w:r>
      <w:r w:rsidR="002A4F04" w:rsidRPr="004113AB">
        <w:rPr>
          <w:rFonts w:ascii="Arabic Typesetting" w:eastAsia="Times New Roman" w:hAnsi="Arabic Typesetting" w:cs="Arabic Typesetting" w:hint="cs"/>
          <w:sz w:val="36"/>
          <w:szCs w:val="36"/>
          <w:rtl/>
        </w:rPr>
        <w:t>دول لم يكن لأشخاصها الطبيعيين من مقيمين ومواطنين أهلية الا</w:t>
      </w:r>
      <w:r w:rsidR="002A4F04" w:rsidRPr="004113AB">
        <w:rPr>
          <w:rFonts w:ascii="Arabic Typesetting" w:eastAsia="Times New Roman" w:hAnsi="Arabic Typesetting" w:cs="Arabic Typesetting"/>
          <w:sz w:val="36"/>
          <w:szCs w:val="36"/>
          <w:rtl/>
        </w:rPr>
        <w:t>ستف</w:t>
      </w:r>
      <w:r w:rsidR="002A4F04" w:rsidRPr="004113AB">
        <w:rPr>
          <w:rFonts w:ascii="Arabic Typesetting" w:eastAsia="Times New Roman" w:hAnsi="Arabic Typesetting" w:cs="Arabic Typesetting" w:hint="cs"/>
          <w:sz w:val="36"/>
          <w:szCs w:val="36"/>
          <w:rtl/>
        </w:rPr>
        <w:t>ا</w:t>
      </w:r>
      <w:r w:rsidR="002A4F04" w:rsidRPr="004113AB">
        <w:rPr>
          <w:rFonts w:ascii="Arabic Typesetting" w:eastAsia="Times New Roman" w:hAnsi="Arabic Typesetting" w:cs="Arabic Typesetting"/>
          <w:sz w:val="36"/>
          <w:szCs w:val="36"/>
          <w:rtl/>
        </w:rPr>
        <w:t>د</w:t>
      </w:r>
      <w:r w:rsidR="002A4F04" w:rsidRPr="004113AB">
        <w:rPr>
          <w:rFonts w:ascii="Arabic Typesetting" w:eastAsia="Times New Roman" w:hAnsi="Arabic Typesetting" w:cs="Arabic Typesetting" w:hint="cs"/>
          <w:sz w:val="36"/>
          <w:szCs w:val="36"/>
          <w:rtl/>
        </w:rPr>
        <w:t>ة</w:t>
      </w:r>
      <w:r w:rsidR="002A4F04" w:rsidRPr="004113AB">
        <w:rPr>
          <w:rFonts w:ascii="Arabic Typesetting" w:eastAsia="Times New Roman" w:hAnsi="Arabic Typesetting" w:cs="Arabic Typesetting"/>
          <w:sz w:val="36"/>
          <w:szCs w:val="36"/>
          <w:rtl/>
        </w:rPr>
        <w:t xml:space="preserve"> من تخفيضا</w:t>
      </w:r>
      <w:r w:rsidR="002A4F04" w:rsidRPr="004113AB">
        <w:rPr>
          <w:rFonts w:ascii="Arabic Typesetting" w:eastAsia="Times New Roman" w:hAnsi="Arabic Typesetting" w:cs="Arabic Typesetting" w:hint="cs"/>
          <w:sz w:val="36"/>
          <w:szCs w:val="36"/>
          <w:rtl/>
        </w:rPr>
        <w:t>ت</w:t>
      </w:r>
      <w:r w:rsidR="002A4F04" w:rsidRPr="004113AB">
        <w:rPr>
          <w:rFonts w:ascii="Arabic Typesetting" w:eastAsia="Times New Roman" w:hAnsi="Arabic Typesetting" w:cs="Arabic Typesetting"/>
          <w:sz w:val="36"/>
          <w:szCs w:val="36"/>
          <w:rtl/>
        </w:rPr>
        <w:t xml:space="preserve"> </w:t>
      </w:r>
      <w:r w:rsidR="002A4F04" w:rsidRPr="004113AB">
        <w:rPr>
          <w:rFonts w:ascii="Arabic Typesetting" w:eastAsia="Times New Roman" w:hAnsi="Arabic Typesetting" w:cs="Arabic Typesetting" w:hint="cs"/>
          <w:sz w:val="36"/>
          <w:szCs w:val="36"/>
          <w:rtl/>
        </w:rPr>
        <w:t>الرسوم طوال المدة التي يغطيها التقرير (أ</w:t>
      </w:r>
      <w:r w:rsidR="002A4F04" w:rsidRPr="004113AB">
        <w:rPr>
          <w:rFonts w:ascii="Arabic Typesetting" w:eastAsia="Times New Roman" w:hAnsi="Arabic Typesetting" w:cs="Arabic Typesetting"/>
          <w:sz w:val="36"/>
          <w:szCs w:val="36"/>
          <w:rtl/>
        </w:rPr>
        <w:t>درج</w:t>
      </w:r>
      <w:r w:rsidR="002A4F04" w:rsidRPr="004113AB">
        <w:rPr>
          <w:rFonts w:ascii="Arabic Typesetting" w:eastAsia="Times New Roman" w:hAnsi="Arabic Typesetting" w:cs="Arabic Typesetting" w:hint="cs"/>
          <w:sz w:val="36"/>
          <w:szCs w:val="36"/>
          <w:rtl/>
        </w:rPr>
        <w:t>ت</w:t>
      </w:r>
      <w:r w:rsidR="002A4F04" w:rsidRPr="004113AB">
        <w:rPr>
          <w:rFonts w:ascii="Arabic Typesetting" w:eastAsia="Times New Roman" w:hAnsi="Arabic Typesetting" w:cs="Arabic Typesetting"/>
          <w:sz w:val="36"/>
          <w:szCs w:val="36"/>
          <w:rtl/>
        </w:rPr>
        <w:t xml:space="preserve"> في الجداول لأغراض المقارنة بين اتجاهات الإيداع ونسبة الطلبات المقدمة من جميع الأشخاص الطبيعيين</w:t>
      </w:r>
      <w:r w:rsidR="002A4F04" w:rsidRPr="004113AB">
        <w:rPr>
          <w:rFonts w:ascii="Arabic Typesetting" w:eastAsia="Times New Roman" w:hAnsi="Arabic Typesetting" w:cs="Arabic Typesetting" w:hint="cs"/>
          <w:sz w:val="36"/>
          <w:szCs w:val="36"/>
          <w:rtl/>
        </w:rPr>
        <w:t>).</w:t>
      </w:r>
    </w:p>
    <w:p w:rsidR="00812AF8" w:rsidRPr="0068089F" w:rsidRDefault="00812AF8" w:rsidP="0068089F">
      <w:pPr>
        <w:pStyle w:val="DecisionParaAR"/>
      </w:pPr>
      <w:r w:rsidRPr="0068089F">
        <w:rPr>
          <w:rtl/>
        </w:rPr>
        <w:t>إن الفريق العامل مدعو إلى الإحاطة علما</w:t>
      </w:r>
      <w:r w:rsidR="004A0A5A" w:rsidRPr="0068089F">
        <w:rPr>
          <w:rFonts w:hint="cs"/>
          <w:rtl/>
        </w:rPr>
        <w:t>ً</w:t>
      </w:r>
      <w:r w:rsidRPr="0068089F">
        <w:rPr>
          <w:rtl/>
        </w:rPr>
        <w:t xml:space="preserve"> بمضمون </w:t>
      </w:r>
      <w:r w:rsidRPr="0068089F">
        <w:rPr>
          <w:rFonts w:hint="cs"/>
          <w:rtl/>
        </w:rPr>
        <w:t>هذا التقرير.</w:t>
      </w:r>
    </w:p>
    <w:p w:rsidR="0008403F" w:rsidRPr="007F012F" w:rsidRDefault="00812AF8" w:rsidP="0068089F">
      <w:pPr>
        <w:pStyle w:val="EndofDocumentAR"/>
        <w:spacing w:before="480"/>
        <w:rPr>
          <w:rtl/>
        </w:rPr>
        <w:sectPr w:rsidR="0008403F" w:rsidRPr="007F012F" w:rsidSect="00EB7752">
          <w:headerReference w:type="default" r:id="rId10"/>
          <w:pgSz w:w="11907" w:h="16840" w:code="9"/>
          <w:pgMar w:top="567" w:right="1418" w:bottom="1418" w:left="1134" w:header="510" w:footer="1021" w:gutter="0"/>
          <w:cols w:space="720"/>
          <w:titlePg/>
          <w:docGrid w:linePitch="299"/>
        </w:sectPr>
      </w:pPr>
      <w:r w:rsidRPr="007F012F">
        <w:rPr>
          <w:rFonts w:ascii="Arial" w:eastAsia="SimSun" w:hAnsi="Arial" w:cs="Arial"/>
          <w:i/>
          <w:sz w:val="22"/>
          <w:szCs w:val="20"/>
          <w:rtl/>
          <w:lang w:eastAsia="zh-CN"/>
        </w:rPr>
        <w:t xml:space="preserve"> </w:t>
      </w:r>
      <w:r w:rsidR="0008403F" w:rsidRPr="007F012F">
        <w:rPr>
          <w:rtl/>
        </w:rPr>
        <w:t>[يلي ذلك المرفق]</w:t>
      </w:r>
    </w:p>
    <w:p w:rsidR="000A2F9A" w:rsidRPr="00ED1559" w:rsidRDefault="003E0BC5" w:rsidP="00156406">
      <w:pPr>
        <w:pStyle w:val="NormalParaAR"/>
        <w:rPr>
          <w:rtl/>
        </w:rPr>
      </w:pPr>
      <w:r>
        <w:rPr>
          <w:rFonts w:hint="cs"/>
          <w:rtl/>
        </w:rPr>
        <w:t>تبين ال</w:t>
      </w:r>
      <w:r w:rsidRPr="006E1D93">
        <w:rPr>
          <w:rtl/>
        </w:rPr>
        <w:t>جداول</w:t>
      </w:r>
      <w:r>
        <w:rPr>
          <w:rFonts w:hint="cs"/>
          <w:rtl/>
        </w:rPr>
        <w:t xml:space="preserve"> التالية </w:t>
      </w:r>
      <w:r w:rsidRPr="006E1D93">
        <w:rPr>
          <w:rtl/>
        </w:rPr>
        <w:t xml:space="preserve">عدد الطلبات المودعة </w:t>
      </w:r>
      <w:r w:rsidRPr="006E1D93">
        <w:rPr>
          <w:rFonts w:hint="cs"/>
          <w:rtl/>
        </w:rPr>
        <w:t>على مدى</w:t>
      </w:r>
      <w:r w:rsidR="00C80518">
        <w:rPr>
          <w:rFonts w:hint="cs"/>
          <w:rtl/>
        </w:rPr>
        <w:t xml:space="preserve"> السنتين اللتين سبقتا </w:t>
      </w:r>
      <w:r w:rsidR="00203898">
        <w:rPr>
          <w:rFonts w:hint="cs"/>
          <w:rtl/>
        </w:rPr>
        <w:t>ال</w:t>
      </w:r>
      <w:r w:rsidRPr="006E1D93">
        <w:rPr>
          <w:rtl/>
        </w:rPr>
        <w:t>تغيير</w:t>
      </w:r>
      <w:r w:rsidR="00203898">
        <w:rPr>
          <w:rFonts w:hint="cs"/>
          <w:rtl/>
        </w:rPr>
        <w:t xml:space="preserve">ات </w:t>
      </w:r>
      <w:r w:rsidR="00495DCC" w:rsidRPr="006E1D93">
        <w:rPr>
          <w:rFonts w:eastAsia="SimSun"/>
          <w:rtl/>
          <w:lang w:eastAsia="zh-CN"/>
        </w:rPr>
        <w:t>على معايير أهلية الاستفادة من تخفيضات الرسوم</w:t>
      </w:r>
      <w:r w:rsidR="00495DCC">
        <w:rPr>
          <w:rFonts w:hint="cs"/>
          <w:rtl/>
        </w:rPr>
        <w:t xml:space="preserve"> </w:t>
      </w:r>
      <w:r w:rsidRPr="006E1D93">
        <w:rPr>
          <w:rFonts w:hint="cs"/>
          <w:rtl/>
        </w:rPr>
        <w:t>وعلى مدى</w:t>
      </w:r>
      <w:r w:rsidR="00203898">
        <w:rPr>
          <w:rFonts w:hint="cs"/>
          <w:rtl/>
        </w:rPr>
        <w:t xml:space="preserve"> السنتين اللتين تلتا التغييرات في معايير الأهلية</w:t>
      </w:r>
      <w:r w:rsidR="004E1705" w:rsidRPr="004E1705">
        <w:rPr>
          <w:rFonts w:hint="cs"/>
          <w:rtl/>
        </w:rPr>
        <w:t xml:space="preserve"> </w:t>
      </w:r>
      <w:r w:rsidR="004E1705">
        <w:rPr>
          <w:rFonts w:hint="cs"/>
          <w:rtl/>
        </w:rPr>
        <w:t>التي بدأ سريانها في 1 يوليو 2015</w:t>
      </w:r>
      <w:r w:rsidR="00B807A0">
        <w:rPr>
          <w:rFonts w:hint="cs"/>
          <w:rtl/>
        </w:rPr>
        <w:t xml:space="preserve">. </w:t>
      </w:r>
      <w:r w:rsidR="00B27D41">
        <w:rPr>
          <w:rFonts w:hint="cs"/>
          <w:rtl/>
        </w:rPr>
        <w:t>وت</w:t>
      </w:r>
      <w:r w:rsidR="001C323A">
        <w:rPr>
          <w:rFonts w:hint="cs"/>
          <w:rtl/>
        </w:rPr>
        <w:t>ُدرج</w:t>
      </w:r>
      <w:r w:rsidR="00B27D41">
        <w:rPr>
          <w:rFonts w:hint="cs"/>
          <w:rtl/>
        </w:rPr>
        <w:t xml:space="preserve"> هذه الجداول </w:t>
      </w:r>
      <w:r w:rsidR="00DD4F0D">
        <w:rPr>
          <w:rFonts w:hint="cs"/>
          <w:rtl/>
        </w:rPr>
        <w:t>عدد</w:t>
      </w:r>
      <w:r w:rsidR="00B27D41">
        <w:rPr>
          <w:rFonts w:hint="cs"/>
          <w:rtl/>
        </w:rPr>
        <w:t xml:space="preserve"> الطلبات الإجمالي، والطلبات المقدمة من الأشخاص الطبيعيين</w:t>
      </w:r>
      <w:r w:rsidR="009E3D95">
        <w:rPr>
          <w:rFonts w:hint="cs"/>
          <w:rtl/>
        </w:rPr>
        <w:t xml:space="preserve"> فقط</w:t>
      </w:r>
      <w:r w:rsidR="00B27D41">
        <w:rPr>
          <w:rFonts w:hint="cs"/>
          <w:rtl/>
        </w:rPr>
        <w:t>، والطلبات المطال</w:t>
      </w:r>
      <w:r w:rsidR="005E61BE">
        <w:rPr>
          <w:rFonts w:hint="cs"/>
          <w:rtl/>
        </w:rPr>
        <w:t>ِ</w:t>
      </w:r>
      <w:r w:rsidR="00B27D41">
        <w:rPr>
          <w:rFonts w:hint="cs"/>
          <w:rtl/>
        </w:rPr>
        <w:t>بة بالاستفادة من تخفيضات الرسوم بنسبة 90 في المائة، على مدى كل فترة</w:t>
      </w:r>
      <w:r w:rsidR="00DD4F0D">
        <w:rPr>
          <w:rFonts w:hint="cs"/>
          <w:rtl/>
        </w:rPr>
        <w:t xml:space="preserve"> على حدة</w:t>
      </w:r>
      <w:r w:rsidR="00B47CDA">
        <w:rPr>
          <w:rFonts w:hint="cs"/>
          <w:rtl/>
        </w:rPr>
        <w:t xml:space="preserve"> من فترتي 12 شهراً</w:t>
      </w:r>
      <w:r w:rsidR="00B27D41">
        <w:rPr>
          <w:rFonts w:hint="cs"/>
          <w:rtl/>
        </w:rPr>
        <w:t xml:space="preserve"> سبقتا التغيير (</w:t>
      </w:r>
      <w:r w:rsidR="00DD4F0D">
        <w:rPr>
          <w:rFonts w:hint="cs"/>
          <w:rtl/>
        </w:rPr>
        <w:t>س</w:t>
      </w:r>
      <w:r w:rsidR="00B27D41">
        <w:rPr>
          <w:rFonts w:hint="cs"/>
          <w:rtl/>
        </w:rPr>
        <w:t>-2 و</w:t>
      </w:r>
      <w:r w:rsidR="00DD4F0D">
        <w:rPr>
          <w:rFonts w:hint="cs"/>
          <w:rtl/>
        </w:rPr>
        <w:t>س</w:t>
      </w:r>
      <w:r w:rsidR="00B27D41">
        <w:rPr>
          <w:rFonts w:hint="cs"/>
          <w:rtl/>
        </w:rPr>
        <w:t>-1) و</w:t>
      </w:r>
      <w:r w:rsidR="00DD4F0D">
        <w:rPr>
          <w:rFonts w:hint="cs"/>
          <w:rtl/>
        </w:rPr>
        <w:t>على مدى كل</w:t>
      </w:r>
      <w:r w:rsidR="00B47CDA">
        <w:rPr>
          <w:rFonts w:hint="cs"/>
          <w:rtl/>
        </w:rPr>
        <w:t xml:space="preserve"> فترة على حدة من فترتي 12 شهراً</w:t>
      </w:r>
      <w:r w:rsidR="00B27D41">
        <w:rPr>
          <w:rFonts w:hint="cs"/>
          <w:rtl/>
        </w:rPr>
        <w:t xml:space="preserve"> تلتا </w:t>
      </w:r>
      <w:r w:rsidR="00B47CDA">
        <w:rPr>
          <w:rFonts w:hint="cs"/>
          <w:rtl/>
        </w:rPr>
        <w:t xml:space="preserve">هذا </w:t>
      </w:r>
      <w:r w:rsidR="00B27D41">
        <w:rPr>
          <w:rFonts w:hint="cs"/>
          <w:rtl/>
        </w:rPr>
        <w:t>التغيير (</w:t>
      </w:r>
      <w:r w:rsidR="00DD4F0D">
        <w:rPr>
          <w:rFonts w:hint="cs"/>
          <w:rtl/>
        </w:rPr>
        <w:t>س</w:t>
      </w:r>
      <w:r w:rsidR="00B27D41">
        <w:rPr>
          <w:rFonts w:hint="cs"/>
          <w:rtl/>
        </w:rPr>
        <w:t>+1 و</w:t>
      </w:r>
      <w:r w:rsidR="00DD4F0D">
        <w:rPr>
          <w:rFonts w:hint="cs"/>
          <w:rtl/>
        </w:rPr>
        <w:t>س</w:t>
      </w:r>
      <w:r w:rsidR="00B27D41">
        <w:rPr>
          <w:rFonts w:hint="cs"/>
          <w:rtl/>
        </w:rPr>
        <w:t xml:space="preserve">+2). </w:t>
      </w:r>
      <w:r w:rsidR="009E3D95" w:rsidRPr="00ED1559">
        <w:rPr>
          <w:rFonts w:hint="cs"/>
          <w:rtl/>
        </w:rPr>
        <w:t>وتظهر</w:t>
      </w:r>
      <w:r w:rsidR="001C323A" w:rsidRPr="00ED1559">
        <w:rPr>
          <w:rFonts w:hint="cs"/>
          <w:rtl/>
        </w:rPr>
        <w:t xml:space="preserve"> </w:t>
      </w:r>
      <w:r w:rsidR="00495DCC" w:rsidRPr="00ED1559">
        <w:rPr>
          <w:rFonts w:hint="cs"/>
          <w:rtl/>
        </w:rPr>
        <w:t>النسبة المئوية للطلبات المقدمة من الدولة التي ت</w:t>
      </w:r>
      <w:r w:rsidR="009E3D95" w:rsidRPr="00ED1559">
        <w:rPr>
          <w:rFonts w:hint="cs"/>
          <w:rtl/>
        </w:rPr>
        <w:t xml:space="preserve">طالب بالاستفادة من التخفيض </w:t>
      </w:r>
      <w:r w:rsidR="00495DCC" w:rsidRPr="00ED1559">
        <w:rPr>
          <w:rFonts w:hint="cs"/>
          <w:rtl/>
        </w:rPr>
        <w:t>كنسبة على مد</w:t>
      </w:r>
      <w:r w:rsidR="009E3D95" w:rsidRPr="00ED1559">
        <w:rPr>
          <w:rFonts w:hint="cs"/>
          <w:rtl/>
        </w:rPr>
        <w:t xml:space="preserve">ى </w:t>
      </w:r>
      <w:r w:rsidR="00495DCC" w:rsidRPr="00ED1559">
        <w:rPr>
          <w:rFonts w:hint="cs"/>
          <w:rtl/>
        </w:rPr>
        <w:t xml:space="preserve">24 </w:t>
      </w:r>
      <w:r w:rsidR="00156406" w:rsidRPr="00ED1559">
        <w:rPr>
          <w:rFonts w:hint="cs"/>
          <w:rtl/>
        </w:rPr>
        <w:t>شهراً</w:t>
      </w:r>
      <w:r w:rsidR="00156406">
        <w:rPr>
          <w:rFonts w:hint="cs"/>
          <w:rtl/>
        </w:rPr>
        <w:t xml:space="preserve"> </w:t>
      </w:r>
      <w:r w:rsidR="00156406" w:rsidRPr="00ED1559">
        <w:rPr>
          <w:rFonts w:hint="cs"/>
          <w:rtl/>
        </w:rPr>
        <w:t>كاملة</w:t>
      </w:r>
      <w:r w:rsidR="009E3D95" w:rsidRPr="00ED1559">
        <w:rPr>
          <w:rFonts w:hint="cs"/>
          <w:rtl/>
        </w:rPr>
        <w:t xml:space="preserve"> سبقت</w:t>
      </w:r>
      <w:r w:rsidR="00495DCC" w:rsidRPr="00ED1559">
        <w:rPr>
          <w:rFonts w:hint="cs"/>
          <w:rtl/>
        </w:rPr>
        <w:t xml:space="preserve"> التغيير</w:t>
      </w:r>
      <w:r w:rsidR="009E3D95" w:rsidRPr="00ED1559">
        <w:rPr>
          <w:rFonts w:hint="cs"/>
          <w:rtl/>
        </w:rPr>
        <w:t xml:space="preserve"> وعلى مدى </w:t>
      </w:r>
      <w:r w:rsidR="00ED1559" w:rsidRPr="00ED1559">
        <w:rPr>
          <w:rFonts w:hint="cs"/>
          <w:rtl/>
        </w:rPr>
        <w:t xml:space="preserve">24 </w:t>
      </w:r>
      <w:r w:rsidR="00156406" w:rsidRPr="00ED1559">
        <w:rPr>
          <w:rFonts w:hint="cs"/>
          <w:rtl/>
        </w:rPr>
        <w:t>شهراً</w:t>
      </w:r>
      <w:r w:rsidR="00156406">
        <w:rPr>
          <w:rFonts w:hint="cs"/>
          <w:rtl/>
        </w:rPr>
        <w:t xml:space="preserve"> </w:t>
      </w:r>
      <w:r w:rsidR="00156406" w:rsidRPr="00ED1559">
        <w:rPr>
          <w:rFonts w:hint="cs"/>
          <w:rtl/>
        </w:rPr>
        <w:t>كاملة</w:t>
      </w:r>
      <w:r w:rsidR="00ED1559" w:rsidRPr="00ED1559">
        <w:rPr>
          <w:rFonts w:hint="cs"/>
          <w:rtl/>
        </w:rPr>
        <w:t xml:space="preserve"> تلت التغيير</w:t>
      </w:r>
      <w:r w:rsidR="009E3D95" w:rsidRPr="00ED1559">
        <w:rPr>
          <w:rFonts w:hint="cs"/>
          <w:rtl/>
        </w:rPr>
        <w:t xml:space="preserve">. </w:t>
      </w:r>
      <w:r w:rsidR="00DD4F0D" w:rsidRPr="00ED1559">
        <w:rPr>
          <w:rFonts w:hint="cs"/>
          <w:rtl/>
        </w:rPr>
        <w:t xml:space="preserve">كما </w:t>
      </w:r>
      <w:r w:rsidR="009E3D95" w:rsidRPr="00ED1559">
        <w:rPr>
          <w:rFonts w:hint="cs"/>
          <w:rtl/>
        </w:rPr>
        <w:t>ت</w:t>
      </w:r>
      <w:r w:rsidR="00DD4F0D" w:rsidRPr="00ED1559">
        <w:rPr>
          <w:rFonts w:hint="cs"/>
          <w:rtl/>
        </w:rPr>
        <w:t>ُ</w:t>
      </w:r>
      <w:r w:rsidR="009E3D95" w:rsidRPr="00ED1559">
        <w:rPr>
          <w:rFonts w:hint="cs"/>
          <w:rtl/>
        </w:rPr>
        <w:t>ظهر</w:t>
      </w:r>
      <w:r w:rsidR="00DD4F0D" w:rsidRPr="00ED1559">
        <w:rPr>
          <w:rFonts w:hint="cs"/>
          <w:rtl/>
        </w:rPr>
        <w:t xml:space="preserve"> </w:t>
      </w:r>
      <w:r w:rsidR="00495DCC" w:rsidRPr="00ED1559">
        <w:rPr>
          <w:rFonts w:hint="cs"/>
          <w:rtl/>
        </w:rPr>
        <w:t>التغيرات في العدد الإجمالي للطلبات الواردة من الدولة</w:t>
      </w:r>
      <w:r w:rsidR="009E3D95" w:rsidRPr="00ED1559">
        <w:rPr>
          <w:rFonts w:hint="cs"/>
          <w:rtl/>
        </w:rPr>
        <w:t xml:space="preserve"> ("</w:t>
      </w:r>
      <w:r w:rsidR="00495DCC" w:rsidRPr="00ED1559">
        <w:rPr>
          <w:rFonts w:hint="cs"/>
          <w:rtl/>
        </w:rPr>
        <w:t>ال</w:t>
      </w:r>
      <w:r w:rsidR="009E0AEA" w:rsidRPr="00ED1559">
        <w:rPr>
          <w:rFonts w:hint="cs"/>
          <w:rtl/>
        </w:rPr>
        <w:t>مجموع</w:t>
      </w:r>
      <w:r w:rsidR="009E3D95" w:rsidRPr="00ED1559">
        <w:rPr>
          <w:rFonts w:hint="cs"/>
          <w:rtl/>
        </w:rPr>
        <w:t xml:space="preserve">") </w:t>
      </w:r>
      <w:r w:rsidR="00495DCC" w:rsidRPr="00ED1559">
        <w:rPr>
          <w:rFonts w:hint="cs"/>
          <w:rtl/>
        </w:rPr>
        <w:t>وفي عدد الطلبات المقدمة من الأشخاص الطبيعيين</w:t>
      </w:r>
      <w:r w:rsidR="009E0AEA" w:rsidRPr="00ED1559">
        <w:rPr>
          <w:rFonts w:hint="cs"/>
          <w:rtl/>
        </w:rPr>
        <w:t xml:space="preserve"> فقط ("</w:t>
      </w:r>
      <w:r w:rsidR="00E56F23" w:rsidRPr="00ED1559">
        <w:rPr>
          <w:rFonts w:hint="cs"/>
          <w:rtl/>
        </w:rPr>
        <w:t>أشخاص طبيعيون</w:t>
      </w:r>
      <w:r w:rsidR="00F1517F" w:rsidRPr="00ED1559">
        <w:rPr>
          <w:rFonts w:hint="cs"/>
          <w:rtl/>
        </w:rPr>
        <w:t>")</w:t>
      </w:r>
      <w:r w:rsidR="00495DCC" w:rsidRPr="00ED1559">
        <w:rPr>
          <w:rFonts w:hint="cs"/>
          <w:rtl/>
        </w:rPr>
        <w:t xml:space="preserve"> </w:t>
      </w:r>
      <w:r w:rsidR="000A2F9A" w:rsidRPr="00ED1559">
        <w:rPr>
          <w:rFonts w:hint="cs"/>
          <w:rtl/>
        </w:rPr>
        <w:t>زيادة</w:t>
      </w:r>
      <w:r w:rsidR="00454E9F" w:rsidRPr="00ED1559">
        <w:rPr>
          <w:rFonts w:hint="cs"/>
          <w:rtl/>
        </w:rPr>
        <w:t>َ</w:t>
      </w:r>
      <w:r w:rsidR="000A2F9A" w:rsidRPr="00ED1559">
        <w:rPr>
          <w:rFonts w:hint="cs"/>
          <w:rtl/>
        </w:rPr>
        <w:t xml:space="preserve"> ا</w:t>
      </w:r>
      <w:r w:rsidR="00495DCC" w:rsidRPr="00ED1559">
        <w:rPr>
          <w:rFonts w:hint="cs"/>
          <w:rtl/>
        </w:rPr>
        <w:t>لنسبة المئوية</w:t>
      </w:r>
      <w:r w:rsidR="000A2F9A" w:rsidRPr="00ED1559">
        <w:rPr>
          <w:rFonts w:hint="cs"/>
          <w:rtl/>
        </w:rPr>
        <w:t xml:space="preserve"> أو انخفاضها على مدى </w:t>
      </w:r>
      <w:r w:rsidR="00495DCC" w:rsidRPr="00ED1559">
        <w:rPr>
          <w:rFonts w:hint="cs"/>
          <w:rtl/>
        </w:rPr>
        <w:t>فترة 24 شهرا</w:t>
      </w:r>
      <w:r w:rsidR="00DD4F0D" w:rsidRPr="00ED1559">
        <w:rPr>
          <w:rFonts w:hint="cs"/>
          <w:rtl/>
        </w:rPr>
        <w:t>ً</w:t>
      </w:r>
      <w:r w:rsidR="00495DCC" w:rsidRPr="00ED1559">
        <w:rPr>
          <w:rFonts w:hint="cs"/>
          <w:rtl/>
        </w:rPr>
        <w:t xml:space="preserve"> ال</w:t>
      </w:r>
      <w:r w:rsidR="000A2F9A" w:rsidRPr="00ED1559">
        <w:rPr>
          <w:rFonts w:hint="cs"/>
          <w:rtl/>
        </w:rPr>
        <w:t xml:space="preserve">أخيرة </w:t>
      </w:r>
      <w:r w:rsidR="00495DCC" w:rsidRPr="00ED1559">
        <w:rPr>
          <w:rFonts w:hint="cs"/>
          <w:rtl/>
        </w:rPr>
        <w:t>مقارنةً بالفترة السابقة</w:t>
      </w:r>
      <w:r w:rsidR="000A2F9A" w:rsidRPr="00ED1559">
        <w:rPr>
          <w:rFonts w:hint="cs"/>
          <w:rtl/>
        </w:rPr>
        <w:t xml:space="preserve">. </w:t>
      </w:r>
    </w:p>
    <w:p w:rsidR="0068089F" w:rsidRDefault="003E0BC5" w:rsidP="00156406">
      <w:pPr>
        <w:pStyle w:val="NormalParaAR"/>
        <w:rPr>
          <w:rtl/>
        </w:rPr>
      </w:pPr>
      <w:r w:rsidRPr="006E1D93">
        <w:rPr>
          <w:rtl/>
        </w:rPr>
        <w:t>ونظرا</w:t>
      </w:r>
      <w:r w:rsidR="00454E9F">
        <w:rPr>
          <w:rFonts w:hint="cs"/>
          <w:rtl/>
        </w:rPr>
        <w:t>ً</w:t>
      </w:r>
      <w:r w:rsidR="00F13CCE">
        <w:rPr>
          <w:rFonts w:hint="cs"/>
          <w:rtl/>
        </w:rPr>
        <w:t xml:space="preserve"> </w:t>
      </w:r>
      <w:r w:rsidR="00F13CCE" w:rsidRPr="00F13CCE">
        <w:rPr>
          <w:rtl/>
        </w:rPr>
        <w:t xml:space="preserve">لقلة البيانات </w:t>
      </w:r>
      <w:r w:rsidRPr="006E1D93">
        <w:rPr>
          <w:rtl/>
        </w:rPr>
        <w:t>المت</w:t>
      </w:r>
      <w:r w:rsidR="00F13CCE">
        <w:rPr>
          <w:rFonts w:hint="cs"/>
          <w:rtl/>
        </w:rPr>
        <w:t>وفرة</w:t>
      </w:r>
      <w:r w:rsidRPr="006E1D93">
        <w:rPr>
          <w:rtl/>
        </w:rPr>
        <w:t>، ف</w:t>
      </w:r>
      <w:r w:rsidRPr="006E1D93">
        <w:rPr>
          <w:rFonts w:hint="cs"/>
          <w:rtl/>
        </w:rPr>
        <w:t>لا</w:t>
      </w:r>
      <w:r w:rsidRPr="006E1D93">
        <w:rPr>
          <w:rtl/>
        </w:rPr>
        <w:t xml:space="preserve"> </w:t>
      </w:r>
      <w:r w:rsidRPr="006E1D93">
        <w:rPr>
          <w:rFonts w:hint="cs"/>
          <w:rtl/>
        </w:rPr>
        <w:t>يمكن مقارنة</w:t>
      </w:r>
      <w:r w:rsidR="000A2F9A">
        <w:rPr>
          <w:rFonts w:hint="cs"/>
          <w:rtl/>
        </w:rPr>
        <w:t xml:space="preserve"> </w:t>
      </w:r>
      <w:r w:rsidR="000A2F9A" w:rsidRPr="006E1D93">
        <w:rPr>
          <w:rtl/>
        </w:rPr>
        <w:t>الأرقام</w:t>
      </w:r>
      <w:r w:rsidR="000A2F9A">
        <w:rPr>
          <w:rFonts w:hint="cs"/>
          <w:rtl/>
        </w:rPr>
        <w:t xml:space="preserve"> المتعلقة بتخفيضات الرسوم مع الأرقام المتعلقة ب</w:t>
      </w:r>
      <w:r w:rsidR="00DD4F0D">
        <w:rPr>
          <w:rFonts w:hint="cs"/>
          <w:rtl/>
        </w:rPr>
        <w:t xml:space="preserve">مجموع </w:t>
      </w:r>
      <w:r w:rsidR="000A2F9A">
        <w:rPr>
          <w:rFonts w:hint="cs"/>
          <w:rtl/>
        </w:rPr>
        <w:t>الطلبات والطلبات المقدمة من الأشخاص الطبيعيين فقط</w:t>
      </w:r>
      <w:r w:rsidR="000A2F9A" w:rsidRPr="006E1D93">
        <w:rPr>
          <w:rtl/>
        </w:rPr>
        <w:t xml:space="preserve"> بدق</w:t>
      </w:r>
      <w:r w:rsidR="000A2F9A" w:rsidRPr="006E1D93">
        <w:rPr>
          <w:rFonts w:hint="cs"/>
          <w:rtl/>
        </w:rPr>
        <w:t>ة</w:t>
      </w:r>
      <w:r w:rsidR="000A2F9A" w:rsidRPr="006E1D93">
        <w:rPr>
          <w:rtl/>
        </w:rPr>
        <w:t xml:space="preserve"> تام</w:t>
      </w:r>
      <w:r w:rsidR="000A2F9A" w:rsidRPr="006E1D93">
        <w:rPr>
          <w:rFonts w:hint="cs"/>
          <w:rtl/>
        </w:rPr>
        <w:t>ة</w:t>
      </w:r>
      <w:r w:rsidR="000A2F9A" w:rsidRPr="006E1D93">
        <w:rPr>
          <w:rtl/>
        </w:rPr>
        <w:t xml:space="preserve">: </w:t>
      </w:r>
      <w:r w:rsidR="000A2F9A" w:rsidRPr="006E1D93">
        <w:rPr>
          <w:rFonts w:hint="cs"/>
          <w:rtl/>
        </w:rPr>
        <w:t xml:space="preserve">إذ </w:t>
      </w:r>
      <w:r w:rsidR="000A2F9A" w:rsidRPr="006E1D93">
        <w:rPr>
          <w:rtl/>
        </w:rPr>
        <w:t>تستند</w:t>
      </w:r>
      <w:r w:rsidR="00D704E5">
        <w:rPr>
          <w:rFonts w:hint="cs"/>
          <w:rtl/>
        </w:rPr>
        <w:t xml:space="preserve"> الأرقام المتعلقة بالطلبات المطال</w:t>
      </w:r>
      <w:r w:rsidR="00A31AAA">
        <w:rPr>
          <w:rFonts w:hint="cs"/>
          <w:rtl/>
        </w:rPr>
        <w:t>ِ</w:t>
      </w:r>
      <w:r w:rsidR="00D704E5">
        <w:rPr>
          <w:rFonts w:hint="cs"/>
          <w:rtl/>
        </w:rPr>
        <w:t xml:space="preserve">بة بتخفيضات الرسوم </w:t>
      </w:r>
      <w:r w:rsidR="00AF6DB6">
        <w:rPr>
          <w:rFonts w:hint="cs"/>
          <w:rtl/>
        </w:rPr>
        <w:t xml:space="preserve">إلى </w:t>
      </w:r>
      <w:r w:rsidR="00D704E5">
        <w:rPr>
          <w:rFonts w:hint="cs"/>
          <w:rtl/>
        </w:rPr>
        <w:t xml:space="preserve">الإقامة المعينة للمودع الأول المذكور </w:t>
      </w:r>
      <w:r w:rsidR="00F21058">
        <w:rPr>
          <w:rFonts w:hint="cs"/>
          <w:rtl/>
        </w:rPr>
        <w:t>عند وقت الإيداع</w:t>
      </w:r>
      <w:r w:rsidR="00D704E5">
        <w:rPr>
          <w:rFonts w:hint="cs"/>
          <w:rtl/>
        </w:rPr>
        <w:t>.</w:t>
      </w:r>
      <w:r w:rsidR="00F21058">
        <w:rPr>
          <w:rFonts w:hint="cs"/>
          <w:rtl/>
        </w:rPr>
        <w:t xml:space="preserve"> وتستند الأرقام </w:t>
      </w:r>
      <w:r w:rsidR="00AF6DB6">
        <w:rPr>
          <w:rFonts w:hint="cs"/>
          <w:rtl/>
        </w:rPr>
        <w:t>المتعلقة ب</w:t>
      </w:r>
      <w:r w:rsidR="00DD4F0D">
        <w:rPr>
          <w:rFonts w:hint="cs"/>
          <w:rtl/>
        </w:rPr>
        <w:t xml:space="preserve">مجموع </w:t>
      </w:r>
      <w:r w:rsidR="00AF6DB6">
        <w:rPr>
          <w:rFonts w:hint="cs"/>
          <w:rtl/>
        </w:rPr>
        <w:t>الطلبات والطلبات المقدمة من الأشخاص الطبيعيين فقط إلى الإقامة المعينة للمودع الأول المذكور حالياً.</w:t>
      </w:r>
      <w:r w:rsidR="00D704E5">
        <w:rPr>
          <w:rFonts w:hint="cs"/>
          <w:rtl/>
        </w:rPr>
        <w:t xml:space="preserve"> وتبعاً </w:t>
      </w:r>
      <w:r w:rsidR="00AF6DB6">
        <w:rPr>
          <w:rFonts w:hint="cs"/>
          <w:rtl/>
        </w:rPr>
        <w:t>لذلك، ي</w:t>
      </w:r>
      <w:r w:rsidR="00F42F5D">
        <w:rPr>
          <w:rFonts w:hint="cs"/>
          <w:rtl/>
        </w:rPr>
        <w:t xml:space="preserve">نبغي </w:t>
      </w:r>
      <w:r w:rsidR="00AF6DB6">
        <w:rPr>
          <w:rFonts w:hint="cs"/>
          <w:rtl/>
        </w:rPr>
        <w:t xml:space="preserve">اعتبار </w:t>
      </w:r>
      <w:r w:rsidR="000A2F9A" w:rsidRPr="006E1D93">
        <w:rPr>
          <w:rtl/>
        </w:rPr>
        <w:t>أعمدة</w:t>
      </w:r>
      <w:r w:rsidR="00AF6DB6">
        <w:rPr>
          <w:rFonts w:hint="cs"/>
          <w:rtl/>
        </w:rPr>
        <w:t xml:space="preserve"> نسبة الطلبات</w:t>
      </w:r>
      <w:r w:rsidR="00AF6DB6">
        <w:t xml:space="preserve"> </w:t>
      </w:r>
      <w:r w:rsidR="00AF6DB6">
        <w:rPr>
          <w:rFonts w:hint="cs"/>
          <w:rtl/>
        </w:rPr>
        <w:t xml:space="preserve">الإجمالية المقدمة من </w:t>
      </w:r>
      <w:r w:rsidR="001C323A">
        <w:rPr>
          <w:rFonts w:hint="cs"/>
          <w:rtl/>
        </w:rPr>
        <w:t xml:space="preserve">مقيمي الدولة المعينة </w:t>
      </w:r>
      <w:r w:rsidR="00F42F5D">
        <w:rPr>
          <w:rFonts w:hint="cs"/>
          <w:rtl/>
        </w:rPr>
        <w:t xml:space="preserve">مجرد </w:t>
      </w:r>
      <w:r w:rsidR="001C323A">
        <w:rPr>
          <w:rFonts w:hint="cs"/>
          <w:rtl/>
        </w:rPr>
        <w:t xml:space="preserve">تقديرات تقريبية وقد تعطي </w:t>
      </w:r>
      <w:r w:rsidR="001C323A" w:rsidRPr="006E1D93">
        <w:rPr>
          <w:rtl/>
        </w:rPr>
        <w:t xml:space="preserve">نتائج </w:t>
      </w:r>
      <w:r w:rsidR="00156406">
        <w:rPr>
          <w:rFonts w:hint="cs"/>
          <w:rtl/>
        </w:rPr>
        <w:t xml:space="preserve">غير طبيعية </w:t>
      </w:r>
      <w:r w:rsidR="00495029">
        <w:rPr>
          <w:rFonts w:hint="cs"/>
          <w:rtl/>
        </w:rPr>
        <w:t xml:space="preserve">في بعض الحالات </w:t>
      </w:r>
      <w:r w:rsidR="001C323A" w:rsidRPr="006E1D93">
        <w:rPr>
          <w:rtl/>
        </w:rPr>
        <w:t xml:space="preserve">(مثلا، </w:t>
      </w:r>
      <w:r w:rsidR="001C323A">
        <w:rPr>
          <w:rFonts w:hint="cs"/>
          <w:rtl/>
        </w:rPr>
        <w:t>يطالب</w:t>
      </w:r>
      <w:r w:rsidR="001C323A" w:rsidRPr="006E1D93">
        <w:rPr>
          <w:rFonts w:hint="cs"/>
          <w:rtl/>
        </w:rPr>
        <w:t xml:space="preserve"> </w:t>
      </w:r>
      <w:r w:rsidR="001C323A" w:rsidRPr="006E1D93">
        <w:rPr>
          <w:rtl/>
        </w:rPr>
        <w:t xml:space="preserve">أكثر من 100 في المائة من الطلبات </w:t>
      </w:r>
      <w:r w:rsidR="001C323A">
        <w:rPr>
          <w:rFonts w:hint="cs"/>
          <w:rtl/>
        </w:rPr>
        <w:t>بالاستفادة من التخفيض</w:t>
      </w:r>
      <w:r w:rsidR="001C323A" w:rsidRPr="006E1D93">
        <w:rPr>
          <w:rtl/>
        </w:rPr>
        <w:t>).</w:t>
      </w:r>
      <w:r w:rsidR="00AF6DB6">
        <w:rPr>
          <w:rFonts w:hint="cs"/>
          <w:rtl/>
        </w:rPr>
        <w:t xml:space="preserve"> </w:t>
      </w:r>
      <w:r w:rsidR="0068089F">
        <w:rPr>
          <w:rtl/>
        </w:rPr>
        <w:br w:type="page"/>
      </w:r>
    </w:p>
    <w:p w:rsidR="0008403F" w:rsidRPr="0068089F" w:rsidRDefault="00812AF8" w:rsidP="00361D3F">
      <w:pPr>
        <w:bidi/>
        <w:spacing w:after="120"/>
        <w:ind w:right="821"/>
        <w:jc w:val="center"/>
        <w:rPr>
          <w:rFonts w:ascii="Arabic Typesetting" w:eastAsia="SimSun" w:hAnsi="Arabic Typesetting" w:cs="Arabic Typesetting"/>
          <w:bCs/>
          <w:sz w:val="36"/>
          <w:szCs w:val="36"/>
          <w:lang w:eastAsia="zh-CN"/>
        </w:rPr>
      </w:pPr>
      <w:r w:rsidRPr="0068089F">
        <w:rPr>
          <w:rFonts w:ascii="Arabic Typesetting" w:eastAsia="SimSun" w:hAnsi="Arabic Typesetting" w:cs="Arabic Typesetting"/>
          <w:bCs/>
          <w:sz w:val="36"/>
          <w:szCs w:val="36"/>
          <w:rtl/>
          <w:lang w:eastAsia="zh-CN"/>
        </w:rPr>
        <w:t>الجدول</w:t>
      </w:r>
      <w:r w:rsidR="00361D3F" w:rsidRPr="0068089F">
        <w:rPr>
          <w:rFonts w:ascii="Arabic Typesetting" w:eastAsia="SimSun" w:hAnsi="Arabic Typesetting" w:cs="Arabic Typesetting"/>
          <w:bCs/>
          <w:sz w:val="36"/>
          <w:szCs w:val="36"/>
          <w:rtl/>
          <w:lang w:eastAsia="zh-CN"/>
        </w:rPr>
        <w:t xml:space="preserve"> (أ</w:t>
      </w:r>
      <w:r w:rsidR="0068089F" w:rsidRPr="0068089F">
        <w:rPr>
          <w:rFonts w:ascii="Arabic Typesetting" w:eastAsia="SimSun" w:hAnsi="Arabic Typesetting" w:cs="Arabic Typesetting"/>
          <w:bCs/>
          <w:sz w:val="36"/>
          <w:szCs w:val="36"/>
          <w:rtl/>
          <w:lang w:eastAsia="zh-CN"/>
        </w:rPr>
        <w:t>لف</w:t>
      </w:r>
      <w:r w:rsidR="00361D3F" w:rsidRPr="0068089F">
        <w:rPr>
          <w:rFonts w:ascii="Arabic Typesetting" w:eastAsia="SimSun" w:hAnsi="Arabic Typesetting" w:cs="Arabic Typesetting"/>
          <w:bCs/>
          <w:sz w:val="36"/>
          <w:szCs w:val="36"/>
          <w:rtl/>
          <w:lang w:eastAsia="zh-CN"/>
        </w:rPr>
        <w:t>)</w:t>
      </w:r>
    </w:p>
    <w:p w:rsidR="00177B27" w:rsidRPr="0068089F" w:rsidRDefault="00177B27" w:rsidP="0068089F">
      <w:pPr>
        <w:bidi/>
        <w:spacing w:after="360"/>
        <w:ind w:right="821"/>
        <w:jc w:val="center"/>
        <w:rPr>
          <w:rFonts w:ascii="Arabic Typesetting" w:hAnsi="Arabic Typesetting" w:cs="Arabic Typesetting"/>
          <w:b/>
        </w:rPr>
      </w:pPr>
      <w:r w:rsidRPr="0068089F">
        <w:rPr>
          <w:rFonts w:ascii="Arabic Typesetting" w:eastAsia="SimSun" w:hAnsi="Arabic Typesetting" w:cs="Arabic Typesetting"/>
          <w:bCs/>
          <w:sz w:val="36"/>
          <w:szCs w:val="36"/>
          <w:rtl/>
          <w:lang w:eastAsia="zh-CN"/>
        </w:rPr>
        <w:t>دول كان لأشخاصها الطبيعيين من مقيمين ومواطنين أهلية الاستفادة من تخفيضات الرسوم لغاية 30 يونيو 2015، ولكن لم يعودوا مؤهلين بعد ذلك التاريخ</w:t>
      </w:r>
    </w:p>
    <w:tbl>
      <w:tblPr>
        <w:tblStyle w:val="TableGrid"/>
        <w:bidiVisual/>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08403F" w:rsidRPr="0068089F" w:rsidTr="00812AF8">
        <w:trPr>
          <w:cantSplit/>
          <w:trHeight w:val="264"/>
          <w:tblHeader/>
        </w:trPr>
        <w:tc>
          <w:tcPr>
            <w:tcW w:w="534" w:type="dxa"/>
            <w:tcBorders>
              <w:bottom w:val="nil"/>
              <w:right w:val="nil"/>
            </w:tcBorders>
            <w:noWrap/>
          </w:tcPr>
          <w:p w:rsidR="0008403F" w:rsidRPr="0068089F" w:rsidRDefault="0008403F" w:rsidP="00467F85">
            <w:pPr>
              <w:spacing w:before="20"/>
              <w:rPr>
                <w:rFonts w:ascii="Arabic Typesetting" w:hAnsi="Arabic Typesetting" w:cs="Arabic Typesetting"/>
                <w:sz w:val="30"/>
                <w:szCs w:val="30"/>
              </w:rPr>
            </w:pPr>
          </w:p>
        </w:tc>
        <w:tc>
          <w:tcPr>
            <w:tcW w:w="2268" w:type="dxa"/>
            <w:tcBorders>
              <w:left w:val="nil"/>
              <w:bottom w:val="nil"/>
            </w:tcBorders>
            <w:noWrap/>
          </w:tcPr>
          <w:p w:rsidR="0008403F" w:rsidRPr="0068089F" w:rsidRDefault="0008403F" w:rsidP="00467F85">
            <w:pPr>
              <w:spacing w:before="20"/>
              <w:rPr>
                <w:rFonts w:ascii="Arabic Typesetting" w:hAnsi="Arabic Typesetting" w:cs="Arabic Typesetting"/>
                <w:sz w:val="30"/>
                <w:szCs w:val="30"/>
              </w:rPr>
            </w:pPr>
          </w:p>
        </w:tc>
        <w:tc>
          <w:tcPr>
            <w:tcW w:w="3118" w:type="dxa"/>
            <w:gridSpan w:val="4"/>
            <w:noWrap/>
            <w:tcMar>
              <w:left w:w="57" w:type="dxa"/>
              <w:right w:w="57" w:type="dxa"/>
            </w:tcMar>
          </w:tcPr>
          <w:p w:rsidR="0008403F" w:rsidRPr="0068089F" w:rsidRDefault="009E0AEA" w:rsidP="00467F8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مجموع</w:t>
            </w:r>
            <w:r w:rsidR="00F876A5" w:rsidRPr="0068089F">
              <w:rPr>
                <w:rFonts w:ascii="Arabic Typesetting" w:hAnsi="Arabic Typesetting" w:cs="Arabic Typesetting"/>
                <w:bCs/>
                <w:sz w:val="30"/>
                <w:szCs w:val="30"/>
                <w:rtl/>
              </w:rPr>
              <w:t xml:space="preserve"> الطلبات</w:t>
            </w:r>
          </w:p>
        </w:tc>
        <w:tc>
          <w:tcPr>
            <w:tcW w:w="2622" w:type="dxa"/>
            <w:gridSpan w:val="4"/>
            <w:noWrap/>
            <w:tcMar>
              <w:left w:w="57" w:type="dxa"/>
              <w:right w:w="57" w:type="dxa"/>
            </w:tcMar>
          </w:tcPr>
          <w:p w:rsidR="0008403F" w:rsidRPr="0068089F" w:rsidRDefault="00177B27" w:rsidP="008326A7">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w:t>
            </w:r>
            <w:r w:rsidR="008326A7" w:rsidRPr="0068089F">
              <w:rPr>
                <w:rFonts w:ascii="Arabic Typesetting" w:hAnsi="Arabic Typesetting" w:cs="Arabic Typesetting"/>
                <w:bCs/>
                <w:sz w:val="30"/>
                <w:szCs w:val="30"/>
                <w:rtl/>
              </w:rPr>
              <w:t xml:space="preserve">بات المقدمة من الأشخاص الطبيعيين </w:t>
            </w:r>
            <w:r w:rsidRPr="0068089F">
              <w:rPr>
                <w:rFonts w:ascii="Arabic Typesetting" w:hAnsi="Arabic Typesetting" w:cs="Arabic Typesetting"/>
                <w:bCs/>
                <w:sz w:val="30"/>
                <w:szCs w:val="30"/>
                <w:rtl/>
              </w:rPr>
              <w:t>فقط</w:t>
            </w:r>
          </w:p>
        </w:tc>
        <w:tc>
          <w:tcPr>
            <w:tcW w:w="2623" w:type="dxa"/>
            <w:gridSpan w:val="4"/>
            <w:noWrap/>
            <w:tcMar>
              <w:left w:w="57" w:type="dxa"/>
              <w:right w:w="57" w:type="dxa"/>
            </w:tcMar>
          </w:tcPr>
          <w:p w:rsidR="0008403F" w:rsidRPr="0068089F" w:rsidRDefault="00F876A5" w:rsidP="00467F8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الطلبات المطال</w:t>
            </w:r>
            <w:r w:rsidR="00BC71C5" w:rsidRPr="0068089F">
              <w:rPr>
                <w:rFonts w:ascii="Arabic Typesetting" w:hAnsi="Arabic Typesetting" w:cs="Arabic Typesetting"/>
                <w:bCs/>
                <w:sz w:val="30"/>
                <w:szCs w:val="30"/>
                <w:rtl/>
              </w:rPr>
              <w:t>ِ</w:t>
            </w:r>
            <w:r w:rsidRPr="0068089F">
              <w:rPr>
                <w:rFonts w:ascii="Arabic Typesetting" w:hAnsi="Arabic Typesetting" w:cs="Arabic Typesetting"/>
                <w:bCs/>
                <w:sz w:val="30"/>
                <w:szCs w:val="30"/>
                <w:rtl/>
              </w:rPr>
              <w:t>بة بالتخفيض في الرسوم</w:t>
            </w:r>
          </w:p>
        </w:tc>
        <w:tc>
          <w:tcPr>
            <w:tcW w:w="1575" w:type="dxa"/>
            <w:gridSpan w:val="2"/>
            <w:noWrap/>
            <w:tcMar>
              <w:left w:w="57" w:type="dxa"/>
              <w:right w:w="57" w:type="dxa"/>
            </w:tcMar>
          </w:tcPr>
          <w:p w:rsidR="0008403F" w:rsidRPr="0068089F" w:rsidRDefault="00F876A5" w:rsidP="00467F8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النسبة من جميع الطلبات مع التخفيضات</w:t>
            </w:r>
          </w:p>
        </w:tc>
        <w:tc>
          <w:tcPr>
            <w:tcW w:w="1434" w:type="dxa"/>
            <w:gridSpan w:val="2"/>
            <w:noWrap/>
            <w:tcMar>
              <w:left w:w="57" w:type="dxa"/>
              <w:right w:w="57" w:type="dxa"/>
            </w:tcMar>
          </w:tcPr>
          <w:p w:rsidR="0008403F" w:rsidRPr="0068089F" w:rsidRDefault="00177B27" w:rsidP="007A6A1F">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التغير في الطلبات</w:t>
            </w:r>
          </w:p>
        </w:tc>
      </w:tr>
      <w:tr w:rsidR="00816E41" w:rsidRPr="0068089F" w:rsidTr="00812AF8">
        <w:trPr>
          <w:cantSplit/>
          <w:trHeight w:val="264"/>
          <w:tblHeader/>
        </w:trPr>
        <w:tc>
          <w:tcPr>
            <w:tcW w:w="2802" w:type="dxa"/>
            <w:gridSpan w:val="2"/>
            <w:tcBorders>
              <w:top w:val="nil"/>
            </w:tcBorders>
            <w:noWrap/>
            <w:hideMark/>
          </w:tcPr>
          <w:p w:rsidR="00816E41" w:rsidRPr="0068089F" w:rsidRDefault="00816E41" w:rsidP="00E56F23">
            <w:pPr>
              <w:bidi/>
              <w:spacing w:before="20"/>
              <w:rPr>
                <w:rFonts w:ascii="Arabic Typesetting" w:hAnsi="Arabic Typesetting" w:cs="Arabic Typesetting"/>
                <w:b/>
                <w:sz w:val="30"/>
                <w:szCs w:val="30"/>
              </w:rPr>
            </w:pPr>
            <w:r w:rsidRPr="0068089F">
              <w:rPr>
                <w:rFonts w:ascii="Arabic Typesetting" w:hAnsi="Arabic Typesetting" w:cs="Arabic Typesetting"/>
                <w:bCs/>
                <w:sz w:val="30"/>
                <w:szCs w:val="30"/>
                <w:rtl/>
              </w:rPr>
              <w:t>رمز</w:t>
            </w:r>
            <w:r w:rsidRPr="0068089F">
              <w:rPr>
                <w:rFonts w:ascii="Arabic Typesetting" w:hAnsi="Arabic Typesetting" w:cs="Arabic Typesetting"/>
                <w:b/>
                <w:sz w:val="30"/>
                <w:szCs w:val="30"/>
              </w:rPr>
              <w:t xml:space="preserve">ST.3 </w:t>
            </w:r>
            <w:r w:rsidRPr="0068089F">
              <w:rPr>
                <w:rFonts w:ascii="Arabic Typesetting" w:hAnsi="Arabic Typesetting" w:cs="Arabic Typesetting"/>
                <w:bCs/>
                <w:sz w:val="30"/>
                <w:szCs w:val="30"/>
                <w:rtl/>
              </w:rPr>
              <w:t>، الدولة</w:t>
            </w:r>
          </w:p>
        </w:tc>
        <w:tc>
          <w:tcPr>
            <w:tcW w:w="779"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0"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79"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80"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5"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7" w:type="dxa"/>
            <w:tcBorders>
              <w:right w:val="dotted" w:sz="4" w:space="0" w:color="auto"/>
            </w:tcBorders>
            <w:noWrap/>
            <w:tcMar>
              <w:left w:w="57" w:type="dxa"/>
              <w:right w:w="57" w:type="dxa"/>
            </w:tcMar>
            <w:hideMark/>
          </w:tcPr>
          <w:p w:rsidR="00816E41" w:rsidRPr="0068089F" w:rsidRDefault="00816E41" w:rsidP="00F876A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قبل</w:t>
            </w:r>
          </w:p>
        </w:tc>
        <w:tc>
          <w:tcPr>
            <w:tcW w:w="788" w:type="dxa"/>
            <w:tcBorders>
              <w:left w:val="dotted" w:sz="4" w:space="0" w:color="auto"/>
            </w:tcBorders>
            <w:noWrap/>
            <w:tcMar>
              <w:left w:w="57" w:type="dxa"/>
              <w:right w:w="57" w:type="dxa"/>
            </w:tcMar>
            <w:hideMark/>
          </w:tcPr>
          <w:p w:rsidR="00816E41" w:rsidRPr="0068089F" w:rsidRDefault="00816E41" w:rsidP="00467F8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بعد</w:t>
            </w:r>
          </w:p>
        </w:tc>
        <w:tc>
          <w:tcPr>
            <w:tcW w:w="717" w:type="dxa"/>
            <w:noWrap/>
            <w:tcMar>
              <w:left w:w="57" w:type="dxa"/>
              <w:right w:w="57" w:type="dxa"/>
            </w:tcMar>
            <w:hideMark/>
          </w:tcPr>
          <w:p w:rsidR="00816E41" w:rsidRPr="0068089F" w:rsidRDefault="00816E41" w:rsidP="00467F8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المجموع</w:t>
            </w:r>
          </w:p>
        </w:tc>
        <w:tc>
          <w:tcPr>
            <w:tcW w:w="717" w:type="dxa"/>
            <w:noWrap/>
            <w:tcMar>
              <w:left w:w="57" w:type="dxa"/>
              <w:right w:w="57" w:type="dxa"/>
            </w:tcMar>
            <w:hideMark/>
          </w:tcPr>
          <w:p w:rsidR="00816E41" w:rsidRPr="0068089F" w:rsidRDefault="00816E41" w:rsidP="00E56F23">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أشخاص طبيعيون</w:t>
            </w:r>
          </w:p>
        </w:tc>
      </w:tr>
      <w:tr w:rsidR="0008403F" w:rsidRPr="0068089F" w:rsidTr="00812AF8">
        <w:trPr>
          <w:cantSplit/>
          <w:trHeight w:val="264"/>
        </w:trPr>
        <w:tc>
          <w:tcPr>
            <w:tcW w:w="534" w:type="dxa"/>
            <w:tcBorders>
              <w:right w:val="nil"/>
            </w:tcBorders>
            <w:noWrap/>
            <w:hideMark/>
          </w:tcPr>
          <w:p w:rsidR="0008403F" w:rsidRPr="0068089F" w:rsidRDefault="0008403F"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AE</w:t>
            </w:r>
          </w:p>
        </w:tc>
        <w:tc>
          <w:tcPr>
            <w:tcW w:w="2268" w:type="dxa"/>
            <w:tcBorders>
              <w:left w:val="nil"/>
            </w:tcBorders>
            <w:noWrap/>
            <w:hideMark/>
          </w:tcPr>
          <w:p w:rsidR="0008403F"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الإمارات العربية المتحدة</w:t>
            </w:r>
          </w:p>
        </w:tc>
        <w:tc>
          <w:tcPr>
            <w:tcW w:w="779"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76</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93</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81</w:t>
            </w:r>
          </w:p>
        </w:tc>
        <w:tc>
          <w:tcPr>
            <w:tcW w:w="780"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77</w:t>
            </w:r>
          </w:p>
        </w:tc>
        <w:tc>
          <w:tcPr>
            <w:tcW w:w="655"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656"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8" w:type="dxa"/>
            <w:tcBorders>
              <w:left w:val="dotted" w:sz="4" w:space="0" w:color="auto"/>
            </w:tcBorders>
            <w:noWrap/>
            <w:tcMar>
              <w:left w:w="57" w:type="dxa"/>
              <w:right w:w="57" w:type="dxa"/>
            </w:tcMar>
            <w:hideMark/>
          </w:tcPr>
          <w:p w:rsidR="0008403F"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08403F" w:rsidRPr="0068089F" w:rsidRDefault="00F1517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17" w:type="dxa"/>
            <w:noWrap/>
            <w:tcMar>
              <w:left w:w="57" w:type="dxa"/>
              <w:right w:w="57" w:type="dxa"/>
            </w:tcMar>
            <w:hideMark/>
          </w:tcPr>
          <w:p w:rsidR="0008403F" w:rsidRPr="0068089F" w:rsidRDefault="00F1517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r w:rsidR="0008403F"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B6911">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SG</w:t>
            </w:r>
          </w:p>
        </w:tc>
        <w:tc>
          <w:tcPr>
            <w:tcW w:w="2268" w:type="dxa"/>
            <w:tcBorders>
              <w:left w:val="nil"/>
            </w:tcBorders>
            <w:noWrap/>
            <w:hideMark/>
          </w:tcPr>
          <w:p w:rsidR="0008403F"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سنغافورة</w:t>
            </w:r>
          </w:p>
        </w:tc>
        <w:tc>
          <w:tcPr>
            <w:tcW w:w="779"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925</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924</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888</w:t>
            </w:r>
          </w:p>
        </w:tc>
        <w:tc>
          <w:tcPr>
            <w:tcW w:w="780"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899</w:t>
            </w:r>
          </w:p>
        </w:tc>
        <w:tc>
          <w:tcPr>
            <w:tcW w:w="655"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71</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72</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656"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62</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8" w:type="dxa"/>
            <w:tcBorders>
              <w:left w:val="dotted" w:sz="4" w:space="0" w:color="auto"/>
            </w:tcBorders>
            <w:noWrap/>
            <w:tcMar>
              <w:left w:w="57" w:type="dxa"/>
              <w:right w:w="57" w:type="dxa"/>
            </w:tcMar>
            <w:hideMark/>
          </w:tcPr>
          <w:p w:rsidR="0008403F"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08403F" w:rsidRPr="0068089F" w:rsidRDefault="00F1517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08403F"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F1517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r w:rsidR="0008403F" w:rsidRPr="0068089F">
              <w:rPr>
                <w:rFonts w:ascii="Arabic Typesetting" w:hAnsi="Arabic Typesetting" w:cs="Arabic Typesetting"/>
                <w:sz w:val="30"/>
                <w:szCs w:val="30"/>
                <w:rtl/>
              </w:rPr>
              <w:t>%</w:t>
            </w:r>
          </w:p>
        </w:tc>
      </w:tr>
    </w:tbl>
    <w:p w:rsidR="0008403F" w:rsidRPr="007F012F" w:rsidRDefault="0008403F" w:rsidP="0008403F">
      <w:r w:rsidRPr="007F012F">
        <w:br w:type="page"/>
      </w:r>
    </w:p>
    <w:p w:rsidR="0008403F" w:rsidRPr="00F1517F" w:rsidRDefault="00812AF8" w:rsidP="00361D3F">
      <w:pPr>
        <w:bidi/>
        <w:spacing w:after="120"/>
        <w:ind w:right="821"/>
        <w:jc w:val="center"/>
        <w:rPr>
          <w:rFonts w:ascii="Arabic Typesetting" w:eastAsia="SimSun" w:hAnsi="Arabic Typesetting" w:cs="Arabic Typesetting"/>
          <w:bCs/>
          <w:sz w:val="36"/>
          <w:szCs w:val="36"/>
          <w:lang w:eastAsia="zh-CN"/>
        </w:rPr>
      </w:pPr>
      <w:r w:rsidRPr="00F1517F">
        <w:rPr>
          <w:rFonts w:ascii="Arabic Typesetting" w:eastAsia="SimSun" w:hAnsi="Arabic Typesetting" w:cs="Arabic Typesetting" w:hint="cs"/>
          <w:bCs/>
          <w:sz w:val="36"/>
          <w:szCs w:val="36"/>
          <w:rtl/>
          <w:lang w:eastAsia="zh-CN"/>
        </w:rPr>
        <w:t xml:space="preserve">الجدول </w:t>
      </w:r>
      <w:r w:rsidR="00361D3F">
        <w:rPr>
          <w:rFonts w:ascii="Arabic Typesetting" w:eastAsia="SimSun" w:hAnsi="Arabic Typesetting" w:cs="Arabic Typesetting" w:hint="cs"/>
          <w:bCs/>
          <w:sz w:val="36"/>
          <w:szCs w:val="36"/>
          <w:rtl/>
          <w:lang w:eastAsia="zh-CN"/>
        </w:rPr>
        <w:t>(</w:t>
      </w:r>
      <w:r w:rsidRPr="00F1517F">
        <w:rPr>
          <w:rFonts w:ascii="Arabic Typesetting" w:eastAsia="SimSun" w:hAnsi="Arabic Typesetting" w:cs="Arabic Typesetting" w:hint="cs"/>
          <w:bCs/>
          <w:sz w:val="36"/>
          <w:szCs w:val="36"/>
          <w:rtl/>
          <w:lang w:eastAsia="zh-CN"/>
        </w:rPr>
        <w:t>ب</w:t>
      </w:r>
      <w:r w:rsidR="0068089F">
        <w:rPr>
          <w:rFonts w:ascii="Arabic Typesetting" w:eastAsia="SimSun" w:hAnsi="Arabic Typesetting" w:cs="Arabic Typesetting" w:hint="cs"/>
          <w:bCs/>
          <w:sz w:val="36"/>
          <w:szCs w:val="36"/>
          <w:rtl/>
          <w:lang w:eastAsia="zh-CN"/>
        </w:rPr>
        <w:t>اء</w:t>
      </w:r>
      <w:r w:rsidR="00361D3F">
        <w:rPr>
          <w:rFonts w:ascii="Arabic Typesetting" w:eastAsia="SimSun" w:hAnsi="Arabic Typesetting" w:cs="Arabic Typesetting" w:hint="cs"/>
          <w:bCs/>
          <w:sz w:val="36"/>
          <w:szCs w:val="36"/>
          <w:rtl/>
          <w:lang w:eastAsia="zh-CN"/>
        </w:rPr>
        <w:t>)</w:t>
      </w:r>
    </w:p>
    <w:p w:rsidR="00F1517F" w:rsidRPr="0068089F" w:rsidRDefault="00F1517F" w:rsidP="0068089F">
      <w:pPr>
        <w:bidi/>
        <w:spacing w:after="240"/>
        <w:ind w:right="821"/>
        <w:jc w:val="center"/>
        <w:rPr>
          <w:rFonts w:ascii="Arabic Typesetting" w:eastAsia="SimSun" w:hAnsi="Arabic Typesetting" w:cs="Arabic Typesetting"/>
          <w:bCs/>
          <w:sz w:val="36"/>
          <w:szCs w:val="36"/>
          <w:lang w:eastAsia="zh-CN"/>
        </w:rPr>
      </w:pPr>
      <w:r w:rsidRPr="006E1D93">
        <w:rPr>
          <w:rFonts w:ascii="Arabic Typesetting" w:eastAsia="SimSun" w:hAnsi="Arabic Typesetting" w:cs="Arabic Typesetting"/>
          <w:bCs/>
          <w:sz w:val="36"/>
          <w:szCs w:val="36"/>
          <w:rtl/>
          <w:lang w:eastAsia="zh-CN"/>
        </w:rPr>
        <w:t xml:space="preserve">دول لم يكن لأشخاصها الطبيعيين من مقيمين ومواطنين </w:t>
      </w:r>
      <w:r>
        <w:rPr>
          <w:rFonts w:ascii="Arabic Typesetting" w:eastAsia="SimSun" w:hAnsi="Arabic Typesetting" w:cs="Arabic Typesetting" w:hint="cs"/>
          <w:bCs/>
          <w:sz w:val="36"/>
          <w:szCs w:val="36"/>
          <w:rtl/>
          <w:lang w:eastAsia="zh-CN"/>
        </w:rPr>
        <w:t>أهلية ا</w:t>
      </w:r>
      <w:r w:rsidRPr="006E1D93">
        <w:rPr>
          <w:rFonts w:ascii="Arabic Typesetting" w:eastAsia="SimSun" w:hAnsi="Arabic Typesetting" w:cs="Arabic Typesetting"/>
          <w:bCs/>
          <w:sz w:val="36"/>
          <w:szCs w:val="36"/>
          <w:rtl/>
          <w:lang w:eastAsia="zh-CN"/>
        </w:rPr>
        <w:t>لاستفادة من تخفيضات الرسوم حتّى 30 يونيو 2015، ولكنهم أصبحوا مؤهلين بعد ذلك التاريخ</w:t>
      </w:r>
    </w:p>
    <w:tbl>
      <w:tblPr>
        <w:tblStyle w:val="TableGrid"/>
        <w:bidiVisual/>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F1517F" w:rsidRPr="0068089F" w:rsidTr="00812AF8">
        <w:trPr>
          <w:cantSplit/>
          <w:trHeight w:val="264"/>
          <w:tblHeader/>
        </w:trPr>
        <w:tc>
          <w:tcPr>
            <w:tcW w:w="534" w:type="dxa"/>
            <w:tcBorders>
              <w:bottom w:val="nil"/>
              <w:right w:val="nil"/>
            </w:tcBorders>
            <w:noWrap/>
          </w:tcPr>
          <w:p w:rsidR="00F1517F" w:rsidRPr="0068089F" w:rsidRDefault="00F1517F" w:rsidP="00812AF8">
            <w:pPr>
              <w:bidi/>
              <w:spacing w:before="20"/>
              <w:rPr>
                <w:rFonts w:ascii="Arabic Typesetting" w:hAnsi="Arabic Typesetting" w:cs="Arabic Typesetting"/>
                <w:sz w:val="30"/>
                <w:szCs w:val="30"/>
              </w:rPr>
            </w:pPr>
          </w:p>
        </w:tc>
        <w:tc>
          <w:tcPr>
            <w:tcW w:w="2268" w:type="dxa"/>
            <w:tcBorders>
              <w:left w:val="nil"/>
              <w:bottom w:val="nil"/>
            </w:tcBorders>
            <w:noWrap/>
          </w:tcPr>
          <w:p w:rsidR="00F1517F" w:rsidRPr="0068089F" w:rsidRDefault="00F1517F" w:rsidP="00812AF8">
            <w:pPr>
              <w:bidi/>
              <w:spacing w:before="20"/>
              <w:rPr>
                <w:rFonts w:ascii="Arabic Typesetting" w:hAnsi="Arabic Typesetting" w:cs="Arabic Typesetting"/>
                <w:sz w:val="30"/>
                <w:szCs w:val="30"/>
              </w:rPr>
            </w:pPr>
          </w:p>
        </w:tc>
        <w:tc>
          <w:tcPr>
            <w:tcW w:w="3118" w:type="dxa"/>
            <w:gridSpan w:val="4"/>
            <w:noWrap/>
            <w:tcMar>
              <w:left w:w="57" w:type="dxa"/>
              <w:right w:w="57" w:type="dxa"/>
            </w:tcMar>
          </w:tcPr>
          <w:p w:rsidR="00F1517F" w:rsidRPr="0068089F" w:rsidRDefault="00F1517F"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مجموع الطلبات</w:t>
            </w:r>
          </w:p>
        </w:tc>
        <w:tc>
          <w:tcPr>
            <w:tcW w:w="2622" w:type="dxa"/>
            <w:gridSpan w:val="4"/>
            <w:noWrap/>
            <w:tcMar>
              <w:left w:w="57" w:type="dxa"/>
              <w:right w:w="57" w:type="dxa"/>
            </w:tcMar>
          </w:tcPr>
          <w:p w:rsidR="00F1517F" w:rsidRPr="0068089F" w:rsidRDefault="00F1517F"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الطلبات المقدمة من الأشخاص الطبيعيين فقط</w:t>
            </w:r>
          </w:p>
        </w:tc>
        <w:tc>
          <w:tcPr>
            <w:tcW w:w="2623" w:type="dxa"/>
            <w:gridSpan w:val="4"/>
            <w:noWrap/>
            <w:tcMar>
              <w:left w:w="57" w:type="dxa"/>
              <w:right w:w="57" w:type="dxa"/>
            </w:tcMar>
          </w:tcPr>
          <w:p w:rsidR="00F1517F" w:rsidRPr="0068089F" w:rsidRDefault="00F1517F"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الطلبات المطال</w:t>
            </w:r>
            <w:r w:rsidR="00BC71C5" w:rsidRPr="0068089F">
              <w:rPr>
                <w:rFonts w:ascii="Arabic Typesetting" w:hAnsi="Arabic Typesetting" w:cs="Arabic Typesetting"/>
                <w:bCs/>
                <w:sz w:val="30"/>
                <w:szCs w:val="30"/>
                <w:rtl/>
              </w:rPr>
              <w:t>ِ</w:t>
            </w:r>
            <w:r w:rsidRPr="0068089F">
              <w:rPr>
                <w:rFonts w:ascii="Arabic Typesetting" w:hAnsi="Arabic Typesetting" w:cs="Arabic Typesetting"/>
                <w:bCs/>
                <w:sz w:val="30"/>
                <w:szCs w:val="30"/>
                <w:rtl/>
              </w:rPr>
              <w:t>بة بالتخفيض في الرسوم</w:t>
            </w:r>
          </w:p>
        </w:tc>
        <w:tc>
          <w:tcPr>
            <w:tcW w:w="1575" w:type="dxa"/>
            <w:gridSpan w:val="2"/>
            <w:noWrap/>
            <w:tcMar>
              <w:left w:w="57" w:type="dxa"/>
              <w:right w:w="57" w:type="dxa"/>
            </w:tcMar>
          </w:tcPr>
          <w:p w:rsidR="00F1517F" w:rsidRPr="0068089F" w:rsidRDefault="00F1517F"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النسبة من جميع الطلبات مع التخفيضات</w:t>
            </w:r>
          </w:p>
        </w:tc>
        <w:tc>
          <w:tcPr>
            <w:tcW w:w="1434" w:type="dxa"/>
            <w:gridSpan w:val="2"/>
            <w:noWrap/>
            <w:tcMar>
              <w:left w:w="57" w:type="dxa"/>
              <w:right w:w="57" w:type="dxa"/>
            </w:tcMar>
          </w:tcPr>
          <w:p w:rsidR="00F1517F" w:rsidRPr="0068089F" w:rsidRDefault="007A6A1F"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التغ</w:t>
            </w:r>
            <w:r w:rsidR="00F1517F" w:rsidRPr="0068089F">
              <w:rPr>
                <w:rFonts w:ascii="Arabic Typesetting" w:hAnsi="Arabic Typesetting" w:cs="Arabic Typesetting"/>
                <w:bCs/>
                <w:sz w:val="30"/>
                <w:szCs w:val="30"/>
                <w:rtl/>
              </w:rPr>
              <w:t>ير في الطلبات</w:t>
            </w:r>
          </w:p>
        </w:tc>
      </w:tr>
      <w:tr w:rsidR="00816E41" w:rsidRPr="0068089F" w:rsidTr="00812AF8">
        <w:trPr>
          <w:cantSplit/>
          <w:trHeight w:val="264"/>
          <w:tblHeader/>
        </w:trPr>
        <w:tc>
          <w:tcPr>
            <w:tcW w:w="2802" w:type="dxa"/>
            <w:gridSpan w:val="2"/>
            <w:tcBorders>
              <w:top w:val="nil"/>
            </w:tcBorders>
            <w:noWrap/>
            <w:hideMark/>
          </w:tcPr>
          <w:p w:rsidR="00816E41" w:rsidRPr="0068089F" w:rsidRDefault="00816E41" w:rsidP="00E56F23">
            <w:pPr>
              <w:bidi/>
              <w:spacing w:before="20"/>
              <w:rPr>
                <w:rFonts w:ascii="Arabic Typesetting" w:hAnsi="Arabic Typesetting" w:cs="Arabic Typesetting"/>
                <w:b/>
                <w:sz w:val="30"/>
                <w:szCs w:val="30"/>
              </w:rPr>
            </w:pPr>
            <w:r w:rsidRPr="0068089F">
              <w:rPr>
                <w:rFonts w:ascii="Arabic Typesetting" w:hAnsi="Arabic Typesetting" w:cs="Arabic Typesetting"/>
                <w:bCs/>
                <w:sz w:val="30"/>
                <w:szCs w:val="30"/>
                <w:rtl/>
              </w:rPr>
              <w:t>رمز</w:t>
            </w:r>
            <w:r w:rsidRPr="0068089F">
              <w:rPr>
                <w:rFonts w:ascii="Arabic Typesetting" w:hAnsi="Arabic Typesetting" w:cs="Arabic Typesetting"/>
                <w:b/>
                <w:sz w:val="30"/>
                <w:szCs w:val="30"/>
              </w:rPr>
              <w:t xml:space="preserve">ST.3 </w:t>
            </w:r>
            <w:r w:rsidRPr="0068089F">
              <w:rPr>
                <w:rFonts w:ascii="Arabic Typesetting" w:hAnsi="Arabic Typesetting" w:cs="Arabic Typesetting"/>
                <w:bCs/>
                <w:sz w:val="30"/>
                <w:szCs w:val="30"/>
                <w:rtl/>
              </w:rPr>
              <w:t>، الدولة</w:t>
            </w:r>
          </w:p>
        </w:tc>
        <w:tc>
          <w:tcPr>
            <w:tcW w:w="779"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0"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79"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80"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5"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righ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816E41" w:rsidRPr="0068089F" w:rsidRDefault="00816E41" w:rsidP="002B7416">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7" w:type="dxa"/>
            <w:tcBorders>
              <w:right w:val="dotted" w:sz="4" w:space="0" w:color="auto"/>
            </w:tcBorders>
            <w:noWrap/>
            <w:tcMar>
              <w:left w:w="57" w:type="dxa"/>
              <w:right w:w="57" w:type="dxa"/>
            </w:tcMar>
            <w:hideMark/>
          </w:tcPr>
          <w:p w:rsidR="00816E41" w:rsidRPr="0068089F" w:rsidRDefault="00816E4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قبل</w:t>
            </w:r>
          </w:p>
        </w:tc>
        <w:tc>
          <w:tcPr>
            <w:tcW w:w="788" w:type="dxa"/>
            <w:tcBorders>
              <w:left w:val="dotted" w:sz="4" w:space="0" w:color="auto"/>
            </w:tcBorders>
            <w:noWrap/>
            <w:tcMar>
              <w:left w:w="57" w:type="dxa"/>
              <w:right w:w="57" w:type="dxa"/>
            </w:tcMar>
            <w:hideMark/>
          </w:tcPr>
          <w:p w:rsidR="00816E41" w:rsidRPr="0068089F" w:rsidRDefault="00816E4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بعد</w:t>
            </w:r>
          </w:p>
        </w:tc>
        <w:tc>
          <w:tcPr>
            <w:tcW w:w="717" w:type="dxa"/>
            <w:noWrap/>
            <w:tcMar>
              <w:left w:w="57" w:type="dxa"/>
              <w:right w:w="57" w:type="dxa"/>
            </w:tcMar>
            <w:hideMark/>
          </w:tcPr>
          <w:p w:rsidR="00816E41" w:rsidRPr="0068089F" w:rsidRDefault="00816E4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المجموع</w:t>
            </w:r>
          </w:p>
        </w:tc>
        <w:tc>
          <w:tcPr>
            <w:tcW w:w="717" w:type="dxa"/>
            <w:noWrap/>
            <w:tcMar>
              <w:left w:w="57" w:type="dxa"/>
              <w:right w:w="57" w:type="dxa"/>
            </w:tcMar>
            <w:hideMark/>
          </w:tcPr>
          <w:p w:rsidR="00816E41" w:rsidRPr="0068089F" w:rsidRDefault="00816E41" w:rsidP="00E56F23">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أشخاص طبيعيون</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BS</w:t>
            </w:r>
          </w:p>
        </w:tc>
        <w:tc>
          <w:tcPr>
            <w:tcW w:w="2268" w:type="dxa"/>
            <w:tcBorders>
              <w:left w:val="nil"/>
            </w:tcBorders>
            <w:noWrap/>
            <w:hideMark/>
          </w:tcPr>
          <w:p w:rsidR="0008403F" w:rsidRPr="0068089F" w:rsidRDefault="00812AF8"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جزر البهاما</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CY</w:t>
            </w:r>
          </w:p>
        </w:tc>
        <w:tc>
          <w:tcPr>
            <w:tcW w:w="2268" w:type="dxa"/>
            <w:tcBorders>
              <w:left w:val="nil"/>
            </w:tcBorders>
            <w:noWrap/>
            <w:hideMark/>
          </w:tcPr>
          <w:p w:rsidR="0008403F" w:rsidRPr="0068089F" w:rsidRDefault="00812AF8"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قبرص</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55</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GR</w:t>
            </w:r>
          </w:p>
        </w:tc>
        <w:tc>
          <w:tcPr>
            <w:tcW w:w="2268" w:type="dxa"/>
            <w:tcBorders>
              <w:lef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اليونان</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111</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126</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114</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116</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62</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66</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51</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MT</w:t>
            </w:r>
          </w:p>
        </w:tc>
        <w:tc>
          <w:tcPr>
            <w:tcW w:w="2268" w:type="dxa"/>
            <w:tcBorders>
              <w:left w:val="nil"/>
            </w:tcBorders>
            <w:noWrap/>
            <w:hideMark/>
          </w:tcPr>
          <w:p w:rsidR="0008403F" w:rsidRPr="0068089F" w:rsidRDefault="00812AF8"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مالطة</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74</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79</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108</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PT</w:t>
            </w:r>
          </w:p>
        </w:tc>
        <w:tc>
          <w:tcPr>
            <w:tcW w:w="2268" w:type="dxa"/>
            <w:tcBorders>
              <w:lef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البرتغال</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147</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160</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169</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190</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8326A7"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7A1617">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SA</w:t>
            </w:r>
          </w:p>
        </w:tc>
        <w:tc>
          <w:tcPr>
            <w:tcW w:w="2268" w:type="dxa"/>
            <w:tcBorders>
              <w:lef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المملكة العربية السعودية</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258</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364</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277</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362</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46</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135</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812AF8">
        <w:trPr>
          <w:cantSplit/>
          <w:trHeight w:val="264"/>
        </w:trPr>
        <w:tc>
          <w:tcPr>
            <w:tcW w:w="534" w:type="dxa"/>
            <w:tcBorders>
              <w:righ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SI</w:t>
            </w:r>
          </w:p>
        </w:tc>
        <w:tc>
          <w:tcPr>
            <w:tcW w:w="2268" w:type="dxa"/>
            <w:tcBorders>
              <w:left w:val="nil"/>
            </w:tcBorders>
            <w:noWrap/>
            <w:hideMark/>
          </w:tcPr>
          <w:p w:rsidR="0008403F" w:rsidRPr="0068089F" w:rsidRDefault="0008403F" w:rsidP="00812AF8">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سلوفينيا</w:t>
            </w:r>
          </w:p>
        </w:tc>
        <w:tc>
          <w:tcPr>
            <w:tcW w:w="779"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127</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133</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77</w:t>
            </w:r>
          </w:p>
        </w:tc>
        <w:tc>
          <w:tcPr>
            <w:tcW w:w="780"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69</w:t>
            </w:r>
          </w:p>
        </w:tc>
        <w:tc>
          <w:tcPr>
            <w:tcW w:w="655"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6" w:type="dxa"/>
            <w:tcBorders>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6"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787" w:type="dxa"/>
            <w:tcBorders>
              <w:right w:val="dotted" w:sz="4" w:space="0" w:color="auto"/>
            </w:tcBorders>
            <w:noWrap/>
            <w:tcMar>
              <w:left w:w="57" w:type="dxa"/>
              <w:right w:w="57" w:type="dxa"/>
            </w:tcMar>
            <w:hideMark/>
          </w:tcPr>
          <w:p w:rsidR="0008403F" w:rsidRPr="0068089F" w:rsidRDefault="00812AF8" w:rsidP="00812AF8">
            <w:pPr>
              <w:bidi/>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r w:rsidR="00F1517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812AF8">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r w:rsidR="007A6A1F"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bl>
    <w:p w:rsidR="0008403F" w:rsidRPr="007F012F" w:rsidRDefault="0008403F" w:rsidP="0008403F">
      <w:r w:rsidRPr="007F012F">
        <w:br w:type="page"/>
      </w:r>
    </w:p>
    <w:p w:rsidR="0008403F" w:rsidRPr="00A104F1" w:rsidRDefault="00812AF8" w:rsidP="0068089F">
      <w:pPr>
        <w:bidi/>
        <w:spacing w:after="120"/>
        <w:ind w:right="821"/>
        <w:jc w:val="center"/>
        <w:rPr>
          <w:rFonts w:ascii="Arabic Typesetting" w:eastAsia="SimSun" w:hAnsi="Arabic Typesetting" w:cs="Arabic Typesetting"/>
          <w:bCs/>
          <w:sz w:val="36"/>
          <w:szCs w:val="36"/>
          <w:lang w:eastAsia="zh-CN"/>
        </w:rPr>
      </w:pPr>
      <w:r w:rsidRPr="00A104F1">
        <w:rPr>
          <w:rFonts w:ascii="Arabic Typesetting" w:eastAsia="SimSun" w:hAnsi="Arabic Typesetting" w:cs="Arabic Typesetting" w:hint="cs"/>
          <w:bCs/>
          <w:sz w:val="36"/>
          <w:szCs w:val="36"/>
          <w:rtl/>
          <w:lang w:eastAsia="zh-CN"/>
        </w:rPr>
        <w:t xml:space="preserve">الجدول </w:t>
      </w:r>
      <w:r w:rsidR="00361D3F">
        <w:rPr>
          <w:rFonts w:ascii="Arabic Typesetting" w:eastAsia="SimSun" w:hAnsi="Arabic Typesetting" w:cs="Arabic Typesetting" w:hint="cs"/>
          <w:bCs/>
          <w:sz w:val="36"/>
          <w:szCs w:val="36"/>
          <w:rtl/>
          <w:lang w:eastAsia="zh-CN"/>
        </w:rPr>
        <w:t>(</w:t>
      </w:r>
      <w:r w:rsidRPr="00A104F1">
        <w:rPr>
          <w:rFonts w:ascii="Arabic Typesetting" w:eastAsia="SimSun" w:hAnsi="Arabic Typesetting" w:cs="Arabic Typesetting" w:hint="cs"/>
          <w:bCs/>
          <w:sz w:val="36"/>
          <w:szCs w:val="36"/>
          <w:rtl/>
          <w:lang w:eastAsia="zh-CN"/>
        </w:rPr>
        <w:t>ج</w:t>
      </w:r>
      <w:r w:rsidR="00156406">
        <w:rPr>
          <w:rFonts w:ascii="Arabic Typesetting" w:eastAsia="SimSun" w:hAnsi="Arabic Typesetting" w:cs="Arabic Typesetting" w:hint="cs"/>
          <w:bCs/>
          <w:sz w:val="36"/>
          <w:szCs w:val="36"/>
          <w:rtl/>
          <w:lang w:eastAsia="zh-CN"/>
        </w:rPr>
        <w:t>يم</w:t>
      </w:r>
      <w:r w:rsidR="00361D3F">
        <w:rPr>
          <w:rFonts w:ascii="Arabic Typesetting" w:eastAsia="SimSun" w:hAnsi="Arabic Typesetting" w:cs="Arabic Typesetting" w:hint="cs"/>
          <w:bCs/>
          <w:sz w:val="36"/>
          <w:szCs w:val="36"/>
          <w:rtl/>
          <w:lang w:eastAsia="zh-CN"/>
        </w:rPr>
        <w:t>)</w:t>
      </w:r>
    </w:p>
    <w:p w:rsidR="00A104F1" w:rsidRPr="0068089F" w:rsidRDefault="00A104F1" w:rsidP="0068089F">
      <w:pPr>
        <w:bidi/>
        <w:spacing w:after="240"/>
        <w:ind w:right="821"/>
        <w:jc w:val="center"/>
        <w:rPr>
          <w:rFonts w:ascii="Arabic Typesetting" w:eastAsia="SimSun" w:hAnsi="Arabic Typesetting" w:cs="Arabic Typesetting"/>
          <w:bCs/>
          <w:sz w:val="36"/>
          <w:szCs w:val="36"/>
          <w:lang w:eastAsia="zh-CN"/>
        </w:rPr>
      </w:pPr>
      <w:r w:rsidRPr="006E1D93">
        <w:rPr>
          <w:rFonts w:ascii="Arabic Typesetting" w:eastAsia="SimSun" w:hAnsi="Arabic Typesetting" w:cs="Arabic Typesetting"/>
          <w:bCs/>
          <w:sz w:val="36"/>
          <w:szCs w:val="36"/>
          <w:rtl/>
          <w:lang w:eastAsia="zh-CN"/>
        </w:rPr>
        <w:t>دول كان لأشخاصها الطبيعيين من مقيمين ومواطنين أهلية الاستفادة من تخفيضات الرسوم طوال المدة التي يغطيها التقرير</w:t>
      </w:r>
    </w:p>
    <w:tbl>
      <w:tblPr>
        <w:tblStyle w:val="TableGrid"/>
        <w:bidiVisual/>
        <w:tblW w:w="0" w:type="auto"/>
        <w:tblLayout w:type="fixed"/>
        <w:tblLook w:val="04A0" w:firstRow="1" w:lastRow="0" w:firstColumn="1" w:lastColumn="0" w:noHBand="0" w:noVBand="1"/>
      </w:tblPr>
      <w:tblGrid>
        <w:gridCol w:w="646"/>
        <w:gridCol w:w="2127"/>
        <w:gridCol w:w="920"/>
        <w:gridCol w:w="780"/>
        <w:gridCol w:w="779"/>
        <w:gridCol w:w="780"/>
        <w:gridCol w:w="655"/>
        <w:gridCol w:w="656"/>
        <w:gridCol w:w="655"/>
        <w:gridCol w:w="656"/>
        <w:gridCol w:w="656"/>
        <w:gridCol w:w="655"/>
        <w:gridCol w:w="656"/>
        <w:gridCol w:w="656"/>
        <w:gridCol w:w="787"/>
        <w:gridCol w:w="788"/>
        <w:gridCol w:w="717"/>
        <w:gridCol w:w="717"/>
      </w:tblGrid>
      <w:tr w:rsidR="00A104F1" w:rsidRPr="0068089F" w:rsidTr="00384416">
        <w:trPr>
          <w:cantSplit/>
          <w:trHeight w:val="264"/>
          <w:tblHeader/>
        </w:trPr>
        <w:tc>
          <w:tcPr>
            <w:tcW w:w="646" w:type="dxa"/>
            <w:tcBorders>
              <w:bottom w:val="nil"/>
              <w:right w:val="nil"/>
            </w:tcBorders>
            <w:noWrap/>
          </w:tcPr>
          <w:p w:rsidR="00A104F1" w:rsidRPr="0068089F" w:rsidRDefault="00A104F1" w:rsidP="00467F85">
            <w:pPr>
              <w:spacing w:before="20"/>
              <w:rPr>
                <w:rFonts w:ascii="Arabic Typesetting" w:hAnsi="Arabic Typesetting" w:cs="Arabic Typesetting"/>
                <w:sz w:val="30"/>
                <w:szCs w:val="30"/>
              </w:rPr>
            </w:pPr>
          </w:p>
        </w:tc>
        <w:tc>
          <w:tcPr>
            <w:tcW w:w="2127" w:type="dxa"/>
            <w:tcBorders>
              <w:left w:val="nil"/>
              <w:bottom w:val="nil"/>
            </w:tcBorders>
            <w:noWrap/>
          </w:tcPr>
          <w:p w:rsidR="00A104F1" w:rsidRPr="0068089F" w:rsidRDefault="00A104F1" w:rsidP="00467F85">
            <w:pPr>
              <w:spacing w:before="20"/>
              <w:rPr>
                <w:rFonts w:ascii="Arabic Typesetting" w:hAnsi="Arabic Typesetting" w:cs="Arabic Typesetting"/>
                <w:sz w:val="30"/>
                <w:szCs w:val="30"/>
              </w:rPr>
            </w:pPr>
          </w:p>
        </w:tc>
        <w:tc>
          <w:tcPr>
            <w:tcW w:w="3259" w:type="dxa"/>
            <w:gridSpan w:val="4"/>
            <w:noWrap/>
            <w:tcMar>
              <w:left w:w="57" w:type="dxa"/>
              <w:right w:w="57" w:type="dxa"/>
            </w:tcMar>
          </w:tcPr>
          <w:p w:rsidR="00A104F1" w:rsidRPr="0068089F" w:rsidRDefault="00A104F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مجموع الطلبات</w:t>
            </w:r>
          </w:p>
        </w:tc>
        <w:tc>
          <w:tcPr>
            <w:tcW w:w="2622" w:type="dxa"/>
            <w:gridSpan w:val="4"/>
            <w:noWrap/>
            <w:tcMar>
              <w:left w:w="57" w:type="dxa"/>
              <w:right w:w="57" w:type="dxa"/>
            </w:tcMar>
          </w:tcPr>
          <w:p w:rsidR="00A104F1" w:rsidRPr="0068089F" w:rsidRDefault="00A104F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الطلبات المقدمة من الأشخاص الطبيعيين فقط</w:t>
            </w:r>
          </w:p>
        </w:tc>
        <w:tc>
          <w:tcPr>
            <w:tcW w:w="2623" w:type="dxa"/>
            <w:gridSpan w:val="4"/>
            <w:noWrap/>
            <w:tcMar>
              <w:left w:w="57" w:type="dxa"/>
              <w:right w:w="57" w:type="dxa"/>
            </w:tcMar>
          </w:tcPr>
          <w:p w:rsidR="00A104F1" w:rsidRPr="0068089F" w:rsidRDefault="00A104F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الطلبات المطال</w:t>
            </w:r>
            <w:r w:rsidR="00BC71C5" w:rsidRPr="0068089F">
              <w:rPr>
                <w:rFonts w:ascii="Arabic Typesetting" w:hAnsi="Arabic Typesetting" w:cs="Arabic Typesetting"/>
                <w:bCs/>
                <w:sz w:val="30"/>
                <w:szCs w:val="30"/>
                <w:rtl/>
              </w:rPr>
              <w:t>ِ</w:t>
            </w:r>
            <w:r w:rsidRPr="0068089F">
              <w:rPr>
                <w:rFonts w:ascii="Arabic Typesetting" w:hAnsi="Arabic Typesetting" w:cs="Arabic Typesetting"/>
                <w:bCs/>
                <w:sz w:val="30"/>
                <w:szCs w:val="30"/>
                <w:rtl/>
              </w:rPr>
              <w:t>بة بالتخفيض في الرسوم</w:t>
            </w:r>
          </w:p>
        </w:tc>
        <w:tc>
          <w:tcPr>
            <w:tcW w:w="1575" w:type="dxa"/>
            <w:gridSpan w:val="2"/>
            <w:noWrap/>
            <w:tcMar>
              <w:left w:w="57" w:type="dxa"/>
              <w:right w:w="57" w:type="dxa"/>
            </w:tcMar>
          </w:tcPr>
          <w:p w:rsidR="00A104F1" w:rsidRPr="0068089F" w:rsidRDefault="00A104F1"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النسبة من جميع الطلبات مع التخفيضات</w:t>
            </w:r>
          </w:p>
        </w:tc>
        <w:tc>
          <w:tcPr>
            <w:tcW w:w="1434" w:type="dxa"/>
            <w:gridSpan w:val="2"/>
            <w:noWrap/>
            <w:tcMar>
              <w:left w:w="57" w:type="dxa"/>
              <w:right w:w="57" w:type="dxa"/>
            </w:tcMar>
          </w:tcPr>
          <w:p w:rsidR="00A104F1" w:rsidRPr="0068089F" w:rsidRDefault="00D21EF0"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التغي</w:t>
            </w:r>
            <w:r w:rsidR="00A104F1" w:rsidRPr="0068089F">
              <w:rPr>
                <w:rFonts w:ascii="Arabic Typesetting" w:hAnsi="Arabic Typesetting" w:cs="Arabic Typesetting"/>
                <w:bCs/>
                <w:sz w:val="30"/>
                <w:szCs w:val="30"/>
                <w:rtl/>
              </w:rPr>
              <w:t>ر في الطلبات</w:t>
            </w:r>
          </w:p>
        </w:tc>
      </w:tr>
      <w:tr w:rsidR="00507195" w:rsidRPr="0068089F" w:rsidTr="00384416">
        <w:trPr>
          <w:cantSplit/>
          <w:trHeight w:val="264"/>
          <w:tblHeader/>
        </w:trPr>
        <w:tc>
          <w:tcPr>
            <w:tcW w:w="2773" w:type="dxa"/>
            <w:gridSpan w:val="2"/>
            <w:tcBorders>
              <w:top w:val="nil"/>
            </w:tcBorders>
            <w:noWrap/>
            <w:hideMark/>
          </w:tcPr>
          <w:p w:rsidR="00507195" w:rsidRPr="0068089F" w:rsidRDefault="00507195" w:rsidP="00E56F23">
            <w:pPr>
              <w:bidi/>
              <w:spacing w:before="20"/>
              <w:rPr>
                <w:rFonts w:ascii="Arabic Typesetting" w:hAnsi="Arabic Typesetting" w:cs="Arabic Typesetting"/>
                <w:b/>
                <w:sz w:val="30"/>
                <w:szCs w:val="30"/>
              </w:rPr>
            </w:pPr>
            <w:r w:rsidRPr="0068089F">
              <w:rPr>
                <w:rFonts w:ascii="Arabic Typesetting" w:hAnsi="Arabic Typesetting" w:cs="Arabic Typesetting"/>
                <w:bCs/>
                <w:sz w:val="30"/>
                <w:szCs w:val="30"/>
                <w:rtl/>
              </w:rPr>
              <w:t>رمز</w:t>
            </w:r>
            <w:r w:rsidRPr="0068089F">
              <w:rPr>
                <w:rFonts w:ascii="Arabic Typesetting" w:hAnsi="Arabic Typesetting" w:cs="Arabic Typesetting"/>
                <w:b/>
                <w:sz w:val="30"/>
                <w:szCs w:val="30"/>
              </w:rPr>
              <w:t xml:space="preserve">ST.3 </w:t>
            </w:r>
            <w:r w:rsidRPr="0068089F">
              <w:rPr>
                <w:rFonts w:ascii="Arabic Typesetting" w:hAnsi="Arabic Typesetting" w:cs="Arabic Typesetting"/>
                <w:bCs/>
                <w:sz w:val="30"/>
                <w:szCs w:val="30"/>
                <w:rtl/>
              </w:rPr>
              <w:t>، الدولة</w:t>
            </w:r>
          </w:p>
        </w:tc>
        <w:tc>
          <w:tcPr>
            <w:tcW w:w="920" w:type="dxa"/>
            <w:tcBorders>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0"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79"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780" w:type="dxa"/>
            <w:tcBorders>
              <w:lef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5"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6" w:type="dxa"/>
            <w:tcBorders>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655"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س+2</w:t>
            </w:r>
          </w:p>
        </w:tc>
        <w:tc>
          <w:tcPr>
            <w:tcW w:w="787" w:type="dxa"/>
            <w:tcBorders>
              <w:righ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قبل</w:t>
            </w:r>
          </w:p>
        </w:tc>
        <w:tc>
          <w:tcPr>
            <w:tcW w:w="788" w:type="dxa"/>
            <w:tcBorders>
              <w:left w:val="dotted" w:sz="4" w:space="0" w:color="auto"/>
            </w:tcBorders>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بعد</w:t>
            </w:r>
          </w:p>
        </w:tc>
        <w:tc>
          <w:tcPr>
            <w:tcW w:w="717" w:type="dxa"/>
            <w:noWrap/>
            <w:tcMar>
              <w:left w:w="57" w:type="dxa"/>
              <w:right w:w="57" w:type="dxa"/>
            </w:tcMar>
            <w:hideMark/>
          </w:tcPr>
          <w:p w:rsidR="00507195" w:rsidRPr="0068089F" w:rsidRDefault="00507195" w:rsidP="00507195">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المجموع</w:t>
            </w:r>
          </w:p>
        </w:tc>
        <w:tc>
          <w:tcPr>
            <w:tcW w:w="717" w:type="dxa"/>
            <w:noWrap/>
            <w:tcMar>
              <w:left w:w="57" w:type="dxa"/>
              <w:right w:w="57" w:type="dxa"/>
            </w:tcMar>
            <w:hideMark/>
          </w:tcPr>
          <w:p w:rsidR="00507195" w:rsidRPr="0068089F" w:rsidRDefault="00507195" w:rsidP="00E56F23">
            <w:pPr>
              <w:bidi/>
              <w:spacing w:before="20"/>
              <w:jc w:val="center"/>
              <w:rPr>
                <w:rFonts w:ascii="Arabic Typesetting" w:hAnsi="Arabic Typesetting" w:cs="Arabic Typesetting"/>
                <w:bCs/>
                <w:sz w:val="30"/>
                <w:szCs w:val="30"/>
              </w:rPr>
            </w:pPr>
            <w:r w:rsidRPr="0068089F">
              <w:rPr>
                <w:rFonts w:ascii="Arabic Typesetting" w:hAnsi="Arabic Typesetting" w:cs="Arabic Typesetting"/>
                <w:bCs/>
                <w:sz w:val="30"/>
                <w:szCs w:val="30"/>
                <w:rtl/>
              </w:rPr>
              <w:t>أشخاص طبيعيون</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AG</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أنتيغوا وبربودا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AL</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ألبانيا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68089F" w:rsidP="00384416">
            <w:pPr>
              <w:bidi/>
              <w:spacing w:before="20"/>
              <w:rPr>
                <w:rFonts w:ascii="Arabic Typesetting" w:hAnsi="Arabic Typesetting" w:cs="Arabic Typesetting"/>
                <w:sz w:val="30"/>
                <w:szCs w:val="30"/>
              </w:rPr>
            </w:pPr>
            <w:r>
              <w:rPr>
                <w:rFonts w:ascii="Arabic Typesetting" w:hAnsi="Arabic Typesetting" w:cs="Arabic Typesetting"/>
                <w:sz w:val="30"/>
                <w:szCs w:val="30"/>
              </w:rPr>
              <w:t>A</w:t>
            </w:r>
            <w:r w:rsidR="00384416">
              <w:rPr>
                <w:rFonts w:ascii="Arabic Typesetting" w:hAnsi="Arabic Typesetting" w:cs="Arabic Typesetting"/>
                <w:sz w:val="30"/>
                <w:szCs w:val="30"/>
              </w:rPr>
              <w:t>M</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أرمينيا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78%</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75</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AR</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الأرجنتين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46</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AZ</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أذربيجان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BA</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البوسنة والهرسك</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BB</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بربادوس</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159</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116</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156</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BG</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بلغاريا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BH</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البحرين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BO</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بوليفيا (دولة - المتعددة القوميات)</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BR</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البرازيل</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633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554</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565</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589</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217</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248</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A104F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BW</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بوتسوانا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BY</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بيلاروس</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BZ</w:t>
            </w:r>
          </w:p>
        </w:tc>
        <w:tc>
          <w:tcPr>
            <w:tcW w:w="2127" w:type="dxa"/>
            <w:tcBorders>
              <w:left w:val="nil"/>
            </w:tcBorders>
            <w:noWrap/>
            <w:hideMark/>
          </w:tcPr>
          <w:p w:rsidR="00812AF8" w:rsidRPr="0068089F" w:rsidRDefault="008326A7"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w:t>
            </w:r>
            <w:r w:rsidR="00812AF8" w:rsidRPr="0068089F">
              <w:rPr>
                <w:rFonts w:ascii="Arabic Typesetting" w:hAnsi="Arabic Typesetting" w:cs="Arabic Typesetting"/>
                <w:sz w:val="30"/>
                <w:szCs w:val="30"/>
                <w:rtl/>
              </w:rPr>
              <w:t>ليز</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CG</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الكونغو</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CI</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كوت ديفوار</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CL</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شيلي</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135</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165</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172</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180</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CM</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الكاميرون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CN</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الصين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23,632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27,082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34,533</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46,363</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3,169</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3,494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5,922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7,111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3,250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3,124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5,264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5,773</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96</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CO</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كولومبيا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96</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80</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134</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CR</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كوستاريكا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45</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82</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CU</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كوبا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CZ</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الجمهورية التشيكية</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186</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188</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DM</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دومينيكا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DO</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الجمهورية الدومينيكية</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63%</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64%</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75</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384416">
        <w:trPr>
          <w:cantSplit/>
          <w:trHeight w:val="264"/>
        </w:trPr>
        <w:tc>
          <w:tcPr>
            <w:tcW w:w="646" w:type="dxa"/>
            <w:tcBorders>
              <w:right w:val="nil"/>
            </w:tcBorders>
            <w:noWrap/>
            <w:hideMark/>
          </w:tcPr>
          <w:p w:rsidR="0008403F" w:rsidRPr="0068089F" w:rsidRDefault="0008403F"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DZ</w:t>
            </w:r>
          </w:p>
        </w:tc>
        <w:tc>
          <w:tcPr>
            <w:tcW w:w="2127" w:type="dxa"/>
            <w:tcBorders>
              <w:left w:val="nil"/>
            </w:tcBorders>
            <w:noWrap/>
            <w:hideMark/>
          </w:tcPr>
          <w:p w:rsidR="0008403F"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الجزائر</w:t>
            </w:r>
          </w:p>
        </w:tc>
        <w:tc>
          <w:tcPr>
            <w:tcW w:w="920"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780"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5"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787"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86%</w:t>
            </w:r>
          </w:p>
        </w:tc>
        <w:tc>
          <w:tcPr>
            <w:tcW w:w="788"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55%</w:t>
            </w:r>
          </w:p>
        </w:tc>
        <w:tc>
          <w:tcPr>
            <w:tcW w:w="717" w:type="dxa"/>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121</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EC</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إكوادور</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EE</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إستونيا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EG</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مصر</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39</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82%</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FM</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ميكرونيزيا (ولايات - الموحدة)</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GA</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غابون</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GE</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جورجيا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81%</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GH</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غانا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GT</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غواتيمالا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D21EF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HN</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هندوراس</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HR</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كرواتيا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45</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HU</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هنغاريا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157</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167</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160</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172</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83</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73</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39%</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ID</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إندونيسيا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IN</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الهند</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1,414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1,338</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1,519</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1,525</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377</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497</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394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IQ</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العراق</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IR</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إيران (جمهورية - الإسلامية)</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70</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66</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59%</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106</w:t>
            </w:r>
            <w:r w:rsidR="00B15A1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103</w:t>
            </w:r>
            <w:r w:rsidR="00B15A1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JM</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جامايكا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JO</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الأردن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75</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KE</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كينيا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KG</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قيرغيزستان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KN</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سانت كيتس ونيفس</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KP</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جمهورية كوريا الشعبية الديمقراطية</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88%</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KZ</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كازاخستان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74%</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77%</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52</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LB</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لبنان</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78</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LC</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سانت لوسيا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LK</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سري لانكا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LT</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ليتوانيا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133</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LV</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لاتفيا</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r w:rsidR="00E0206B"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LY</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ليبيا</w:t>
            </w:r>
          </w:p>
        </w:tc>
        <w:tc>
          <w:tcPr>
            <w:tcW w:w="920"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812AF8" w:rsidRPr="0068089F" w:rsidTr="00384416">
        <w:trPr>
          <w:cantSplit/>
          <w:trHeight w:val="264"/>
        </w:trPr>
        <w:tc>
          <w:tcPr>
            <w:tcW w:w="646" w:type="dxa"/>
            <w:tcBorders>
              <w:righ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MA</w:t>
            </w:r>
          </w:p>
        </w:tc>
        <w:tc>
          <w:tcPr>
            <w:tcW w:w="2127" w:type="dxa"/>
            <w:tcBorders>
              <w:left w:val="nil"/>
            </w:tcBorders>
            <w:noWrap/>
            <w:hideMark/>
          </w:tcPr>
          <w:p w:rsidR="00812AF8" w:rsidRPr="0068089F" w:rsidRDefault="00812AF8"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المغرب</w:t>
            </w:r>
          </w:p>
        </w:tc>
        <w:tc>
          <w:tcPr>
            <w:tcW w:w="920"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780"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79"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780"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655"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w:t>
            </w:r>
          </w:p>
        </w:tc>
        <w:tc>
          <w:tcPr>
            <w:tcW w:w="656" w:type="dxa"/>
            <w:tcBorders>
              <w:left w:val="dotted" w:sz="4" w:space="0" w:color="auto"/>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6"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87" w:type="dxa"/>
            <w:tcBorders>
              <w:righ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8" w:type="dxa"/>
            <w:tcBorders>
              <w:left w:val="dotted" w:sz="4" w:space="0" w:color="auto"/>
            </w:tcBorders>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812AF8" w:rsidRPr="0068089F" w:rsidRDefault="00812AF8"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08403F" w:rsidRPr="0068089F" w:rsidTr="00384416">
        <w:trPr>
          <w:cantSplit/>
          <w:trHeight w:val="264"/>
        </w:trPr>
        <w:tc>
          <w:tcPr>
            <w:tcW w:w="646" w:type="dxa"/>
            <w:tcBorders>
              <w:right w:val="nil"/>
            </w:tcBorders>
            <w:noWrap/>
            <w:hideMark/>
          </w:tcPr>
          <w:p w:rsidR="0008403F" w:rsidRPr="0068089F" w:rsidRDefault="0008403F"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MD</w:t>
            </w:r>
          </w:p>
        </w:tc>
        <w:tc>
          <w:tcPr>
            <w:tcW w:w="2127" w:type="dxa"/>
            <w:tcBorders>
              <w:left w:val="nil"/>
            </w:tcBorders>
            <w:noWrap/>
            <w:hideMark/>
          </w:tcPr>
          <w:p w:rsidR="0008403F"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جمهورية مولدوفا</w:t>
            </w:r>
          </w:p>
        </w:tc>
        <w:tc>
          <w:tcPr>
            <w:tcW w:w="920"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80"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87" w:type="dxa"/>
            <w:tcBorders>
              <w:righ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80%</w:t>
            </w:r>
          </w:p>
        </w:tc>
        <w:tc>
          <w:tcPr>
            <w:tcW w:w="788" w:type="dxa"/>
            <w:tcBorders>
              <w:left w:val="dotted" w:sz="4" w:space="0" w:color="auto"/>
            </w:tcBorders>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08403F" w:rsidRPr="0068089F" w:rsidRDefault="0008403F"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ME</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الجبل الأسود</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MH</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جزر مارشال</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MK</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جمهورية مقدونيا اليوغوسلافية السابقة</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MN</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منغوليا</w:t>
            </w:r>
          </w:p>
        </w:tc>
        <w:tc>
          <w:tcPr>
            <w:tcW w:w="920"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MU</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موريشيوس</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MX</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المكسيك</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289</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290</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155</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145</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139</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139</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MY</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ماليزيا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400</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204</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235</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169</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45</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NA</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ناميبيا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NG</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نيجيريا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NI</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نيكاراغوا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OM</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عمان</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PA</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بنما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106</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PE</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بيرو</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66%</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76%</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PH</w:t>
            </w:r>
          </w:p>
        </w:tc>
        <w:tc>
          <w:tcPr>
            <w:tcW w:w="2127" w:type="dxa"/>
            <w:tcBorders>
              <w:left w:val="nil"/>
            </w:tcBorders>
            <w:noWrap/>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الفلبين</w:t>
            </w:r>
          </w:p>
        </w:tc>
        <w:tc>
          <w:tcPr>
            <w:tcW w:w="920"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780"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p>
        </w:tc>
        <w:tc>
          <w:tcPr>
            <w:tcW w:w="779"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w:t>
            </w:r>
          </w:p>
        </w:tc>
        <w:tc>
          <w:tcPr>
            <w:tcW w:w="780"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655"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p>
        </w:tc>
        <w:tc>
          <w:tcPr>
            <w:tcW w:w="655"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6"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5"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656"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7"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58%</w:t>
            </w:r>
          </w:p>
        </w:tc>
        <w:tc>
          <w:tcPr>
            <w:tcW w:w="788"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63%</w:t>
            </w:r>
          </w:p>
        </w:tc>
        <w:tc>
          <w:tcPr>
            <w:tcW w:w="717" w:type="dxa"/>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PK</w:t>
            </w:r>
          </w:p>
        </w:tc>
        <w:tc>
          <w:tcPr>
            <w:tcW w:w="2127" w:type="dxa"/>
            <w:tcBorders>
              <w:left w:val="nil"/>
            </w:tcBorders>
            <w:noWrap/>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باكستان</w:t>
            </w:r>
          </w:p>
        </w:tc>
        <w:tc>
          <w:tcPr>
            <w:tcW w:w="920"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tcPr>
          <w:p w:rsidR="00DD2611" w:rsidRPr="0068089F" w:rsidRDefault="00DD2611" w:rsidP="00467F85">
            <w:pPr>
              <w:tabs>
                <w:tab w:val="left" w:pos="420"/>
              </w:tabs>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PL</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بولندا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375</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339</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56</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94</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91</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PY</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باراغواي</w:t>
            </w:r>
          </w:p>
        </w:tc>
        <w:tc>
          <w:tcPr>
            <w:tcW w:w="920"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RO</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رومانيا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RS</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صربيا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RU</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الاتحاد الروسي</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1,033</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820</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862</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1,021</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598</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468</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454</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543</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542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434</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484</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53%</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49%</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SC</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سيشيل</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62</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SK</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سلوفاكيا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33%</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18</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SV</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السلفادور</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SY</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الجمهورية العربية السورية</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SZ</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سوازيلند</w:t>
            </w:r>
          </w:p>
        </w:tc>
        <w:tc>
          <w:tcPr>
            <w:tcW w:w="920"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76720D"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TH</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تايلند</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66</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98</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159</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146</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35</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57</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48</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27</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34%</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86</w:t>
            </w:r>
            <w:r w:rsidR="002B7C4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44</w:t>
            </w:r>
            <w:r w:rsidR="002B7C4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TN</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تونس</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67%</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36</w:t>
            </w:r>
            <w:r w:rsidR="002B7C4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22</w:t>
            </w:r>
            <w:r w:rsidR="002B7C4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TO</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تونغا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TR</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تركيا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822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910</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1,024</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1,148</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216</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254</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268</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289</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237</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267</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24%</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2B7C40"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19</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TT</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ترينيداد وتوباغو</w:t>
            </w:r>
          </w:p>
        </w:tc>
        <w:tc>
          <w:tcPr>
            <w:tcW w:w="920"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5"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700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700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UA</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أوكرانيا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158</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132</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156</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155</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125</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145</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137</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114</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96</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123</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72%</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85%</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25</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UY</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أوروغواي</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47</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200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UZ</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أوزبكستان</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63%</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38</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29</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VC</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سانت فنسنت وجزر غرينادين</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VE</w:t>
            </w:r>
          </w:p>
        </w:tc>
        <w:tc>
          <w:tcPr>
            <w:tcW w:w="2127" w:type="dxa"/>
            <w:tcBorders>
              <w:left w:val="nil"/>
            </w:tcBorders>
            <w:noWrap/>
            <w:hideMark/>
          </w:tcPr>
          <w:p w:rsidR="00DD2611" w:rsidRPr="0068089F" w:rsidRDefault="00DD2611" w:rsidP="00DD2611">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فنزويلا (جمهورية – البوليفارية)</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VN</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فييت نام</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17</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16</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9</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61%</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86</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ZA</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جنوب أفريقيا</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315</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318</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304</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286</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138</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130</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117</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142</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132</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119</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120</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43%</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41%</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7</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11</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r w:rsidR="00DD2611" w:rsidRPr="0068089F" w:rsidTr="00384416">
        <w:trPr>
          <w:cantSplit/>
          <w:trHeight w:val="264"/>
        </w:trPr>
        <w:tc>
          <w:tcPr>
            <w:tcW w:w="646" w:type="dxa"/>
            <w:tcBorders>
              <w:righ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Pr>
              <w:t>ZW</w:t>
            </w:r>
          </w:p>
        </w:tc>
        <w:tc>
          <w:tcPr>
            <w:tcW w:w="2127" w:type="dxa"/>
            <w:tcBorders>
              <w:left w:val="nil"/>
            </w:tcBorders>
            <w:noWrap/>
            <w:hideMark/>
          </w:tcPr>
          <w:p w:rsidR="00DD2611" w:rsidRPr="0068089F" w:rsidRDefault="00DD2611" w:rsidP="00467F85">
            <w:pPr>
              <w:bidi/>
              <w:spacing w:before="20"/>
              <w:rPr>
                <w:rFonts w:ascii="Arabic Typesetting" w:hAnsi="Arabic Typesetting" w:cs="Arabic Typesetting"/>
                <w:sz w:val="30"/>
                <w:szCs w:val="30"/>
              </w:rPr>
            </w:pPr>
            <w:r w:rsidRPr="0068089F">
              <w:rPr>
                <w:rFonts w:ascii="Arabic Typesetting" w:hAnsi="Arabic Typesetting" w:cs="Arabic Typesetting"/>
                <w:sz w:val="30"/>
                <w:szCs w:val="30"/>
                <w:rtl/>
              </w:rPr>
              <w:t>زمبابوي</w:t>
            </w:r>
          </w:p>
        </w:tc>
        <w:tc>
          <w:tcPr>
            <w:tcW w:w="920"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5"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656"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2</w:t>
            </w:r>
          </w:p>
        </w:tc>
        <w:tc>
          <w:tcPr>
            <w:tcW w:w="787" w:type="dxa"/>
            <w:tcBorders>
              <w:righ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100%</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c>
          <w:tcPr>
            <w:tcW w:w="717" w:type="dxa"/>
            <w:noWrap/>
            <w:tcMar>
              <w:left w:w="57" w:type="dxa"/>
              <w:right w:w="57" w:type="dxa"/>
            </w:tcMar>
            <w:hideMark/>
          </w:tcPr>
          <w:p w:rsidR="00DD2611" w:rsidRPr="0068089F" w:rsidRDefault="00DD2611" w:rsidP="00467F85">
            <w:pPr>
              <w:bidi/>
              <w:spacing w:before="20"/>
              <w:jc w:val="right"/>
              <w:rPr>
                <w:rFonts w:ascii="Arabic Typesetting" w:hAnsi="Arabic Typesetting" w:cs="Arabic Typesetting"/>
                <w:sz w:val="30"/>
                <w:szCs w:val="30"/>
              </w:rPr>
            </w:pPr>
            <w:r w:rsidRPr="0068089F">
              <w:rPr>
                <w:rFonts w:ascii="Arabic Typesetting" w:hAnsi="Arabic Typesetting" w:cs="Arabic Typesetting"/>
                <w:sz w:val="30"/>
                <w:szCs w:val="30"/>
                <w:rtl/>
              </w:rPr>
              <w:t>50</w:t>
            </w:r>
            <w:r w:rsidR="001A6AB1" w:rsidRPr="0068089F">
              <w:rPr>
                <w:rFonts w:ascii="Arabic Typesetting" w:hAnsi="Arabic Typesetting" w:cs="Arabic Typesetting"/>
                <w:sz w:val="30"/>
                <w:szCs w:val="30"/>
                <w:rtl/>
              </w:rPr>
              <w:t>+</w:t>
            </w:r>
            <w:r w:rsidRPr="0068089F">
              <w:rPr>
                <w:rFonts w:ascii="Arabic Typesetting" w:hAnsi="Arabic Typesetting" w:cs="Arabic Typesetting"/>
                <w:sz w:val="30"/>
                <w:szCs w:val="30"/>
                <w:rtl/>
              </w:rPr>
              <w:t>%</w:t>
            </w:r>
          </w:p>
        </w:tc>
      </w:tr>
    </w:tbl>
    <w:p w:rsidR="0008403F" w:rsidRPr="007F012F" w:rsidRDefault="0008403F" w:rsidP="0008403F">
      <w:pPr>
        <w:rPr>
          <w:b/>
        </w:rPr>
      </w:pPr>
      <w:r w:rsidRPr="007F012F">
        <w:rPr>
          <w:b/>
        </w:rPr>
        <w:br w:type="page"/>
      </w:r>
    </w:p>
    <w:p w:rsidR="0008403F" w:rsidRPr="00384416" w:rsidRDefault="00DD2611" w:rsidP="00361D3F">
      <w:pPr>
        <w:bidi/>
        <w:spacing w:after="120"/>
        <w:ind w:right="821"/>
        <w:jc w:val="center"/>
        <w:rPr>
          <w:rFonts w:ascii="Arabic Typesetting" w:eastAsia="SimSun" w:hAnsi="Arabic Typesetting" w:cs="Arabic Typesetting"/>
          <w:bCs/>
          <w:sz w:val="36"/>
          <w:szCs w:val="36"/>
          <w:lang w:eastAsia="zh-CN"/>
        </w:rPr>
      </w:pPr>
      <w:r w:rsidRPr="00384416">
        <w:rPr>
          <w:rFonts w:ascii="Arabic Typesetting" w:eastAsia="SimSun" w:hAnsi="Arabic Typesetting" w:cs="Arabic Typesetting" w:hint="cs"/>
          <w:bCs/>
          <w:sz w:val="36"/>
          <w:szCs w:val="36"/>
          <w:rtl/>
          <w:lang w:eastAsia="zh-CN"/>
        </w:rPr>
        <w:t xml:space="preserve">الجدول </w:t>
      </w:r>
      <w:r w:rsidR="00361D3F" w:rsidRPr="00384416">
        <w:rPr>
          <w:rFonts w:ascii="Arabic Typesetting" w:eastAsia="SimSun" w:hAnsi="Arabic Typesetting" w:cs="Arabic Typesetting" w:hint="cs"/>
          <w:bCs/>
          <w:sz w:val="36"/>
          <w:szCs w:val="36"/>
          <w:rtl/>
          <w:lang w:eastAsia="zh-CN"/>
        </w:rPr>
        <w:t>(</w:t>
      </w:r>
      <w:r w:rsidRPr="00384416">
        <w:rPr>
          <w:rFonts w:ascii="Arabic Typesetting" w:eastAsia="SimSun" w:hAnsi="Arabic Typesetting" w:cs="Arabic Typesetting" w:hint="cs"/>
          <w:bCs/>
          <w:sz w:val="36"/>
          <w:szCs w:val="36"/>
          <w:rtl/>
          <w:lang w:eastAsia="zh-CN"/>
        </w:rPr>
        <w:t>د</w:t>
      </w:r>
      <w:r w:rsidR="00156406">
        <w:rPr>
          <w:rFonts w:ascii="Arabic Typesetting" w:eastAsia="SimSun" w:hAnsi="Arabic Typesetting" w:cs="Arabic Typesetting" w:hint="cs"/>
          <w:bCs/>
          <w:sz w:val="36"/>
          <w:szCs w:val="36"/>
          <w:rtl/>
          <w:lang w:eastAsia="zh-CN"/>
        </w:rPr>
        <w:t>ال</w:t>
      </w:r>
      <w:r w:rsidR="00361D3F" w:rsidRPr="00384416">
        <w:rPr>
          <w:rFonts w:ascii="Arabic Typesetting" w:eastAsia="SimSun" w:hAnsi="Arabic Typesetting" w:cs="Arabic Typesetting" w:hint="cs"/>
          <w:bCs/>
          <w:sz w:val="36"/>
          <w:szCs w:val="36"/>
          <w:rtl/>
          <w:lang w:eastAsia="zh-CN"/>
        </w:rPr>
        <w:t>)</w:t>
      </w:r>
    </w:p>
    <w:p w:rsidR="003A4E87" w:rsidRPr="00384416" w:rsidRDefault="003A4E87" w:rsidP="00156406">
      <w:pPr>
        <w:bidi/>
        <w:spacing w:after="240"/>
        <w:ind w:right="821"/>
        <w:jc w:val="center"/>
        <w:rPr>
          <w:rFonts w:ascii="Arabic Typesetting" w:eastAsia="SimSun" w:hAnsi="Arabic Typesetting" w:cs="Arabic Typesetting"/>
          <w:bCs/>
          <w:sz w:val="36"/>
          <w:szCs w:val="36"/>
          <w:lang w:eastAsia="zh-CN"/>
        </w:rPr>
      </w:pPr>
      <w:r w:rsidRPr="00384416">
        <w:rPr>
          <w:rFonts w:ascii="Arabic Typesetting" w:eastAsia="SimSun" w:hAnsi="Arabic Typesetting" w:cs="Arabic Typesetting"/>
          <w:bCs/>
          <w:sz w:val="36"/>
          <w:szCs w:val="36"/>
          <w:rtl/>
          <w:lang w:eastAsia="zh-CN"/>
        </w:rPr>
        <w:t>أقل البلدان نموا</w:t>
      </w:r>
      <w:r w:rsidRPr="00384416">
        <w:rPr>
          <w:rFonts w:ascii="Arabic Typesetting" w:eastAsia="SimSun" w:hAnsi="Arabic Typesetting" w:cs="Arabic Typesetting" w:hint="cs"/>
          <w:bCs/>
          <w:sz w:val="36"/>
          <w:szCs w:val="36"/>
          <w:rtl/>
          <w:lang w:eastAsia="zh-CN"/>
        </w:rPr>
        <w:t>ً</w:t>
      </w:r>
      <w:r w:rsidRPr="00384416">
        <w:rPr>
          <w:rFonts w:ascii="Arabic Typesetting" w:eastAsia="SimSun" w:hAnsi="Arabic Typesetting" w:cs="Arabic Typesetting"/>
          <w:bCs/>
          <w:sz w:val="36"/>
          <w:szCs w:val="36"/>
          <w:rtl/>
          <w:lang w:eastAsia="zh-CN"/>
        </w:rPr>
        <w:t xml:space="preserve"> التي يحق لمواطنيها والمقيمين فيها الاستفادة من تخفيضات الرسوم سواء كانوا أشخاصا</w:t>
      </w:r>
      <w:r w:rsidRPr="00384416">
        <w:rPr>
          <w:rFonts w:ascii="Arabic Typesetting" w:eastAsia="SimSun" w:hAnsi="Arabic Typesetting" w:cs="Arabic Typesetting" w:hint="cs"/>
          <w:bCs/>
          <w:sz w:val="36"/>
          <w:szCs w:val="36"/>
          <w:rtl/>
          <w:lang w:eastAsia="zh-CN"/>
        </w:rPr>
        <w:t>ً</w:t>
      </w:r>
      <w:r w:rsidRPr="00384416">
        <w:rPr>
          <w:rFonts w:ascii="Arabic Typesetting" w:eastAsia="SimSun" w:hAnsi="Arabic Typesetting" w:cs="Arabic Typesetting"/>
          <w:bCs/>
          <w:sz w:val="36"/>
          <w:szCs w:val="36"/>
          <w:rtl/>
          <w:lang w:eastAsia="zh-CN"/>
        </w:rPr>
        <w:t xml:space="preserve"> طبيعيين أم لا</w:t>
      </w:r>
    </w:p>
    <w:tbl>
      <w:tblPr>
        <w:tblStyle w:val="TableGrid"/>
        <w:bidiVisual/>
        <w:tblW w:w="0" w:type="auto"/>
        <w:tblLayout w:type="fixed"/>
        <w:tblLook w:val="04A0" w:firstRow="1" w:lastRow="0" w:firstColumn="1" w:lastColumn="0" w:noHBand="0" w:noVBand="1"/>
      </w:tblPr>
      <w:tblGrid>
        <w:gridCol w:w="646"/>
        <w:gridCol w:w="2127"/>
        <w:gridCol w:w="920"/>
        <w:gridCol w:w="780"/>
        <w:gridCol w:w="779"/>
        <w:gridCol w:w="780"/>
        <w:gridCol w:w="655"/>
        <w:gridCol w:w="656"/>
        <w:gridCol w:w="655"/>
        <w:gridCol w:w="656"/>
        <w:gridCol w:w="656"/>
        <w:gridCol w:w="655"/>
        <w:gridCol w:w="656"/>
        <w:gridCol w:w="656"/>
        <w:gridCol w:w="787"/>
        <w:gridCol w:w="788"/>
        <w:gridCol w:w="717"/>
        <w:gridCol w:w="717"/>
      </w:tblGrid>
      <w:tr w:rsidR="003A4E87" w:rsidRPr="00384416" w:rsidTr="00384416">
        <w:trPr>
          <w:cantSplit/>
          <w:trHeight w:val="264"/>
          <w:tblHeader/>
        </w:trPr>
        <w:tc>
          <w:tcPr>
            <w:tcW w:w="646" w:type="dxa"/>
            <w:tcBorders>
              <w:bottom w:val="nil"/>
              <w:right w:val="nil"/>
            </w:tcBorders>
            <w:noWrap/>
          </w:tcPr>
          <w:p w:rsidR="003A4E87" w:rsidRPr="00384416" w:rsidRDefault="003A4E87" w:rsidP="00467F85">
            <w:pPr>
              <w:spacing w:before="20"/>
              <w:rPr>
                <w:rFonts w:ascii="Arabic Typesetting" w:hAnsi="Arabic Typesetting" w:cs="Arabic Typesetting"/>
                <w:sz w:val="30"/>
                <w:szCs w:val="30"/>
              </w:rPr>
            </w:pPr>
          </w:p>
        </w:tc>
        <w:tc>
          <w:tcPr>
            <w:tcW w:w="2127" w:type="dxa"/>
            <w:tcBorders>
              <w:left w:val="nil"/>
              <w:bottom w:val="nil"/>
            </w:tcBorders>
            <w:noWrap/>
          </w:tcPr>
          <w:p w:rsidR="003A4E87" w:rsidRPr="00384416" w:rsidRDefault="003A4E87" w:rsidP="00467F85">
            <w:pPr>
              <w:spacing w:before="20"/>
              <w:rPr>
                <w:rFonts w:ascii="Arabic Typesetting" w:hAnsi="Arabic Typesetting" w:cs="Arabic Typesetting"/>
                <w:sz w:val="30"/>
                <w:szCs w:val="30"/>
              </w:rPr>
            </w:pPr>
          </w:p>
        </w:tc>
        <w:tc>
          <w:tcPr>
            <w:tcW w:w="3259"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مجموع الطلبات</w:t>
            </w:r>
          </w:p>
        </w:tc>
        <w:tc>
          <w:tcPr>
            <w:tcW w:w="2622"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الطلبات المقدمة من الأشخاص الطبيعيين فقط</w:t>
            </w:r>
          </w:p>
        </w:tc>
        <w:tc>
          <w:tcPr>
            <w:tcW w:w="2623"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الطلبات المطال</w:t>
            </w:r>
            <w:r w:rsidR="00191A7A" w:rsidRPr="00384416">
              <w:rPr>
                <w:rFonts w:ascii="Arabic Typesetting" w:hAnsi="Arabic Typesetting" w:cs="Arabic Typesetting"/>
                <w:bCs/>
                <w:sz w:val="30"/>
                <w:szCs w:val="30"/>
                <w:rtl/>
              </w:rPr>
              <w:t>ِ</w:t>
            </w:r>
            <w:r w:rsidRPr="00384416">
              <w:rPr>
                <w:rFonts w:ascii="Arabic Typesetting" w:hAnsi="Arabic Typesetting" w:cs="Arabic Typesetting"/>
                <w:bCs/>
                <w:sz w:val="30"/>
                <w:szCs w:val="30"/>
                <w:rtl/>
              </w:rPr>
              <w:t>بة بالتخفيض في الرسوم</w:t>
            </w:r>
          </w:p>
        </w:tc>
        <w:tc>
          <w:tcPr>
            <w:tcW w:w="1575" w:type="dxa"/>
            <w:gridSpan w:val="2"/>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النسبة من جميع الطلبات مع التخفيضات</w:t>
            </w:r>
          </w:p>
        </w:tc>
        <w:tc>
          <w:tcPr>
            <w:tcW w:w="1434" w:type="dxa"/>
            <w:gridSpan w:val="2"/>
            <w:noWrap/>
            <w:tcMar>
              <w:left w:w="57" w:type="dxa"/>
              <w:right w:w="57" w:type="dxa"/>
            </w:tcMar>
          </w:tcPr>
          <w:p w:rsidR="003A4E87" w:rsidRPr="00384416" w:rsidRDefault="003636E3"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التغي</w:t>
            </w:r>
            <w:r w:rsidR="003A4E87" w:rsidRPr="00384416">
              <w:rPr>
                <w:rFonts w:ascii="Arabic Typesetting" w:hAnsi="Arabic Typesetting" w:cs="Arabic Typesetting"/>
                <w:bCs/>
                <w:sz w:val="30"/>
                <w:szCs w:val="30"/>
                <w:rtl/>
              </w:rPr>
              <w:t>ر في الطلبات</w:t>
            </w:r>
          </w:p>
        </w:tc>
      </w:tr>
      <w:tr w:rsidR="00507195" w:rsidRPr="00384416" w:rsidTr="00384416">
        <w:trPr>
          <w:cantSplit/>
          <w:trHeight w:val="264"/>
          <w:tblHeader/>
        </w:trPr>
        <w:tc>
          <w:tcPr>
            <w:tcW w:w="2773" w:type="dxa"/>
            <w:gridSpan w:val="2"/>
            <w:tcBorders>
              <w:top w:val="nil"/>
            </w:tcBorders>
            <w:noWrap/>
            <w:hideMark/>
          </w:tcPr>
          <w:p w:rsidR="00507195" w:rsidRPr="00384416" w:rsidRDefault="00507195" w:rsidP="00E56F23">
            <w:pPr>
              <w:bidi/>
              <w:spacing w:before="20"/>
              <w:rPr>
                <w:rFonts w:ascii="Arabic Typesetting" w:hAnsi="Arabic Typesetting" w:cs="Arabic Typesetting"/>
                <w:b/>
                <w:sz w:val="30"/>
                <w:szCs w:val="30"/>
              </w:rPr>
            </w:pPr>
            <w:r w:rsidRPr="00384416">
              <w:rPr>
                <w:rFonts w:ascii="Arabic Typesetting" w:hAnsi="Arabic Typesetting" w:cs="Arabic Typesetting"/>
                <w:bCs/>
                <w:sz w:val="30"/>
                <w:szCs w:val="30"/>
                <w:rtl/>
              </w:rPr>
              <w:t>رمز</w:t>
            </w:r>
            <w:r w:rsidRPr="00384416">
              <w:rPr>
                <w:rFonts w:ascii="Arabic Typesetting" w:hAnsi="Arabic Typesetting" w:cs="Arabic Typesetting"/>
                <w:b/>
                <w:sz w:val="30"/>
                <w:szCs w:val="30"/>
              </w:rPr>
              <w:t xml:space="preserve">ST.3 </w:t>
            </w:r>
            <w:r w:rsidRPr="00384416">
              <w:rPr>
                <w:rFonts w:ascii="Arabic Typesetting" w:hAnsi="Arabic Typesetting" w:cs="Arabic Typesetting"/>
                <w:bCs/>
                <w:sz w:val="30"/>
                <w:szCs w:val="30"/>
                <w:rtl/>
              </w:rPr>
              <w:t>، الدولة</w:t>
            </w:r>
          </w:p>
        </w:tc>
        <w:tc>
          <w:tcPr>
            <w:tcW w:w="920" w:type="dxa"/>
            <w:tcBorders>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780"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779"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780" w:type="dxa"/>
            <w:tcBorders>
              <w:lef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655" w:type="dxa"/>
            <w:tcBorders>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656"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655"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656" w:type="dxa"/>
            <w:tcBorders>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655"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656" w:type="dxa"/>
            <w:tcBorders>
              <w:left w:val="dotted" w:sz="4" w:space="0" w:color="auto"/>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س+1</w:t>
            </w:r>
          </w:p>
        </w:tc>
        <w:tc>
          <w:tcPr>
            <w:tcW w:w="656" w:type="dxa"/>
            <w:tcBorders>
              <w:lef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س+2</w:t>
            </w:r>
          </w:p>
        </w:tc>
        <w:tc>
          <w:tcPr>
            <w:tcW w:w="787" w:type="dxa"/>
            <w:tcBorders>
              <w:righ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قبل</w:t>
            </w:r>
          </w:p>
        </w:tc>
        <w:tc>
          <w:tcPr>
            <w:tcW w:w="788" w:type="dxa"/>
            <w:tcBorders>
              <w:left w:val="dotted" w:sz="4" w:space="0" w:color="auto"/>
            </w:tcBorders>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بعد</w:t>
            </w:r>
          </w:p>
        </w:tc>
        <w:tc>
          <w:tcPr>
            <w:tcW w:w="717" w:type="dxa"/>
            <w:noWrap/>
            <w:tcMar>
              <w:left w:w="57" w:type="dxa"/>
              <w:right w:w="57" w:type="dxa"/>
            </w:tcMar>
            <w:hideMark/>
          </w:tcPr>
          <w:p w:rsidR="00507195"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المجموع</w:t>
            </w:r>
          </w:p>
        </w:tc>
        <w:tc>
          <w:tcPr>
            <w:tcW w:w="717" w:type="dxa"/>
            <w:noWrap/>
            <w:tcMar>
              <w:left w:w="57" w:type="dxa"/>
              <w:right w:w="57" w:type="dxa"/>
            </w:tcMar>
            <w:hideMark/>
          </w:tcPr>
          <w:p w:rsidR="00507195" w:rsidRPr="00384416" w:rsidRDefault="00507195" w:rsidP="00E56F23">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أشخاص طبيعيون</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AO</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أنغولا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75</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75</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BD</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بنغلاديش</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BI</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بوروندي</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CD</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جمهورية الكونغو الديمقراطية</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ER</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إريتريا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KH</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كمبوديا</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LA</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جمهورية لاو الديمقراطية الشعبية</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LR</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ليبيريا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MG</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مدغشقر</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tcMar>
              <w:left w:w="115" w:type="dxa"/>
              <w:right w:w="72" w:type="dxa"/>
            </w:tcMar>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MW</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ملاوي</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MZ</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موزامبيق</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NE</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النيجر</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RW</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رواندا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SD</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السودان</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38%</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78%</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SN</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السنغال</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TD</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تشاد</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TG</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توغو</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TZ</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جمهورية تنزانيا المتحدة</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UG</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أوغندا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غير متاح</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VU</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فانواتو</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WS</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ساموا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22%</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56</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YE</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اليمن</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788"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200%</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575F39"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bl>
    <w:p w:rsidR="0008403F" w:rsidRPr="007F012F" w:rsidRDefault="0008403F" w:rsidP="0008403F">
      <w:pPr>
        <w:rPr>
          <w:b/>
        </w:rPr>
      </w:pPr>
      <w:r w:rsidRPr="007F012F">
        <w:rPr>
          <w:b/>
        </w:rPr>
        <w:br w:type="page"/>
      </w:r>
    </w:p>
    <w:p w:rsidR="0008403F" w:rsidRPr="003A4E87" w:rsidRDefault="007F012F" w:rsidP="00361D3F">
      <w:pPr>
        <w:bidi/>
        <w:spacing w:after="120"/>
        <w:ind w:right="821"/>
        <w:jc w:val="center"/>
        <w:rPr>
          <w:rFonts w:ascii="Arabic Typesetting" w:eastAsia="SimSun" w:hAnsi="Arabic Typesetting" w:cs="Arabic Typesetting"/>
          <w:bCs/>
          <w:sz w:val="36"/>
          <w:szCs w:val="36"/>
          <w:lang w:eastAsia="zh-CN"/>
        </w:rPr>
      </w:pPr>
      <w:r w:rsidRPr="003A4E87">
        <w:rPr>
          <w:rFonts w:ascii="Arabic Typesetting" w:eastAsia="SimSun" w:hAnsi="Arabic Typesetting" w:cs="Arabic Typesetting" w:hint="cs"/>
          <w:bCs/>
          <w:sz w:val="36"/>
          <w:szCs w:val="36"/>
          <w:rtl/>
          <w:lang w:eastAsia="zh-CN"/>
        </w:rPr>
        <w:t xml:space="preserve">الجدول </w:t>
      </w:r>
      <w:r w:rsidR="00361D3F">
        <w:rPr>
          <w:rFonts w:ascii="Arabic Typesetting" w:eastAsia="SimSun" w:hAnsi="Arabic Typesetting" w:cs="Arabic Typesetting" w:hint="cs"/>
          <w:bCs/>
          <w:sz w:val="36"/>
          <w:szCs w:val="36"/>
          <w:rtl/>
          <w:lang w:eastAsia="zh-CN"/>
        </w:rPr>
        <w:t>(</w:t>
      </w:r>
      <w:r w:rsidRPr="003A4E87">
        <w:rPr>
          <w:rFonts w:ascii="Arabic Typesetting" w:eastAsia="SimSun" w:hAnsi="Arabic Typesetting" w:cs="Arabic Typesetting" w:hint="cs"/>
          <w:bCs/>
          <w:sz w:val="36"/>
          <w:szCs w:val="36"/>
          <w:rtl/>
          <w:lang w:eastAsia="zh-CN"/>
        </w:rPr>
        <w:t>ه</w:t>
      </w:r>
      <w:r w:rsidR="00156406">
        <w:rPr>
          <w:rFonts w:ascii="Arabic Typesetting" w:eastAsia="SimSun" w:hAnsi="Arabic Typesetting" w:cs="Arabic Typesetting" w:hint="cs"/>
          <w:bCs/>
          <w:sz w:val="36"/>
          <w:szCs w:val="36"/>
          <w:rtl/>
          <w:lang w:eastAsia="zh-CN"/>
        </w:rPr>
        <w:t>اء</w:t>
      </w:r>
      <w:r w:rsidR="00361D3F">
        <w:rPr>
          <w:rFonts w:ascii="Arabic Typesetting" w:eastAsia="SimSun" w:hAnsi="Arabic Typesetting" w:cs="Arabic Typesetting" w:hint="cs"/>
          <w:bCs/>
          <w:sz w:val="36"/>
          <w:szCs w:val="36"/>
          <w:rtl/>
          <w:lang w:eastAsia="zh-CN"/>
        </w:rPr>
        <w:t>)</w:t>
      </w:r>
    </w:p>
    <w:p w:rsidR="003A4E87" w:rsidRDefault="003A4E87" w:rsidP="00156406">
      <w:pPr>
        <w:bidi/>
        <w:spacing w:after="60"/>
        <w:ind w:right="821"/>
        <w:jc w:val="center"/>
        <w:rPr>
          <w:rFonts w:ascii="Arabic Typesetting" w:eastAsia="SimSun" w:hAnsi="Arabic Typesetting" w:cs="Arabic Typesetting"/>
          <w:bCs/>
          <w:sz w:val="36"/>
          <w:szCs w:val="36"/>
          <w:lang w:eastAsia="zh-CN"/>
        </w:rPr>
      </w:pPr>
      <w:r w:rsidRPr="006E1D93">
        <w:rPr>
          <w:rFonts w:ascii="Arabic Typesetting" w:eastAsia="SimSun" w:hAnsi="Arabic Typesetting" w:cs="Arabic Typesetting"/>
          <w:bCs/>
          <w:sz w:val="36"/>
          <w:szCs w:val="36"/>
          <w:rtl/>
          <w:lang w:eastAsia="zh-CN"/>
        </w:rPr>
        <w:t>دول لم يكن لأشخاصها الطبيعيين من مقيمين ومواطنين أهلية الاستفادة من تخفيضات الرسوم طوال المدة التي يغطيها التقرير</w:t>
      </w:r>
    </w:p>
    <w:p w:rsidR="003A4E87" w:rsidRPr="003A4E87" w:rsidRDefault="003A4E87" w:rsidP="00156406">
      <w:pPr>
        <w:bidi/>
        <w:spacing w:after="240"/>
        <w:ind w:right="821"/>
        <w:jc w:val="center"/>
        <w:rPr>
          <w:rFonts w:ascii="Arabic Typesetting" w:eastAsia="SimSun" w:hAnsi="Arabic Typesetting" w:cs="Arabic Typesetting"/>
          <w:bCs/>
          <w:sz w:val="36"/>
          <w:szCs w:val="36"/>
          <w:lang w:eastAsia="zh-CN"/>
        </w:rPr>
      </w:pPr>
      <w:r w:rsidRPr="003A4E87">
        <w:rPr>
          <w:rFonts w:ascii="Arabic Typesetting" w:eastAsia="SimSun" w:hAnsi="Arabic Typesetting" w:cs="Arabic Typesetting" w:hint="cs"/>
          <w:bCs/>
          <w:sz w:val="36"/>
          <w:szCs w:val="36"/>
          <w:rtl/>
          <w:lang w:eastAsia="zh-CN"/>
        </w:rPr>
        <w:t>(أ</w:t>
      </w:r>
      <w:r w:rsidRPr="003A4E87">
        <w:rPr>
          <w:rFonts w:ascii="Arabic Typesetting" w:eastAsia="SimSun" w:hAnsi="Arabic Typesetting" w:cs="Arabic Typesetting"/>
          <w:bCs/>
          <w:sz w:val="36"/>
          <w:szCs w:val="36"/>
          <w:rtl/>
          <w:lang w:eastAsia="zh-CN"/>
        </w:rPr>
        <w:t>درج</w:t>
      </w:r>
      <w:r w:rsidRPr="003A4E87">
        <w:rPr>
          <w:rFonts w:ascii="Arabic Typesetting" w:eastAsia="SimSun" w:hAnsi="Arabic Typesetting" w:cs="Arabic Typesetting" w:hint="cs"/>
          <w:bCs/>
          <w:sz w:val="36"/>
          <w:szCs w:val="36"/>
          <w:rtl/>
          <w:lang w:eastAsia="zh-CN"/>
        </w:rPr>
        <w:t>ت</w:t>
      </w:r>
      <w:r w:rsidRPr="003A4E87">
        <w:rPr>
          <w:rFonts w:ascii="Arabic Typesetting" w:eastAsia="SimSun" w:hAnsi="Arabic Typesetting" w:cs="Arabic Typesetting"/>
          <w:bCs/>
          <w:sz w:val="36"/>
          <w:szCs w:val="36"/>
          <w:rtl/>
          <w:lang w:eastAsia="zh-CN"/>
        </w:rPr>
        <w:t xml:space="preserve"> في الجداول لأغراض المقارنة بين اتجاهات الإيداع ونسبة الطلبات المقدمة من جميع الأشخاص الطبيعيين</w:t>
      </w:r>
      <w:r>
        <w:rPr>
          <w:rFonts w:ascii="Arabic Typesetting" w:eastAsia="SimSun" w:hAnsi="Arabic Typesetting" w:cs="Arabic Typesetting" w:hint="cs"/>
          <w:bCs/>
          <w:sz w:val="36"/>
          <w:szCs w:val="36"/>
          <w:rtl/>
          <w:lang w:eastAsia="zh-CN"/>
        </w:rPr>
        <w:t>)</w:t>
      </w:r>
    </w:p>
    <w:tbl>
      <w:tblPr>
        <w:tblStyle w:val="TableGrid"/>
        <w:bidiVisual/>
        <w:tblW w:w="0" w:type="auto"/>
        <w:tblLayout w:type="fixed"/>
        <w:tblLook w:val="04A0" w:firstRow="1" w:lastRow="0" w:firstColumn="1" w:lastColumn="0" w:noHBand="0" w:noVBand="1"/>
      </w:tblPr>
      <w:tblGrid>
        <w:gridCol w:w="646"/>
        <w:gridCol w:w="2127"/>
        <w:gridCol w:w="920"/>
        <w:gridCol w:w="780"/>
        <w:gridCol w:w="779"/>
        <w:gridCol w:w="780"/>
        <w:gridCol w:w="655"/>
        <w:gridCol w:w="656"/>
        <w:gridCol w:w="655"/>
        <w:gridCol w:w="656"/>
        <w:gridCol w:w="656"/>
        <w:gridCol w:w="655"/>
        <w:gridCol w:w="656"/>
        <w:gridCol w:w="656"/>
        <w:gridCol w:w="787"/>
        <w:gridCol w:w="788"/>
        <w:gridCol w:w="717"/>
        <w:gridCol w:w="717"/>
      </w:tblGrid>
      <w:tr w:rsidR="003A4E87" w:rsidRPr="00384416" w:rsidTr="00384416">
        <w:trPr>
          <w:cantSplit/>
          <w:trHeight w:val="264"/>
          <w:tblHeader/>
        </w:trPr>
        <w:tc>
          <w:tcPr>
            <w:tcW w:w="646" w:type="dxa"/>
            <w:tcBorders>
              <w:bottom w:val="nil"/>
              <w:right w:val="nil"/>
            </w:tcBorders>
            <w:noWrap/>
          </w:tcPr>
          <w:p w:rsidR="003A4E87" w:rsidRPr="00384416" w:rsidRDefault="003A4E87" w:rsidP="00467F85">
            <w:pPr>
              <w:spacing w:before="20"/>
              <w:rPr>
                <w:rFonts w:ascii="Arabic Typesetting" w:hAnsi="Arabic Typesetting" w:cs="Arabic Typesetting"/>
                <w:sz w:val="30"/>
                <w:szCs w:val="30"/>
              </w:rPr>
            </w:pPr>
          </w:p>
        </w:tc>
        <w:tc>
          <w:tcPr>
            <w:tcW w:w="2127" w:type="dxa"/>
            <w:tcBorders>
              <w:left w:val="nil"/>
              <w:bottom w:val="nil"/>
            </w:tcBorders>
            <w:noWrap/>
          </w:tcPr>
          <w:p w:rsidR="003A4E87" w:rsidRPr="00384416" w:rsidRDefault="003A4E87" w:rsidP="00467F85">
            <w:pPr>
              <w:spacing w:before="20"/>
              <w:rPr>
                <w:rFonts w:ascii="Arabic Typesetting" w:hAnsi="Arabic Typesetting" w:cs="Arabic Typesetting"/>
                <w:sz w:val="30"/>
                <w:szCs w:val="30"/>
              </w:rPr>
            </w:pPr>
          </w:p>
        </w:tc>
        <w:tc>
          <w:tcPr>
            <w:tcW w:w="3259"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مجموع الطلبات</w:t>
            </w:r>
          </w:p>
        </w:tc>
        <w:tc>
          <w:tcPr>
            <w:tcW w:w="2622"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الطلبات المقدمة من الأشخاص الطبيعيين فقط</w:t>
            </w:r>
          </w:p>
        </w:tc>
        <w:tc>
          <w:tcPr>
            <w:tcW w:w="2623" w:type="dxa"/>
            <w:gridSpan w:val="4"/>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الطلبات المطال</w:t>
            </w:r>
            <w:r w:rsidR="005F3F7D" w:rsidRPr="00384416">
              <w:rPr>
                <w:rFonts w:ascii="Arabic Typesetting" w:hAnsi="Arabic Typesetting" w:cs="Arabic Typesetting"/>
                <w:bCs/>
                <w:sz w:val="30"/>
                <w:szCs w:val="30"/>
                <w:rtl/>
              </w:rPr>
              <w:t>ِ</w:t>
            </w:r>
            <w:r w:rsidRPr="00384416">
              <w:rPr>
                <w:rFonts w:ascii="Arabic Typesetting" w:hAnsi="Arabic Typesetting" w:cs="Arabic Typesetting"/>
                <w:bCs/>
                <w:sz w:val="30"/>
                <w:szCs w:val="30"/>
                <w:rtl/>
              </w:rPr>
              <w:t>بة بالتخفيض في الرسوم</w:t>
            </w:r>
          </w:p>
        </w:tc>
        <w:tc>
          <w:tcPr>
            <w:tcW w:w="1575" w:type="dxa"/>
            <w:gridSpan w:val="2"/>
            <w:noWrap/>
            <w:tcMar>
              <w:left w:w="57" w:type="dxa"/>
              <w:right w:w="57" w:type="dxa"/>
            </w:tcMar>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النسبة من جميع الطلبات مع التخفيضات</w:t>
            </w:r>
          </w:p>
        </w:tc>
        <w:tc>
          <w:tcPr>
            <w:tcW w:w="1434" w:type="dxa"/>
            <w:gridSpan w:val="2"/>
            <w:noWrap/>
            <w:tcMar>
              <w:left w:w="57" w:type="dxa"/>
              <w:right w:w="57" w:type="dxa"/>
            </w:tcMar>
          </w:tcPr>
          <w:p w:rsidR="003A4E87" w:rsidRPr="00384416" w:rsidRDefault="00575F39"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التغي</w:t>
            </w:r>
            <w:r w:rsidR="003A4E87" w:rsidRPr="00384416">
              <w:rPr>
                <w:rFonts w:ascii="Arabic Typesetting" w:hAnsi="Arabic Typesetting" w:cs="Arabic Typesetting"/>
                <w:bCs/>
                <w:sz w:val="30"/>
                <w:szCs w:val="30"/>
                <w:rtl/>
              </w:rPr>
              <w:t>ر في الطلبات</w:t>
            </w:r>
          </w:p>
        </w:tc>
      </w:tr>
      <w:tr w:rsidR="003A4E87" w:rsidRPr="00384416" w:rsidTr="00384416">
        <w:trPr>
          <w:cantSplit/>
          <w:trHeight w:val="264"/>
          <w:tblHeader/>
        </w:trPr>
        <w:tc>
          <w:tcPr>
            <w:tcW w:w="2773" w:type="dxa"/>
            <w:gridSpan w:val="2"/>
            <w:tcBorders>
              <w:top w:val="nil"/>
            </w:tcBorders>
            <w:noWrap/>
            <w:hideMark/>
          </w:tcPr>
          <w:p w:rsidR="003A4E87" w:rsidRPr="00384416" w:rsidRDefault="003A4E87" w:rsidP="00E56F23">
            <w:pPr>
              <w:bidi/>
              <w:spacing w:before="20"/>
              <w:rPr>
                <w:rFonts w:ascii="Arabic Typesetting" w:hAnsi="Arabic Typesetting" w:cs="Arabic Typesetting"/>
                <w:b/>
                <w:sz w:val="30"/>
                <w:szCs w:val="30"/>
              </w:rPr>
            </w:pPr>
            <w:r w:rsidRPr="00384416">
              <w:rPr>
                <w:rFonts w:ascii="Arabic Typesetting" w:hAnsi="Arabic Typesetting" w:cs="Arabic Typesetting"/>
                <w:bCs/>
                <w:sz w:val="30"/>
                <w:szCs w:val="30"/>
                <w:rtl/>
              </w:rPr>
              <w:t>رمز</w:t>
            </w:r>
            <w:r w:rsidRPr="00384416">
              <w:rPr>
                <w:rFonts w:ascii="Arabic Typesetting" w:hAnsi="Arabic Typesetting" w:cs="Arabic Typesetting"/>
                <w:b/>
                <w:sz w:val="30"/>
                <w:szCs w:val="30"/>
              </w:rPr>
              <w:t xml:space="preserve">ST.3 </w:t>
            </w:r>
            <w:r w:rsidRPr="00384416">
              <w:rPr>
                <w:rFonts w:ascii="Arabic Typesetting" w:hAnsi="Arabic Typesetting" w:cs="Arabic Typesetting"/>
                <w:bCs/>
                <w:sz w:val="30"/>
                <w:szCs w:val="30"/>
                <w:rtl/>
              </w:rPr>
              <w:t>، الدولة</w:t>
            </w:r>
          </w:p>
        </w:tc>
        <w:tc>
          <w:tcPr>
            <w:tcW w:w="920" w:type="dxa"/>
            <w:tcBorders>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780"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779"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780" w:type="dxa"/>
            <w:tcBorders>
              <w:lef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655" w:type="dxa"/>
            <w:tcBorders>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656"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655"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656" w:type="dxa"/>
            <w:tcBorders>
              <w:lef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656" w:type="dxa"/>
            <w:tcBorders>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655"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656" w:type="dxa"/>
            <w:tcBorders>
              <w:left w:val="dotted" w:sz="4" w:space="0" w:color="auto"/>
              <w:righ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+1</w:t>
            </w:r>
          </w:p>
        </w:tc>
        <w:tc>
          <w:tcPr>
            <w:tcW w:w="656" w:type="dxa"/>
            <w:tcBorders>
              <w:left w:val="dotted" w:sz="4" w:space="0" w:color="auto"/>
            </w:tcBorders>
            <w:noWrap/>
            <w:tcMar>
              <w:left w:w="57" w:type="dxa"/>
              <w:right w:w="57" w:type="dxa"/>
            </w:tcMar>
            <w:hideMark/>
          </w:tcPr>
          <w:p w:rsidR="003A4E87" w:rsidRPr="00384416" w:rsidRDefault="00507195"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س</w:t>
            </w:r>
            <w:r w:rsidR="003A4E87" w:rsidRPr="00384416">
              <w:rPr>
                <w:rFonts w:ascii="Arabic Typesetting" w:hAnsi="Arabic Typesetting" w:cs="Arabic Typesetting"/>
                <w:bCs/>
                <w:sz w:val="30"/>
                <w:szCs w:val="30"/>
                <w:rtl/>
              </w:rPr>
              <w:t>+2</w:t>
            </w:r>
          </w:p>
        </w:tc>
        <w:tc>
          <w:tcPr>
            <w:tcW w:w="787" w:type="dxa"/>
            <w:tcBorders>
              <w:right w:val="dotted" w:sz="4" w:space="0" w:color="auto"/>
            </w:tcBorders>
            <w:noWrap/>
            <w:tcMar>
              <w:left w:w="57" w:type="dxa"/>
              <w:right w:w="57" w:type="dxa"/>
            </w:tcMar>
            <w:hideMark/>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قبل</w:t>
            </w:r>
          </w:p>
        </w:tc>
        <w:tc>
          <w:tcPr>
            <w:tcW w:w="788" w:type="dxa"/>
            <w:tcBorders>
              <w:left w:val="dotted" w:sz="4" w:space="0" w:color="auto"/>
            </w:tcBorders>
            <w:noWrap/>
            <w:tcMar>
              <w:left w:w="57" w:type="dxa"/>
              <w:right w:w="57" w:type="dxa"/>
            </w:tcMar>
            <w:hideMark/>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بعد</w:t>
            </w:r>
          </w:p>
        </w:tc>
        <w:tc>
          <w:tcPr>
            <w:tcW w:w="717" w:type="dxa"/>
            <w:noWrap/>
            <w:tcMar>
              <w:left w:w="57" w:type="dxa"/>
              <w:right w:w="57" w:type="dxa"/>
            </w:tcMar>
            <w:hideMark/>
          </w:tcPr>
          <w:p w:rsidR="003A4E87" w:rsidRPr="00384416" w:rsidRDefault="003A4E87" w:rsidP="00507195">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المجموع</w:t>
            </w:r>
          </w:p>
        </w:tc>
        <w:tc>
          <w:tcPr>
            <w:tcW w:w="717" w:type="dxa"/>
            <w:noWrap/>
            <w:tcMar>
              <w:left w:w="57" w:type="dxa"/>
              <w:right w:w="57" w:type="dxa"/>
            </w:tcMar>
            <w:hideMark/>
          </w:tcPr>
          <w:p w:rsidR="003A4E87" w:rsidRPr="00384416" w:rsidRDefault="003A4E87" w:rsidP="00E56F23">
            <w:pPr>
              <w:bidi/>
              <w:spacing w:before="20"/>
              <w:jc w:val="center"/>
              <w:rPr>
                <w:rFonts w:ascii="Arabic Typesetting" w:hAnsi="Arabic Typesetting" w:cs="Arabic Typesetting"/>
                <w:bCs/>
                <w:sz w:val="30"/>
                <w:szCs w:val="30"/>
              </w:rPr>
            </w:pPr>
            <w:r w:rsidRPr="00384416">
              <w:rPr>
                <w:rFonts w:ascii="Arabic Typesetting" w:hAnsi="Arabic Typesetting" w:cs="Arabic Typesetting"/>
                <w:bCs/>
                <w:sz w:val="30"/>
                <w:szCs w:val="30"/>
                <w:rtl/>
              </w:rPr>
              <w:t>أشخاص طبيعيون</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AD</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أندورا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71</w:t>
            </w:r>
            <w:r w:rsidR="00601807"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40</w:t>
            </w:r>
            <w:r w:rsidR="00601807"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AT</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النمسا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1,377</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1,339</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1,443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1,423</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169</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139</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165</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172</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9</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AU</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أستراليا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1,689</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1,642</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1,800</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1,828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312</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283</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323</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277</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9</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BE</w:t>
            </w:r>
          </w:p>
        </w:tc>
        <w:tc>
          <w:tcPr>
            <w:tcW w:w="2127" w:type="dxa"/>
            <w:tcBorders>
              <w:left w:val="nil"/>
            </w:tcBorders>
            <w:noWrap/>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بلجيكا</w:t>
            </w:r>
          </w:p>
        </w:tc>
        <w:tc>
          <w:tcPr>
            <w:tcW w:w="920" w:type="dxa"/>
            <w:tcBorders>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1,172</w:t>
            </w:r>
          </w:p>
        </w:tc>
        <w:tc>
          <w:tcPr>
            <w:tcW w:w="780"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1,154</w:t>
            </w:r>
          </w:p>
        </w:tc>
        <w:tc>
          <w:tcPr>
            <w:tcW w:w="779"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1,215</w:t>
            </w:r>
          </w:p>
        </w:tc>
        <w:tc>
          <w:tcPr>
            <w:tcW w:w="780" w:type="dxa"/>
            <w:tcBorders>
              <w:lef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1,378</w:t>
            </w:r>
          </w:p>
        </w:tc>
        <w:tc>
          <w:tcPr>
            <w:tcW w:w="655" w:type="dxa"/>
            <w:tcBorders>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40</w:t>
            </w: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46</w:t>
            </w: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46</w:t>
            </w:r>
          </w:p>
        </w:tc>
        <w:tc>
          <w:tcPr>
            <w:tcW w:w="656" w:type="dxa"/>
            <w:tcBorders>
              <w:lef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58</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21</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BN</w:t>
            </w:r>
          </w:p>
        </w:tc>
        <w:tc>
          <w:tcPr>
            <w:tcW w:w="2127" w:type="dxa"/>
            <w:tcBorders>
              <w:left w:val="nil"/>
            </w:tcBorders>
            <w:noWrap/>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بروني دار السلام</w:t>
            </w:r>
          </w:p>
        </w:tc>
        <w:tc>
          <w:tcPr>
            <w:tcW w:w="920"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779"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780" w:type="dxa"/>
            <w:tcBorders>
              <w:lef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350</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CA</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كندا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2,888</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2,863</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2,606</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2,346</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417</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364</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393</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362</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CH</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سويسرا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4,346</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4,228</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4,392</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4,536</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174</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162</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149</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178</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CK</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جزر كوك</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67</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DE</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ألمانيا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17,880</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18,235</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17,812</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18,383</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819</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794</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735</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744</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DK</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الدانمرك</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1,297</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1,280</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1,343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1,377</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26</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22</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ES</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إسبانيا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1,716</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1,550</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1,533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1,505</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333</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FI</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فنلندا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1,812</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1,677</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1,550</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1,550</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48</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58</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49</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44</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FR</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فرنسا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8,271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8,505</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8,303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8,068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291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340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360</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GB</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المملكة المتحدة</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5,069</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5,176</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5,382</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5,672</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427</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389</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392</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396</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IE</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آيرلندا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437</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424</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468</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528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38</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56</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IL</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إسرائيل</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1,547</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1,661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1,695</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1,825</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294</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259</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238</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249</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IS</w:t>
            </w:r>
          </w:p>
        </w:tc>
        <w:tc>
          <w:tcPr>
            <w:tcW w:w="2127" w:type="dxa"/>
            <w:tcBorders>
              <w:left w:val="nil"/>
            </w:tcBorders>
            <w:noWrap/>
            <w:hideMark/>
          </w:tcPr>
          <w:p w:rsidR="00DD2611" w:rsidRPr="00384416" w:rsidRDefault="00DD2611" w:rsidP="008B6911">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آيسلندا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46</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IT</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إيطاليا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2,919</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3,114</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3,161</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3,356</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473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495</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550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540</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JP</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اليابان</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42,612</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43,694</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44,343</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46,805</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474</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498</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482</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486</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830B15"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KR</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جمهورية كوريا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12,427</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14,019</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14,880</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15,494</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1,861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2,083</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2,072</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1,973</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KW</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الكويت</w:t>
            </w:r>
          </w:p>
        </w:tc>
        <w:tc>
          <w:tcPr>
            <w:tcW w:w="920"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5"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900</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200</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LI</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ليختنشتاين</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223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245</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214</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261</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67</w:t>
            </w:r>
            <w:r w:rsidR="0093659F"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LU</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لكسمبرغ</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488</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401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480</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439</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47</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MC</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موناكو</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25</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38</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51</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NL</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هولندا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4,092</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4,362</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4,477</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4,598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88</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90</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94</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84</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0</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NO</w:t>
            </w:r>
          </w:p>
        </w:tc>
        <w:tc>
          <w:tcPr>
            <w:tcW w:w="2127" w:type="dxa"/>
            <w:tcBorders>
              <w:left w:val="nil"/>
            </w:tcBorders>
            <w:noWrap/>
            <w:hideMark/>
          </w:tcPr>
          <w:p w:rsidR="00DD2611" w:rsidRPr="00384416" w:rsidRDefault="005D3982"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النرويج</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714</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652</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706</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764</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31</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NZ</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نيوزيلندا</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328</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351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334</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294</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70</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58</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59</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15</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QA</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قطر</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19</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13</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17</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29</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44</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SE</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السويد</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3,938</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3,961</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3,791</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3,702</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143</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111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103</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20</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SM</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سان مارينو</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8</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140</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100</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r w:rsidR="00DD2611" w:rsidRPr="00384416" w:rsidTr="00384416">
        <w:trPr>
          <w:cantSplit/>
          <w:trHeight w:val="264"/>
        </w:trPr>
        <w:tc>
          <w:tcPr>
            <w:tcW w:w="646" w:type="dxa"/>
            <w:tcBorders>
              <w:righ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Pr>
              <w:t>US</w:t>
            </w:r>
          </w:p>
        </w:tc>
        <w:tc>
          <w:tcPr>
            <w:tcW w:w="2127" w:type="dxa"/>
            <w:tcBorders>
              <w:left w:val="nil"/>
            </w:tcBorders>
            <w:noWrap/>
            <w:hideMark/>
          </w:tcPr>
          <w:p w:rsidR="00DD2611" w:rsidRPr="00384416" w:rsidRDefault="00DD2611" w:rsidP="00467F85">
            <w:pPr>
              <w:bidi/>
              <w:spacing w:before="20"/>
              <w:rPr>
                <w:rFonts w:ascii="Arabic Typesetting" w:hAnsi="Arabic Typesetting" w:cs="Arabic Typesetting"/>
                <w:sz w:val="30"/>
                <w:szCs w:val="30"/>
              </w:rPr>
            </w:pPr>
            <w:r w:rsidRPr="00384416">
              <w:rPr>
                <w:rFonts w:ascii="Arabic Typesetting" w:hAnsi="Arabic Typesetting" w:cs="Arabic Typesetting"/>
                <w:sz w:val="30"/>
                <w:szCs w:val="30"/>
                <w:rtl/>
              </w:rPr>
              <w:t>الولايات المتحدة الأمريكية</w:t>
            </w:r>
          </w:p>
        </w:tc>
        <w:tc>
          <w:tcPr>
            <w:tcW w:w="920"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62,743</w:t>
            </w:r>
          </w:p>
        </w:tc>
        <w:tc>
          <w:tcPr>
            <w:tcW w:w="780"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55,072</w:t>
            </w:r>
          </w:p>
        </w:tc>
        <w:tc>
          <w:tcPr>
            <w:tcW w:w="779"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56,988</w:t>
            </w:r>
          </w:p>
        </w:tc>
        <w:tc>
          <w:tcPr>
            <w:tcW w:w="780"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56,542</w:t>
            </w:r>
          </w:p>
        </w:tc>
        <w:tc>
          <w:tcPr>
            <w:tcW w:w="655" w:type="dxa"/>
            <w:tcBorders>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4,057</w:t>
            </w:r>
          </w:p>
        </w:tc>
        <w:tc>
          <w:tcPr>
            <w:tcW w:w="656"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3,643</w:t>
            </w:r>
          </w:p>
        </w:tc>
        <w:tc>
          <w:tcPr>
            <w:tcW w:w="655" w:type="dxa"/>
            <w:tcBorders>
              <w:left w:val="dotted" w:sz="4" w:space="0" w:color="auto"/>
              <w:righ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3,511</w:t>
            </w:r>
          </w:p>
        </w:tc>
        <w:tc>
          <w:tcPr>
            <w:tcW w:w="656" w:type="dxa"/>
            <w:tcBorders>
              <w:left w:val="dotted" w:sz="4" w:space="0" w:color="auto"/>
            </w:tcBorders>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3,448</w:t>
            </w:r>
          </w:p>
        </w:tc>
        <w:tc>
          <w:tcPr>
            <w:tcW w:w="656" w:type="dxa"/>
            <w:tcBorders>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5"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righ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656" w:type="dxa"/>
            <w:tcBorders>
              <w:left w:val="dotted" w:sz="4" w:space="0" w:color="auto"/>
            </w:tcBorders>
            <w:noWrap/>
            <w:tcMar>
              <w:left w:w="57" w:type="dxa"/>
              <w:right w:w="57" w:type="dxa"/>
            </w:tcMar>
          </w:tcPr>
          <w:p w:rsidR="00DD2611" w:rsidRPr="00384416" w:rsidRDefault="00DD2611" w:rsidP="00467F85">
            <w:pPr>
              <w:spacing w:before="20"/>
              <w:jc w:val="right"/>
              <w:rPr>
                <w:rFonts w:ascii="Arabic Typesetting" w:hAnsi="Arabic Typesetting" w:cs="Arabic Typesetting"/>
                <w:sz w:val="30"/>
                <w:szCs w:val="30"/>
              </w:rPr>
            </w:pPr>
          </w:p>
        </w:tc>
        <w:tc>
          <w:tcPr>
            <w:tcW w:w="787" w:type="dxa"/>
            <w:tcBorders>
              <w:righ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88" w:type="dxa"/>
            <w:tcBorders>
              <w:left w:val="dotted" w:sz="4" w:space="0" w:color="auto"/>
            </w:tcBorders>
            <w:noWrap/>
            <w:tcMar>
              <w:left w:w="57" w:type="dxa"/>
              <w:right w:w="57" w:type="dxa"/>
            </w:tcMar>
            <w:hideMark/>
          </w:tcPr>
          <w:p w:rsidR="00DD2611" w:rsidRPr="00384416" w:rsidRDefault="00DD2611" w:rsidP="00467F85">
            <w:pPr>
              <w:spacing w:before="20"/>
              <w:jc w:val="right"/>
              <w:rPr>
                <w:rFonts w:ascii="Arabic Typesetting" w:hAnsi="Arabic Typesetting" w:cs="Arabic Typesetting"/>
                <w:sz w:val="30"/>
                <w:szCs w:val="30"/>
              </w:rPr>
            </w:pP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4</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c>
          <w:tcPr>
            <w:tcW w:w="717" w:type="dxa"/>
            <w:noWrap/>
            <w:tcMar>
              <w:left w:w="57" w:type="dxa"/>
              <w:right w:w="57" w:type="dxa"/>
            </w:tcMar>
            <w:hideMark/>
          </w:tcPr>
          <w:p w:rsidR="00DD2611" w:rsidRPr="00384416" w:rsidRDefault="00DD2611" w:rsidP="00467F85">
            <w:pPr>
              <w:bidi/>
              <w:spacing w:before="20"/>
              <w:jc w:val="right"/>
              <w:rPr>
                <w:rFonts w:ascii="Arabic Typesetting" w:hAnsi="Arabic Typesetting" w:cs="Arabic Typesetting"/>
                <w:sz w:val="30"/>
                <w:szCs w:val="30"/>
              </w:rPr>
            </w:pPr>
            <w:r w:rsidRPr="00384416">
              <w:rPr>
                <w:rFonts w:ascii="Arabic Typesetting" w:hAnsi="Arabic Typesetting" w:cs="Arabic Typesetting"/>
                <w:sz w:val="30"/>
                <w:szCs w:val="30"/>
                <w:rtl/>
              </w:rPr>
              <w:t>10</w:t>
            </w:r>
            <w:r w:rsidR="000670FB" w:rsidRPr="00384416">
              <w:rPr>
                <w:rFonts w:ascii="Arabic Typesetting" w:hAnsi="Arabic Typesetting" w:cs="Arabic Typesetting"/>
                <w:sz w:val="30"/>
                <w:szCs w:val="30"/>
                <w:rtl/>
              </w:rPr>
              <w:t>-</w:t>
            </w:r>
            <w:r w:rsidRPr="00384416">
              <w:rPr>
                <w:rFonts w:ascii="Arabic Typesetting" w:hAnsi="Arabic Typesetting" w:cs="Arabic Typesetting"/>
                <w:sz w:val="30"/>
                <w:szCs w:val="30"/>
                <w:rtl/>
              </w:rPr>
              <w:t>%</w:t>
            </w:r>
          </w:p>
        </w:tc>
      </w:tr>
    </w:tbl>
    <w:p w:rsidR="0008403F" w:rsidRPr="007F012F" w:rsidRDefault="0008403F" w:rsidP="0008403F">
      <w:pPr>
        <w:rPr>
          <w:sz w:val="18"/>
          <w:szCs w:val="18"/>
        </w:rPr>
      </w:pPr>
    </w:p>
    <w:p w:rsidR="0008403F" w:rsidRDefault="0008403F" w:rsidP="00384416">
      <w:pPr>
        <w:pStyle w:val="EndofDocumentAR"/>
        <w:spacing w:before="480"/>
        <w:ind w:left="9752"/>
      </w:pPr>
      <w:r w:rsidRPr="007F012F">
        <w:rPr>
          <w:rtl/>
        </w:rPr>
        <w:t>[نهاية المرفق والوثيقة]</w:t>
      </w:r>
    </w:p>
    <w:sectPr w:rsidR="0008403F" w:rsidSect="0068089F">
      <w:headerReference w:type="default" r:id="rId11"/>
      <w:headerReference w:type="first" r:id="rId12"/>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9F" w:rsidRDefault="0068089F">
      <w:r>
        <w:separator/>
      </w:r>
    </w:p>
  </w:endnote>
  <w:endnote w:type="continuationSeparator" w:id="0">
    <w:p w:rsidR="0068089F" w:rsidRDefault="006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9F" w:rsidRDefault="0068089F" w:rsidP="009622BF">
      <w:pPr>
        <w:bidi/>
      </w:pPr>
      <w:bookmarkStart w:id="0" w:name="OLE_LINK1"/>
      <w:bookmarkStart w:id="1" w:name="OLE_LINK2"/>
      <w:r>
        <w:separator/>
      </w:r>
      <w:bookmarkEnd w:id="0"/>
      <w:bookmarkEnd w:id="1"/>
    </w:p>
  </w:footnote>
  <w:footnote w:type="continuationSeparator" w:id="0">
    <w:p w:rsidR="0068089F" w:rsidRDefault="0068089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9F" w:rsidRPr="001E7535" w:rsidRDefault="0068089F" w:rsidP="001E7535">
    <w:r>
      <w:t>PCT/WG/</w:t>
    </w:r>
    <w:r>
      <w:rPr>
        <w:szCs w:val="22"/>
      </w:rPr>
      <w:t>11</w:t>
    </w:r>
    <w:r>
      <w:t>/23</w:t>
    </w:r>
  </w:p>
  <w:p w:rsidR="0068089F" w:rsidRDefault="0068089F" w:rsidP="00D61541">
    <w:r>
      <w:fldChar w:fldCharType="begin"/>
    </w:r>
    <w:r>
      <w:instrText xml:space="preserve"> PAGE  \* MERGEFORMAT </w:instrText>
    </w:r>
    <w:r>
      <w:fldChar w:fldCharType="separate"/>
    </w:r>
    <w:r w:rsidR="00A91324">
      <w:rPr>
        <w:noProof/>
      </w:rPr>
      <w:t>3</w:t>
    </w:r>
    <w:r>
      <w:fldChar w:fldCharType="end"/>
    </w:r>
  </w:p>
  <w:p w:rsidR="0068089F" w:rsidRDefault="006808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9F" w:rsidRDefault="0068089F" w:rsidP="001E7535">
    <w:pPr>
      <w:rPr>
        <w:rtl/>
      </w:rPr>
    </w:pPr>
    <w:r>
      <w:t>PCT/WG/</w:t>
    </w:r>
    <w:r>
      <w:rPr>
        <w:szCs w:val="22"/>
      </w:rPr>
      <w:t>11</w:t>
    </w:r>
    <w:r>
      <w:t>/23</w:t>
    </w:r>
  </w:p>
  <w:p w:rsidR="0068089F" w:rsidRPr="001E7535" w:rsidRDefault="0068089F" w:rsidP="001E7535">
    <w:r>
      <w:t>Annex</w:t>
    </w:r>
  </w:p>
  <w:p w:rsidR="0068089F" w:rsidRDefault="0068089F">
    <w:pPr>
      <w:rPr>
        <w:noProof/>
      </w:rPr>
    </w:pPr>
    <w:r>
      <w:fldChar w:fldCharType="begin"/>
    </w:r>
    <w:r>
      <w:instrText xml:space="preserve"> PAGE   \* MERGEFORMAT </w:instrText>
    </w:r>
    <w:r>
      <w:fldChar w:fldCharType="separate"/>
    </w:r>
    <w:r w:rsidR="00A91324">
      <w:rPr>
        <w:noProof/>
      </w:rPr>
      <w:t>3</w:t>
    </w:r>
    <w:r>
      <w:rPr>
        <w:noProof/>
      </w:rPr>
      <w:fldChar w:fldCharType="end"/>
    </w:r>
  </w:p>
  <w:p w:rsidR="0068089F" w:rsidRDefault="006808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9F" w:rsidRDefault="0068089F" w:rsidP="0008403F">
    <w:pPr>
      <w:pStyle w:val="Header"/>
    </w:pPr>
    <w:r>
      <w:t>PCT/WG/11/23</w:t>
    </w:r>
  </w:p>
  <w:p w:rsidR="0068089F" w:rsidRDefault="0068089F" w:rsidP="0008403F">
    <w:pPr>
      <w:pStyle w:val="Header"/>
    </w:pPr>
  </w:p>
  <w:p w:rsidR="0068089F" w:rsidRPr="00467F85" w:rsidRDefault="0068089F" w:rsidP="0068089F">
    <w:pPr>
      <w:pStyle w:val="Header"/>
      <w:spacing w:after="240"/>
      <w:jc w:val="center"/>
      <w:rPr>
        <w:rFonts w:ascii="Arabic Typesetting" w:hAnsi="Arabic Typesetting" w:cs="Arabic Typesetting"/>
        <w:sz w:val="36"/>
        <w:szCs w:val="36"/>
      </w:rPr>
    </w:pPr>
    <w:r w:rsidRPr="00467F85">
      <w:rPr>
        <w:rFonts w:ascii="Arabic Typesetting" w:hAnsi="Arabic Typesetting" w:cs="Arabic Typesetting"/>
        <w:sz w:val="36"/>
        <w:szCs w:val="36"/>
        <w:rtl/>
      </w:rPr>
      <w:t>المرفق</w:t>
    </w:r>
  </w:p>
  <w:p w:rsidR="0068089F" w:rsidRPr="0068089F" w:rsidRDefault="0068089F" w:rsidP="0068089F">
    <w:pPr>
      <w:pStyle w:val="Header"/>
      <w:spacing w:after="240"/>
      <w:jc w:val="center"/>
      <w:rPr>
        <w:rFonts w:ascii="Arabic Typesetting" w:hAnsi="Arabic Typesetting" w:cs="Arabic Typesetting"/>
        <w:sz w:val="36"/>
        <w:szCs w:val="36"/>
      </w:rPr>
    </w:pPr>
    <w:r w:rsidRPr="003B5C17">
      <w:rPr>
        <w:rFonts w:ascii="Arabic Typesetting" w:hAnsi="Arabic Typesetting" w:cs="Arabic Typesetting" w:hint="cs"/>
        <w:sz w:val="36"/>
        <w:szCs w:val="36"/>
        <w:rtl/>
      </w:rPr>
      <w:t>التغيرات في الإيداعات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4F5DDE"/>
    <w:multiLevelType w:val="hybridMultilevel"/>
    <w:tmpl w:val="BFF4858E"/>
    <w:lvl w:ilvl="0" w:tplc="17D6BB6A">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451CA37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9609B7"/>
    <w:multiLevelType w:val="hybridMultilevel"/>
    <w:tmpl w:val="6C603B76"/>
    <w:lvl w:ilvl="0" w:tplc="898886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F16139"/>
    <w:multiLevelType w:val="hybridMultilevel"/>
    <w:tmpl w:val="751667B0"/>
    <w:lvl w:ilvl="0" w:tplc="DD84BD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3"/>
  </w:num>
  <w:num w:numId="5">
    <w:abstractNumId w:val="8"/>
  </w:num>
  <w:num w:numId="6">
    <w:abstractNumId w:val="24"/>
  </w:num>
  <w:num w:numId="7">
    <w:abstractNumId w:val="17"/>
  </w:num>
  <w:num w:numId="8">
    <w:abstractNumId w:val="22"/>
  </w:num>
  <w:num w:numId="9">
    <w:abstractNumId w:val="21"/>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9"/>
  </w:num>
  <w:num w:numId="23">
    <w:abstractNumId w:val="14"/>
  </w:num>
  <w:num w:numId="24">
    <w:abstractNumId w:val="11"/>
  </w:num>
  <w:num w:numId="25">
    <w:abstractNumId w:val="10"/>
  </w:num>
  <w:num w:numId="26">
    <w:abstractNumId w:val="20"/>
  </w:num>
  <w:num w:numId="27">
    <w:abstractNumId w:val="15"/>
  </w:num>
  <w:num w:numId="28">
    <w:abstractNumId w:val="15"/>
  </w:num>
  <w:num w:numId="29">
    <w:abstractNumId w:val="15"/>
  </w:num>
  <w:num w:numId="30">
    <w:abstractNumId w:val="15"/>
  </w:num>
  <w:num w:numId="31">
    <w:abstractNumId w:val="15"/>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3F"/>
    <w:rsid w:val="00002CBE"/>
    <w:rsid w:val="00003232"/>
    <w:rsid w:val="000033DA"/>
    <w:rsid w:val="000041D4"/>
    <w:rsid w:val="00004644"/>
    <w:rsid w:val="0000579F"/>
    <w:rsid w:val="000074D1"/>
    <w:rsid w:val="000076BD"/>
    <w:rsid w:val="00010481"/>
    <w:rsid w:val="00010671"/>
    <w:rsid w:val="000114E2"/>
    <w:rsid w:val="00013347"/>
    <w:rsid w:val="00013365"/>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372"/>
    <w:rsid w:val="00053836"/>
    <w:rsid w:val="00054659"/>
    <w:rsid w:val="00055FA2"/>
    <w:rsid w:val="000571DD"/>
    <w:rsid w:val="00061FF5"/>
    <w:rsid w:val="00062502"/>
    <w:rsid w:val="00063C91"/>
    <w:rsid w:val="000640E7"/>
    <w:rsid w:val="00066DC7"/>
    <w:rsid w:val="000670FB"/>
    <w:rsid w:val="0006794A"/>
    <w:rsid w:val="00067F31"/>
    <w:rsid w:val="00071138"/>
    <w:rsid w:val="000717BF"/>
    <w:rsid w:val="00073402"/>
    <w:rsid w:val="00075745"/>
    <w:rsid w:val="00075A04"/>
    <w:rsid w:val="00075D39"/>
    <w:rsid w:val="000760C3"/>
    <w:rsid w:val="000763A4"/>
    <w:rsid w:val="00076901"/>
    <w:rsid w:val="0008237C"/>
    <w:rsid w:val="000833C3"/>
    <w:rsid w:val="0008403F"/>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9A"/>
    <w:rsid w:val="000A2FC1"/>
    <w:rsid w:val="000A3A57"/>
    <w:rsid w:val="000A5408"/>
    <w:rsid w:val="000A6510"/>
    <w:rsid w:val="000B0BB4"/>
    <w:rsid w:val="000B1045"/>
    <w:rsid w:val="000B1BAE"/>
    <w:rsid w:val="000B2753"/>
    <w:rsid w:val="000B29B3"/>
    <w:rsid w:val="000B3889"/>
    <w:rsid w:val="000B3B3B"/>
    <w:rsid w:val="000B42E7"/>
    <w:rsid w:val="000B70B7"/>
    <w:rsid w:val="000B73E6"/>
    <w:rsid w:val="000B7759"/>
    <w:rsid w:val="000C082A"/>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179"/>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EAB"/>
    <w:rsid w:val="000F70F9"/>
    <w:rsid w:val="001007AB"/>
    <w:rsid w:val="00100F97"/>
    <w:rsid w:val="001012E0"/>
    <w:rsid w:val="001016F2"/>
    <w:rsid w:val="001024C1"/>
    <w:rsid w:val="00103856"/>
    <w:rsid w:val="0010385D"/>
    <w:rsid w:val="001042E0"/>
    <w:rsid w:val="00104C51"/>
    <w:rsid w:val="0010597B"/>
    <w:rsid w:val="00110107"/>
    <w:rsid w:val="00110531"/>
    <w:rsid w:val="00110794"/>
    <w:rsid w:val="00112524"/>
    <w:rsid w:val="00112E0A"/>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8E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06"/>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B27"/>
    <w:rsid w:val="00177DBF"/>
    <w:rsid w:val="00182417"/>
    <w:rsid w:val="0018242F"/>
    <w:rsid w:val="0018414E"/>
    <w:rsid w:val="00185718"/>
    <w:rsid w:val="001857AF"/>
    <w:rsid w:val="00185BBE"/>
    <w:rsid w:val="00186606"/>
    <w:rsid w:val="00190B6D"/>
    <w:rsid w:val="00191A7A"/>
    <w:rsid w:val="00191E75"/>
    <w:rsid w:val="00192022"/>
    <w:rsid w:val="0019301D"/>
    <w:rsid w:val="0019454F"/>
    <w:rsid w:val="00194719"/>
    <w:rsid w:val="00194774"/>
    <w:rsid w:val="00195CE0"/>
    <w:rsid w:val="001A098F"/>
    <w:rsid w:val="001A10CB"/>
    <w:rsid w:val="001A110B"/>
    <w:rsid w:val="001A149A"/>
    <w:rsid w:val="001A2AB7"/>
    <w:rsid w:val="001A4A9C"/>
    <w:rsid w:val="001A6AB1"/>
    <w:rsid w:val="001A6B88"/>
    <w:rsid w:val="001A6C33"/>
    <w:rsid w:val="001A6E68"/>
    <w:rsid w:val="001B3131"/>
    <w:rsid w:val="001B4B2F"/>
    <w:rsid w:val="001B7C00"/>
    <w:rsid w:val="001C09D2"/>
    <w:rsid w:val="001C1620"/>
    <w:rsid w:val="001C18B2"/>
    <w:rsid w:val="001C1994"/>
    <w:rsid w:val="001C2933"/>
    <w:rsid w:val="001C323A"/>
    <w:rsid w:val="001C5EEE"/>
    <w:rsid w:val="001C6A73"/>
    <w:rsid w:val="001C73C2"/>
    <w:rsid w:val="001D0474"/>
    <w:rsid w:val="001D141D"/>
    <w:rsid w:val="001D1EBD"/>
    <w:rsid w:val="001D2184"/>
    <w:rsid w:val="001D24F3"/>
    <w:rsid w:val="001D2678"/>
    <w:rsid w:val="001D2DC4"/>
    <w:rsid w:val="001D3A14"/>
    <w:rsid w:val="001D6A48"/>
    <w:rsid w:val="001E1043"/>
    <w:rsid w:val="001E10E1"/>
    <w:rsid w:val="001E175F"/>
    <w:rsid w:val="001E19F7"/>
    <w:rsid w:val="001E2229"/>
    <w:rsid w:val="001E2669"/>
    <w:rsid w:val="001E3F88"/>
    <w:rsid w:val="001E3FB9"/>
    <w:rsid w:val="001E4083"/>
    <w:rsid w:val="001E5588"/>
    <w:rsid w:val="001E56CB"/>
    <w:rsid w:val="001E56FC"/>
    <w:rsid w:val="001E582D"/>
    <w:rsid w:val="001E6318"/>
    <w:rsid w:val="001E6F7A"/>
    <w:rsid w:val="001E7535"/>
    <w:rsid w:val="001F0AD5"/>
    <w:rsid w:val="001F0C0A"/>
    <w:rsid w:val="001F1509"/>
    <w:rsid w:val="001F18E7"/>
    <w:rsid w:val="001F3A75"/>
    <w:rsid w:val="001F3A9D"/>
    <w:rsid w:val="001F3FDB"/>
    <w:rsid w:val="001F46BA"/>
    <w:rsid w:val="001F6545"/>
    <w:rsid w:val="001F66B5"/>
    <w:rsid w:val="001F6F36"/>
    <w:rsid w:val="001F76FD"/>
    <w:rsid w:val="002004C0"/>
    <w:rsid w:val="002012F2"/>
    <w:rsid w:val="002014D7"/>
    <w:rsid w:val="00202F07"/>
    <w:rsid w:val="00203030"/>
    <w:rsid w:val="00203898"/>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D0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F04"/>
    <w:rsid w:val="002A5403"/>
    <w:rsid w:val="002A6C9F"/>
    <w:rsid w:val="002A77F3"/>
    <w:rsid w:val="002B14F0"/>
    <w:rsid w:val="002B1F0F"/>
    <w:rsid w:val="002B53D3"/>
    <w:rsid w:val="002B6202"/>
    <w:rsid w:val="002B7416"/>
    <w:rsid w:val="002B7C40"/>
    <w:rsid w:val="002C014C"/>
    <w:rsid w:val="002C060C"/>
    <w:rsid w:val="002C0BA6"/>
    <w:rsid w:val="002C12A7"/>
    <w:rsid w:val="002C2B6F"/>
    <w:rsid w:val="002C314F"/>
    <w:rsid w:val="002C4AD1"/>
    <w:rsid w:val="002C7D29"/>
    <w:rsid w:val="002D0298"/>
    <w:rsid w:val="002D1662"/>
    <w:rsid w:val="002D1DE5"/>
    <w:rsid w:val="002D2E53"/>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D3F"/>
    <w:rsid w:val="003636E3"/>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16"/>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E87"/>
    <w:rsid w:val="003A54E9"/>
    <w:rsid w:val="003A5E7C"/>
    <w:rsid w:val="003A78C7"/>
    <w:rsid w:val="003A7E9A"/>
    <w:rsid w:val="003B15FE"/>
    <w:rsid w:val="003B1C41"/>
    <w:rsid w:val="003B46AD"/>
    <w:rsid w:val="003B5C17"/>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0BC5"/>
    <w:rsid w:val="003E1A49"/>
    <w:rsid w:val="003E2D01"/>
    <w:rsid w:val="003E330E"/>
    <w:rsid w:val="003E3AE3"/>
    <w:rsid w:val="003E5733"/>
    <w:rsid w:val="003E5E27"/>
    <w:rsid w:val="003E6FD2"/>
    <w:rsid w:val="003E788F"/>
    <w:rsid w:val="003E7A97"/>
    <w:rsid w:val="003E7D3A"/>
    <w:rsid w:val="003F0950"/>
    <w:rsid w:val="003F09C9"/>
    <w:rsid w:val="003F3796"/>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13AB"/>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E9F"/>
    <w:rsid w:val="00456409"/>
    <w:rsid w:val="004569C6"/>
    <w:rsid w:val="00456ADC"/>
    <w:rsid w:val="0045768F"/>
    <w:rsid w:val="00457769"/>
    <w:rsid w:val="004627AE"/>
    <w:rsid w:val="0046298E"/>
    <w:rsid w:val="004647BB"/>
    <w:rsid w:val="0046482B"/>
    <w:rsid w:val="004648E0"/>
    <w:rsid w:val="00467F8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65F"/>
    <w:rsid w:val="00486FFC"/>
    <w:rsid w:val="00490ED4"/>
    <w:rsid w:val="00491B91"/>
    <w:rsid w:val="00491C21"/>
    <w:rsid w:val="00491C66"/>
    <w:rsid w:val="004935D6"/>
    <w:rsid w:val="00494195"/>
    <w:rsid w:val="004945FB"/>
    <w:rsid w:val="00495029"/>
    <w:rsid w:val="004953B2"/>
    <w:rsid w:val="00495DCC"/>
    <w:rsid w:val="00497356"/>
    <w:rsid w:val="004A076F"/>
    <w:rsid w:val="004A0A5A"/>
    <w:rsid w:val="004A1DC1"/>
    <w:rsid w:val="004A31A2"/>
    <w:rsid w:val="004A48A7"/>
    <w:rsid w:val="004A655D"/>
    <w:rsid w:val="004B01B1"/>
    <w:rsid w:val="004B08D1"/>
    <w:rsid w:val="004B0D8C"/>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12"/>
    <w:rsid w:val="004D0D1A"/>
    <w:rsid w:val="004D169F"/>
    <w:rsid w:val="004D18CF"/>
    <w:rsid w:val="004D30CE"/>
    <w:rsid w:val="004D4071"/>
    <w:rsid w:val="004D421A"/>
    <w:rsid w:val="004D4D0C"/>
    <w:rsid w:val="004D6144"/>
    <w:rsid w:val="004D678F"/>
    <w:rsid w:val="004E1264"/>
    <w:rsid w:val="004E1705"/>
    <w:rsid w:val="004E2CBC"/>
    <w:rsid w:val="004E3DD4"/>
    <w:rsid w:val="004E5123"/>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13E"/>
    <w:rsid w:val="00507195"/>
    <w:rsid w:val="005104E8"/>
    <w:rsid w:val="005107DB"/>
    <w:rsid w:val="00510DB0"/>
    <w:rsid w:val="005119F6"/>
    <w:rsid w:val="00511B7D"/>
    <w:rsid w:val="00511D00"/>
    <w:rsid w:val="005129B8"/>
    <w:rsid w:val="005137E7"/>
    <w:rsid w:val="005148B9"/>
    <w:rsid w:val="00516256"/>
    <w:rsid w:val="005162CF"/>
    <w:rsid w:val="00517423"/>
    <w:rsid w:val="00517A63"/>
    <w:rsid w:val="00517C8D"/>
    <w:rsid w:val="00517FD1"/>
    <w:rsid w:val="005219E6"/>
    <w:rsid w:val="00521B4A"/>
    <w:rsid w:val="0052212E"/>
    <w:rsid w:val="00522E91"/>
    <w:rsid w:val="0052302D"/>
    <w:rsid w:val="005236A5"/>
    <w:rsid w:val="005266BD"/>
    <w:rsid w:val="0052772D"/>
    <w:rsid w:val="00530442"/>
    <w:rsid w:val="00532B27"/>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F39"/>
    <w:rsid w:val="00576319"/>
    <w:rsid w:val="0057648C"/>
    <w:rsid w:val="00576AF3"/>
    <w:rsid w:val="00576BB1"/>
    <w:rsid w:val="00581FF0"/>
    <w:rsid w:val="005825FC"/>
    <w:rsid w:val="00583437"/>
    <w:rsid w:val="00583CE0"/>
    <w:rsid w:val="005847D5"/>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60F"/>
    <w:rsid w:val="005955C0"/>
    <w:rsid w:val="00595B68"/>
    <w:rsid w:val="00595EAA"/>
    <w:rsid w:val="0059672B"/>
    <w:rsid w:val="005A0C60"/>
    <w:rsid w:val="005A255F"/>
    <w:rsid w:val="005A330E"/>
    <w:rsid w:val="005A5554"/>
    <w:rsid w:val="005A5651"/>
    <w:rsid w:val="005A6AFE"/>
    <w:rsid w:val="005A7BF3"/>
    <w:rsid w:val="005A7DE0"/>
    <w:rsid w:val="005B0AEF"/>
    <w:rsid w:val="005B30E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058"/>
    <w:rsid w:val="005D276D"/>
    <w:rsid w:val="005D3982"/>
    <w:rsid w:val="005D5912"/>
    <w:rsid w:val="005D613B"/>
    <w:rsid w:val="005D794C"/>
    <w:rsid w:val="005D7A9F"/>
    <w:rsid w:val="005D7AA2"/>
    <w:rsid w:val="005E2154"/>
    <w:rsid w:val="005E2FC7"/>
    <w:rsid w:val="005E37B9"/>
    <w:rsid w:val="005E427F"/>
    <w:rsid w:val="005E4574"/>
    <w:rsid w:val="005E4BBE"/>
    <w:rsid w:val="005E4C97"/>
    <w:rsid w:val="005E5014"/>
    <w:rsid w:val="005E61BE"/>
    <w:rsid w:val="005E684F"/>
    <w:rsid w:val="005E77BA"/>
    <w:rsid w:val="005F0112"/>
    <w:rsid w:val="005F03E3"/>
    <w:rsid w:val="005F0829"/>
    <w:rsid w:val="005F32BE"/>
    <w:rsid w:val="005F34FB"/>
    <w:rsid w:val="005F39A0"/>
    <w:rsid w:val="005F3F7D"/>
    <w:rsid w:val="005F6B68"/>
    <w:rsid w:val="005F6F2E"/>
    <w:rsid w:val="005F7D85"/>
    <w:rsid w:val="00601807"/>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BF1"/>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89F"/>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277A"/>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20D"/>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2CC"/>
    <w:rsid w:val="007779ED"/>
    <w:rsid w:val="00780B1A"/>
    <w:rsid w:val="007810D3"/>
    <w:rsid w:val="0078264A"/>
    <w:rsid w:val="00783D11"/>
    <w:rsid w:val="00785E46"/>
    <w:rsid w:val="00786507"/>
    <w:rsid w:val="00787917"/>
    <w:rsid w:val="00791489"/>
    <w:rsid w:val="00791683"/>
    <w:rsid w:val="00792F0C"/>
    <w:rsid w:val="00795460"/>
    <w:rsid w:val="00796CF7"/>
    <w:rsid w:val="007A0313"/>
    <w:rsid w:val="007A0A83"/>
    <w:rsid w:val="007A1617"/>
    <w:rsid w:val="007A3289"/>
    <w:rsid w:val="007A4BB3"/>
    <w:rsid w:val="007A6307"/>
    <w:rsid w:val="007A6822"/>
    <w:rsid w:val="007A6A1F"/>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49F"/>
    <w:rsid w:val="007E7997"/>
    <w:rsid w:val="007E7B47"/>
    <w:rsid w:val="007F012F"/>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22A6"/>
    <w:rsid w:val="00812AF8"/>
    <w:rsid w:val="0081421D"/>
    <w:rsid w:val="00814ADB"/>
    <w:rsid w:val="00815C5D"/>
    <w:rsid w:val="0081618F"/>
    <w:rsid w:val="00816A00"/>
    <w:rsid w:val="00816E41"/>
    <w:rsid w:val="008174D1"/>
    <w:rsid w:val="008178B2"/>
    <w:rsid w:val="0082165E"/>
    <w:rsid w:val="00822136"/>
    <w:rsid w:val="00822AAF"/>
    <w:rsid w:val="00822F01"/>
    <w:rsid w:val="00822F1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B15"/>
    <w:rsid w:val="00831EAF"/>
    <w:rsid w:val="00832288"/>
    <w:rsid w:val="008326A7"/>
    <w:rsid w:val="008326D6"/>
    <w:rsid w:val="008337EA"/>
    <w:rsid w:val="00833839"/>
    <w:rsid w:val="00833B4A"/>
    <w:rsid w:val="00833D15"/>
    <w:rsid w:val="008344C4"/>
    <w:rsid w:val="008348DA"/>
    <w:rsid w:val="0083513C"/>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011"/>
    <w:rsid w:val="00847622"/>
    <w:rsid w:val="008505B8"/>
    <w:rsid w:val="00851005"/>
    <w:rsid w:val="00851ADD"/>
    <w:rsid w:val="00855CA6"/>
    <w:rsid w:val="00860323"/>
    <w:rsid w:val="00860F4F"/>
    <w:rsid w:val="008610B9"/>
    <w:rsid w:val="00862656"/>
    <w:rsid w:val="00863013"/>
    <w:rsid w:val="00863F67"/>
    <w:rsid w:val="0086483A"/>
    <w:rsid w:val="00867F96"/>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E77"/>
    <w:rsid w:val="008B4F60"/>
    <w:rsid w:val="008B559A"/>
    <w:rsid w:val="008B598F"/>
    <w:rsid w:val="008B66A5"/>
    <w:rsid w:val="008B6911"/>
    <w:rsid w:val="008B770E"/>
    <w:rsid w:val="008B7F4A"/>
    <w:rsid w:val="008C0D2E"/>
    <w:rsid w:val="008C1056"/>
    <w:rsid w:val="008C18CE"/>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59F"/>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78E"/>
    <w:rsid w:val="00995CDC"/>
    <w:rsid w:val="009975CA"/>
    <w:rsid w:val="009A0C15"/>
    <w:rsid w:val="009A1088"/>
    <w:rsid w:val="009A14CB"/>
    <w:rsid w:val="009A259A"/>
    <w:rsid w:val="009A27C7"/>
    <w:rsid w:val="009A2961"/>
    <w:rsid w:val="009A344A"/>
    <w:rsid w:val="009A41C7"/>
    <w:rsid w:val="009A4F5A"/>
    <w:rsid w:val="009A5C82"/>
    <w:rsid w:val="009B010D"/>
    <w:rsid w:val="009B0AAB"/>
    <w:rsid w:val="009B0D3E"/>
    <w:rsid w:val="009B1D73"/>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AEA"/>
    <w:rsid w:val="009E0DBC"/>
    <w:rsid w:val="009E11BD"/>
    <w:rsid w:val="009E1DF8"/>
    <w:rsid w:val="009E2C1A"/>
    <w:rsid w:val="009E2C4B"/>
    <w:rsid w:val="009E2E0C"/>
    <w:rsid w:val="009E3218"/>
    <w:rsid w:val="009E3248"/>
    <w:rsid w:val="009E3BED"/>
    <w:rsid w:val="009E3D95"/>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4F1"/>
    <w:rsid w:val="00A13947"/>
    <w:rsid w:val="00A13E2B"/>
    <w:rsid w:val="00A1562A"/>
    <w:rsid w:val="00A15901"/>
    <w:rsid w:val="00A1618E"/>
    <w:rsid w:val="00A161A1"/>
    <w:rsid w:val="00A20562"/>
    <w:rsid w:val="00A20F75"/>
    <w:rsid w:val="00A212B1"/>
    <w:rsid w:val="00A214B8"/>
    <w:rsid w:val="00A26FFF"/>
    <w:rsid w:val="00A30652"/>
    <w:rsid w:val="00A316EC"/>
    <w:rsid w:val="00A31804"/>
    <w:rsid w:val="00A318AE"/>
    <w:rsid w:val="00A318C5"/>
    <w:rsid w:val="00A31AAA"/>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4A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324"/>
    <w:rsid w:val="00A9197E"/>
    <w:rsid w:val="00A92065"/>
    <w:rsid w:val="00A92184"/>
    <w:rsid w:val="00A9334F"/>
    <w:rsid w:val="00A93D6F"/>
    <w:rsid w:val="00A95C8B"/>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0B3"/>
    <w:rsid w:val="00AA7408"/>
    <w:rsid w:val="00AA7D1F"/>
    <w:rsid w:val="00AB02C6"/>
    <w:rsid w:val="00AB2059"/>
    <w:rsid w:val="00AB246B"/>
    <w:rsid w:val="00AB2E96"/>
    <w:rsid w:val="00AB36D4"/>
    <w:rsid w:val="00AB54AE"/>
    <w:rsid w:val="00AB5500"/>
    <w:rsid w:val="00AB5564"/>
    <w:rsid w:val="00AB57FB"/>
    <w:rsid w:val="00AB7348"/>
    <w:rsid w:val="00AC0A31"/>
    <w:rsid w:val="00AC13B0"/>
    <w:rsid w:val="00AC2FD0"/>
    <w:rsid w:val="00AC323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AF6DB6"/>
    <w:rsid w:val="00B0072E"/>
    <w:rsid w:val="00B03B63"/>
    <w:rsid w:val="00B0513A"/>
    <w:rsid w:val="00B0620B"/>
    <w:rsid w:val="00B072A3"/>
    <w:rsid w:val="00B07FCD"/>
    <w:rsid w:val="00B1149C"/>
    <w:rsid w:val="00B11F60"/>
    <w:rsid w:val="00B121EF"/>
    <w:rsid w:val="00B127AA"/>
    <w:rsid w:val="00B130CB"/>
    <w:rsid w:val="00B14D9D"/>
    <w:rsid w:val="00B14EF5"/>
    <w:rsid w:val="00B15A1B"/>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D41"/>
    <w:rsid w:val="00B307D2"/>
    <w:rsid w:val="00B3398B"/>
    <w:rsid w:val="00B33B1E"/>
    <w:rsid w:val="00B362D9"/>
    <w:rsid w:val="00B36B99"/>
    <w:rsid w:val="00B36D20"/>
    <w:rsid w:val="00B36F67"/>
    <w:rsid w:val="00B40633"/>
    <w:rsid w:val="00B42DC5"/>
    <w:rsid w:val="00B44049"/>
    <w:rsid w:val="00B44318"/>
    <w:rsid w:val="00B44C4B"/>
    <w:rsid w:val="00B477CB"/>
    <w:rsid w:val="00B47CDA"/>
    <w:rsid w:val="00B508A7"/>
    <w:rsid w:val="00B50B5A"/>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7A0"/>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1C5"/>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A20"/>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A9"/>
    <w:rsid w:val="00C40DE4"/>
    <w:rsid w:val="00C40E63"/>
    <w:rsid w:val="00C41A06"/>
    <w:rsid w:val="00C4261B"/>
    <w:rsid w:val="00C42BFB"/>
    <w:rsid w:val="00C44DDC"/>
    <w:rsid w:val="00C5128B"/>
    <w:rsid w:val="00C51423"/>
    <w:rsid w:val="00C5294D"/>
    <w:rsid w:val="00C52EAE"/>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0518"/>
    <w:rsid w:val="00C83A4C"/>
    <w:rsid w:val="00C8533B"/>
    <w:rsid w:val="00C858BA"/>
    <w:rsid w:val="00C86977"/>
    <w:rsid w:val="00C916C8"/>
    <w:rsid w:val="00C923C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B7DD7"/>
    <w:rsid w:val="00CC4CB6"/>
    <w:rsid w:val="00CC4DB0"/>
    <w:rsid w:val="00CC5038"/>
    <w:rsid w:val="00CC5326"/>
    <w:rsid w:val="00CC7426"/>
    <w:rsid w:val="00CC7910"/>
    <w:rsid w:val="00CD0C20"/>
    <w:rsid w:val="00CD206D"/>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1EF0"/>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26E"/>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4E5"/>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5E4"/>
    <w:rsid w:val="00DB500D"/>
    <w:rsid w:val="00DB71DB"/>
    <w:rsid w:val="00DB71E1"/>
    <w:rsid w:val="00DB7B0F"/>
    <w:rsid w:val="00DB7CB3"/>
    <w:rsid w:val="00DC0D57"/>
    <w:rsid w:val="00DC16F7"/>
    <w:rsid w:val="00DC1CA3"/>
    <w:rsid w:val="00DC2641"/>
    <w:rsid w:val="00DC2B1E"/>
    <w:rsid w:val="00DC7481"/>
    <w:rsid w:val="00DC7591"/>
    <w:rsid w:val="00DD0839"/>
    <w:rsid w:val="00DD2611"/>
    <w:rsid w:val="00DD26D0"/>
    <w:rsid w:val="00DD47D5"/>
    <w:rsid w:val="00DD4F0D"/>
    <w:rsid w:val="00DD6729"/>
    <w:rsid w:val="00DD7960"/>
    <w:rsid w:val="00DD7B0D"/>
    <w:rsid w:val="00DE1F29"/>
    <w:rsid w:val="00DE3FEB"/>
    <w:rsid w:val="00DE4905"/>
    <w:rsid w:val="00DE510C"/>
    <w:rsid w:val="00DE692E"/>
    <w:rsid w:val="00DE7822"/>
    <w:rsid w:val="00DF081A"/>
    <w:rsid w:val="00DF265D"/>
    <w:rsid w:val="00DF2EB0"/>
    <w:rsid w:val="00DF31C1"/>
    <w:rsid w:val="00DF427A"/>
    <w:rsid w:val="00DF45C5"/>
    <w:rsid w:val="00DF5A8C"/>
    <w:rsid w:val="00DF71D8"/>
    <w:rsid w:val="00E00CCA"/>
    <w:rsid w:val="00E01623"/>
    <w:rsid w:val="00E0206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6F23"/>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559"/>
    <w:rsid w:val="00ED1877"/>
    <w:rsid w:val="00ED247F"/>
    <w:rsid w:val="00ED27E4"/>
    <w:rsid w:val="00ED2F27"/>
    <w:rsid w:val="00ED3370"/>
    <w:rsid w:val="00ED4D96"/>
    <w:rsid w:val="00ED5A40"/>
    <w:rsid w:val="00ED5F21"/>
    <w:rsid w:val="00ED602C"/>
    <w:rsid w:val="00ED62B5"/>
    <w:rsid w:val="00ED6DDB"/>
    <w:rsid w:val="00ED7493"/>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CCE"/>
    <w:rsid w:val="00F13DBC"/>
    <w:rsid w:val="00F14DBE"/>
    <w:rsid w:val="00F1517F"/>
    <w:rsid w:val="00F15FCF"/>
    <w:rsid w:val="00F16613"/>
    <w:rsid w:val="00F1738D"/>
    <w:rsid w:val="00F20706"/>
    <w:rsid w:val="00F21058"/>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0C"/>
    <w:rsid w:val="00F354B9"/>
    <w:rsid w:val="00F35705"/>
    <w:rsid w:val="00F35B93"/>
    <w:rsid w:val="00F37CFD"/>
    <w:rsid w:val="00F37D33"/>
    <w:rsid w:val="00F40178"/>
    <w:rsid w:val="00F40DB9"/>
    <w:rsid w:val="00F40ED1"/>
    <w:rsid w:val="00F415A3"/>
    <w:rsid w:val="00F41778"/>
    <w:rsid w:val="00F41B3E"/>
    <w:rsid w:val="00F421D1"/>
    <w:rsid w:val="00F42F5D"/>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AAD"/>
    <w:rsid w:val="00F77BDB"/>
    <w:rsid w:val="00F8031F"/>
    <w:rsid w:val="00F80C5C"/>
    <w:rsid w:val="00F818A5"/>
    <w:rsid w:val="00F8197C"/>
    <w:rsid w:val="00F8465D"/>
    <w:rsid w:val="00F848B3"/>
    <w:rsid w:val="00F85755"/>
    <w:rsid w:val="00F86A0B"/>
    <w:rsid w:val="00F87431"/>
    <w:rsid w:val="00F8765C"/>
    <w:rsid w:val="00F876A5"/>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9DF"/>
    <w:rsid w:val="00FA5CC6"/>
    <w:rsid w:val="00FA64D5"/>
    <w:rsid w:val="00FA6760"/>
    <w:rsid w:val="00FA69F9"/>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D9E"/>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8403F"/>
    <w:rPr>
      <w:rFonts w:ascii="Arabic Typesetting" w:hAnsi="Arabic Typesetting" w:cs="Arabic Typesetting"/>
      <w:b/>
      <w:bCs/>
      <w:sz w:val="40"/>
      <w:szCs w:val="40"/>
    </w:rPr>
  </w:style>
  <w:style w:type="paragraph" w:customStyle="1" w:styleId="ONUME">
    <w:name w:val="ONUM E"/>
    <w:basedOn w:val="BodyText"/>
    <w:rsid w:val="0008403F"/>
    <w:pPr>
      <w:spacing w:after="220"/>
    </w:pPr>
    <w:rPr>
      <w:rFonts w:eastAsia="SimSun"/>
      <w:lang w:eastAsia="zh-CN"/>
    </w:rPr>
  </w:style>
  <w:style w:type="paragraph" w:styleId="BodyText">
    <w:name w:val="Body Text"/>
    <w:basedOn w:val="Normal"/>
    <w:link w:val="BodyTextChar"/>
    <w:rsid w:val="0008403F"/>
    <w:pPr>
      <w:spacing w:after="120"/>
    </w:pPr>
  </w:style>
  <w:style w:type="character" w:customStyle="1" w:styleId="BodyTextChar">
    <w:name w:val="Body Text Char"/>
    <w:basedOn w:val="DefaultParagraphFont"/>
    <w:link w:val="BodyText"/>
    <w:rsid w:val="0008403F"/>
    <w:rPr>
      <w:rFonts w:ascii="Arial" w:hAnsi="Arial" w:cs="Arial"/>
      <w:sz w:val="22"/>
    </w:rPr>
  </w:style>
  <w:style w:type="paragraph" w:customStyle="1" w:styleId="Endofdocument-Annex">
    <w:name w:val="[End of document - Annex]"/>
    <w:basedOn w:val="Normal"/>
    <w:rsid w:val="0008403F"/>
    <w:pPr>
      <w:ind w:left="5534"/>
    </w:pPr>
    <w:rPr>
      <w:rFonts w:eastAsia="SimSun"/>
      <w:lang w:eastAsia="zh-CN"/>
    </w:rPr>
  </w:style>
  <w:style w:type="paragraph" w:customStyle="1" w:styleId="ONUMFS">
    <w:name w:val="ONUM FS"/>
    <w:basedOn w:val="BodyText"/>
    <w:rsid w:val="0008403F"/>
    <w:pPr>
      <w:numPr>
        <w:numId w:val="23"/>
      </w:numPr>
      <w:spacing w:after="220"/>
    </w:pPr>
    <w:rPr>
      <w:rFonts w:eastAsia="SimSun"/>
      <w:lang w:eastAsia="zh-CN"/>
    </w:rPr>
  </w:style>
  <w:style w:type="paragraph" w:styleId="ListParagraph">
    <w:name w:val="List Paragraph"/>
    <w:basedOn w:val="Normal"/>
    <w:uiPriority w:val="34"/>
    <w:qFormat/>
    <w:rsid w:val="004113AB"/>
    <w:pPr>
      <w:ind w:left="720"/>
      <w:contextualSpacing/>
    </w:pPr>
    <w:rPr>
      <w:rFonts w:asciiTheme="minorHAnsi" w:eastAsia="MS Mincho"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8403F"/>
    <w:rPr>
      <w:rFonts w:ascii="Arabic Typesetting" w:hAnsi="Arabic Typesetting" w:cs="Arabic Typesetting"/>
      <w:b/>
      <w:bCs/>
      <w:sz w:val="40"/>
      <w:szCs w:val="40"/>
    </w:rPr>
  </w:style>
  <w:style w:type="paragraph" w:customStyle="1" w:styleId="ONUME">
    <w:name w:val="ONUM E"/>
    <w:basedOn w:val="BodyText"/>
    <w:rsid w:val="0008403F"/>
    <w:pPr>
      <w:spacing w:after="220"/>
    </w:pPr>
    <w:rPr>
      <w:rFonts w:eastAsia="SimSun"/>
      <w:lang w:eastAsia="zh-CN"/>
    </w:rPr>
  </w:style>
  <w:style w:type="paragraph" w:styleId="BodyText">
    <w:name w:val="Body Text"/>
    <w:basedOn w:val="Normal"/>
    <w:link w:val="BodyTextChar"/>
    <w:rsid w:val="0008403F"/>
    <w:pPr>
      <w:spacing w:after="120"/>
    </w:pPr>
  </w:style>
  <w:style w:type="character" w:customStyle="1" w:styleId="BodyTextChar">
    <w:name w:val="Body Text Char"/>
    <w:basedOn w:val="DefaultParagraphFont"/>
    <w:link w:val="BodyText"/>
    <w:rsid w:val="0008403F"/>
    <w:rPr>
      <w:rFonts w:ascii="Arial" w:hAnsi="Arial" w:cs="Arial"/>
      <w:sz w:val="22"/>
    </w:rPr>
  </w:style>
  <w:style w:type="paragraph" w:customStyle="1" w:styleId="Endofdocument-Annex">
    <w:name w:val="[End of document - Annex]"/>
    <w:basedOn w:val="Normal"/>
    <w:rsid w:val="0008403F"/>
    <w:pPr>
      <w:ind w:left="5534"/>
    </w:pPr>
    <w:rPr>
      <w:rFonts w:eastAsia="SimSun"/>
      <w:lang w:eastAsia="zh-CN"/>
    </w:rPr>
  </w:style>
  <w:style w:type="paragraph" w:customStyle="1" w:styleId="ONUMFS">
    <w:name w:val="ONUM FS"/>
    <w:basedOn w:val="BodyText"/>
    <w:rsid w:val="0008403F"/>
    <w:pPr>
      <w:numPr>
        <w:numId w:val="23"/>
      </w:numPr>
      <w:spacing w:after="220"/>
    </w:pPr>
    <w:rPr>
      <w:rFonts w:eastAsia="SimSun"/>
      <w:lang w:eastAsia="zh-CN"/>
    </w:rPr>
  </w:style>
  <w:style w:type="paragraph" w:styleId="ListParagraph">
    <w:name w:val="List Paragraph"/>
    <w:basedOn w:val="Normal"/>
    <w:uiPriority w:val="34"/>
    <w:qFormat/>
    <w:rsid w:val="004113AB"/>
    <w:pPr>
      <w:ind w:left="720"/>
      <w:contextualSpacing/>
    </w:pPr>
    <w:rPr>
      <w:rFonts w:asciiTheme="minorHAnsi" w:eastAsia="MS Mincho"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0A42-D572-4F3D-BC57-0CF6C1F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14042</Characters>
  <Application>Microsoft Office Word</Application>
  <DocSecurity>4</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 (Arabic)</vt:lpstr>
      <vt:lpstr>PCT/WG/11/-- (Arabic)</vt:lpstr>
    </vt:vector>
  </TitlesOfParts>
  <Company>World Intellectual Property Organization</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PCT/WG/11/23</dc:title>
  <dc:subject>Update to Progress Report on Implementation of Fee Reduction Changes</dc:subject>
  <dc:creator>BEN ALI Lassad</dc:creator>
  <cp:lastModifiedBy>Marlow</cp:lastModifiedBy>
  <cp:revision>2</cp:revision>
  <cp:lastPrinted>2018-05-28T09:44:00Z</cp:lastPrinted>
  <dcterms:created xsi:type="dcterms:W3CDTF">2018-05-28T13:04:00Z</dcterms:created>
  <dcterms:modified xsi:type="dcterms:W3CDTF">2018-05-28T13:04:00Z</dcterms:modified>
</cp:coreProperties>
</file>