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490293">
        <w:rPr>
          <w:rFonts w:ascii="Arial Black" w:eastAsia="SimSun" w:hAnsi="Arial Black" w:cs="Arial"/>
          <w:b/>
          <w:caps/>
          <w:noProof/>
          <w:sz w:val="16"/>
          <w:szCs w:val="16"/>
          <w:lang w:eastAsia="zh-CN"/>
        </w:rPr>
        <w:t>18</w:t>
      </w:r>
    </w:p>
    <w:bookmarkEnd w:id="4"/>
    <w:p w:rsidR="003F7284" w:rsidRPr="00BB6440" w:rsidRDefault="003F7284" w:rsidP="005D79F6">
      <w:pPr>
        <w:jc w:val="right"/>
        <w:rPr>
          <w:b/>
          <w:bCs/>
          <w:sz w:val="30"/>
          <w:szCs w:val="30"/>
          <w:rtl/>
        </w:rPr>
      </w:pPr>
      <w:r w:rsidRPr="00BB6440">
        <w:rPr>
          <w:b/>
          <w:bCs/>
          <w:sz w:val="30"/>
          <w:szCs w:val="30"/>
          <w:rtl/>
        </w:rPr>
        <w:t>الأصل:</w:t>
      </w:r>
      <w:r w:rsidR="00430D2F">
        <w:rPr>
          <w:rFonts w:hint="cs"/>
          <w:b/>
          <w:bCs/>
          <w:sz w:val="30"/>
          <w:szCs w:val="30"/>
          <w:rtl/>
        </w:rPr>
        <w:t xml:space="preserve"> </w:t>
      </w:r>
      <w:r w:rsidR="00430D2F" w:rsidRPr="00430D2F">
        <w:rPr>
          <w:b/>
          <w:bCs/>
          <w:sz w:val="30"/>
          <w:szCs w:val="30"/>
          <w:rtl/>
        </w:rPr>
        <w:t>بالإنكليزية</w:t>
      </w:r>
      <w:r w:rsidRPr="00BB6440">
        <w:rPr>
          <w:b/>
          <w:bCs/>
          <w:sz w:val="30"/>
          <w:szCs w:val="30"/>
          <w:rtl/>
        </w:rPr>
        <w:t xml:space="preserve"> </w:t>
      </w:r>
      <w:bookmarkStart w:id="5" w:name="Original"/>
      <w:bookmarkEnd w:id="5"/>
    </w:p>
    <w:p w:rsidR="003F7284" w:rsidRPr="00BB6440" w:rsidRDefault="003F7284" w:rsidP="00F54409">
      <w:pPr>
        <w:spacing w:line="720" w:lineRule="auto"/>
        <w:jc w:val="right"/>
        <w:rPr>
          <w:b/>
          <w:bCs/>
          <w:sz w:val="30"/>
          <w:szCs w:val="30"/>
          <w:rtl/>
        </w:rPr>
      </w:pPr>
      <w:r w:rsidRPr="00BB6440">
        <w:rPr>
          <w:b/>
          <w:bCs/>
          <w:sz w:val="30"/>
          <w:szCs w:val="30"/>
          <w:rtl/>
        </w:rPr>
        <w:t>التاريخ:</w:t>
      </w:r>
      <w:r w:rsidR="00430D2F">
        <w:rPr>
          <w:rFonts w:hint="cs"/>
          <w:b/>
          <w:bCs/>
          <w:sz w:val="30"/>
          <w:szCs w:val="30"/>
          <w:rtl/>
        </w:rPr>
        <w:t xml:space="preserve"> </w:t>
      </w:r>
      <w:r w:rsidR="00490293">
        <w:rPr>
          <w:rFonts w:hint="cs"/>
          <w:b/>
          <w:bCs/>
          <w:sz w:val="30"/>
          <w:szCs w:val="30"/>
          <w:rtl/>
        </w:rPr>
        <w:t>14 مايو</w:t>
      </w:r>
      <w:r w:rsidR="00430D2F" w:rsidRPr="00430D2F">
        <w:rPr>
          <w:b/>
          <w:bCs/>
          <w:sz w:val="30"/>
          <w:szCs w:val="30"/>
          <w:rtl/>
        </w:rPr>
        <w:t xml:space="preserve"> 2019</w:t>
      </w:r>
      <w:r w:rsidR="005D79F6" w:rsidRPr="00BB6440">
        <w:rPr>
          <w:b/>
          <w:bCs/>
          <w:sz w:val="30"/>
          <w:szCs w:val="30"/>
          <w:rtl/>
        </w:rPr>
        <w:t xml:space="preserve"> </w:t>
      </w:r>
      <w:bookmarkStart w:id="6" w:name="Date"/>
      <w:bookmarkEnd w:id="6"/>
    </w:p>
    <w:p w:rsidR="0045104D" w:rsidRDefault="003E07D2" w:rsidP="003E07D2">
      <w:pPr>
        <w:pStyle w:val="Heading1"/>
        <w:spacing w:line="240" w:lineRule="auto"/>
        <w:rPr>
          <w:rtl/>
          <w:lang w:bidi="ar-EG"/>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490293" w:rsidRDefault="003E07D2" w:rsidP="003052D6">
      <w:pPr>
        <w:spacing w:line="600" w:lineRule="auto"/>
        <w:rPr>
          <w:rFonts w:cs="PT Bold Heading"/>
          <w:b/>
          <w:bCs/>
          <w:sz w:val="26"/>
          <w:szCs w:val="26"/>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490293" w:rsidRPr="002E7810" w:rsidRDefault="00CA7569" w:rsidP="00CA7569">
      <w:pPr>
        <w:rPr>
          <w:rFonts w:ascii="Arial Black" w:hAnsi="Arial Black" w:cs="PT Bold Heading"/>
          <w:sz w:val="26"/>
          <w:szCs w:val="26"/>
          <w:rtl/>
        </w:rPr>
      </w:pPr>
      <w:bookmarkStart w:id="10" w:name="TitleOfDoc"/>
      <w:bookmarkStart w:id="11" w:name="Doc"/>
      <w:bookmarkEnd w:id="10"/>
      <w:bookmarkEnd w:id="11"/>
      <w:r>
        <w:rPr>
          <w:rFonts w:ascii="Arial Black" w:hAnsi="Arial Black" w:cs="PT Bold Heading" w:hint="cs"/>
          <w:sz w:val="26"/>
          <w:szCs w:val="26"/>
          <w:rtl/>
        </w:rPr>
        <w:t>ال</w:t>
      </w:r>
      <w:r w:rsidR="008526BD">
        <w:rPr>
          <w:rFonts w:ascii="Arial Black" w:hAnsi="Arial Black" w:cs="PT Bold Heading" w:hint="cs"/>
          <w:sz w:val="26"/>
          <w:szCs w:val="26"/>
          <w:rtl/>
        </w:rPr>
        <w:t xml:space="preserve">تعيين كإدارة </w:t>
      </w:r>
      <w:r>
        <w:rPr>
          <w:rFonts w:ascii="Arial Black" w:hAnsi="Arial Black" w:cs="PT Bold Heading" w:hint="cs"/>
          <w:sz w:val="26"/>
          <w:szCs w:val="26"/>
          <w:rtl/>
        </w:rPr>
        <w:t>للبحث الدولي وال</w:t>
      </w:r>
      <w:r w:rsidR="008526BD">
        <w:rPr>
          <w:rFonts w:ascii="Arial Black" w:hAnsi="Arial Black" w:cs="PT Bold Heading" w:hint="cs"/>
          <w:sz w:val="26"/>
          <w:szCs w:val="26"/>
          <w:rtl/>
        </w:rPr>
        <w:t xml:space="preserve">فحص </w:t>
      </w:r>
      <w:r>
        <w:rPr>
          <w:rFonts w:ascii="Arial Black" w:hAnsi="Arial Black" w:cs="PT Bold Heading" w:hint="cs"/>
          <w:sz w:val="26"/>
          <w:szCs w:val="26"/>
          <w:rtl/>
        </w:rPr>
        <w:t>ال</w:t>
      </w:r>
      <w:r w:rsidR="008526BD">
        <w:rPr>
          <w:rFonts w:ascii="Arial Black" w:hAnsi="Arial Black" w:cs="PT Bold Heading" w:hint="cs"/>
          <w:sz w:val="26"/>
          <w:szCs w:val="26"/>
          <w:rtl/>
        </w:rPr>
        <w:t xml:space="preserve">تمهيدي </w:t>
      </w:r>
      <w:r>
        <w:rPr>
          <w:rFonts w:ascii="Arial Black" w:hAnsi="Arial Black" w:cs="PT Bold Heading" w:hint="cs"/>
          <w:sz w:val="26"/>
          <w:szCs w:val="26"/>
          <w:rtl/>
        </w:rPr>
        <w:t>ال</w:t>
      </w:r>
      <w:r w:rsidR="008526BD">
        <w:rPr>
          <w:rFonts w:ascii="Arial Black" w:hAnsi="Arial Black" w:cs="PT Bold Heading" w:hint="cs"/>
          <w:sz w:val="26"/>
          <w:szCs w:val="26"/>
          <w:rtl/>
        </w:rPr>
        <w:t xml:space="preserve">دولي </w:t>
      </w:r>
      <w:r w:rsidR="008526BD" w:rsidRPr="00D82A7B">
        <w:rPr>
          <w:rFonts w:asciiTheme="minorBidi" w:hAnsiTheme="minorBidi" w:cstheme="minorBidi"/>
          <w:b/>
          <w:bCs/>
          <w:sz w:val="26"/>
          <w:szCs w:val="26"/>
        </w:rPr>
        <w:t>(ISA/IPEA)</w:t>
      </w:r>
      <w:r w:rsidR="008526BD" w:rsidRPr="002353BA">
        <w:rPr>
          <w:rFonts w:asciiTheme="minorBidi" w:hAnsiTheme="minorBidi" w:cstheme="minorBidi"/>
          <w:caps/>
          <w:sz w:val="24"/>
        </w:rPr>
        <w:t xml:space="preserve"> </w:t>
      </w:r>
      <w:r w:rsidR="008526BD" w:rsidRPr="002353BA">
        <w:rPr>
          <w:rFonts w:asciiTheme="minorBidi" w:hAnsiTheme="minorBidi" w:cstheme="minorBidi"/>
          <w:sz w:val="26"/>
          <w:szCs w:val="26"/>
          <w:rtl/>
        </w:rPr>
        <w:t xml:space="preserve"> </w:t>
      </w:r>
      <w:r>
        <w:rPr>
          <w:rFonts w:ascii="Arial Black" w:hAnsi="Arial Black" w:cs="PT Bold Heading" w:hint="cs"/>
          <w:sz w:val="26"/>
          <w:szCs w:val="26"/>
          <w:rtl/>
        </w:rPr>
        <w:t>والإعلان عن الإدارات</w:t>
      </w:r>
      <w:r>
        <w:rPr>
          <w:rFonts w:ascii="Arial Black" w:hAnsi="Arial Black" w:cs="Calibri" w:hint="eastAsia"/>
          <w:sz w:val="26"/>
          <w:szCs w:val="26"/>
          <w:rtl/>
        </w:rPr>
        <w:t> </w:t>
      </w:r>
      <w:r>
        <w:rPr>
          <w:rFonts w:ascii="Arial Black" w:hAnsi="Arial Black" w:cs="PT Bold Heading" w:hint="cs"/>
          <w:sz w:val="26"/>
          <w:szCs w:val="26"/>
          <w:rtl/>
        </w:rPr>
        <w:t>ال</w:t>
      </w:r>
      <w:r>
        <w:rPr>
          <w:rFonts w:ascii="Arial Black" w:hAnsi="Arial Black" w:cs="PT Bold Heading"/>
          <w:sz w:val="26"/>
          <w:szCs w:val="26"/>
          <w:rtl/>
        </w:rPr>
        <w:t>مختصة</w:t>
      </w:r>
      <w:r>
        <w:rPr>
          <w:rFonts w:ascii="Arial Black" w:hAnsi="Arial Black" w:cs="PT Bold Heading" w:hint="cs"/>
          <w:sz w:val="26"/>
          <w:szCs w:val="26"/>
          <w:rtl/>
        </w:rPr>
        <w:t xml:space="preserve"> من قبل مكاتب تسلم الطلبات</w:t>
      </w:r>
    </w:p>
    <w:p w:rsidR="003F7284" w:rsidRPr="00E9717F" w:rsidRDefault="008526BD" w:rsidP="00722B08">
      <w:pPr>
        <w:spacing w:before="200" w:after="720"/>
        <w:rPr>
          <w:rFonts w:ascii="Arial Black" w:hAnsi="Arial Black" w:cs="PT Bold Heading"/>
          <w:sz w:val="26"/>
          <w:szCs w:val="26"/>
          <w:rtl/>
          <w:lang w:val="fr-CH"/>
        </w:rPr>
      </w:pPr>
      <w:r w:rsidRPr="00430D2F">
        <w:rPr>
          <w:i/>
          <w:iCs/>
          <w:rtl/>
        </w:rPr>
        <w:t>وثيقة من إعداد</w:t>
      </w:r>
      <w:r w:rsidR="00E9717F">
        <w:rPr>
          <w:rFonts w:hint="cs"/>
          <w:i/>
          <w:iCs/>
          <w:rtl/>
        </w:rPr>
        <w:t xml:space="preserve"> الهند</w:t>
      </w:r>
    </w:p>
    <w:p w:rsidR="00E9717F" w:rsidRDefault="00E9717F" w:rsidP="00930288">
      <w:pPr>
        <w:pStyle w:val="BodyText"/>
        <w:numPr>
          <w:ilvl w:val="0"/>
          <w:numId w:val="45"/>
        </w:numPr>
        <w:ind w:left="-5" w:firstLine="0"/>
      </w:pPr>
      <w:r>
        <w:rPr>
          <w:rFonts w:hint="cs"/>
          <w:rtl/>
        </w:rPr>
        <w:t xml:space="preserve">عرض مكتب البراءات الهندي اقتراحا في هذا الموضوع (الوثيقة </w:t>
      </w:r>
      <w:r>
        <w:t>PCT/MIA/26/12</w:t>
      </w:r>
      <w:r>
        <w:rPr>
          <w:rFonts w:hint="cs"/>
          <w:rtl/>
        </w:rPr>
        <w:t>) على الدورة السادسة والعشرين لاجتماع الإدارات الدولية، التي عقدت في فبراير 2019 في القاهرة، مصر.</w:t>
      </w:r>
    </w:p>
    <w:p w:rsidR="001C0D3B" w:rsidRDefault="004B626C" w:rsidP="001C7556">
      <w:pPr>
        <w:pStyle w:val="BodyText"/>
        <w:numPr>
          <w:ilvl w:val="0"/>
          <w:numId w:val="45"/>
        </w:numPr>
        <w:ind w:left="-5" w:firstLine="0"/>
      </w:pPr>
      <w:r>
        <w:rPr>
          <w:rFonts w:hint="cs"/>
          <w:rtl/>
        </w:rPr>
        <w:t>ويرد موجز للمناقشات بشأن الاقتراح المعروض على الدورة السادسة والعشرين لاجتماع الإدارات الدولية في</w:t>
      </w:r>
      <w:r w:rsidR="001C0D3B">
        <w:rPr>
          <w:rFonts w:hint="cs"/>
          <w:rtl/>
        </w:rPr>
        <w:t xml:space="preserve"> الفقرات من 47 إلى 53 من </w:t>
      </w:r>
      <w:r>
        <w:rPr>
          <w:rFonts w:hint="cs"/>
          <w:rtl/>
        </w:rPr>
        <w:t xml:space="preserve">ملخص الرئيس (الوثيقة </w:t>
      </w:r>
      <w:r>
        <w:t>PCT/MIA/26/13</w:t>
      </w:r>
      <w:r>
        <w:rPr>
          <w:rFonts w:hint="cs"/>
          <w:rtl/>
        </w:rPr>
        <w:t xml:space="preserve">، الواردة في </w:t>
      </w:r>
      <w:r w:rsidR="001C7556">
        <w:rPr>
          <w:rFonts w:hint="cs"/>
          <w:rtl/>
        </w:rPr>
        <w:t xml:space="preserve">مرفق </w:t>
      </w:r>
      <w:r>
        <w:rPr>
          <w:rFonts w:hint="cs"/>
          <w:rtl/>
        </w:rPr>
        <w:t xml:space="preserve">الوثيقة </w:t>
      </w:r>
      <w:r>
        <w:t>PCT/WG/12/2</w:t>
      </w:r>
      <w:r>
        <w:rPr>
          <w:rFonts w:hint="cs"/>
          <w:rtl/>
        </w:rPr>
        <w:t>)</w:t>
      </w:r>
      <w:r w:rsidR="001C0D3B">
        <w:rPr>
          <w:rFonts w:hint="cs"/>
          <w:rtl/>
        </w:rPr>
        <w:t xml:space="preserve"> </w:t>
      </w:r>
      <w:r>
        <w:rPr>
          <w:rFonts w:hint="cs"/>
          <w:rtl/>
        </w:rPr>
        <w:t>على النحو التالي:</w:t>
      </w:r>
    </w:p>
    <w:p w:rsidR="00E57710" w:rsidRDefault="00CA7569" w:rsidP="00CA7569">
      <w:pPr>
        <w:pStyle w:val="indent1"/>
        <w:numPr>
          <w:ilvl w:val="0"/>
          <w:numId w:val="0"/>
        </w:numPr>
        <w:ind w:left="567"/>
      </w:pPr>
      <w:r>
        <w:rPr>
          <w:rFonts w:hint="cs"/>
          <w:rtl/>
        </w:rPr>
        <w:t>"47.</w:t>
      </w:r>
      <w:r>
        <w:rPr>
          <w:rFonts w:hint="cs"/>
          <w:rtl/>
        </w:rPr>
        <w:tab/>
      </w:r>
      <w:r w:rsidR="00D20269">
        <w:rPr>
          <w:rFonts w:hint="cs"/>
          <w:rtl/>
        </w:rPr>
        <w:t xml:space="preserve">استندت المناقشات إلى الوثيقة </w:t>
      </w:r>
      <w:r w:rsidR="00D20269">
        <w:t>PCT/MIA/26/12</w:t>
      </w:r>
      <w:r w:rsidR="00D20269">
        <w:rPr>
          <w:rFonts w:hint="cs"/>
          <w:rtl/>
        </w:rPr>
        <w:t>.</w:t>
      </w:r>
    </w:p>
    <w:p w:rsidR="00FD2CF5" w:rsidRDefault="00CA7569" w:rsidP="00CA7569">
      <w:pPr>
        <w:pStyle w:val="indent1"/>
        <w:numPr>
          <w:ilvl w:val="0"/>
          <w:numId w:val="0"/>
        </w:numPr>
        <w:ind w:left="567"/>
      </w:pPr>
      <w:r>
        <w:rPr>
          <w:rFonts w:hint="cs"/>
          <w:rtl/>
        </w:rPr>
        <w:t>"48.</w:t>
      </w:r>
      <w:r>
        <w:rPr>
          <w:rFonts w:hint="cs"/>
          <w:rtl/>
        </w:rPr>
        <w:tab/>
      </w:r>
      <w:r w:rsidR="00FD2CF5">
        <w:rPr>
          <w:rtl/>
        </w:rPr>
        <w:t>وأشار المكتب الهندي للبراءات إلى أن الاقتراح الوارد في الوثيقة يهدف إلى جعل خدمات معاهدة التعاون بشأن البراءات أيسر منالاً وأكثر نفعاً لمُودعي الطلبات. وقال إن متطلبات وإجراءات التعيين كإدارة دولية تسري، حسب الممارسات المتبعة حالياً، على جميع المكاتب التي تسعى إلى التعيين</w:t>
      </w:r>
      <w:r w:rsidR="00BF3CBF">
        <w:rPr>
          <w:rFonts w:hint="cs"/>
          <w:rtl/>
        </w:rPr>
        <w:t xml:space="preserve">. </w:t>
      </w:r>
      <w:r w:rsidR="00FD2CF5">
        <w:rPr>
          <w:rtl/>
        </w:rPr>
        <w:t xml:space="preserve">علاوةً على أن كل مكتب من مكاتب تسلم الطلبات يُحدِّد إدارات البحث الدولي والفحص التمهيدي الدولي المختصة ببحث وفحص الطلبات الدولية المُودَعة لدى هذا المكتب. وذكر أن ذلك يسري على الطلبات الدولية التي يُودعها المواطنون أو المقيمون في الهند لدى المكتب </w:t>
      </w:r>
      <w:r w:rsidR="00FD2CF5">
        <w:rPr>
          <w:rtl/>
        </w:rPr>
        <w:lastRenderedPageBreak/>
        <w:t xml:space="preserve">الدولي بوصفه أحد مكاتب تسلم الطلبات، ومن ثمَّ لا يستطيع مودع الطلب أن يختار سوى إدارات البحث الدولي وإدارات الفحص التمهيدي الدولي التي </w:t>
      </w:r>
      <w:r>
        <w:rPr>
          <w:rFonts w:hint="cs"/>
          <w:rtl/>
        </w:rPr>
        <w:t xml:space="preserve">تُعلن عن اختصاصها </w:t>
      </w:r>
      <w:r w:rsidR="00FD2CF5">
        <w:rPr>
          <w:rtl/>
        </w:rPr>
        <w:t>مكاتب تسلم الطلبات في البلد الذي يحمل جنسيته أو يقيم فيه مودع</w:t>
      </w:r>
      <w:r w:rsidR="001C7556">
        <w:rPr>
          <w:rFonts w:hint="cs"/>
          <w:rtl/>
        </w:rPr>
        <w:t> </w:t>
      </w:r>
      <w:r w:rsidR="00FD2CF5">
        <w:rPr>
          <w:rtl/>
        </w:rPr>
        <w:t xml:space="preserve">الطلب. </w:t>
      </w:r>
    </w:p>
    <w:p w:rsidR="00BF3CBF" w:rsidRDefault="00CA7569" w:rsidP="00CA7569">
      <w:pPr>
        <w:pStyle w:val="indent1"/>
        <w:numPr>
          <w:ilvl w:val="0"/>
          <w:numId w:val="0"/>
        </w:numPr>
        <w:ind w:left="567"/>
        <w:rPr>
          <w:rtl/>
        </w:rPr>
      </w:pPr>
      <w:r>
        <w:rPr>
          <w:rFonts w:hint="cs"/>
          <w:rtl/>
        </w:rPr>
        <w:t>"49.</w:t>
      </w:r>
      <w:r>
        <w:rPr>
          <w:rFonts w:hint="cs"/>
          <w:rtl/>
        </w:rPr>
        <w:tab/>
      </w:r>
      <w:r w:rsidR="00BF3CBF">
        <w:rPr>
          <w:rtl/>
        </w:rPr>
        <w:t>ومضى المكتب الهندي للبراءات يقول إنه لا يجوز، حسب الآلية الحالية، لأي مُودِع من أي دولة من الدول الأعضاء أن يستفيد من الخدمات التي تقدمها جميع الإدارات الدولية المُقدِّمة للخدمات. وذكر أنه في حالة اشتراك مُودعين من بلدان مختلفة في إيداع الطلب، تكون أمامهم خيارات أكثر لأنه يجوز اختيار إدارة البحث الدولي أو إدارة الفحص التمهيدي الدولي إذا كان من حق أحد المُودعين على الأقل أن يختار المكتب بوصفه إدارة للبحث الدولي أو الفحص التمهيدي الدولي، ومن ثمَّ لا تكون الخيارات متاحة لجميع المودعين على قدم المساواة. واقترح المكتب المساواة بين جميع المودعين في فرص الاستفادة من نظام معاهدة التعاون بشأن البراءات من أجل زيادة كفاءة النظام وتعزيز استخدامه. و</w:t>
      </w:r>
      <w:r w:rsidR="009F2D5B">
        <w:rPr>
          <w:rFonts w:hint="cs"/>
          <w:rtl/>
        </w:rPr>
        <w:t>ينبغي</w:t>
      </w:r>
      <w:r w:rsidR="009F2D5B" w:rsidRPr="009F2D5B">
        <w:rPr>
          <w:rtl/>
        </w:rPr>
        <w:t xml:space="preserve"> </w:t>
      </w:r>
      <w:r w:rsidR="009F2D5B">
        <w:rPr>
          <w:rtl/>
        </w:rPr>
        <w:t>ألا يُقيَّد</w:t>
      </w:r>
      <w:r w:rsidR="009F2D5B">
        <w:rPr>
          <w:rFonts w:hint="cs"/>
          <w:rtl/>
        </w:rPr>
        <w:t xml:space="preserve"> هذا </w:t>
      </w:r>
      <w:r w:rsidR="00BF3CBF">
        <w:rPr>
          <w:rtl/>
        </w:rPr>
        <w:t>الاختيار بسبب عدم وجود ترتيبات ثنائية. و</w:t>
      </w:r>
      <w:r w:rsidR="00A360D7">
        <w:rPr>
          <w:rFonts w:hint="cs"/>
          <w:rtl/>
        </w:rPr>
        <w:t>يمكن</w:t>
      </w:r>
      <w:r w:rsidR="00BF3CBF">
        <w:rPr>
          <w:rtl/>
        </w:rPr>
        <w:t xml:space="preserve"> أن </w:t>
      </w:r>
      <w:r w:rsidR="00A360D7">
        <w:rPr>
          <w:rtl/>
        </w:rPr>
        <w:t xml:space="preserve">يُسهِّل </w:t>
      </w:r>
      <w:r w:rsidR="00BF3CBF">
        <w:rPr>
          <w:rtl/>
        </w:rPr>
        <w:t>نظام معاهدة التعاون بشأن البراءات على المودعين ممارسة أعمالهم التجارية بشكل أفضل عن طريق تبسيط الإجراءات وإتاحة مزيد من الخيارات لمودع الطلب. ومن شأنه</w:t>
      </w:r>
      <w:r w:rsidR="001D2B32">
        <w:rPr>
          <w:rtl/>
        </w:rPr>
        <w:t xml:space="preserve"> </w:t>
      </w:r>
      <w:r w:rsidR="001D2B32">
        <w:rPr>
          <w:rFonts w:hint="cs"/>
          <w:rtl/>
        </w:rPr>
        <w:t>ذلك</w:t>
      </w:r>
      <w:r w:rsidR="00BF3CBF">
        <w:rPr>
          <w:rtl/>
        </w:rPr>
        <w:t xml:space="preserve"> أن يشجع مزيداً من المودعين على استخدام النظام.</w:t>
      </w:r>
    </w:p>
    <w:p w:rsidR="00CC6D39" w:rsidRDefault="00CA7569" w:rsidP="00F15870">
      <w:pPr>
        <w:pStyle w:val="indent1"/>
        <w:numPr>
          <w:ilvl w:val="0"/>
          <w:numId w:val="0"/>
        </w:numPr>
        <w:ind w:left="567"/>
      </w:pPr>
      <w:r>
        <w:rPr>
          <w:rFonts w:hint="cs"/>
          <w:rtl/>
        </w:rPr>
        <w:t>"50.</w:t>
      </w:r>
      <w:r>
        <w:rPr>
          <w:rFonts w:hint="cs"/>
          <w:rtl/>
        </w:rPr>
        <w:tab/>
      </w:r>
      <w:r w:rsidR="00CC6D39">
        <w:rPr>
          <w:rFonts w:hint="cs"/>
          <w:rtl/>
        </w:rPr>
        <w:t>و</w:t>
      </w:r>
      <w:r w:rsidR="00CC6D39">
        <w:rPr>
          <w:rtl/>
        </w:rPr>
        <w:t xml:space="preserve">لذلك، اقترح المكتب الهندي للبراءات أن تنظر جميع الإدارات في إدخال تغييرات على الآلية الحالية من أجل السماح للإدارات الدولية بالتعامل مع جميع الدول. وقال إن الخطوة المتمثلة في قيام مكاتب تسلم الطلبات في كل دولة من الدول الأعضاء في المعاهدة </w:t>
      </w:r>
      <w:r w:rsidR="00F15870">
        <w:rPr>
          <w:rFonts w:hint="cs"/>
          <w:rtl/>
          <w:lang w:val="fr-CH"/>
        </w:rPr>
        <w:t>بالإعلان عن</w:t>
      </w:r>
      <w:r w:rsidR="00CC6D39">
        <w:rPr>
          <w:rtl/>
        </w:rPr>
        <w:t xml:space="preserve"> الإدارات المختصة بإجراء البحث الدولي أو الفحص التمهيدي الدولي يمكن في نهاية المطاف إلغاؤها بحيث يتسنى لمودعي الطلبات من مواطني أي دولة من الدول الأعضاء أو من المقيمين فيها أن يختاروا أيّاً من الإدارات الدولية للقيام بالبحث الدولي لطلباتهم الدولية. وأضاف أنه فيما يخص اختيار إدارة الفحص التمهيدي الدولي، يمكن أن يعتمد هذا الاختيار على الإدارة المُختارة لإجراء البحث الدولي للطلب، إذا كان هذا الشرط يسري على إدارة الفحص التمهيدي الدولي.</w:t>
      </w:r>
    </w:p>
    <w:p w:rsidR="00A801A0" w:rsidRDefault="00CA7569" w:rsidP="00CA7569">
      <w:pPr>
        <w:pStyle w:val="indent1"/>
        <w:numPr>
          <w:ilvl w:val="0"/>
          <w:numId w:val="0"/>
        </w:numPr>
        <w:ind w:left="567"/>
      </w:pPr>
      <w:r>
        <w:rPr>
          <w:rFonts w:hint="cs"/>
          <w:rtl/>
        </w:rPr>
        <w:t>"51.</w:t>
      </w:r>
      <w:r>
        <w:rPr>
          <w:rFonts w:hint="cs"/>
          <w:rtl/>
        </w:rPr>
        <w:tab/>
      </w:r>
      <w:r w:rsidR="00A801A0">
        <w:rPr>
          <w:rtl/>
        </w:rPr>
        <w:t>واختتم المكتب الهندي للبراءات كلمته قائلاً إن هذا الاقتراح يمكن تنفيذه دون إدخال أي تغييرات على المعاهدة ولائحتها التنفيذية، إذا أعلنت جميع مكاتب تسلم الطلبات اختصاص جميع إدارات البحث الدولي والفحص التمهيدي الدولي. وذكر أن بعض العقبات التقنية المُتوقع مواجهتها عند تنفيذ هذا الاقتراح تشمل الترتيبات التي تتخذها مكاتب تسلم الطلبات لإرسال رسوم البحث ونُسخ البحث إلى إدارات البحث الدولي. وريثما تُطبَّق هذه الترتيبات، إما بين المكاتب بشكل مباشر أو من خلال المكتب الدولي، اقترح المكتب الهندي للبراءات أن يُسمح، في البداية، لمَنْ يُودعون طلبات دولية من خلال المكتب الدولي بوصفه أحد مكاتب تسلم الطلبات بأن يختاروا أي إدارة من الإدارات الدولية للقيام بالبحث الدولي أو الفحص التمهيدي الدولي. وأضاف أن هذه الإجراءات المفصلة يمكن وضعها فور موافقة الإدارات من حيث المبدأ على الاقتراح.</w:t>
      </w:r>
    </w:p>
    <w:p w:rsidR="00A801A0" w:rsidRDefault="00CA7569" w:rsidP="00CA7569">
      <w:pPr>
        <w:pStyle w:val="indent1"/>
        <w:numPr>
          <w:ilvl w:val="0"/>
          <w:numId w:val="0"/>
        </w:numPr>
        <w:ind w:left="567"/>
      </w:pPr>
      <w:r>
        <w:rPr>
          <w:rFonts w:hint="cs"/>
          <w:rtl/>
        </w:rPr>
        <w:t>"52.</w:t>
      </w:r>
      <w:r>
        <w:rPr>
          <w:rFonts w:hint="cs"/>
          <w:rtl/>
        </w:rPr>
        <w:tab/>
      </w:r>
      <w:r w:rsidR="00A801A0">
        <w:rPr>
          <w:rtl/>
        </w:rPr>
        <w:t xml:space="preserve">وذكرت الإدارات أنها لم يتوفر لديها وقت كاف لإعداد ردود رسمية على المقترحات الواردة في الوثيقة. وأضافت أن بعض الاعتبارات الأولية تتمثل في أنه ستوجد صعوبات تقنية وقانونية تتعلق بمنح الحرية التامة في اختيار إدارة البحث الدولي، بما في ذلك التسليم الفعال لنُسخ البحث بين أزواج المكاتب في حالة عدم توفر خدمة نُسخ البحث الإلكترونية، والحاجة إلى ترجمات، والحاجة إلى تغيير قوانين وطنية أو أحكام بعض الاتفاقات الدولية الأخرى. وذُكر </w:t>
      </w:r>
      <w:r w:rsidR="00A801A0">
        <w:rPr>
          <w:rtl/>
        </w:rPr>
        <w:lastRenderedPageBreak/>
        <w:t>أن كثيراً من مودعي الطلبات يمكنهم بالفعل اتخاذ ترتيبات للحصول على بعض الفوائد المقترحة بفضل الخيارات الناتجة عن اشتراك مودعين يحملون جنسيات مختلفة أو يقيمون في بلدان مختلفة.</w:t>
      </w:r>
    </w:p>
    <w:p w:rsidR="00A801A0" w:rsidRDefault="00CA7569" w:rsidP="00CA7569">
      <w:pPr>
        <w:pStyle w:val="indent1"/>
        <w:numPr>
          <w:ilvl w:val="0"/>
          <w:numId w:val="0"/>
        </w:numPr>
        <w:ind w:left="1133"/>
      </w:pPr>
      <w:r>
        <w:rPr>
          <w:rFonts w:hint="cs"/>
          <w:rtl/>
        </w:rPr>
        <w:t>"53.</w:t>
      </w:r>
      <w:r>
        <w:rPr>
          <w:rFonts w:hint="cs"/>
          <w:rtl/>
        </w:rPr>
        <w:tab/>
      </w:r>
      <w:r w:rsidR="00A801A0">
        <w:rPr>
          <w:rtl/>
        </w:rPr>
        <w:t>ودعا الاجتماع المكتب الدولي إلى تخصيص ساحة جديدة في المنتدى الإلكتروني للفريق الفرعي المعني بالجودة من أجل مناقشة المسائل المنبثقة عن المقترحات الواردة في الوثيقة.</w:t>
      </w:r>
      <w:r>
        <w:rPr>
          <w:rFonts w:hint="cs"/>
          <w:rtl/>
        </w:rPr>
        <w:t>"</w:t>
      </w:r>
    </w:p>
    <w:p w:rsidR="005A0B68" w:rsidRDefault="003320A5" w:rsidP="00CA7569">
      <w:pPr>
        <w:pStyle w:val="ONUMA"/>
      </w:pPr>
      <w:r>
        <w:rPr>
          <w:rFonts w:hint="cs"/>
          <w:rtl/>
        </w:rPr>
        <w:t xml:space="preserve">وبناء عليه، فتح المكتب الدولي صفحة نقاش على </w:t>
      </w:r>
      <w:r w:rsidR="00772082" w:rsidRPr="00772082">
        <w:rPr>
          <w:rtl/>
        </w:rPr>
        <w:t>منتدى الويكي الإلكتروني للفريق الفرعي المعني بالجودة</w:t>
      </w:r>
      <w:r w:rsidR="00772082">
        <w:rPr>
          <w:rFonts w:hint="cs"/>
          <w:rtl/>
        </w:rPr>
        <w:t xml:space="preserve"> في 15</w:t>
      </w:r>
      <w:r w:rsidR="00CA7569">
        <w:rPr>
          <w:rFonts w:hint="eastAsia"/>
          <w:rtl/>
        </w:rPr>
        <w:t> </w:t>
      </w:r>
      <w:r w:rsidR="00772082">
        <w:rPr>
          <w:rFonts w:hint="cs"/>
          <w:rtl/>
        </w:rPr>
        <w:t>مارس 2019، دعا فيها جميع الإدارات الدولية للتعليق على الموضوع بحلول 15 أبريل 2019. ولم تعلق سوى إدارة دولي</w:t>
      </w:r>
      <w:r w:rsidR="00E82BEB">
        <w:rPr>
          <w:rFonts w:hint="cs"/>
          <w:rtl/>
        </w:rPr>
        <w:t>ة</w:t>
      </w:r>
      <w:r w:rsidR="00772082">
        <w:rPr>
          <w:rFonts w:hint="cs"/>
          <w:rtl/>
        </w:rPr>
        <w:t xml:space="preserve"> واحدة حتى ذلك الحين ط</w:t>
      </w:r>
      <w:r w:rsidR="00BF7877">
        <w:rPr>
          <w:rFonts w:hint="cs"/>
          <w:rtl/>
        </w:rPr>
        <w:t>ا</w:t>
      </w:r>
      <w:r w:rsidR="00772082">
        <w:rPr>
          <w:rFonts w:hint="cs"/>
          <w:rtl/>
        </w:rPr>
        <w:t>لب</w:t>
      </w:r>
      <w:r w:rsidR="00BF7877">
        <w:rPr>
          <w:rFonts w:hint="cs"/>
          <w:rtl/>
        </w:rPr>
        <w:t>ة</w:t>
      </w:r>
      <w:r w:rsidR="00772082">
        <w:rPr>
          <w:rFonts w:hint="cs"/>
          <w:rtl/>
        </w:rPr>
        <w:t xml:space="preserve"> إدخال تحسينات على أسس الاقتراح.  </w:t>
      </w:r>
    </w:p>
    <w:p w:rsidR="00A412CF" w:rsidRDefault="005A0B68" w:rsidP="00CA7569">
      <w:pPr>
        <w:pStyle w:val="ONUMA"/>
        <w:keepNext/>
      </w:pPr>
      <w:r>
        <w:rPr>
          <w:rFonts w:hint="cs"/>
          <w:rtl/>
        </w:rPr>
        <w:t>و</w:t>
      </w:r>
      <w:r w:rsidR="00A412CF">
        <w:rPr>
          <w:rFonts w:hint="cs"/>
          <w:rtl/>
        </w:rPr>
        <w:t>ال</w:t>
      </w:r>
      <w:r w:rsidR="002072C3">
        <w:rPr>
          <w:rFonts w:hint="cs"/>
          <w:rtl/>
        </w:rPr>
        <w:t>أسباب</w:t>
      </w:r>
      <w:r w:rsidR="00A412CF">
        <w:rPr>
          <w:rFonts w:hint="cs"/>
          <w:rtl/>
        </w:rPr>
        <w:t xml:space="preserve"> والمزايا التالية، بعضها م</w:t>
      </w:r>
      <w:r w:rsidR="001B0934">
        <w:rPr>
          <w:rFonts w:hint="cs"/>
          <w:rtl/>
        </w:rPr>
        <w:t>كرر</w:t>
      </w:r>
      <w:r w:rsidR="00A412CF">
        <w:rPr>
          <w:rFonts w:hint="cs"/>
          <w:rtl/>
        </w:rPr>
        <w:t xml:space="preserve"> </w:t>
      </w:r>
      <w:r w:rsidR="007202D6">
        <w:rPr>
          <w:rFonts w:hint="cs"/>
          <w:rtl/>
        </w:rPr>
        <w:t>م</w:t>
      </w:r>
      <w:r w:rsidR="00A412CF">
        <w:rPr>
          <w:rFonts w:hint="cs"/>
          <w:rtl/>
        </w:rPr>
        <w:t>ن الاقتراح</w:t>
      </w:r>
      <w:r w:rsidR="0043335D">
        <w:rPr>
          <w:rFonts w:hint="cs"/>
          <w:rtl/>
        </w:rPr>
        <w:t>، معروضة</w:t>
      </w:r>
      <w:r w:rsidR="0043335D" w:rsidRPr="005A0B68">
        <w:rPr>
          <w:rFonts w:hint="cs"/>
          <w:rtl/>
        </w:rPr>
        <w:t xml:space="preserve"> </w:t>
      </w:r>
      <w:r w:rsidR="0043335D">
        <w:rPr>
          <w:rFonts w:hint="cs"/>
          <w:rtl/>
        </w:rPr>
        <w:t xml:space="preserve">على نظر </w:t>
      </w:r>
      <w:r w:rsidR="0043335D" w:rsidRPr="00A412CF">
        <w:rPr>
          <w:rtl/>
        </w:rPr>
        <w:t>الفريق العامل المعني بمعاهدة البراءات</w:t>
      </w:r>
      <w:r w:rsidR="001F0B18">
        <w:rPr>
          <w:rFonts w:hint="cs"/>
          <w:rtl/>
        </w:rPr>
        <w:t>:</w:t>
      </w:r>
    </w:p>
    <w:p w:rsidR="001F0B18" w:rsidRDefault="00C62A61" w:rsidP="00F15870">
      <w:pPr>
        <w:pStyle w:val="ListBullet"/>
      </w:pPr>
      <w:r>
        <w:rPr>
          <w:rFonts w:hint="cs"/>
          <w:rtl/>
        </w:rPr>
        <w:t>بحسب الآلية الحالية،</w:t>
      </w:r>
      <w:r w:rsidR="00DC0EBE">
        <w:rPr>
          <w:rFonts w:hint="cs"/>
          <w:rtl/>
        </w:rPr>
        <w:t xml:space="preserve"> ما إن تعي</w:t>
      </w:r>
      <w:r w:rsidR="00700494">
        <w:rPr>
          <w:rFonts w:hint="cs"/>
          <w:rtl/>
        </w:rPr>
        <w:t>ّ</w:t>
      </w:r>
      <w:r w:rsidR="00DC0EBE">
        <w:rPr>
          <w:rFonts w:hint="cs"/>
          <w:rtl/>
        </w:rPr>
        <w:t>ن جمعية معاهدة التعاون بشأن البراءات مكتبا كإدارة دولية، لا يمكن عمليا</w:t>
      </w:r>
      <w:r>
        <w:rPr>
          <w:rFonts w:hint="cs"/>
          <w:rtl/>
        </w:rPr>
        <w:t xml:space="preserve"> </w:t>
      </w:r>
      <w:r w:rsidR="00DC0EBE">
        <w:rPr>
          <w:rtl/>
        </w:rPr>
        <w:t>لمودعي الطلبات من مواطني أي دولة من الدول الأعضاء أو من المقيمين فيها أن يختار</w:t>
      </w:r>
      <w:r w:rsidR="004224A1">
        <w:rPr>
          <w:rFonts w:hint="cs"/>
          <w:rtl/>
        </w:rPr>
        <w:t>وا</w:t>
      </w:r>
      <w:r w:rsidR="00785633" w:rsidRPr="00785633">
        <w:rPr>
          <w:rtl/>
        </w:rPr>
        <w:t xml:space="preserve"> </w:t>
      </w:r>
      <w:r w:rsidR="00785633">
        <w:rPr>
          <w:rtl/>
        </w:rPr>
        <w:t>ال</w:t>
      </w:r>
      <w:r w:rsidR="00785633">
        <w:rPr>
          <w:rFonts w:hint="cs"/>
          <w:rtl/>
        </w:rPr>
        <w:t>إدارة</w:t>
      </w:r>
      <w:r w:rsidR="00785633">
        <w:rPr>
          <w:rtl/>
        </w:rPr>
        <w:t xml:space="preserve"> بوصفه</w:t>
      </w:r>
      <w:r w:rsidR="00785633">
        <w:rPr>
          <w:rFonts w:hint="cs"/>
          <w:rtl/>
        </w:rPr>
        <w:t>ا</w:t>
      </w:r>
      <w:r w:rsidR="00785633">
        <w:rPr>
          <w:rtl/>
        </w:rPr>
        <w:t xml:space="preserve"> إدارة للبحث الدولي أو الفحص التمهيدي الدولي</w:t>
      </w:r>
      <w:r w:rsidR="00C05BDA">
        <w:rPr>
          <w:rtl/>
        </w:rPr>
        <w:t xml:space="preserve"> </w:t>
      </w:r>
      <w:r w:rsidR="00DC0EBE">
        <w:rPr>
          <w:rtl/>
        </w:rPr>
        <w:t>لطلباتهم الدولية</w:t>
      </w:r>
      <w:r w:rsidR="00DC0EBE">
        <w:rPr>
          <w:rFonts w:hint="cs"/>
          <w:rtl/>
        </w:rPr>
        <w:t>.</w:t>
      </w:r>
      <w:r w:rsidR="004224A1">
        <w:rPr>
          <w:rFonts w:hint="cs"/>
          <w:rtl/>
        </w:rPr>
        <w:t xml:space="preserve"> </w:t>
      </w:r>
      <w:r w:rsidR="00F15870">
        <w:rPr>
          <w:rFonts w:hint="cs"/>
          <w:rtl/>
        </w:rPr>
        <w:t>ثم إن "</w:t>
      </w:r>
      <w:r w:rsidR="004224A1">
        <w:rPr>
          <w:rFonts w:hint="cs"/>
          <w:rtl/>
        </w:rPr>
        <w:t xml:space="preserve">إعلان </w:t>
      </w:r>
      <w:r w:rsidR="00F15870">
        <w:rPr>
          <w:rFonts w:hint="cs"/>
          <w:rtl/>
        </w:rPr>
        <w:t>إ</w:t>
      </w:r>
      <w:r w:rsidR="004224A1">
        <w:rPr>
          <w:rFonts w:hint="cs"/>
          <w:rtl/>
        </w:rPr>
        <w:t xml:space="preserve">دارة </w:t>
      </w:r>
      <w:r w:rsidR="00F15870">
        <w:rPr>
          <w:rFonts w:hint="cs"/>
          <w:rtl/>
        </w:rPr>
        <w:t>ا</w:t>
      </w:r>
      <w:r w:rsidR="004224A1">
        <w:rPr>
          <w:rFonts w:hint="cs"/>
          <w:rtl/>
        </w:rPr>
        <w:t xml:space="preserve">لبحث الدولي أو الفحص التمهيدي الدولي </w:t>
      </w:r>
      <w:r w:rsidR="00F15870">
        <w:rPr>
          <w:rFonts w:hint="cs"/>
          <w:rtl/>
        </w:rPr>
        <w:t xml:space="preserve">المختصة" </w:t>
      </w:r>
      <w:r w:rsidR="004224A1">
        <w:rPr>
          <w:rFonts w:hint="cs"/>
          <w:rtl/>
        </w:rPr>
        <w:t xml:space="preserve">من طرف المكاتب المستلمة للطلبات لكل دولة عضو </w:t>
      </w:r>
      <w:r w:rsidR="00F40AE1">
        <w:rPr>
          <w:rFonts w:hint="cs"/>
          <w:rtl/>
        </w:rPr>
        <w:t>يزيد</w:t>
      </w:r>
      <w:r w:rsidR="004224A1">
        <w:rPr>
          <w:rFonts w:hint="cs"/>
          <w:rtl/>
        </w:rPr>
        <w:t xml:space="preserve"> خطوة إ</w:t>
      </w:r>
      <w:r w:rsidR="00F40AE1">
        <w:rPr>
          <w:rFonts w:hint="cs"/>
          <w:rtl/>
        </w:rPr>
        <w:t>لى الأمام باتجاه</w:t>
      </w:r>
      <w:r w:rsidR="00652890">
        <w:rPr>
          <w:rFonts w:hint="cs"/>
          <w:rtl/>
        </w:rPr>
        <w:t xml:space="preserve"> </w:t>
      </w:r>
      <w:r w:rsidR="00F40AE1">
        <w:rPr>
          <w:rFonts w:hint="cs"/>
          <w:rtl/>
        </w:rPr>
        <w:t>ا</w:t>
      </w:r>
      <w:r w:rsidR="00652890">
        <w:rPr>
          <w:rFonts w:hint="cs"/>
          <w:rtl/>
        </w:rPr>
        <w:t xml:space="preserve">لاعتراف المتبادل </w:t>
      </w:r>
      <w:r w:rsidR="00E82BEB">
        <w:rPr>
          <w:rFonts w:hint="cs"/>
          <w:rtl/>
        </w:rPr>
        <w:t xml:space="preserve">من طرف </w:t>
      </w:r>
      <w:r w:rsidR="00652890">
        <w:rPr>
          <w:rFonts w:hint="cs"/>
          <w:rtl/>
        </w:rPr>
        <w:t>كل دولة عضو</w:t>
      </w:r>
      <w:r w:rsidR="00D34237">
        <w:rPr>
          <w:rFonts w:hint="cs"/>
          <w:rtl/>
        </w:rPr>
        <w:t xml:space="preserve">. ولذلك أثر كبير على </w:t>
      </w:r>
      <w:r w:rsidR="00E4377C">
        <w:rPr>
          <w:rFonts w:hint="cs"/>
          <w:rtl/>
        </w:rPr>
        <w:t>الاعتراف</w:t>
      </w:r>
      <w:r w:rsidR="00D34237">
        <w:rPr>
          <w:rFonts w:hint="cs"/>
          <w:rtl/>
        </w:rPr>
        <w:t xml:space="preserve">/التعيين </w:t>
      </w:r>
      <w:r w:rsidR="003467E8">
        <w:rPr>
          <w:rFonts w:hint="cs"/>
          <w:rtl/>
        </w:rPr>
        <w:t>ال</w:t>
      </w:r>
      <w:r w:rsidR="00E4377C">
        <w:rPr>
          <w:rFonts w:hint="cs"/>
          <w:rtl/>
        </w:rPr>
        <w:t>ذي ي</w:t>
      </w:r>
      <w:r w:rsidR="00D73F41">
        <w:rPr>
          <w:rFonts w:hint="cs"/>
          <w:rtl/>
        </w:rPr>
        <w:t>نفذ حتى الآن</w:t>
      </w:r>
      <w:r w:rsidR="003467E8">
        <w:rPr>
          <w:rFonts w:hint="cs"/>
          <w:rtl/>
        </w:rPr>
        <w:t xml:space="preserve"> باتباع الإجراء السليم</w:t>
      </w:r>
      <w:r w:rsidR="00E82BEB">
        <w:rPr>
          <w:rFonts w:hint="cs"/>
          <w:rtl/>
        </w:rPr>
        <w:t xml:space="preserve"> </w:t>
      </w:r>
      <w:r w:rsidR="00D73F41">
        <w:rPr>
          <w:rFonts w:hint="cs"/>
          <w:rtl/>
        </w:rPr>
        <w:t>حيث</w:t>
      </w:r>
      <w:r w:rsidR="003467E8">
        <w:rPr>
          <w:rFonts w:hint="cs"/>
          <w:rtl/>
        </w:rPr>
        <w:t xml:space="preserve"> جميع الدول الأعضاء</w:t>
      </w:r>
      <w:r w:rsidR="00D73F41">
        <w:rPr>
          <w:rFonts w:hint="cs"/>
          <w:rtl/>
        </w:rPr>
        <w:t xml:space="preserve"> هي</w:t>
      </w:r>
      <w:r w:rsidR="003467E8">
        <w:rPr>
          <w:rFonts w:hint="cs"/>
          <w:rtl/>
        </w:rPr>
        <w:t xml:space="preserve"> طرف</w:t>
      </w:r>
      <w:r w:rsidR="00D73F41">
        <w:rPr>
          <w:rFonts w:hint="cs"/>
          <w:rtl/>
        </w:rPr>
        <w:t xml:space="preserve"> بالفعل</w:t>
      </w:r>
      <w:r w:rsidR="003467E8">
        <w:rPr>
          <w:rFonts w:hint="cs"/>
          <w:rtl/>
        </w:rPr>
        <w:t xml:space="preserve"> في </w:t>
      </w:r>
      <w:r w:rsidR="00D73F41">
        <w:rPr>
          <w:rFonts w:hint="cs"/>
          <w:rtl/>
        </w:rPr>
        <w:t xml:space="preserve">عملية </w:t>
      </w:r>
      <w:r w:rsidR="003467E8">
        <w:rPr>
          <w:rFonts w:hint="cs"/>
          <w:rtl/>
        </w:rPr>
        <w:t xml:space="preserve">صنع القرار. </w:t>
      </w:r>
      <w:r w:rsidR="007B137F">
        <w:rPr>
          <w:rFonts w:hint="cs"/>
          <w:rtl/>
        </w:rPr>
        <w:t xml:space="preserve">ولا يجب تقييد التعاون المتعدد الأطراف بموجب معاهدة التعاون بشأن البراءات </w:t>
      </w:r>
      <w:r w:rsidR="00D34237">
        <w:rPr>
          <w:rtl/>
        </w:rPr>
        <w:t>بسبب عدم وجود ترتيبات ثنائية</w:t>
      </w:r>
      <w:r w:rsidR="007B137F">
        <w:rPr>
          <w:rFonts w:hint="cs"/>
          <w:rtl/>
        </w:rPr>
        <w:t>.</w:t>
      </w:r>
    </w:p>
    <w:p w:rsidR="00700494" w:rsidRDefault="00037147" w:rsidP="007202D6">
      <w:pPr>
        <w:pStyle w:val="ListBullet"/>
      </w:pPr>
      <w:r>
        <w:rPr>
          <w:rFonts w:hint="cs"/>
          <w:rtl/>
        </w:rPr>
        <w:t>و</w:t>
      </w:r>
      <w:r w:rsidR="00650E85">
        <w:rPr>
          <w:rFonts w:hint="cs"/>
          <w:rtl/>
        </w:rPr>
        <w:t xml:space="preserve">تتسم </w:t>
      </w:r>
      <w:r>
        <w:rPr>
          <w:rFonts w:hint="cs"/>
          <w:rtl/>
        </w:rPr>
        <w:t xml:space="preserve">الأعمال التجارية، في عالم اليوم، </w:t>
      </w:r>
      <w:r w:rsidR="00650E85">
        <w:rPr>
          <w:rFonts w:hint="cs"/>
          <w:rtl/>
        </w:rPr>
        <w:t>بكونها</w:t>
      </w:r>
      <w:r>
        <w:rPr>
          <w:rFonts w:hint="cs"/>
          <w:rtl/>
        </w:rPr>
        <w:t xml:space="preserve"> عابرة للحدود ولديها شركاء متعددون من أجل البحث والإنتاج والتسويق وما إلى ذلك. </w:t>
      </w:r>
      <w:r w:rsidR="00A77B0C">
        <w:rPr>
          <w:rFonts w:hint="cs"/>
          <w:rtl/>
        </w:rPr>
        <w:t>ويقرر مودعو الطلبات في الحاجة</w:t>
      </w:r>
      <w:r w:rsidR="00A77B0C" w:rsidRPr="00A77B0C">
        <w:rPr>
          <w:rtl/>
        </w:rPr>
        <w:t xml:space="preserve"> </w:t>
      </w:r>
      <w:r w:rsidR="00A77B0C">
        <w:rPr>
          <w:rFonts w:hint="cs"/>
          <w:rtl/>
        </w:rPr>
        <w:t>ل</w:t>
      </w:r>
      <w:r w:rsidR="00A77B0C" w:rsidRPr="00A77B0C">
        <w:rPr>
          <w:rtl/>
        </w:rPr>
        <w:t xml:space="preserve">لحصول على براءة اختراع </w:t>
      </w:r>
      <w:r w:rsidR="00A77B0C">
        <w:rPr>
          <w:rFonts w:hint="cs"/>
          <w:rtl/>
        </w:rPr>
        <w:t xml:space="preserve">واختيار </w:t>
      </w:r>
      <w:r w:rsidR="00A77B0C">
        <w:rPr>
          <w:rtl/>
        </w:rPr>
        <w:t>إدارة للبحث الدولي أو الفحص التمهيدي الدولي</w:t>
      </w:r>
      <w:r w:rsidR="00A77B0C">
        <w:rPr>
          <w:rFonts w:hint="cs"/>
          <w:rtl/>
        </w:rPr>
        <w:t xml:space="preserve"> بالاستناد إلى عوامل متنوعة.</w:t>
      </w:r>
      <w:r w:rsidR="00D83C73">
        <w:rPr>
          <w:rFonts w:hint="cs"/>
          <w:rtl/>
        </w:rPr>
        <w:t xml:space="preserve"> و</w:t>
      </w:r>
      <w:r w:rsidR="00D83C73">
        <w:rPr>
          <w:rtl/>
        </w:rPr>
        <w:t>في حالة اشتراك مُودعين من بلدان مختلفة في إيداع الطلب، تكون أمامهم خيارات أكثر لأنه يجوز اختيار إدارة البحث الدولي أو إدارة الفحص التمهيدي الدولي إذا كان من حق أحد المُودعين على الأقل أن يختار المكتب بوصفه إدارة للبحث الدولي أو الفحص التمهيدي الدولي</w:t>
      </w:r>
      <w:r w:rsidR="00A057B6">
        <w:rPr>
          <w:rFonts w:hint="cs"/>
          <w:rtl/>
        </w:rPr>
        <w:t>.</w:t>
      </w:r>
      <w:r w:rsidR="00D83C73">
        <w:rPr>
          <w:rtl/>
        </w:rPr>
        <w:t xml:space="preserve"> و</w:t>
      </w:r>
      <w:r w:rsidR="008664F1">
        <w:rPr>
          <w:rFonts w:hint="cs"/>
          <w:rtl/>
        </w:rPr>
        <w:t>هذا</w:t>
      </w:r>
      <w:r w:rsidR="00D83C73">
        <w:rPr>
          <w:rtl/>
        </w:rPr>
        <w:t xml:space="preserve"> ا</w:t>
      </w:r>
      <w:r w:rsidR="008664F1">
        <w:rPr>
          <w:rFonts w:hint="cs"/>
          <w:rtl/>
        </w:rPr>
        <w:t>لا</w:t>
      </w:r>
      <w:r w:rsidR="00D83C73">
        <w:rPr>
          <w:rtl/>
        </w:rPr>
        <w:t>خ</w:t>
      </w:r>
      <w:r w:rsidR="008664F1">
        <w:rPr>
          <w:rFonts w:hint="cs"/>
          <w:rtl/>
        </w:rPr>
        <w:t>ت</w:t>
      </w:r>
      <w:r w:rsidR="00D83C73">
        <w:rPr>
          <w:rtl/>
        </w:rPr>
        <w:t>يار</w:t>
      </w:r>
      <w:r w:rsidR="008664F1">
        <w:rPr>
          <w:rFonts w:hint="cs"/>
          <w:rtl/>
        </w:rPr>
        <w:t xml:space="preserve"> لا</w:t>
      </w:r>
      <w:r w:rsidR="00D83C73">
        <w:rPr>
          <w:rtl/>
        </w:rPr>
        <w:t xml:space="preserve"> </w:t>
      </w:r>
      <w:r w:rsidR="008664F1">
        <w:rPr>
          <w:rFonts w:hint="cs"/>
          <w:rtl/>
        </w:rPr>
        <w:t>ي</w:t>
      </w:r>
      <w:r w:rsidR="00D83C73">
        <w:rPr>
          <w:rtl/>
        </w:rPr>
        <w:t>تاح لجميع المودعين على قدم المساواة</w:t>
      </w:r>
      <w:r w:rsidR="008664F1">
        <w:rPr>
          <w:rFonts w:hint="cs"/>
          <w:rtl/>
        </w:rPr>
        <w:t xml:space="preserve"> و</w:t>
      </w:r>
      <w:r w:rsidR="00261676">
        <w:rPr>
          <w:rFonts w:hint="cs"/>
          <w:rtl/>
        </w:rPr>
        <w:t xml:space="preserve">لذلك يجب </w:t>
      </w:r>
      <w:r w:rsidR="008664F1">
        <w:rPr>
          <w:rFonts w:hint="cs"/>
          <w:rtl/>
        </w:rPr>
        <w:t xml:space="preserve">تعديل القواعد </w:t>
      </w:r>
      <w:r w:rsidR="00E82BEB">
        <w:rPr>
          <w:rFonts w:hint="cs"/>
          <w:rtl/>
        </w:rPr>
        <w:t>ل</w:t>
      </w:r>
      <w:r w:rsidR="00900A35">
        <w:rPr>
          <w:rFonts w:hint="cs"/>
          <w:rtl/>
        </w:rPr>
        <w:t>ت</w:t>
      </w:r>
      <w:r w:rsidR="0099765B">
        <w:rPr>
          <w:rFonts w:hint="cs"/>
          <w:rtl/>
        </w:rPr>
        <w:t>ساير</w:t>
      </w:r>
      <w:r w:rsidR="00900A35">
        <w:rPr>
          <w:rFonts w:hint="cs"/>
          <w:rtl/>
        </w:rPr>
        <w:t xml:space="preserve"> </w:t>
      </w:r>
      <w:r w:rsidR="0099765B">
        <w:rPr>
          <w:rFonts w:hint="cs"/>
          <w:rtl/>
        </w:rPr>
        <w:t>ال</w:t>
      </w:r>
      <w:r w:rsidR="008664F1">
        <w:rPr>
          <w:rFonts w:hint="cs"/>
          <w:rtl/>
        </w:rPr>
        <w:t>عا</w:t>
      </w:r>
      <w:r w:rsidR="00900A35">
        <w:rPr>
          <w:rFonts w:hint="cs"/>
          <w:rtl/>
        </w:rPr>
        <w:t>ل</w:t>
      </w:r>
      <w:r w:rsidR="008664F1">
        <w:rPr>
          <w:rFonts w:hint="cs"/>
          <w:rtl/>
        </w:rPr>
        <w:t xml:space="preserve">م </w:t>
      </w:r>
      <w:r w:rsidR="0099765B">
        <w:rPr>
          <w:rFonts w:hint="cs"/>
          <w:rtl/>
        </w:rPr>
        <w:t>ال</w:t>
      </w:r>
      <w:r w:rsidR="008664F1">
        <w:rPr>
          <w:rFonts w:hint="cs"/>
          <w:rtl/>
        </w:rPr>
        <w:t>متغير</w:t>
      </w:r>
      <w:r w:rsidR="00D83C73">
        <w:rPr>
          <w:rtl/>
        </w:rPr>
        <w:t>.</w:t>
      </w:r>
    </w:p>
    <w:p w:rsidR="005A0B68" w:rsidRDefault="00EA2835" w:rsidP="005A0B68">
      <w:pPr>
        <w:pStyle w:val="ListBullet"/>
      </w:pPr>
      <w:r>
        <w:rPr>
          <w:rFonts w:hint="cs"/>
          <w:rtl/>
        </w:rPr>
        <w:t>و</w:t>
      </w:r>
      <w:r w:rsidR="00900A35">
        <w:rPr>
          <w:rFonts w:hint="cs"/>
          <w:rtl/>
        </w:rPr>
        <w:t xml:space="preserve">يسمح نظام معاهدة التعاون بشأن البراءات الحالي، </w:t>
      </w:r>
      <w:r>
        <w:rPr>
          <w:rFonts w:hint="cs"/>
          <w:rtl/>
        </w:rPr>
        <w:t>باعتباره معاهدة متعددة الأطراف،</w:t>
      </w:r>
      <w:r w:rsidR="00900A35">
        <w:rPr>
          <w:rFonts w:hint="cs"/>
          <w:rtl/>
        </w:rPr>
        <w:t xml:space="preserve"> </w:t>
      </w:r>
      <w:r w:rsidR="00433F3B">
        <w:rPr>
          <w:rFonts w:hint="cs"/>
          <w:rtl/>
        </w:rPr>
        <w:t>لجميع مودعي الطلبات بتعيين أو انتخاب أي دولة من الدول الأعضاء خلال المرحلة الوطنية</w:t>
      </w:r>
      <w:r w:rsidR="000E6550">
        <w:rPr>
          <w:rFonts w:hint="cs"/>
          <w:rtl/>
        </w:rPr>
        <w:t>. وبتمكين مودعي الطلبات من</w:t>
      </w:r>
      <w:r w:rsidR="00433F3B">
        <w:rPr>
          <w:rFonts w:hint="cs"/>
          <w:rtl/>
        </w:rPr>
        <w:t xml:space="preserve"> اختيار أية إدارة دولية كإدارة للبحث الدولي أو الفحص التمهيدي الدولي</w:t>
      </w:r>
      <w:r w:rsidR="009B232D">
        <w:rPr>
          <w:rFonts w:hint="cs"/>
          <w:rtl/>
        </w:rPr>
        <w:t xml:space="preserve"> سيكون التعاون بين الإدارات الدولية </w:t>
      </w:r>
      <w:r w:rsidR="000E6550">
        <w:rPr>
          <w:rFonts w:hint="cs"/>
          <w:rtl/>
        </w:rPr>
        <w:t>أكثر جدوى</w:t>
      </w:r>
      <w:r w:rsidR="00DA3A26">
        <w:rPr>
          <w:rFonts w:hint="cs"/>
          <w:rtl/>
        </w:rPr>
        <w:t>،</w:t>
      </w:r>
      <w:r w:rsidR="009B232D">
        <w:rPr>
          <w:rFonts w:hint="cs"/>
          <w:rtl/>
        </w:rPr>
        <w:t xml:space="preserve"> حيث أن الإدارات الدولية تقر بالخدمات التي تقدمها الإدارات الأخرى وتقر </w:t>
      </w:r>
      <w:r w:rsidR="00900A35">
        <w:rPr>
          <w:rFonts w:hint="cs"/>
          <w:rtl/>
        </w:rPr>
        <w:t>ج</w:t>
      </w:r>
      <w:r w:rsidR="009B232D">
        <w:rPr>
          <w:rFonts w:hint="cs"/>
          <w:rtl/>
        </w:rPr>
        <w:t>ميع الدول الأعضاء بتساوي الخدمات التي تقدمها</w:t>
      </w:r>
      <w:r w:rsidR="005A0B68">
        <w:rPr>
          <w:rFonts w:hint="cs"/>
          <w:rtl/>
        </w:rPr>
        <w:t xml:space="preserve"> كافة</w:t>
      </w:r>
      <w:r w:rsidR="009B232D">
        <w:rPr>
          <w:rFonts w:hint="cs"/>
          <w:rtl/>
        </w:rPr>
        <w:t xml:space="preserve"> الإدارات الدولية</w:t>
      </w:r>
      <w:r w:rsidR="005A0B68">
        <w:rPr>
          <w:rFonts w:hint="cs"/>
          <w:rtl/>
        </w:rPr>
        <w:t>.</w:t>
      </w:r>
    </w:p>
    <w:p w:rsidR="007E4CEA" w:rsidRDefault="005A0B68" w:rsidP="00DF15AC">
      <w:pPr>
        <w:pStyle w:val="ListBullet"/>
      </w:pPr>
      <w:r>
        <w:rPr>
          <w:rFonts w:hint="cs"/>
          <w:rtl/>
        </w:rPr>
        <w:t>و</w:t>
      </w:r>
      <w:r w:rsidR="00DA3A26">
        <w:rPr>
          <w:rFonts w:hint="cs"/>
          <w:rtl/>
        </w:rPr>
        <w:t>ب</w:t>
      </w:r>
      <w:r>
        <w:rPr>
          <w:rFonts w:hint="cs"/>
          <w:rtl/>
        </w:rPr>
        <w:t>تبسيط الإجراء وإتاحة المزيد من الاختيارات لمودع الطلب</w:t>
      </w:r>
      <w:r w:rsidR="00DA3A26">
        <w:rPr>
          <w:rFonts w:hint="cs"/>
          <w:rtl/>
        </w:rPr>
        <w:t>، سيمكن</w:t>
      </w:r>
      <w:r>
        <w:rPr>
          <w:rFonts w:hint="cs"/>
          <w:rtl/>
        </w:rPr>
        <w:t xml:space="preserve"> نظام معاهدة التعاون بشأن البراءات</w:t>
      </w:r>
      <w:r w:rsidR="00DA3A26">
        <w:rPr>
          <w:rFonts w:hint="cs"/>
          <w:rtl/>
        </w:rPr>
        <w:t xml:space="preserve"> بشكل أفضل</w:t>
      </w:r>
      <w:r>
        <w:rPr>
          <w:rFonts w:hint="cs"/>
          <w:rtl/>
        </w:rPr>
        <w:t xml:space="preserve"> من تيسير مزاولة </w:t>
      </w:r>
      <w:r w:rsidRPr="007E4CEA">
        <w:rPr>
          <w:rtl/>
        </w:rPr>
        <w:t>مودعي الطلبات بموجب معاهدة التعاون بشأن البراءات</w:t>
      </w:r>
      <w:r>
        <w:rPr>
          <w:rFonts w:hint="cs"/>
          <w:rtl/>
        </w:rPr>
        <w:t xml:space="preserve"> للأعمال التجارية</w:t>
      </w:r>
      <w:r w:rsidR="00DF15AC">
        <w:rPr>
          <w:rFonts w:hint="cs"/>
          <w:rtl/>
        </w:rPr>
        <w:t xml:space="preserve">. </w:t>
      </w:r>
      <w:r w:rsidR="00DF15AC">
        <w:rPr>
          <w:rFonts w:hint="cs"/>
          <w:rtl/>
        </w:rPr>
        <w:lastRenderedPageBreak/>
        <w:t>وسيتم تحسين استخدام الموارد وتعميم أفضل الممارسات. وسيشجع ذلك المزيد من مودعي الطلبات على استخدام نظام التعاون بشأن البراءات.</w:t>
      </w:r>
    </w:p>
    <w:p w:rsidR="007E4CEA" w:rsidRDefault="00DF15AC" w:rsidP="00CA7569">
      <w:pPr>
        <w:pStyle w:val="ONUMA"/>
      </w:pPr>
      <w:r>
        <w:rPr>
          <w:rFonts w:hint="cs"/>
          <w:rtl/>
        </w:rPr>
        <w:t>وي</w:t>
      </w:r>
      <w:r w:rsidR="00C07454">
        <w:rPr>
          <w:rFonts w:hint="cs"/>
          <w:rtl/>
        </w:rPr>
        <w:t>رى المكتب الأوروبي للبراءات</w:t>
      </w:r>
      <w:r w:rsidR="00CA7569">
        <w:rPr>
          <w:rFonts w:hint="cs"/>
          <w:rtl/>
        </w:rPr>
        <w:t xml:space="preserve"> أنه من الممكن</w:t>
      </w:r>
      <w:r w:rsidR="003320A5">
        <w:rPr>
          <w:rFonts w:hint="cs"/>
          <w:rtl/>
        </w:rPr>
        <w:t>، في البداية،</w:t>
      </w:r>
      <w:r w:rsidR="00C07454">
        <w:rPr>
          <w:rFonts w:hint="cs"/>
          <w:rtl/>
        </w:rPr>
        <w:t xml:space="preserve"> </w:t>
      </w:r>
      <w:r w:rsidR="00CA7569">
        <w:rPr>
          <w:rFonts w:hint="cs"/>
          <w:rtl/>
        </w:rPr>
        <w:t>أن يتاح ل</w:t>
      </w:r>
      <w:r w:rsidR="00C07454">
        <w:rPr>
          <w:rFonts w:hint="cs"/>
          <w:rtl/>
        </w:rPr>
        <w:t xml:space="preserve">مودعي </w:t>
      </w:r>
      <w:r w:rsidR="00CA7569">
        <w:rPr>
          <w:rFonts w:hint="cs"/>
          <w:rtl/>
        </w:rPr>
        <w:t>الطلبات ال</w:t>
      </w:r>
      <w:r w:rsidR="00C07454">
        <w:rPr>
          <w:rFonts w:hint="cs"/>
          <w:rtl/>
        </w:rPr>
        <w:t xml:space="preserve">دولية </w:t>
      </w:r>
      <w:r w:rsidR="00DA51CE">
        <w:rPr>
          <w:rFonts w:hint="cs"/>
          <w:rtl/>
        </w:rPr>
        <w:t>عن طريق</w:t>
      </w:r>
      <w:r w:rsidR="00C07454">
        <w:rPr>
          <w:rFonts w:hint="cs"/>
          <w:rtl/>
        </w:rPr>
        <w:t xml:space="preserve"> المكتب الدولي</w:t>
      </w:r>
      <w:r w:rsidR="00DA51CE">
        <w:rPr>
          <w:rFonts w:hint="cs"/>
          <w:rtl/>
        </w:rPr>
        <w:t>،</w:t>
      </w:r>
      <w:r w:rsidR="00C07454">
        <w:rPr>
          <w:rFonts w:hint="cs"/>
          <w:rtl/>
        </w:rPr>
        <w:t xml:space="preserve"> باعتباره مكتبا مستلما للطلبات</w:t>
      </w:r>
      <w:r w:rsidR="00205C68">
        <w:rPr>
          <w:rFonts w:hint="cs"/>
          <w:rtl/>
        </w:rPr>
        <w:t xml:space="preserve"> </w:t>
      </w:r>
      <w:r w:rsidR="00205C68" w:rsidRPr="00F86CF8">
        <w:t>(RO/IB)</w:t>
      </w:r>
      <w:r w:rsidR="00DA51CE">
        <w:rPr>
          <w:rFonts w:hint="cs"/>
          <w:rtl/>
        </w:rPr>
        <w:t>،</w:t>
      </w:r>
      <w:r w:rsidR="00C07454">
        <w:rPr>
          <w:rFonts w:hint="cs"/>
          <w:rtl/>
        </w:rPr>
        <w:t xml:space="preserve"> اختيار أية إدارة من الإدارات الدولية كإدارة للبحث الدولي أو الفحص التمهيدي الدولي. ويُقترح ذلك </w:t>
      </w:r>
      <w:r w:rsidR="00726D80">
        <w:rPr>
          <w:rFonts w:hint="cs"/>
          <w:rtl/>
        </w:rPr>
        <w:t xml:space="preserve">لأن </w:t>
      </w:r>
      <w:r w:rsidR="00C07454">
        <w:rPr>
          <w:rFonts w:hint="cs"/>
          <w:rtl/>
        </w:rPr>
        <w:t>آلي</w:t>
      </w:r>
      <w:r w:rsidR="00205C68">
        <w:rPr>
          <w:rFonts w:hint="cs"/>
          <w:rtl/>
        </w:rPr>
        <w:t>ات</w:t>
      </w:r>
      <w:r w:rsidR="00205C68" w:rsidRPr="00205C68">
        <w:rPr>
          <w:rFonts w:hint="cs"/>
          <w:rtl/>
        </w:rPr>
        <w:t xml:space="preserve"> </w:t>
      </w:r>
      <w:r w:rsidR="00C07454">
        <w:rPr>
          <w:rFonts w:hint="cs"/>
          <w:rtl/>
        </w:rPr>
        <w:t xml:space="preserve">نقل الرسوم والوثائق </w:t>
      </w:r>
      <w:r w:rsidR="00726D80">
        <w:rPr>
          <w:rFonts w:hint="cs"/>
          <w:rtl/>
        </w:rPr>
        <w:t xml:space="preserve">تستخدم بالفعل </w:t>
      </w:r>
      <w:r w:rsidR="00C07454">
        <w:rPr>
          <w:rFonts w:hint="cs"/>
          <w:rtl/>
        </w:rPr>
        <w:t xml:space="preserve">بين مختلف المكاتب والمكتب الدولي. ويقترح أيضا أنه يمكن توسيع نطاق الآلية تدريجيا إلى المكاتب الأخرى المستلمة للطلبات. </w:t>
      </w:r>
    </w:p>
    <w:p w:rsidR="00D34C57" w:rsidRDefault="007E4CEA" w:rsidP="00CA7569">
      <w:pPr>
        <w:pStyle w:val="Decision"/>
        <w:rPr>
          <w:rtl/>
        </w:rPr>
      </w:pPr>
      <w:r w:rsidRPr="007E4CEA">
        <w:rPr>
          <w:rtl/>
        </w:rPr>
        <w:t>إن الفريق العامل مدعو إلى الإحاطة علما ب</w:t>
      </w:r>
      <w:r>
        <w:rPr>
          <w:rFonts w:hint="cs"/>
          <w:rtl/>
        </w:rPr>
        <w:t>تفاصيل الاقتراح والتعليق</w:t>
      </w:r>
      <w:r w:rsidRPr="007E4CEA">
        <w:rPr>
          <w:rtl/>
        </w:rPr>
        <w:t xml:space="preserve"> </w:t>
      </w:r>
      <w:r w:rsidR="00CA7569">
        <w:rPr>
          <w:rFonts w:hint="cs"/>
          <w:rtl/>
        </w:rPr>
        <w:t xml:space="preserve">على </w:t>
      </w:r>
      <w:r w:rsidRPr="007E4CEA">
        <w:rPr>
          <w:rtl/>
        </w:rPr>
        <w:t xml:space="preserve">الخطوات المقبلة المقترحة </w:t>
      </w:r>
      <w:r>
        <w:rPr>
          <w:rFonts w:hint="cs"/>
          <w:rtl/>
        </w:rPr>
        <w:t>في الفقرة 5</w:t>
      </w:r>
      <w:r w:rsidRPr="007E4CEA">
        <w:rPr>
          <w:rtl/>
        </w:rPr>
        <w:t>.</w:t>
      </w:r>
    </w:p>
    <w:p w:rsidR="00D82A7B" w:rsidRDefault="00D34C57" w:rsidP="001B631C">
      <w:pPr>
        <w:pStyle w:val="Endofdocument-Annex"/>
        <w:rPr>
          <w:rtl/>
        </w:rPr>
      </w:pPr>
      <w:r>
        <w:rPr>
          <w:rtl/>
        </w:rPr>
        <w:t>[</w:t>
      </w:r>
      <w:r w:rsidR="001B631C">
        <w:rPr>
          <w:rFonts w:hint="cs"/>
          <w:rtl/>
        </w:rPr>
        <w:t>نهاية ا</w:t>
      </w:r>
      <w:r>
        <w:rPr>
          <w:rtl/>
        </w:rPr>
        <w:t>لوثيقة]</w:t>
      </w:r>
    </w:p>
    <w:p w:rsidR="00D82A7B" w:rsidRPr="00D82A7B" w:rsidRDefault="00D82A7B" w:rsidP="00D82A7B">
      <w:pPr>
        <w:rPr>
          <w:rtl/>
        </w:rPr>
      </w:pPr>
    </w:p>
    <w:sectPr w:rsidR="00D82A7B" w:rsidRPr="00D82A7B" w:rsidSect="00722B08">
      <w:headerReference w:type="default" r:id="rId9"/>
      <w:headerReference w:type="first" r:id="rId1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CE" w:rsidRDefault="00EC60CE">
      <w:r>
        <w:separator/>
      </w:r>
    </w:p>
  </w:endnote>
  <w:endnote w:type="continuationSeparator" w:id="0">
    <w:p w:rsidR="00EC60CE" w:rsidRDefault="00EC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CE" w:rsidRDefault="00EC60CE" w:rsidP="009622BF">
      <w:bookmarkStart w:id="0" w:name="OLE_LINK1"/>
      <w:bookmarkStart w:id="1" w:name="OLE_LINK2"/>
      <w:r>
        <w:separator/>
      </w:r>
      <w:bookmarkEnd w:id="0"/>
      <w:bookmarkEnd w:id="1"/>
    </w:p>
  </w:footnote>
  <w:footnote w:type="continuationSeparator" w:id="0">
    <w:p w:rsidR="00EC60CE" w:rsidRDefault="00EC60C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AE1" w:rsidRDefault="00F40AE1" w:rsidP="00722B08">
    <w:pPr>
      <w:bidi w:val="0"/>
      <w:rPr>
        <w:rFonts w:ascii="Arial" w:hAnsi="Arial" w:cs="Arial"/>
        <w:sz w:val="22"/>
        <w:szCs w:val="22"/>
      </w:rPr>
    </w:pPr>
    <w:r>
      <w:rPr>
        <w:rFonts w:ascii="Arial" w:hAnsi="Arial" w:cs="Arial"/>
        <w:sz w:val="22"/>
        <w:szCs w:val="22"/>
      </w:rPr>
      <w:t>PCT/WG/12/18</w:t>
    </w:r>
  </w:p>
  <w:p w:rsidR="00F40AE1" w:rsidRPr="00C50A61" w:rsidRDefault="00F40AE1" w:rsidP="00722B0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F28F7">
      <w:rPr>
        <w:rFonts w:ascii="Arial" w:hAnsi="Arial" w:cs="Arial"/>
        <w:noProof/>
        <w:sz w:val="22"/>
        <w:szCs w:val="22"/>
        <w:lang w:bidi="ar-EG"/>
      </w:rPr>
      <w:t>4</w:t>
    </w:r>
    <w:r w:rsidRPr="00C50A61">
      <w:rPr>
        <w:rFonts w:ascii="Arial" w:hAnsi="Arial" w:cs="Arial"/>
        <w:sz w:val="22"/>
        <w:szCs w:val="22"/>
      </w:rPr>
      <w:fldChar w:fldCharType="end"/>
    </w:r>
  </w:p>
  <w:p w:rsidR="00F40AE1" w:rsidRPr="00C50A61" w:rsidRDefault="00F40AE1" w:rsidP="00722B08">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AE1" w:rsidRPr="00C50A61" w:rsidRDefault="00F40AE1" w:rsidP="009E59F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1DA818BC"/>
    <w:lvl w:ilvl="0">
      <w:start w:val="3"/>
      <w:numFmt w:val="decimal"/>
      <w:lvlRestart w:val="0"/>
      <w:pStyle w:val="ONUMA"/>
      <w:lvlText w:val="%1."/>
      <w:lvlJc w:val="left"/>
      <w:pPr>
        <w:ind w:left="0" w:firstLine="0"/>
      </w:pPr>
      <w:rPr>
        <w:rFonts w:ascii="Arabic Typesetting" w:hAnsi="Arabic Typesetting" w:cs="Arabic Typesetting" w:hint="default"/>
        <w:sz w:val="36"/>
        <w:szCs w:val="36"/>
        <w:lang w:val="en-US"/>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6DC19D2"/>
    <w:multiLevelType w:val="hybridMultilevel"/>
    <w:tmpl w:val="916424A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CF80863"/>
    <w:multiLevelType w:val="hybridMultilevel"/>
    <w:tmpl w:val="D42C18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8B515E5"/>
    <w:multiLevelType w:val="hybridMultilevel"/>
    <w:tmpl w:val="916424A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2" w15:restartNumberingAfterBreak="0">
    <w:nsid w:val="51B25FD3"/>
    <w:multiLevelType w:val="hybridMultilevel"/>
    <w:tmpl w:val="E2A20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B3486650"/>
    <w:lvl w:ilvl="0">
      <w:start w:val="47"/>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5763776"/>
    <w:multiLevelType w:val="hybridMultilevel"/>
    <w:tmpl w:val="EE1E8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40"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FB222E3"/>
    <w:multiLevelType w:val="hybridMultilevel"/>
    <w:tmpl w:val="3760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15"/>
  </w:num>
  <w:num w:numId="4">
    <w:abstractNumId w:val="41"/>
  </w:num>
  <w:num w:numId="5">
    <w:abstractNumId w:val="8"/>
  </w:num>
  <w:num w:numId="6">
    <w:abstractNumId w:val="42"/>
  </w:num>
  <w:num w:numId="7">
    <w:abstractNumId w:val="22"/>
  </w:num>
  <w:num w:numId="8">
    <w:abstractNumId w:val="40"/>
  </w:num>
  <w:num w:numId="9">
    <w:abstractNumId w:val="35"/>
  </w:num>
  <w:num w:numId="10">
    <w:abstractNumId w:val="4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9"/>
  </w:num>
  <w:num w:numId="29">
    <w:abstractNumId w:val="11"/>
  </w:num>
  <w:num w:numId="30">
    <w:abstractNumId w:val="33"/>
  </w:num>
  <w:num w:numId="31">
    <w:abstractNumId w:val="23"/>
  </w:num>
  <w:num w:numId="32">
    <w:abstractNumId w:val="28"/>
  </w:num>
  <w:num w:numId="33">
    <w:abstractNumId w:val="39"/>
  </w:num>
  <w:num w:numId="34">
    <w:abstractNumId w:val="13"/>
  </w:num>
  <w:num w:numId="35">
    <w:abstractNumId w:val="37"/>
  </w:num>
  <w:num w:numId="36">
    <w:abstractNumId w:val="27"/>
  </w:num>
  <w:num w:numId="37">
    <w:abstractNumId w:val="36"/>
  </w:num>
  <w:num w:numId="38">
    <w:abstractNumId w:val="17"/>
  </w:num>
  <w:num w:numId="39">
    <w:abstractNumId w:val="31"/>
  </w:num>
  <w:num w:numId="40">
    <w:abstractNumId w:val="29"/>
  </w:num>
  <w:num w:numId="41">
    <w:abstractNumId w:val="20"/>
  </w:num>
  <w:num w:numId="42">
    <w:abstractNumId w:val="10"/>
  </w:num>
  <w:num w:numId="43">
    <w:abstractNumId w:val="24"/>
  </w:num>
  <w:num w:numId="44">
    <w:abstractNumId w:val="34"/>
  </w:num>
  <w:num w:numId="45">
    <w:abstractNumId w:val="32"/>
  </w:num>
  <w:num w:numId="46">
    <w:abstractNumId w:val="38"/>
  </w:num>
  <w:num w:numId="47">
    <w:abstractNumId w:val="44"/>
  </w:num>
  <w:num w:numId="48">
    <w:abstractNumId w:val="14"/>
  </w:num>
  <w:num w:numId="49">
    <w:abstractNumId w:val="30"/>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D2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E51"/>
    <w:rsid w:val="00031B2C"/>
    <w:rsid w:val="0003371F"/>
    <w:rsid w:val="00033D2C"/>
    <w:rsid w:val="00035CE8"/>
    <w:rsid w:val="00036041"/>
    <w:rsid w:val="00036A3F"/>
    <w:rsid w:val="00037147"/>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2182"/>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6550"/>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32"/>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0FB1"/>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2FD8"/>
    <w:rsid w:val="0018414E"/>
    <w:rsid w:val="00185718"/>
    <w:rsid w:val="001857AF"/>
    <w:rsid w:val="00185BBE"/>
    <w:rsid w:val="00186606"/>
    <w:rsid w:val="00190B6D"/>
    <w:rsid w:val="00191E75"/>
    <w:rsid w:val="00192022"/>
    <w:rsid w:val="0019301D"/>
    <w:rsid w:val="0019454F"/>
    <w:rsid w:val="00194719"/>
    <w:rsid w:val="00194774"/>
    <w:rsid w:val="00195CE0"/>
    <w:rsid w:val="0019641F"/>
    <w:rsid w:val="00196562"/>
    <w:rsid w:val="001A098F"/>
    <w:rsid w:val="001A10CB"/>
    <w:rsid w:val="001A110B"/>
    <w:rsid w:val="001A149A"/>
    <w:rsid w:val="001A2AB7"/>
    <w:rsid w:val="001A2AC8"/>
    <w:rsid w:val="001A3BE6"/>
    <w:rsid w:val="001A41A1"/>
    <w:rsid w:val="001A4A9C"/>
    <w:rsid w:val="001A6B88"/>
    <w:rsid w:val="001A6C33"/>
    <w:rsid w:val="001A6E68"/>
    <w:rsid w:val="001B0934"/>
    <w:rsid w:val="001B3131"/>
    <w:rsid w:val="001B4B2F"/>
    <w:rsid w:val="001B631C"/>
    <w:rsid w:val="001B7C00"/>
    <w:rsid w:val="001C09D2"/>
    <w:rsid w:val="001C0D3B"/>
    <w:rsid w:val="001C1620"/>
    <w:rsid w:val="001C18B2"/>
    <w:rsid w:val="001C1994"/>
    <w:rsid w:val="001C2933"/>
    <w:rsid w:val="001C5EEE"/>
    <w:rsid w:val="001C6A73"/>
    <w:rsid w:val="001C73C2"/>
    <w:rsid w:val="001C7556"/>
    <w:rsid w:val="001C75A9"/>
    <w:rsid w:val="001D0474"/>
    <w:rsid w:val="001D141D"/>
    <w:rsid w:val="001D1EBD"/>
    <w:rsid w:val="001D2184"/>
    <w:rsid w:val="001D24F3"/>
    <w:rsid w:val="001D2678"/>
    <w:rsid w:val="001D2B32"/>
    <w:rsid w:val="001D2DC4"/>
    <w:rsid w:val="001D571B"/>
    <w:rsid w:val="001D6A48"/>
    <w:rsid w:val="001E1043"/>
    <w:rsid w:val="001E10E1"/>
    <w:rsid w:val="001E175F"/>
    <w:rsid w:val="001E19F7"/>
    <w:rsid w:val="001E2669"/>
    <w:rsid w:val="001E3FB9"/>
    <w:rsid w:val="001E4083"/>
    <w:rsid w:val="001E4770"/>
    <w:rsid w:val="001E5588"/>
    <w:rsid w:val="001E56CB"/>
    <w:rsid w:val="001E56FC"/>
    <w:rsid w:val="001E582D"/>
    <w:rsid w:val="001E6318"/>
    <w:rsid w:val="001F0AD5"/>
    <w:rsid w:val="001F0B18"/>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5C68"/>
    <w:rsid w:val="002061DE"/>
    <w:rsid w:val="002065E2"/>
    <w:rsid w:val="00206C61"/>
    <w:rsid w:val="00206F30"/>
    <w:rsid w:val="002072C3"/>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3BA"/>
    <w:rsid w:val="00235C9D"/>
    <w:rsid w:val="00235DAE"/>
    <w:rsid w:val="0023693F"/>
    <w:rsid w:val="002412D4"/>
    <w:rsid w:val="0024220D"/>
    <w:rsid w:val="00242AD1"/>
    <w:rsid w:val="00242BD3"/>
    <w:rsid w:val="00242C02"/>
    <w:rsid w:val="00243155"/>
    <w:rsid w:val="00245711"/>
    <w:rsid w:val="00247783"/>
    <w:rsid w:val="0025172C"/>
    <w:rsid w:val="00252CF8"/>
    <w:rsid w:val="00252E2E"/>
    <w:rsid w:val="00253210"/>
    <w:rsid w:val="0025353E"/>
    <w:rsid w:val="00253DE1"/>
    <w:rsid w:val="0025425F"/>
    <w:rsid w:val="00254468"/>
    <w:rsid w:val="00254DE4"/>
    <w:rsid w:val="002559DA"/>
    <w:rsid w:val="00256955"/>
    <w:rsid w:val="0026071A"/>
    <w:rsid w:val="00261676"/>
    <w:rsid w:val="00261B27"/>
    <w:rsid w:val="00262B5A"/>
    <w:rsid w:val="0026520E"/>
    <w:rsid w:val="002653B9"/>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25E3"/>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2859"/>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20A5"/>
    <w:rsid w:val="00334127"/>
    <w:rsid w:val="00335CA6"/>
    <w:rsid w:val="003365F0"/>
    <w:rsid w:val="00336C50"/>
    <w:rsid w:val="00337265"/>
    <w:rsid w:val="00337388"/>
    <w:rsid w:val="0034007D"/>
    <w:rsid w:val="0034030D"/>
    <w:rsid w:val="003426A2"/>
    <w:rsid w:val="00343339"/>
    <w:rsid w:val="003433E5"/>
    <w:rsid w:val="00344082"/>
    <w:rsid w:val="003452F0"/>
    <w:rsid w:val="0034582C"/>
    <w:rsid w:val="00345916"/>
    <w:rsid w:val="00345CAC"/>
    <w:rsid w:val="003467E8"/>
    <w:rsid w:val="0034789E"/>
    <w:rsid w:val="003501DA"/>
    <w:rsid w:val="003503E2"/>
    <w:rsid w:val="00351DC1"/>
    <w:rsid w:val="00352487"/>
    <w:rsid w:val="003534EE"/>
    <w:rsid w:val="003569C2"/>
    <w:rsid w:val="003600A2"/>
    <w:rsid w:val="0036010C"/>
    <w:rsid w:val="003612D8"/>
    <w:rsid w:val="0036167D"/>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46D"/>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00A"/>
    <w:rsid w:val="003A78C7"/>
    <w:rsid w:val="003A7E9A"/>
    <w:rsid w:val="003B15FE"/>
    <w:rsid w:val="003B1C41"/>
    <w:rsid w:val="003B37F6"/>
    <w:rsid w:val="003B3EA3"/>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4360"/>
    <w:rsid w:val="003E5733"/>
    <w:rsid w:val="003E5E27"/>
    <w:rsid w:val="003E6FD2"/>
    <w:rsid w:val="003E788F"/>
    <w:rsid w:val="003E7A97"/>
    <w:rsid w:val="003E7D3A"/>
    <w:rsid w:val="003F011E"/>
    <w:rsid w:val="003F0950"/>
    <w:rsid w:val="003F09C9"/>
    <w:rsid w:val="003F25F4"/>
    <w:rsid w:val="003F3340"/>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4A1"/>
    <w:rsid w:val="00422A2A"/>
    <w:rsid w:val="00424BB4"/>
    <w:rsid w:val="004258CD"/>
    <w:rsid w:val="004261D2"/>
    <w:rsid w:val="004303D1"/>
    <w:rsid w:val="00430D2F"/>
    <w:rsid w:val="00430D6E"/>
    <w:rsid w:val="0043335D"/>
    <w:rsid w:val="00433C0A"/>
    <w:rsid w:val="00433F3B"/>
    <w:rsid w:val="004349FA"/>
    <w:rsid w:val="004406BD"/>
    <w:rsid w:val="00442FBE"/>
    <w:rsid w:val="004430C2"/>
    <w:rsid w:val="004433B1"/>
    <w:rsid w:val="00443571"/>
    <w:rsid w:val="00443A4D"/>
    <w:rsid w:val="004444E3"/>
    <w:rsid w:val="004447FD"/>
    <w:rsid w:val="00445032"/>
    <w:rsid w:val="004450CB"/>
    <w:rsid w:val="00446967"/>
    <w:rsid w:val="00446AB6"/>
    <w:rsid w:val="00450EEE"/>
    <w:rsid w:val="0045104D"/>
    <w:rsid w:val="004512B2"/>
    <w:rsid w:val="004519BA"/>
    <w:rsid w:val="004528EE"/>
    <w:rsid w:val="00453360"/>
    <w:rsid w:val="00456409"/>
    <w:rsid w:val="004569C6"/>
    <w:rsid w:val="00456ADC"/>
    <w:rsid w:val="0045768F"/>
    <w:rsid w:val="00457769"/>
    <w:rsid w:val="004622CC"/>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293"/>
    <w:rsid w:val="00490ED4"/>
    <w:rsid w:val="00491631"/>
    <w:rsid w:val="00491634"/>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26C"/>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4F7746"/>
    <w:rsid w:val="00502FA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332"/>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308"/>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8F"/>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B68"/>
    <w:rsid w:val="005A0C60"/>
    <w:rsid w:val="005A255F"/>
    <w:rsid w:val="005A330E"/>
    <w:rsid w:val="005A5554"/>
    <w:rsid w:val="005A5651"/>
    <w:rsid w:val="005A63EA"/>
    <w:rsid w:val="005A6AFE"/>
    <w:rsid w:val="005A7157"/>
    <w:rsid w:val="005A7BF3"/>
    <w:rsid w:val="005A7DE0"/>
    <w:rsid w:val="005B0AEF"/>
    <w:rsid w:val="005B315A"/>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5D8B"/>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0E85"/>
    <w:rsid w:val="00651143"/>
    <w:rsid w:val="00651959"/>
    <w:rsid w:val="00652890"/>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674"/>
    <w:rsid w:val="0069087A"/>
    <w:rsid w:val="00690B4B"/>
    <w:rsid w:val="00690BE4"/>
    <w:rsid w:val="00691077"/>
    <w:rsid w:val="00691982"/>
    <w:rsid w:val="00691BB0"/>
    <w:rsid w:val="00691FE8"/>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6495"/>
    <w:rsid w:val="006F733F"/>
    <w:rsid w:val="006F7974"/>
    <w:rsid w:val="00700494"/>
    <w:rsid w:val="00700A60"/>
    <w:rsid w:val="00700B39"/>
    <w:rsid w:val="00703976"/>
    <w:rsid w:val="00705027"/>
    <w:rsid w:val="007069ED"/>
    <w:rsid w:val="00710494"/>
    <w:rsid w:val="007117BD"/>
    <w:rsid w:val="007148DE"/>
    <w:rsid w:val="00715129"/>
    <w:rsid w:val="007154CE"/>
    <w:rsid w:val="00715B25"/>
    <w:rsid w:val="00716020"/>
    <w:rsid w:val="007202D6"/>
    <w:rsid w:val="00720860"/>
    <w:rsid w:val="00721087"/>
    <w:rsid w:val="00721530"/>
    <w:rsid w:val="00722B08"/>
    <w:rsid w:val="00723422"/>
    <w:rsid w:val="007260FE"/>
    <w:rsid w:val="00726A0D"/>
    <w:rsid w:val="00726D80"/>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0DB2"/>
    <w:rsid w:val="007711D0"/>
    <w:rsid w:val="007712E6"/>
    <w:rsid w:val="00771D3D"/>
    <w:rsid w:val="00772082"/>
    <w:rsid w:val="007728AB"/>
    <w:rsid w:val="00772CAA"/>
    <w:rsid w:val="00772CFE"/>
    <w:rsid w:val="007730CF"/>
    <w:rsid w:val="00774756"/>
    <w:rsid w:val="00775181"/>
    <w:rsid w:val="007751B6"/>
    <w:rsid w:val="00775345"/>
    <w:rsid w:val="00776A33"/>
    <w:rsid w:val="00776F15"/>
    <w:rsid w:val="007779ED"/>
    <w:rsid w:val="00780B1A"/>
    <w:rsid w:val="007810D3"/>
    <w:rsid w:val="0078264A"/>
    <w:rsid w:val="00783D11"/>
    <w:rsid w:val="00784B25"/>
    <w:rsid w:val="00785633"/>
    <w:rsid w:val="00785E46"/>
    <w:rsid w:val="00787917"/>
    <w:rsid w:val="00791489"/>
    <w:rsid w:val="00791683"/>
    <w:rsid w:val="00792F0C"/>
    <w:rsid w:val="00793AEB"/>
    <w:rsid w:val="00795460"/>
    <w:rsid w:val="00796CF7"/>
    <w:rsid w:val="007A027F"/>
    <w:rsid w:val="007A0313"/>
    <w:rsid w:val="007A0A83"/>
    <w:rsid w:val="007A4BB3"/>
    <w:rsid w:val="007A5763"/>
    <w:rsid w:val="007A6307"/>
    <w:rsid w:val="007A6822"/>
    <w:rsid w:val="007A724D"/>
    <w:rsid w:val="007A749D"/>
    <w:rsid w:val="007A7B37"/>
    <w:rsid w:val="007B024C"/>
    <w:rsid w:val="007B137F"/>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4CEA"/>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02F"/>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6BD"/>
    <w:rsid w:val="008548DB"/>
    <w:rsid w:val="00855CA6"/>
    <w:rsid w:val="00860323"/>
    <w:rsid w:val="00860F4F"/>
    <w:rsid w:val="008610B9"/>
    <w:rsid w:val="00862656"/>
    <w:rsid w:val="00863013"/>
    <w:rsid w:val="00863F67"/>
    <w:rsid w:val="0086483A"/>
    <w:rsid w:val="008664F1"/>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5A04"/>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8F7"/>
    <w:rsid w:val="008F2913"/>
    <w:rsid w:val="008F2A4E"/>
    <w:rsid w:val="008F2AE9"/>
    <w:rsid w:val="008F332B"/>
    <w:rsid w:val="008F4371"/>
    <w:rsid w:val="008F52D0"/>
    <w:rsid w:val="008F58BB"/>
    <w:rsid w:val="008F6106"/>
    <w:rsid w:val="008F6DAE"/>
    <w:rsid w:val="008F791D"/>
    <w:rsid w:val="00900959"/>
    <w:rsid w:val="00900A35"/>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288"/>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2C2"/>
    <w:rsid w:val="00965313"/>
    <w:rsid w:val="009653F3"/>
    <w:rsid w:val="0096587A"/>
    <w:rsid w:val="009666E7"/>
    <w:rsid w:val="00967278"/>
    <w:rsid w:val="00971568"/>
    <w:rsid w:val="009728F2"/>
    <w:rsid w:val="00972BEF"/>
    <w:rsid w:val="00973BCF"/>
    <w:rsid w:val="009744BC"/>
    <w:rsid w:val="00974E60"/>
    <w:rsid w:val="0097510F"/>
    <w:rsid w:val="00975896"/>
    <w:rsid w:val="00975DF1"/>
    <w:rsid w:val="00976AFE"/>
    <w:rsid w:val="00980D37"/>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65B"/>
    <w:rsid w:val="009A0C15"/>
    <w:rsid w:val="009A1088"/>
    <w:rsid w:val="009A14CB"/>
    <w:rsid w:val="009A1FCA"/>
    <w:rsid w:val="009A27C7"/>
    <w:rsid w:val="009A2961"/>
    <w:rsid w:val="009A344A"/>
    <w:rsid w:val="009A41C7"/>
    <w:rsid w:val="009A4F5A"/>
    <w:rsid w:val="009A5C82"/>
    <w:rsid w:val="009B010D"/>
    <w:rsid w:val="009B0AAB"/>
    <w:rsid w:val="009B0BF9"/>
    <w:rsid w:val="009B0D3E"/>
    <w:rsid w:val="009B232D"/>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9FF"/>
    <w:rsid w:val="009F045D"/>
    <w:rsid w:val="009F0E5F"/>
    <w:rsid w:val="009F1098"/>
    <w:rsid w:val="009F1458"/>
    <w:rsid w:val="009F1D3A"/>
    <w:rsid w:val="009F2151"/>
    <w:rsid w:val="009F2C2E"/>
    <w:rsid w:val="009F2D5B"/>
    <w:rsid w:val="009F4190"/>
    <w:rsid w:val="009F4911"/>
    <w:rsid w:val="009F513E"/>
    <w:rsid w:val="009F5241"/>
    <w:rsid w:val="009F6807"/>
    <w:rsid w:val="009F68DF"/>
    <w:rsid w:val="009F6A24"/>
    <w:rsid w:val="00A0042C"/>
    <w:rsid w:val="00A00495"/>
    <w:rsid w:val="00A01368"/>
    <w:rsid w:val="00A01925"/>
    <w:rsid w:val="00A01DEB"/>
    <w:rsid w:val="00A057B6"/>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0D7"/>
    <w:rsid w:val="00A3658D"/>
    <w:rsid w:val="00A36E51"/>
    <w:rsid w:val="00A377C5"/>
    <w:rsid w:val="00A37B2E"/>
    <w:rsid w:val="00A37D45"/>
    <w:rsid w:val="00A401FD"/>
    <w:rsid w:val="00A40558"/>
    <w:rsid w:val="00A40AF2"/>
    <w:rsid w:val="00A411DC"/>
    <w:rsid w:val="00A412CF"/>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67FD3"/>
    <w:rsid w:val="00A71670"/>
    <w:rsid w:val="00A72874"/>
    <w:rsid w:val="00A72E48"/>
    <w:rsid w:val="00A7359C"/>
    <w:rsid w:val="00A73616"/>
    <w:rsid w:val="00A76648"/>
    <w:rsid w:val="00A76DF7"/>
    <w:rsid w:val="00A77523"/>
    <w:rsid w:val="00A775BE"/>
    <w:rsid w:val="00A77B0C"/>
    <w:rsid w:val="00A801A0"/>
    <w:rsid w:val="00A80489"/>
    <w:rsid w:val="00A830EB"/>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E72"/>
    <w:rsid w:val="00B14D9D"/>
    <w:rsid w:val="00B14EF5"/>
    <w:rsid w:val="00B15AF1"/>
    <w:rsid w:val="00B16048"/>
    <w:rsid w:val="00B17041"/>
    <w:rsid w:val="00B2028C"/>
    <w:rsid w:val="00B21771"/>
    <w:rsid w:val="00B2191C"/>
    <w:rsid w:val="00B219F3"/>
    <w:rsid w:val="00B21B30"/>
    <w:rsid w:val="00B21FA9"/>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3745D"/>
    <w:rsid w:val="00B40633"/>
    <w:rsid w:val="00B44049"/>
    <w:rsid w:val="00B44318"/>
    <w:rsid w:val="00B44C4B"/>
    <w:rsid w:val="00B44D1F"/>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02A"/>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2F8E"/>
    <w:rsid w:val="00BC3290"/>
    <w:rsid w:val="00BC3AE8"/>
    <w:rsid w:val="00BC3AF4"/>
    <w:rsid w:val="00BC43A8"/>
    <w:rsid w:val="00BC5C6D"/>
    <w:rsid w:val="00BC6EBE"/>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3CBF"/>
    <w:rsid w:val="00BF4D03"/>
    <w:rsid w:val="00BF4E85"/>
    <w:rsid w:val="00BF54BD"/>
    <w:rsid w:val="00BF5892"/>
    <w:rsid w:val="00BF63A3"/>
    <w:rsid w:val="00BF7877"/>
    <w:rsid w:val="00C01804"/>
    <w:rsid w:val="00C026BC"/>
    <w:rsid w:val="00C02AD4"/>
    <w:rsid w:val="00C03869"/>
    <w:rsid w:val="00C05BDA"/>
    <w:rsid w:val="00C07454"/>
    <w:rsid w:val="00C07988"/>
    <w:rsid w:val="00C07C5E"/>
    <w:rsid w:val="00C10068"/>
    <w:rsid w:val="00C10AC5"/>
    <w:rsid w:val="00C12DAD"/>
    <w:rsid w:val="00C12E17"/>
    <w:rsid w:val="00C142E2"/>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352"/>
    <w:rsid w:val="00C374AD"/>
    <w:rsid w:val="00C40DE4"/>
    <w:rsid w:val="00C40E63"/>
    <w:rsid w:val="00C41A06"/>
    <w:rsid w:val="00C41AE0"/>
    <w:rsid w:val="00C4261B"/>
    <w:rsid w:val="00C42BFB"/>
    <w:rsid w:val="00C44DDC"/>
    <w:rsid w:val="00C461C5"/>
    <w:rsid w:val="00C469F4"/>
    <w:rsid w:val="00C50A61"/>
    <w:rsid w:val="00C5128B"/>
    <w:rsid w:val="00C51423"/>
    <w:rsid w:val="00C5294D"/>
    <w:rsid w:val="00C52F83"/>
    <w:rsid w:val="00C53C84"/>
    <w:rsid w:val="00C54C1B"/>
    <w:rsid w:val="00C54DBA"/>
    <w:rsid w:val="00C57705"/>
    <w:rsid w:val="00C57ED3"/>
    <w:rsid w:val="00C61640"/>
    <w:rsid w:val="00C61AA7"/>
    <w:rsid w:val="00C61B8E"/>
    <w:rsid w:val="00C62A61"/>
    <w:rsid w:val="00C668DE"/>
    <w:rsid w:val="00C7044F"/>
    <w:rsid w:val="00C71881"/>
    <w:rsid w:val="00C720F8"/>
    <w:rsid w:val="00C7294B"/>
    <w:rsid w:val="00C75139"/>
    <w:rsid w:val="00C7525C"/>
    <w:rsid w:val="00C76CF7"/>
    <w:rsid w:val="00C83A4C"/>
    <w:rsid w:val="00C83B75"/>
    <w:rsid w:val="00C8533B"/>
    <w:rsid w:val="00C858BA"/>
    <w:rsid w:val="00C86977"/>
    <w:rsid w:val="00C9027C"/>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569"/>
    <w:rsid w:val="00CA796A"/>
    <w:rsid w:val="00CB2575"/>
    <w:rsid w:val="00CB3677"/>
    <w:rsid w:val="00CB368F"/>
    <w:rsid w:val="00CB4B86"/>
    <w:rsid w:val="00CB4C42"/>
    <w:rsid w:val="00CB4DFA"/>
    <w:rsid w:val="00CB6B20"/>
    <w:rsid w:val="00CB7BD7"/>
    <w:rsid w:val="00CC01E1"/>
    <w:rsid w:val="00CC0707"/>
    <w:rsid w:val="00CC4CB6"/>
    <w:rsid w:val="00CC4DB0"/>
    <w:rsid w:val="00CC5038"/>
    <w:rsid w:val="00CC5326"/>
    <w:rsid w:val="00CC6D39"/>
    <w:rsid w:val="00CC7426"/>
    <w:rsid w:val="00CC7602"/>
    <w:rsid w:val="00CC7910"/>
    <w:rsid w:val="00CD0C20"/>
    <w:rsid w:val="00CD297A"/>
    <w:rsid w:val="00CD3DB0"/>
    <w:rsid w:val="00CD4129"/>
    <w:rsid w:val="00CD4AF9"/>
    <w:rsid w:val="00CD5DBB"/>
    <w:rsid w:val="00CD67E7"/>
    <w:rsid w:val="00CD6CED"/>
    <w:rsid w:val="00CD7388"/>
    <w:rsid w:val="00CE130A"/>
    <w:rsid w:val="00CE17CD"/>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6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237"/>
    <w:rsid w:val="00D3482C"/>
    <w:rsid w:val="00D34C57"/>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58F"/>
    <w:rsid w:val="00D677BB"/>
    <w:rsid w:val="00D70544"/>
    <w:rsid w:val="00D71463"/>
    <w:rsid w:val="00D7194A"/>
    <w:rsid w:val="00D725D4"/>
    <w:rsid w:val="00D72AE4"/>
    <w:rsid w:val="00D73026"/>
    <w:rsid w:val="00D73F41"/>
    <w:rsid w:val="00D73FA1"/>
    <w:rsid w:val="00D7469D"/>
    <w:rsid w:val="00D7550B"/>
    <w:rsid w:val="00D75EEB"/>
    <w:rsid w:val="00D75F1E"/>
    <w:rsid w:val="00D80F87"/>
    <w:rsid w:val="00D812A5"/>
    <w:rsid w:val="00D82A5C"/>
    <w:rsid w:val="00D82A7B"/>
    <w:rsid w:val="00D82D11"/>
    <w:rsid w:val="00D82EE9"/>
    <w:rsid w:val="00D83C73"/>
    <w:rsid w:val="00D83CD3"/>
    <w:rsid w:val="00D83E51"/>
    <w:rsid w:val="00D84719"/>
    <w:rsid w:val="00D856EA"/>
    <w:rsid w:val="00D857C7"/>
    <w:rsid w:val="00D85ACD"/>
    <w:rsid w:val="00D86460"/>
    <w:rsid w:val="00D87F74"/>
    <w:rsid w:val="00D912D5"/>
    <w:rsid w:val="00D91AAF"/>
    <w:rsid w:val="00D94564"/>
    <w:rsid w:val="00D9536E"/>
    <w:rsid w:val="00D9638C"/>
    <w:rsid w:val="00D96E43"/>
    <w:rsid w:val="00D97426"/>
    <w:rsid w:val="00D97568"/>
    <w:rsid w:val="00DA06B0"/>
    <w:rsid w:val="00DA29BA"/>
    <w:rsid w:val="00DA3249"/>
    <w:rsid w:val="00DA37C7"/>
    <w:rsid w:val="00DA38CE"/>
    <w:rsid w:val="00DA3A26"/>
    <w:rsid w:val="00DA4B01"/>
    <w:rsid w:val="00DA51CE"/>
    <w:rsid w:val="00DA5322"/>
    <w:rsid w:val="00DA55AC"/>
    <w:rsid w:val="00DA5600"/>
    <w:rsid w:val="00DA608B"/>
    <w:rsid w:val="00DA7413"/>
    <w:rsid w:val="00DA7A1A"/>
    <w:rsid w:val="00DB0066"/>
    <w:rsid w:val="00DB0F9E"/>
    <w:rsid w:val="00DB1307"/>
    <w:rsid w:val="00DB1E1A"/>
    <w:rsid w:val="00DB2AF6"/>
    <w:rsid w:val="00DB364F"/>
    <w:rsid w:val="00DB39E7"/>
    <w:rsid w:val="00DB3B3E"/>
    <w:rsid w:val="00DB71DB"/>
    <w:rsid w:val="00DB71E1"/>
    <w:rsid w:val="00DB7B0F"/>
    <w:rsid w:val="00DB7CB3"/>
    <w:rsid w:val="00DC0D57"/>
    <w:rsid w:val="00DC0EBE"/>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68D0"/>
    <w:rsid w:val="00DE7822"/>
    <w:rsid w:val="00DF04B8"/>
    <w:rsid w:val="00DF081A"/>
    <w:rsid w:val="00DF15AC"/>
    <w:rsid w:val="00DF265D"/>
    <w:rsid w:val="00DF2EB0"/>
    <w:rsid w:val="00DF31C1"/>
    <w:rsid w:val="00DF427A"/>
    <w:rsid w:val="00DF45C5"/>
    <w:rsid w:val="00DF5A8C"/>
    <w:rsid w:val="00DF6A67"/>
    <w:rsid w:val="00DF6D71"/>
    <w:rsid w:val="00DF71D8"/>
    <w:rsid w:val="00DF7D4F"/>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377C"/>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710"/>
    <w:rsid w:val="00E601DA"/>
    <w:rsid w:val="00E60547"/>
    <w:rsid w:val="00E609FF"/>
    <w:rsid w:val="00E61AA8"/>
    <w:rsid w:val="00E6247F"/>
    <w:rsid w:val="00E62E59"/>
    <w:rsid w:val="00E63233"/>
    <w:rsid w:val="00E63E99"/>
    <w:rsid w:val="00E643D4"/>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BEB"/>
    <w:rsid w:val="00E82DE7"/>
    <w:rsid w:val="00E84116"/>
    <w:rsid w:val="00E84C5C"/>
    <w:rsid w:val="00E85533"/>
    <w:rsid w:val="00E86343"/>
    <w:rsid w:val="00E866CD"/>
    <w:rsid w:val="00E877ED"/>
    <w:rsid w:val="00E901FD"/>
    <w:rsid w:val="00E91964"/>
    <w:rsid w:val="00E91FB1"/>
    <w:rsid w:val="00E94379"/>
    <w:rsid w:val="00E94468"/>
    <w:rsid w:val="00E94A0E"/>
    <w:rsid w:val="00E94E13"/>
    <w:rsid w:val="00E96226"/>
    <w:rsid w:val="00E96DDE"/>
    <w:rsid w:val="00E9717F"/>
    <w:rsid w:val="00EA04AE"/>
    <w:rsid w:val="00EA062F"/>
    <w:rsid w:val="00EA1266"/>
    <w:rsid w:val="00EA17A9"/>
    <w:rsid w:val="00EA2835"/>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AF4"/>
    <w:rsid w:val="00EB7752"/>
    <w:rsid w:val="00EC0725"/>
    <w:rsid w:val="00EC0889"/>
    <w:rsid w:val="00EC0C13"/>
    <w:rsid w:val="00EC148C"/>
    <w:rsid w:val="00EC2D7D"/>
    <w:rsid w:val="00EC36AD"/>
    <w:rsid w:val="00EC3BCF"/>
    <w:rsid w:val="00EC453F"/>
    <w:rsid w:val="00EC56B1"/>
    <w:rsid w:val="00EC60CE"/>
    <w:rsid w:val="00EC664F"/>
    <w:rsid w:val="00EC6749"/>
    <w:rsid w:val="00EC72F5"/>
    <w:rsid w:val="00EC7334"/>
    <w:rsid w:val="00ED1482"/>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1AD7"/>
    <w:rsid w:val="00EE270D"/>
    <w:rsid w:val="00EE6989"/>
    <w:rsid w:val="00EE7604"/>
    <w:rsid w:val="00EE7912"/>
    <w:rsid w:val="00EE7915"/>
    <w:rsid w:val="00EF0465"/>
    <w:rsid w:val="00EF13C5"/>
    <w:rsid w:val="00EF16D8"/>
    <w:rsid w:val="00EF28EF"/>
    <w:rsid w:val="00EF2EB9"/>
    <w:rsid w:val="00EF40E7"/>
    <w:rsid w:val="00EF4529"/>
    <w:rsid w:val="00EF57CD"/>
    <w:rsid w:val="00EF5B34"/>
    <w:rsid w:val="00EF657C"/>
    <w:rsid w:val="00F004D1"/>
    <w:rsid w:val="00F00C0D"/>
    <w:rsid w:val="00F0128B"/>
    <w:rsid w:val="00F02663"/>
    <w:rsid w:val="00F02FB0"/>
    <w:rsid w:val="00F03369"/>
    <w:rsid w:val="00F04E62"/>
    <w:rsid w:val="00F050AA"/>
    <w:rsid w:val="00F05E6D"/>
    <w:rsid w:val="00F11800"/>
    <w:rsid w:val="00F11B61"/>
    <w:rsid w:val="00F12942"/>
    <w:rsid w:val="00F135D6"/>
    <w:rsid w:val="00F13922"/>
    <w:rsid w:val="00F13DBC"/>
    <w:rsid w:val="00F15870"/>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6955"/>
    <w:rsid w:val="00F37CFD"/>
    <w:rsid w:val="00F37D33"/>
    <w:rsid w:val="00F40178"/>
    <w:rsid w:val="00F40AE1"/>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0D7"/>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DC0"/>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869"/>
    <w:rsid w:val="00FB7EC9"/>
    <w:rsid w:val="00FB7F82"/>
    <w:rsid w:val="00FC0755"/>
    <w:rsid w:val="00FC0DAF"/>
    <w:rsid w:val="00FC11F5"/>
    <w:rsid w:val="00FC126D"/>
    <w:rsid w:val="00FC3387"/>
    <w:rsid w:val="00FC382F"/>
    <w:rsid w:val="00FC4236"/>
    <w:rsid w:val="00FC615D"/>
    <w:rsid w:val="00FD01CC"/>
    <w:rsid w:val="00FD08AF"/>
    <w:rsid w:val="00FD1E7A"/>
    <w:rsid w:val="00FD2672"/>
    <w:rsid w:val="00FD28F4"/>
    <w:rsid w:val="00FD2CE2"/>
    <w:rsid w:val="00FD2CF5"/>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8E41B5-88B1-4D0D-87D6-2DB7C9C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12355-PTS\PCT_WG_12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4544D-747D-4665-B54E-A6E852FB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PCT_WG_12_AR</Template>
  <TotalTime>399</TotalTime>
  <Pages>4</Pages>
  <Words>1133</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PCT/WG/12/2</vt:lpstr>
      <vt:lpstr>PCT/WG/12/2</vt:lpstr>
    </vt:vector>
  </TitlesOfParts>
  <Company>World Intellectual Property Organization</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PCT/WG/12/18</dc:title>
  <dc:creator>WIPO</dc:creator>
  <cp:lastModifiedBy>BAUDIN Claudine</cp:lastModifiedBy>
  <cp:revision>52</cp:revision>
  <cp:lastPrinted>2019-05-29T15:33:00Z</cp:lastPrinted>
  <dcterms:created xsi:type="dcterms:W3CDTF">2019-04-08T08:26:00Z</dcterms:created>
  <dcterms:modified xsi:type="dcterms:W3CDTF">2019-06-05T13:02:00Z</dcterms:modified>
</cp:coreProperties>
</file>