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3052D6">
        <w:rPr>
          <w:rFonts w:ascii="Arial Black" w:eastAsia="SimSun" w:hAnsi="Arial Black" w:cs="Arial"/>
          <w:b/>
          <w:caps/>
          <w:noProof/>
          <w:sz w:val="16"/>
          <w:szCs w:val="16"/>
          <w:lang w:eastAsia="zh-CN"/>
        </w:rPr>
        <w:t>2</w:t>
      </w:r>
      <w:r>
        <w:rPr>
          <w:rFonts w:ascii="Arial Black" w:eastAsia="SimSun" w:hAnsi="Arial Black" w:cs="Arial"/>
          <w:b/>
          <w:caps/>
          <w:noProof/>
          <w:sz w:val="16"/>
          <w:szCs w:val="16"/>
          <w:lang w:eastAsia="zh-CN"/>
        </w:rPr>
        <w:t>/</w:t>
      </w:r>
      <w:r w:rsidR="008B7428">
        <w:rPr>
          <w:rFonts w:ascii="Arial Black" w:eastAsia="SimSun" w:hAnsi="Arial Black" w:cs="Arial"/>
          <w:b/>
          <w:caps/>
          <w:noProof/>
          <w:sz w:val="16"/>
          <w:szCs w:val="16"/>
          <w:lang w:eastAsia="zh-CN"/>
        </w:rPr>
        <w:t>8</w:t>
      </w:r>
    </w:p>
    <w:bookmarkEnd w:id="4"/>
    <w:p w:rsidR="003F7284" w:rsidRPr="00BB6440" w:rsidRDefault="003F7284" w:rsidP="009669F3">
      <w:pPr>
        <w:jc w:val="right"/>
        <w:rPr>
          <w:b/>
          <w:bCs/>
          <w:sz w:val="30"/>
          <w:szCs w:val="30"/>
          <w:rtl/>
        </w:rPr>
      </w:pPr>
      <w:r w:rsidRPr="00BB6440">
        <w:rPr>
          <w:b/>
          <w:bCs/>
          <w:sz w:val="30"/>
          <w:szCs w:val="30"/>
          <w:rtl/>
        </w:rPr>
        <w:t>الأصل:</w:t>
      </w:r>
      <w:bookmarkStart w:id="5" w:name="Original"/>
      <w:bookmarkEnd w:id="5"/>
      <w:r w:rsidR="009669F3">
        <w:rPr>
          <w:rFonts w:hint="cs"/>
          <w:b/>
          <w:bCs/>
          <w:sz w:val="30"/>
          <w:szCs w:val="30"/>
          <w:rtl/>
        </w:rPr>
        <w:t xml:space="preserve"> 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8B7428">
        <w:rPr>
          <w:rFonts w:hint="cs"/>
          <w:b/>
          <w:bCs/>
          <w:sz w:val="30"/>
          <w:szCs w:val="30"/>
          <w:rtl/>
        </w:rPr>
        <w:t>25 أبريل 2019</w:t>
      </w:r>
    </w:p>
    <w:p w:rsidR="0045104D" w:rsidRDefault="003E07D2" w:rsidP="003E07D2">
      <w:pPr>
        <w:pStyle w:val="Heading1"/>
        <w:spacing w:line="240" w:lineRule="auto"/>
        <w:rPr>
          <w:rtl/>
        </w:rPr>
      </w:pPr>
      <w:bookmarkStart w:id="7" w:name="Body"/>
      <w:bookmarkStart w:id="8" w:name="_Toc8127544"/>
      <w:bookmarkStart w:id="9" w:name="_Toc8127688"/>
      <w:bookmarkStart w:id="10" w:name="_Toc8127825"/>
      <w:bookmarkStart w:id="11" w:name="_Toc8128116"/>
      <w:bookmarkStart w:id="12" w:name="_Toc8385735"/>
      <w:bookmarkStart w:id="13" w:name="_Toc8386110"/>
      <w:bookmarkStart w:id="14" w:name="_Toc8386749"/>
      <w:bookmarkEnd w:id="7"/>
      <w:r w:rsidRPr="003E07D2">
        <w:rPr>
          <w:rtl/>
        </w:rPr>
        <w:t>معاهدة التعاون بشأن البراءات</w:t>
      </w:r>
      <w:bookmarkEnd w:id="8"/>
      <w:bookmarkEnd w:id="9"/>
      <w:bookmarkEnd w:id="10"/>
      <w:bookmarkEnd w:id="11"/>
      <w:bookmarkEnd w:id="12"/>
      <w:bookmarkEnd w:id="13"/>
      <w:bookmarkEnd w:id="14"/>
    </w:p>
    <w:p w:rsidR="002E7810" w:rsidRPr="00FD6D15" w:rsidRDefault="003E07D2" w:rsidP="009B7572">
      <w:pPr>
        <w:pStyle w:val="Heading1"/>
        <w:spacing w:after="600" w:line="240" w:lineRule="auto"/>
        <w:rPr>
          <w:rtl/>
        </w:rPr>
      </w:pPr>
      <w:bookmarkStart w:id="15" w:name="_Toc8127545"/>
      <w:bookmarkStart w:id="16" w:name="_Toc8127689"/>
      <w:bookmarkStart w:id="17" w:name="_Toc8127826"/>
      <w:bookmarkStart w:id="18" w:name="_Toc8128117"/>
      <w:bookmarkStart w:id="19" w:name="_Toc8385736"/>
      <w:bookmarkStart w:id="20" w:name="_Toc8386111"/>
      <w:bookmarkStart w:id="21" w:name="_Toc8386750"/>
      <w:r w:rsidRPr="003E07D2">
        <w:rPr>
          <w:rtl/>
        </w:rPr>
        <w:t>الفريق العامل</w:t>
      </w:r>
      <w:bookmarkEnd w:id="15"/>
      <w:bookmarkEnd w:id="16"/>
      <w:bookmarkEnd w:id="17"/>
      <w:bookmarkEnd w:id="18"/>
      <w:bookmarkEnd w:id="19"/>
      <w:bookmarkEnd w:id="20"/>
      <w:bookmarkEnd w:id="21"/>
    </w:p>
    <w:p w:rsidR="002E7810" w:rsidRPr="002E7810" w:rsidRDefault="003E07D2" w:rsidP="003052D6">
      <w:pPr>
        <w:rPr>
          <w:rFonts w:ascii="Arial Black" w:hAnsi="Arial Black" w:cs="PT Bold Heading"/>
          <w:sz w:val="30"/>
          <w:szCs w:val="30"/>
          <w:rtl/>
        </w:rPr>
      </w:pPr>
      <w:bookmarkStart w:id="22" w:name="Session"/>
      <w:bookmarkEnd w:id="22"/>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الثانية</w:t>
      </w:r>
      <w:r w:rsidRPr="003E07D2">
        <w:rPr>
          <w:rFonts w:ascii="Arial Black" w:hAnsi="Arial Black" w:cs="PT Bold Heading"/>
          <w:sz w:val="30"/>
          <w:szCs w:val="30"/>
          <w:rtl/>
        </w:rPr>
        <w:t xml:space="preserve"> عشرة</w:t>
      </w:r>
    </w:p>
    <w:p w:rsidR="002E7810" w:rsidRPr="002E7810" w:rsidRDefault="003E07D2" w:rsidP="003052D6">
      <w:pPr>
        <w:spacing w:line="600" w:lineRule="auto"/>
        <w:rPr>
          <w:b/>
          <w:bCs/>
        </w:rPr>
      </w:pPr>
      <w:bookmarkStart w:id="23" w:name="Place"/>
      <w:bookmarkEnd w:id="23"/>
      <w:r w:rsidRPr="003E07D2">
        <w:rPr>
          <w:b/>
          <w:bCs/>
          <w:rtl/>
        </w:rPr>
        <w:t xml:space="preserve">جنيف، من </w:t>
      </w:r>
      <w:r w:rsidR="003052D6">
        <w:rPr>
          <w:rFonts w:hint="cs"/>
          <w:b/>
          <w:bCs/>
          <w:rtl/>
        </w:rPr>
        <w:t>11</w:t>
      </w:r>
      <w:r w:rsidRPr="003E07D2">
        <w:rPr>
          <w:b/>
          <w:bCs/>
          <w:rtl/>
        </w:rPr>
        <w:t xml:space="preserve"> إلى </w:t>
      </w:r>
      <w:r w:rsidR="003052D6">
        <w:rPr>
          <w:rFonts w:hint="cs"/>
          <w:b/>
          <w:bCs/>
          <w:rtl/>
        </w:rPr>
        <w:t>14</w:t>
      </w:r>
      <w:r w:rsidRPr="003E07D2">
        <w:rPr>
          <w:b/>
          <w:bCs/>
          <w:rtl/>
        </w:rPr>
        <w:t xml:space="preserve"> يونيو </w:t>
      </w:r>
      <w:r w:rsidR="003052D6">
        <w:rPr>
          <w:rFonts w:hint="cs"/>
          <w:b/>
          <w:bCs/>
          <w:rtl/>
        </w:rPr>
        <w:t>2019</w:t>
      </w:r>
    </w:p>
    <w:p w:rsidR="002E7810" w:rsidRPr="002E7810" w:rsidRDefault="00824DB9" w:rsidP="00C73886">
      <w:pPr>
        <w:rPr>
          <w:rFonts w:ascii="Arial Black" w:hAnsi="Arial Black" w:cs="PT Bold Heading"/>
          <w:sz w:val="26"/>
          <w:szCs w:val="26"/>
          <w:rtl/>
        </w:rPr>
      </w:pPr>
      <w:bookmarkStart w:id="24" w:name="TitleOfDoc"/>
      <w:bookmarkEnd w:id="24"/>
      <w:r>
        <w:rPr>
          <w:rFonts w:ascii="Arial Black" w:hAnsi="Arial Black" w:cs="PT Bold Heading" w:hint="cs"/>
          <w:sz w:val="26"/>
          <w:szCs w:val="26"/>
          <w:rtl/>
        </w:rPr>
        <w:t xml:space="preserve">تصحيح </w:t>
      </w:r>
      <w:r w:rsidR="00C73886">
        <w:rPr>
          <w:rFonts w:ascii="Arial Black" w:hAnsi="Arial Black" w:cs="PT Bold Heading" w:hint="cs"/>
          <w:sz w:val="26"/>
          <w:szCs w:val="26"/>
          <w:rtl/>
        </w:rPr>
        <w:t>ال</w:t>
      </w:r>
      <w:r w:rsidR="00851CAF">
        <w:rPr>
          <w:rFonts w:ascii="Arial Black" w:hAnsi="Arial Black" w:cs="PT Bold Heading" w:hint="cs"/>
          <w:sz w:val="26"/>
          <w:szCs w:val="26"/>
          <w:rtl/>
        </w:rPr>
        <w:t>بيان</w:t>
      </w:r>
      <w:r w:rsidR="00C73886">
        <w:rPr>
          <w:rFonts w:ascii="Arial Black" w:hAnsi="Arial Black" w:cs="PT Bold Heading" w:hint="cs"/>
          <w:sz w:val="26"/>
          <w:szCs w:val="26"/>
          <w:rtl/>
        </w:rPr>
        <w:t>ات</w:t>
      </w:r>
      <w:r>
        <w:rPr>
          <w:rFonts w:ascii="Arial Black" w:hAnsi="Arial Black" w:cs="PT Bold Heading" w:hint="cs"/>
          <w:sz w:val="26"/>
          <w:szCs w:val="26"/>
          <w:rtl/>
        </w:rPr>
        <w:t xml:space="preserve"> وإضافاتها بموجب القاعدة </w:t>
      </w:r>
      <w:r w:rsidR="006A0ABF">
        <w:rPr>
          <w:rFonts w:ascii="Arial Black" w:hAnsi="Arial Black" w:cs="PT Bold Heading" w:hint="cs"/>
          <w:sz w:val="26"/>
          <w:szCs w:val="26"/>
          <w:rtl/>
        </w:rPr>
        <w:t>11.4</w:t>
      </w:r>
      <w:r>
        <w:rPr>
          <w:rFonts w:ascii="Arial Black" w:hAnsi="Arial Black" w:cs="PT Bold Heading" w:hint="cs"/>
          <w:sz w:val="26"/>
          <w:szCs w:val="26"/>
          <w:rtl/>
        </w:rPr>
        <w:t xml:space="preserve"> </w:t>
      </w:r>
    </w:p>
    <w:p w:rsidR="003F7284" w:rsidRPr="00BB6440" w:rsidRDefault="00824DB9" w:rsidP="00874721">
      <w:pPr>
        <w:spacing w:before="200" w:after="960"/>
        <w:rPr>
          <w:i/>
          <w:iCs/>
          <w:rtl/>
        </w:rPr>
      </w:pPr>
      <w:bookmarkStart w:id="25" w:name="Doc"/>
      <w:bookmarkEnd w:id="25"/>
      <w:r>
        <w:rPr>
          <w:rFonts w:hint="cs"/>
          <w:i/>
          <w:iCs/>
          <w:rtl/>
        </w:rPr>
        <w:t xml:space="preserve">وثيقة </w:t>
      </w:r>
      <w:r w:rsidR="003F7284" w:rsidRPr="00BB6440">
        <w:rPr>
          <w:i/>
          <w:iCs/>
          <w:rtl/>
        </w:rPr>
        <w:t>من إعداد</w:t>
      </w:r>
      <w:r w:rsidR="005D79F6" w:rsidRPr="00BB6440">
        <w:rPr>
          <w:rFonts w:hint="cs"/>
          <w:i/>
          <w:iCs/>
          <w:rtl/>
        </w:rPr>
        <w:t xml:space="preserve"> </w:t>
      </w:r>
      <w:bookmarkStart w:id="26" w:name="Prepared"/>
      <w:bookmarkEnd w:id="26"/>
      <w:r>
        <w:rPr>
          <w:rFonts w:hint="cs"/>
          <w:i/>
          <w:iCs/>
          <w:rtl/>
        </w:rPr>
        <w:t>الولايات المتحدة الأمريكية</w:t>
      </w:r>
    </w:p>
    <w:p w:rsidR="00E3612C" w:rsidRPr="00FD6D15" w:rsidRDefault="00C73886" w:rsidP="00C73886">
      <w:pPr>
        <w:pStyle w:val="Heading2"/>
        <w:rPr>
          <w:rtl/>
        </w:rPr>
      </w:pPr>
      <w:bookmarkStart w:id="27" w:name="_Toc8127546"/>
      <w:bookmarkStart w:id="28" w:name="_Toc8127690"/>
      <w:bookmarkStart w:id="29" w:name="_Toc8127827"/>
      <w:bookmarkStart w:id="30" w:name="_Toc8128118"/>
      <w:bookmarkStart w:id="31" w:name="_Toc8385737"/>
      <w:bookmarkStart w:id="32" w:name="_Toc8386112"/>
      <w:bookmarkStart w:id="33" w:name="_Toc8386751"/>
      <w:r>
        <w:rPr>
          <w:rFonts w:hint="cs"/>
          <w:rtl/>
        </w:rPr>
        <w:t>ملخص</w:t>
      </w:r>
      <w:bookmarkEnd w:id="27"/>
      <w:bookmarkEnd w:id="28"/>
      <w:bookmarkEnd w:id="29"/>
      <w:bookmarkEnd w:id="30"/>
      <w:bookmarkEnd w:id="31"/>
      <w:bookmarkEnd w:id="32"/>
      <w:bookmarkEnd w:id="33"/>
    </w:p>
    <w:p w:rsidR="00C41AE0" w:rsidRPr="00ED7555" w:rsidRDefault="00A0126A" w:rsidP="009669F3">
      <w:pPr>
        <w:pStyle w:val="ONUMA"/>
        <w:rPr>
          <w:rtl/>
        </w:rPr>
      </w:pPr>
      <w:r w:rsidRPr="00A0126A">
        <w:rPr>
          <w:rtl/>
        </w:rPr>
        <w:t xml:space="preserve">يُقترح </w:t>
      </w:r>
      <w:r w:rsidR="002D152D">
        <w:rPr>
          <w:rFonts w:hint="cs"/>
          <w:rtl/>
        </w:rPr>
        <w:t>توفير</w:t>
      </w:r>
      <w:r w:rsidR="00D96DB1">
        <w:rPr>
          <w:rFonts w:hint="cs"/>
          <w:rtl/>
        </w:rPr>
        <w:t xml:space="preserve"> </w:t>
      </w:r>
      <w:r w:rsidRPr="00A0126A">
        <w:rPr>
          <w:rtl/>
        </w:rPr>
        <w:t>أساس قانوني محد</w:t>
      </w:r>
      <w:r w:rsidR="00277218">
        <w:rPr>
          <w:rFonts w:hint="cs"/>
          <w:rtl/>
        </w:rPr>
        <w:t>ّ</w:t>
      </w:r>
      <w:r w:rsidRPr="00A0126A">
        <w:rPr>
          <w:rtl/>
        </w:rPr>
        <w:t>د بموجب معاهدة التعاون بشأن البراءات</w:t>
      </w:r>
      <w:r w:rsidR="009669F3">
        <w:rPr>
          <w:rFonts w:hint="cs"/>
          <w:rtl/>
        </w:rPr>
        <w:t xml:space="preserve"> (معاهدة البراءات)</w:t>
      </w:r>
      <w:r>
        <w:rPr>
          <w:rFonts w:hint="cs"/>
          <w:rtl/>
        </w:rPr>
        <w:t xml:space="preserve"> </w:t>
      </w:r>
      <w:r w:rsidRPr="00A0126A">
        <w:rPr>
          <w:rtl/>
        </w:rPr>
        <w:t>لتصحيح أو إضافة ال</w:t>
      </w:r>
      <w:r w:rsidR="00851CAF">
        <w:rPr>
          <w:rtl/>
        </w:rPr>
        <w:t>بيان</w:t>
      </w:r>
      <w:r w:rsidRPr="00A0126A">
        <w:rPr>
          <w:rtl/>
        </w:rPr>
        <w:t xml:space="preserve">ات المنصوص عليها في القاعدة </w:t>
      </w:r>
      <w:r w:rsidR="006A0ABF">
        <w:rPr>
          <w:rFonts w:hint="cs"/>
          <w:rtl/>
        </w:rPr>
        <w:t>11.4</w:t>
      </w:r>
      <w:r w:rsidRPr="00A0126A">
        <w:rPr>
          <w:rtl/>
        </w:rPr>
        <w:t xml:space="preserve"> (أ</w:t>
      </w:r>
      <w:r>
        <w:rPr>
          <w:rtl/>
        </w:rPr>
        <w:t>)</w:t>
      </w:r>
      <w:r>
        <w:rPr>
          <w:rFonts w:hint="cs"/>
          <w:rtl/>
        </w:rPr>
        <w:t>"</w:t>
      </w:r>
      <w:r w:rsidRPr="00A0126A">
        <w:rPr>
          <w:rtl/>
        </w:rPr>
        <w:t>1</w:t>
      </w:r>
      <w:r>
        <w:rPr>
          <w:rFonts w:hint="cs"/>
          <w:rtl/>
        </w:rPr>
        <w:t>"</w:t>
      </w:r>
      <w:r w:rsidRPr="00A0126A">
        <w:rPr>
          <w:rtl/>
        </w:rPr>
        <w:t xml:space="preserve"> و</w:t>
      </w:r>
      <w:r w:rsidR="009669F3">
        <w:rPr>
          <w:rFonts w:hint="cs"/>
          <w:rtl/>
        </w:rPr>
        <w:t>"2"</w:t>
      </w:r>
      <w:r w:rsidRPr="00A0126A">
        <w:rPr>
          <w:rtl/>
        </w:rPr>
        <w:t>.</w:t>
      </w:r>
    </w:p>
    <w:p w:rsidR="000D7E81" w:rsidRPr="000D7E81" w:rsidRDefault="002D152D" w:rsidP="002D152D">
      <w:pPr>
        <w:pStyle w:val="Heading2"/>
        <w:rPr>
          <w:rtl/>
        </w:rPr>
      </w:pPr>
      <w:bookmarkStart w:id="34" w:name="_Toc8127547"/>
      <w:bookmarkStart w:id="35" w:name="_Toc8127691"/>
      <w:bookmarkStart w:id="36" w:name="_Toc8127828"/>
      <w:bookmarkStart w:id="37" w:name="_Toc8128119"/>
      <w:bookmarkStart w:id="38" w:name="_Toc8385738"/>
      <w:bookmarkStart w:id="39" w:name="_Toc8386113"/>
      <w:bookmarkStart w:id="40" w:name="_Toc8386752"/>
      <w:r>
        <w:rPr>
          <w:rFonts w:hint="cs"/>
          <w:rtl/>
        </w:rPr>
        <w:t>معلومات أساسية</w:t>
      </w:r>
      <w:bookmarkEnd w:id="34"/>
      <w:bookmarkEnd w:id="35"/>
      <w:bookmarkEnd w:id="36"/>
      <w:bookmarkEnd w:id="37"/>
      <w:bookmarkEnd w:id="38"/>
      <w:bookmarkEnd w:id="39"/>
      <w:bookmarkEnd w:id="40"/>
    </w:p>
    <w:p w:rsidR="006C12C7" w:rsidRDefault="00DB7139" w:rsidP="00EB3A6F">
      <w:pPr>
        <w:pStyle w:val="ONUMA"/>
      </w:pPr>
      <w:r w:rsidRPr="00DB7139">
        <w:rPr>
          <w:rtl/>
        </w:rPr>
        <w:t xml:space="preserve">تنص القاعدة </w:t>
      </w:r>
      <w:r w:rsidR="006A0ABF">
        <w:rPr>
          <w:rFonts w:hint="cs"/>
          <w:rtl/>
        </w:rPr>
        <w:t>11.4</w:t>
      </w:r>
      <w:r>
        <w:rPr>
          <w:rtl/>
        </w:rPr>
        <w:t>(أ)</w:t>
      </w:r>
      <w:r>
        <w:rPr>
          <w:rFonts w:hint="cs"/>
          <w:rtl/>
        </w:rPr>
        <w:t>"</w:t>
      </w:r>
      <w:r w:rsidRPr="00DB7139">
        <w:rPr>
          <w:rtl/>
        </w:rPr>
        <w:t>1</w:t>
      </w:r>
      <w:r>
        <w:rPr>
          <w:rFonts w:hint="cs"/>
          <w:rtl/>
        </w:rPr>
        <w:t>"</w:t>
      </w:r>
      <w:r w:rsidRPr="00DB7139">
        <w:rPr>
          <w:rtl/>
        </w:rPr>
        <w:t xml:space="preserve"> على </w:t>
      </w:r>
      <w:r w:rsidR="004A211A">
        <w:rPr>
          <w:rFonts w:hint="cs"/>
          <w:rtl/>
        </w:rPr>
        <w:t>إمكانية أن يُبيّن</w:t>
      </w:r>
      <w:r w:rsidRPr="00DB7139">
        <w:rPr>
          <w:rtl/>
        </w:rPr>
        <w:t xml:space="preserve">، في </w:t>
      </w:r>
      <w:r w:rsidR="004A211A">
        <w:rPr>
          <w:rFonts w:hint="cs"/>
          <w:rtl/>
        </w:rPr>
        <w:t>العريضة</w:t>
      </w:r>
      <w:r w:rsidRPr="00DB7139">
        <w:rPr>
          <w:rtl/>
        </w:rPr>
        <w:t xml:space="preserve">، أن الطلب الدولي يجب أن </w:t>
      </w:r>
      <w:r w:rsidR="0091358E">
        <w:rPr>
          <w:rFonts w:hint="cs"/>
          <w:rtl/>
        </w:rPr>
        <w:t>يُعامل</w:t>
      </w:r>
      <w:r>
        <w:rPr>
          <w:rtl/>
        </w:rPr>
        <w:t>، بموجب القاعدة</w:t>
      </w:r>
      <w:r w:rsidR="004A211A">
        <w:rPr>
          <w:rFonts w:hint="cs"/>
          <w:rtl/>
        </w:rPr>
        <w:t> </w:t>
      </w:r>
      <w:r>
        <w:rPr>
          <w:rtl/>
        </w:rPr>
        <w:t>49</w:t>
      </w:r>
      <w:r w:rsidR="0091358E">
        <w:rPr>
          <w:rtl/>
        </w:rPr>
        <w:t>(ثانيا)1</w:t>
      </w:r>
      <w:r w:rsidR="004A211A">
        <w:rPr>
          <w:rtl/>
        </w:rPr>
        <w:t>(أ) أو</w:t>
      </w:r>
      <w:r>
        <w:rPr>
          <w:rtl/>
        </w:rPr>
        <w:t>(ب)</w:t>
      </w:r>
      <w:r w:rsidRPr="00DB7139">
        <w:rPr>
          <w:rtl/>
        </w:rPr>
        <w:t xml:space="preserve">، </w:t>
      </w:r>
      <w:r w:rsidR="006C12C7" w:rsidRPr="006C12C7">
        <w:rPr>
          <w:rtl/>
        </w:rPr>
        <w:t>كما لو كان طلباً</w:t>
      </w:r>
      <w:r w:rsidR="006C12C7">
        <w:rPr>
          <w:rFonts w:hint="cs"/>
          <w:rtl/>
        </w:rPr>
        <w:t>:</w:t>
      </w:r>
      <w:r w:rsidR="006C12C7" w:rsidRPr="006C12C7">
        <w:rPr>
          <w:rtl/>
        </w:rPr>
        <w:t xml:space="preserve"> </w:t>
      </w:r>
      <w:r w:rsidR="006C12C7">
        <w:rPr>
          <w:rtl/>
        </w:rPr>
        <w:t xml:space="preserve">(1) </w:t>
      </w:r>
      <w:r w:rsidR="0091358E">
        <w:rPr>
          <w:rtl/>
        </w:rPr>
        <w:t xml:space="preserve">للحصول على </w:t>
      </w:r>
      <w:r w:rsidR="004A211A">
        <w:rPr>
          <w:rFonts w:hint="cs"/>
          <w:rtl/>
        </w:rPr>
        <w:t>نوع آخر من</w:t>
      </w:r>
      <w:r w:rsidR="0091358E">
        <w:rPr>
          <w:rtl/>
        </w:rPr>
        <w:t xml:space="preserve"> أنواع الحماية</w:t>
      </w:r>
      <w:r w:rsidR="004A211A">
        <w:rPr>
          <w:rFonts w:hint="cs"/>
          <w:rtl/>
        </w:rPr>
        <w:t xml:space="preserve"> خلاف ال</w:t>
      </w:r>
      <w:r w:rsidR="006C12C7" w:rsidRPr="006C12C7">
        <w:rPr>
          <w:rtl/>
        </w:rPr>
        <w:t>براءة</w:t>
      </w:r>
      <w:r w:rsidRPr="006C12C7">
        <w:rPr>
          <w:rtl/>
        </w:rPr>
        <w:t>؛</w:t>
      </w:r>
      <w:r w:rsidR="006C12C7" w:rsidRPr="006C12C7">
        <w:rPr>
          <w:rtl/>
        </w:rPr>
        <w:t xml:space="preserve"> </w:t>
      </w:r>
      <w:r w:rsidRPr="00DB7139">
        <w:rPr>
          <w:rtl/>
        </w:rPr>
        <w:t>(2)</w:t>
      </w:r>
      <w:r w:rsidR="004A211A">
        <w:rPr>
          <w:rFonts w:hint="cs"/>
          <w:rtl/>
        </w:rPr>
        <w:t> </w:t>
      </w:r>
      <w:r w:rsidR="0091358E">
        <w:rPr>
          <w:rFonts w:hint="cs"/>
          <w:rtl/>
        </w:rPr>
        <w:t>أو</w:t>
      </w:r>
      <w:r w:rsidR="004A211A">
        <w:rPr>
          <w:rFonts w:hint="eastAsia"/>
          <w:rtl/>
        </w:rPr>
        <w:t> </w:t>
      </w:r>
      <w:r w:rsidR="0091358E" w:rsidRPr="0091358E">
        <w:rPr>
          <w:rtl/>
        </w:rPr>
        <w:t xml:space="preserve">للحصول على </w:t>
      </w:r>
      <w:r w:rsidR="004A211A">
        <w:rPr>
          <w:rFonts w:hint="cs"/>
          <w:rtl/>
        </w:rPr>
        <w:t xml:space="preserve">أكثر من نوع واحد </w:t>
      </w:r>
      <w:r w:rsidR="0091358E" w:rsidRPr="0091358E">
        <w:rPr>
          <w:rtl/>
        </w:rPr>
        <w:t>من أنواع الحماية</w:t>
      </w:r>
      <w:r w:rsidRPr="0091358E">
        <w:rPr>
          <w:rtl/>
        </w:rPr>
        <w:t xml:space="preserve">. </w:t>
      </w:r>
      <w:r w:rsidR="0091358E">
        <w:rPr>
          <w:rFonts w:hint="cs"/>
          <w:rtl/>
        </w:rPr>
        <w:t>و</w:t>
      </w:r>
      <w:r w:rsidRPr="00DB7139">
        <w:rPr>
          <w:rtl/>
        </w:rPr>
        <w:t xml:space="preserve">تنص القاعدة </w:t>
      </w:r>
      <w:r w:rsidR="006A0ABF">
        <w:rPr>
          <w:rFonts w:hint="cs"/>
          <w:rtl/>
        </w:rPr>
        <w:t>11.4</w:t>
      </w:r>
      <w:r w:rsidRPr="00DB7139">
        <w:rPr>
          <w:rtl/>
        </w:rPr>
        <w:t>(أ</w:t>
      </w:r>
      <w:r w:rsidR="0091358E">
        <w:rPr>
          <w:rtl/>
        </w:rPr>
        <w:t>)</w:t>
      </w:r>
      <w:r w:rsidR="0091358E">
        <w:rPr>
          <w:rFonts w:hint="cs"/>
          <w:rtl/>
        </w:rPr>
        <w:t xml:space="preserve">"2" </w:t>
      </w:r>
      <w:r w:rsidRPr="00DB7139">
        <w:rPr>
          <w:rtl/>
        </w:rPr>
        <w:t xml:space="preserve">على </w:t>
      </w:r>
      <w:r w:rsidR="004A211A">
        <w:rPr>
          <w:rFonts w:hint="cs"/>
          <w:rtl/>
        </w:rPr>
        <w:t>إمكانية أن يُبيّن</w:t>
      </w:r>
      <w:r w:rsidRPr="00DB7139">
        <w:rPr>
          <w:rtl/>
        </w:rPr>
        <w:t xml:space="preserve">، في </w:t>
      </w:r>
      <w:r w:rsidR="004A211A">
        <w:rPr>
          <w:rFonts w:hint="cs"/>
          <w:rtl/>
        </w:rPr>
        <w:t>العريضة</w:t>
      </w:r>
      <w:r w:rsidRPr="00DB7139">
        <w:rPr>
          <w:rtl/>
        </w:rPr>
        <w:t xml:space="preserve">، </w:t>
      </w:r>
      <w:r w:rsidR="0091358E">
        <w:rPr>
          <w:rtl/>
        </w:rPr>
        <w:t xml:space="preserve">أن الطلب الدولي </w:t>
      </w:r>
      <w:r w:rsidR="0091358E">
        <w:rPr>
          <w:rFonts w:hint="cs"/>
          <w:rtl/>
        </w:rPr>
        <w:t xml:space="preserve">يجب أن </w:t>
      </w:r>
      <w:r w:rsidR="00277218">
        <w:rPr>
          <w:rtl/>
        </w:rPr>
        <w:t>يُعامل، بموجب القاعدة 49(ثانيا</w:t>
      </w:r>
      <w:r w:rsidR="0091358E">
        <w:rPr>
          <w:rtl/>
        </w:rPr>
        <w:t>)1(د)</w:t>
      </w:r>
      <w:r w:rsidRPr="00DB7139">
        <w:rPr>
          <w:rtl/>
        </w:rPr>
        <w:t xml:space="preserve">، </w:t>
      </w:r>
      <w:r w:rsidR="009B505F">
        <w:rPr>
          <w:rFonts w:hint="cs"/>
          <w:rtl/>
        </w:rPr>
        <w:t>كت</w:t>
      </w:r>
      <w:r w:rsidR="004D2331">
        <w:rPr>
          <w:rFonts w:hint="cs"/>
          <w:rtl/>
        </w:rPr>
        <w:t>كملة أو تكملة جزئية</w:t>
      </w:r>
      <w:r w:rsidRPr="00DB7139">
        <w:rPr>
          <w:rtl/>
        </w:rPr>
        <w:t xml:space="preserve"> لطلب سابق. </w:t>
      </w:r>
      <w:r w:rsidR="00EB3A6F">
        <w:rPr>
          <w:rFonts w:hint="cs"/>
          <w:rtl/>
        </w:rPr>
        <w:t xml:space="preserve">ولا تجيز </w:t>
      </w:r>
      <w:r w:rsidR="00990497">
        <w:rPr>
          <w:rtl/>
        </w:rPr>
        <w:t>القاعدة</w:t>
      </w:r>
      <w:r w:rsidR="00EB3A6F">
        <w:rPr>
          <w:rFonts w:hint="cs"/>
          <w:rtl/>
        </w:rPr>
        <w:t> </w:t>
      </w:r>
      <w:r w:rsidR="00990497">
        <w:rPr>
          <w:rtl/>
        </w:rPr>
        <w:t>49</w:t>
      </w:r>
      <w:r w:rsidR="00990497">
        <w:rPr>
          <w:rFonts w:hint="cs"/>
          <w:rtl/>
        </w:rPr>
        <w:t>(ثانيا)</w:t>
      </w:r>
      <w:r w:rsidRPr="00DB7139">
        <w:rPr>
          <w:rtl/>
        </w:rPr>
        <w:t xml:space="preserve">2 </w:t>
      </w:r>
      <w:r w:rsidR="00EB3A6F">
        <w:rPr>
          <w:rFonts w:hint="cs"/>
          <w:rtl/>
        </w:rPr>
        <w:t>ل</w:t>
      </w:r>
      <w:r w:rsidRPr="00DB7139">
        <w:rPr>
          <w:rtl/>
        </w:rPr>
        <w:t xml:space="preserve">أي مكتب وطني </w:t>
      </w:r>
      <w:r w:rsidR="00EB3A6F">
        <w:rPr>
          <w:rFonts w:hint="cs"/>
          <w:rtl/>
        </w:rPr>
        <w:t xml:space="preserve">أن يشترط </w:t>
      </w:r>
      <w:r w:rsidRPr="00DB7139">
        <w:rPr>
          <w:rtl/>
        </w:rPr>
        <w:t xml:space="preserve">تقديم </w:t>
      </w:r>
      <w:r w:rsidR="00EB3A6F">
        <w:rPr>
          <w:rFonts w:hint="cs"/>
          <w:rtl/>
        </w:rPr>
        <w:t>أي من تلك البيانات</w:t>
      </w:r>
      <w:r w:rsidRPr="00DB7139">
        <w:rPr>
          <w:rtl/>
        </w:rPr>
        <w:t xml:space="preserve"> قبل </w:t>
      </w:r>
      <w:r w:rsidR="00EB3A6F">
        <w:rPr>
          <w:rFonts w:hint="cs"/>
          <w:rtl/>
        </w:rPr>
        <w:t>أداء الأعمال</w:t>
      </w:r>
      <w:r w:rsidRPr="00DB7139">
        <w:rPr>
          <w:rtl/>
        </w:rPr>
        <w:t xml:space="preserve"> </w:t>
      </w:r>
      <w:r w:rsidR="00101231">
        <w:rPr>
          <w:rFonts w:hint="cs"/>
          <w:rtl/>
        </w:rPr>
        <w:t>المشار إليها في</w:t>
      </w:r>
      <w:r w:rsidRPr="00DB7139">
        <w:rPr>
          <w:rtl/>
        </w:rPr>
        <w:t xml:space="preserve"> المادة 22</w:t>
      </w:r>
      <w:r w:rsidR="00101231">
        <w:rPr>
          <w:rFonts w:hint="cs"/>
          <w:rtl/>
        </w:rPr>
        <w:t>.</w:t>
      </w:r>
    </w:p>
    <w:p w:rsidR="00524831" w:rsidRPr="00C41AE0" w:rsidRDefault="00524831" w:rsidP="00F45EAE">
      <w:pPr>
        <w:pStyle w:val="ONUMA"/>
        <w:rPr>
          <w:rtl/>
        </w:rPr>
      </w:pPr>
      <w:r>
        <w:rPr>
          <w:rtl/>
        </w:rPr>
        <w:t>ومع ذلك</w:t>
      </w:r>
      <w:r w:rsidRPr="00524831">
        <w:rPr>
          <w:rtl/>
        </w:rPr>
        <w:t xml:space="preserve">، لا يوجد أي نص قانوني بموجب معاهدة البراءات أو </w:t>
      </w:r>
      <w:r>
        <w:rPr>
          <w:rFonts w:hint="cs"/>
          <w:rtl/>
        </w:rPr>
        <w:t>لائحتها التنفيذية</w:t>
      </w:r>
      <w:r w:rsidR="00EB3A6F">
        <w:rPr>
          <w:rtl/>
        </w:rPr>
        <w:t xml:space="preserve"> </w:t>
      </w:r>
      <w:r w:rsidR="00EB3A6F">
        <w:rPr>
          <w:rFonts w:hint="cs"/>
          <w:rtl/>
        </w:rPr>
        <w:t xml:space="preserve">يتناول </w:t>
      </w:r>
      <w:r w:rsidRPr="00524831">
        <w:rPr>
          <w:rtl/>
        </w:rPr>
        <w:t xml:space="preserve">تصحيح أو إضافة </w:t>
      </w:r>
      <w:r w:rsidR="0059786C">
        <w:rPr>
          <w:rFonts w:hint="cs"/>
          <w:rtl/>
        </w:rPr>
        <w:t>تلك</w:t>
      </w:r>
      <w:r w:rsidRPr="00524831">
        <w:rPr>
          <w:rtl/>
        </w:rPr>
        <w:t xml:space="preserve"> </w:t>
      </w:r>
      <w:r w:rsidR="006C18E5">
        <w:rPr>
          <w:rFonts w:hint="cs"/>
          <w:rtl/>
        </w:rPr>
        <w:t>ال</w:t>
      </w:r>
      <w:r w:rsidR="00851CAF">
        <w:rPr>
          <w:rFonts w:hint="cs"/>
          <w:rtl/>
        </w:rPr>
        <w:t>بيان</w:t>
      </w:r>
      <w:r w:rsidR="006C18E5">
        <w:rPr>
          <w:rFonts w:hint="cs"/>
          <w:rtl/>
        </w:rPr>
        <w:t>ات</w:t>
      </w:r>
      <w:r w:rsidRPr="00524831">
        <w:rPr>
          <w:rtl/>
        </w:rPr>
        <w:t xml:space="preserve"> خلال المرحلة الدولية. </w:t>
      </w:r>
      <w:r w:rsidR="00F45EAE">
        <w:rPr>
          <w:rFonts w:hint="cs"/>
          <w:rtl/>
        </w:rPr>
        <w:t>وعليه</w:t>
      </w:r>
      <w:r w:rsidRPr="00524831">
        <w:rPr>
          <w:rtl/>
        </w:rPr>
        <w:t xml:space="preserve">، </w:t>
      </w:r>
      <w:r w:rsidR="004808D3">
        <w:rPr>
          <w:rFonts w:hint="cs"/>
          <w:rtl/>
        </w:rPr>
        <w:t>يفتقر</w:t>
      </w:r>
      <w:r w:rsidRPr="00524831">
        <w:rPr>
          <w:rtl/>
        </w:rPr>
        <w:t xml:space="preserve"> </w:t>
      </w:r>
      <w:r w:rsidR="006B3C6C">
        <w:rPr>
          <w:rFonts w:hint="cs"/>
          <w:rtl/>
        </w:rPr>
        <w:t>المودعو</w:t>
      </w:r>
      <w:r w:rsidR="004808D3">
        <w:rPr>
          <w:rFonts w:hint="cs"/>
          <w:rtl/>
        </w:rPr>
        <w:t>ن</w:t>
      </w:r>
      <w:r w:rsidRPr="00524831">
        <w:rPr>
          <w:rtl/>
        </w:rPr>
        <w:t xml:space="preserve"> الذين </w:t>
      </w:r>
      <w:r w:rsidR="00F45EAE">
        <w:rPr>
          <w:rFonts w:hint="cs"/>
          <w:rtl/>
        </w:rPr>
        <w:t>هم بحاجة إلى</w:t>
      </w:r>
      <w:r w:rsidRPr="00524831">
        <w:rPr>
          <w:rtl/>
        </w:rPr>
        <w:t xml:space="preserve"> إجراء </w:t>
      </w:r>
      <w:r w:rsidR="0059786C">
        <w:rPr>
          <w:rFonts w:hint="cs"/>
          <w:rtl/>
        </w:rPr>
        <w:t>تلك</w:t>
      </w:r>
      <w:r w:rsidRPr="00524831">
        <w:rPr>
          <w:rtl/>
        </w:rPr>
        <w:t xml:space="preserve"> التصحيحات أو الإضافات </w:t>
      </w:r>
      <w:r w:rsidR="004808D3">
        <w:rPr>
          <w:rFonts w:hint="cs"/>
          <w:rtl/>
        </w:rPr>
        <w:t>إلى</w:t>
      </w:r>
      <w:r w:rsidR="006404AC">
        <w:rPr>
          <w:rtl/>
        </w:rPr>
        <w:t xml:space="preserve"> آلية</w:t>
      </w:r>
      <w:r w:rsidRPr="00524831">
        <w:rPr>
          <w:rtl/>
        </w:rPr>
        <w:t xml:space="preserve"> </w:t>
      </w:r>
      <w:r w:rsidR="0059786C">
        <w:rPr>
          <w:rFonts w:hint="cs"/>
          <w:rtl/>
        </w:rPr>
        <w:lastRenderedPageBreak/>
        <w:t xml:space="preserve">تمكّنهم من القيام </w:t>
      </w:r>
      <w:r w:rsidR="006404AC">
        <w:rPr>
          <w:rFonts w:hint="cs"/>
          <w:rtl/>
        </w:rPr>
        <w:t>بذلك</w:t>
      </w:r>
      <w:r w:rsidR="00F45EAE">
        <w:rPr>
          <w:rtl/>
        </w:rPr>
        <w:t>، و</w:t>
      </w:r>
      <w:r w:rsidR="00170F22">
        <w:rPr>
          <w:rFonts w:hint="cs"/>
          <w:rtl/>
        </w:rPr>
        <w:t>يخضعون</w:t>
      </w:r>
      <w:r w:rsidRPr="00524831">
        <w:rPr>
          <w:rtl/>
        </w:rPr>
        <w:t xml:space="preserve"> </w:t>
      </w:r>
      <w:r w:rsidR="00F45EAE">
        <w:rPr>
          <w:rFonts w:hint="cs"/>
          <w:rtl/>
        </w:rPr>
        <w:t xml:space="preserve">بالتالي </w:t>
      </w:r>
      <w:r w:rsidRPr="00524831">
        <w:rPr>
          <w:rtl/>
        </w:rPr>
        <w:t xml:space="preserve">لتقدير </w:t>
      </w:r>
      <w:r w:rsidR="00170F22">
        <w:rPr>
          <w:rFonts w:hint="cs"/>
          <w:rtl/>
        </w:rPr>
        <w:t xml:space="preserve">كل مكتب من </w:t>
      </w:r>
      <w:r w:rsidRPr="00524831">
        <w:rPr>
          <w:rtl/>
        </w:rPr>
        <w:t xml:space="preserve">مكاتب </w:t>
      </w:r>
      <w:r w:rsidR="00170F22">
        <w:rPr>
          <w:rFonts w:hint="cs"/>
          <w:rtl/>
        </w:rPr>
        <w:t>تسلم الطلبات</w:t>
      </w:r>
      <w:r w:rsidR="00170F22">
        <w:rPr>
          <w:rtl/>
        </w:rPr>
        <w:t xml:space="preserve"> </w:t>
      </w:r>
      <w:r w:rsidR="00F45EAE">
        <w:rPr>
          <w:rFonts w:hint="cs"/>
          <w:rtl/>
        </w:rPr>
        <w:t>فيما يخص السماح</w:t>
      </w:r>
      <w:r w:rsidR="00F45EAE">
        <w:rPr>
          <w:rtl/>
        </w:rPr>
        <w:t xml:space="preserve"> بالتصحيح أ</w:t>
      </w:r>
      <w:r w:rsidR="00F45EAE">
        <w:rPr>
          <w:rFonts w:hint="cs"/>
          <w:rtl/>
        </w:rPr>
        <w:t>و </w:t>
      </w:r>
      <w:r w:rsidRPr="00524831">
        <w:rPr>
          <w:rtl/>
        </w:rPr>
        <w:t>الإضافة</w:t>
      </w:r>
      <w:r w:rsidR="00F45EAE">
        <w:rPr>
          <w:rFonts w:hint="cs"/>
          <w:rtl/>
        </w:rPr>
        <w:t xml:space="preserve"> أم لا</w:t>
      </w:r>
      <w:r w:rsidRPr="00524831">
        <w:rPr>
          <w:rtl/>
        </w:rPr>
        <w:t>.</w:t>
      </w:r>
    </w:p>
    <w:p w:rsidR="00A91CAA" w:rsidRDefault="006A0ABF" w:rsidP="00A91CAA">
      <w:pPr>
        <w:pStyle w:val="Heading2"/>
        <w:rPr>
          <w:rtl/>
        </w:rPr>
      </w:pPr>
      <w:bookmarkStart w:id="41" w:name="ExtraPara"/>
      <w:bookmarkStart w:id="42" w:name="_Toc8127548"/>
      <w:bookmarkStart w:id="43" w:name="_Toc8127692"/>
      <w:bookmarkStart w:id="44" w:name="_Toc8127829"/>
      <w:bookmarkStart w:id="45" w:name="_Toc8128120"/>
      <w:bookmarkStart w:id="46" w:name="_Toc8385739"/>
      <w:bookmarkStart w:id="47" w:name="_Toc8386114"/>
      <w:bookmarkStart w:id="48" w:name="_Toc8386753"/>
      <w:bookmarkEnd w:id="41"/>
      <w:r>
        <w:rPr>
          <w:rFonts w:hint="cs"/>
          <w:rtl/>
        </w:rPr>
        <w:t>المقترح</w:t>
      </w:r>
      <w:bookmarkEnd w:id="42"/>
      <w:bookmarkEnd w:id="43"/>
      <w:bookmarkEnd w:id="44"/>
      <w:bookmarkEnd w:id="45"/>
      <w:bookmarkEnd w:id="46"/>
      <w:bookmarkEnd w:id="47"/>
      <w:bookmarkEnd w:id="48"/>
    </w:p>
    <w:p w:rsidR="00C50A61" w:rsidRDefault="00F12A24" w:rsidP="0016686D">
      <w:pPr>
        <w:pStyle w:val="ONUMA"/>
      </w:pPr>
      <w:r>
        <w:rPr>
          <w:rFonts w:hint="cs"/>
          <w:rtl/>
        </w:rPr>
        <w:t xml:space="preserve">يُقترح توفير أساس قانوني </w:t>
      </w:r>
      <w:r w:rsidR="00FF41BA">
        <w:rPr>
          <w:rFonts w:hint="cs"/>
          <w:rtl/>
        </w:rPr>
        <w:t>محد</w:t>
      </w:r>
      <w:r w:rsidR="00F45EAE">
        <w:rPr>
          <w:rFonts w:hint="cs"/>
          <w:rtl/>
        </w:rPr>
        <w:t>ّ</w:t>
      </w:r>
      <w:r w:rsidR="00FF41BA">
        <w:rPr>
          <w:rFonts w:hint="cs"/>
          <w:rtl/>
        </w:rPr>
        <w:t xml:space="preserve">د </w:t>
      </w:r>
      <w:r>
        <w:rPr>
          <w:rFonts w:hint="cs"/>
          <w:rtl/>
        </w:rPr>
        <w:t>لتصحيح أو إضافة ال</w:t>
      </w:r>
      <w:r w:rsidR="00851CAF">
        <w:rPr>
          <w:rFonts w:hint="cs"/>
          <w:rtl/>
        </w:rPr>
        <w:t>بيان</w:t>
      </w:r>
      <w:r>
        <w:rPr>
          <w:rFonts w:hint="cs"/>
          <w:rtl/>
        </w:rPr>
        <w:t xml:space="preserve">ات المنصوص عليها في القاعدة </w:t>
      </w:r>
      <w:r w:rsidR="006A0ABF">
        <w:rPr>
          <w:rFonts w:hint="cs"/>
          <w:rtl/>
        </w:rPr>
        <w:t>11.4</w:t>
      </w:r>
      <w:r>
        <w:rPr>
          <w:rFonts w:hint="cs"/>
          <w:rtl/>
        </w:rPr>
        <w:t xml:space="preserve"> </w:t>
      </w:r>
      <w:r w:rsidR="00FF41BA">
        <w:rPr>
          <w:rFonts w:hint="cs"/>
          <w:rtl/>
        </w:rPr>
        <w:t>في غضون</w:t>
      </w:r>
      <w:r>
        <w:rPr>
          <w:rFonts w:hint="cs"/>
          <w:rtl/>
        </w:rPr>
        <w:t xml:space="preserve"> </w:t>
      </w:r>
      <w:r w:rsidR="00FF41BA">
        <w:rPr>
          <w:rFonts w:hint="cs"/>
          <w:rtl/>
        </w:rPr>
        <w:t>فترة</w:t>
      </w:r>
      <w:r>
        <w:rPr>
          <w:rFonts w:hint="cs"/>
          <w:rtl/>
        </w:rPr>
        <w:t xml:space="preserve"> تضمن إدراجها في المنشور الدولي من خلال إضافة القاعدة الجديدة المقترحة 26(رابعا)، على النحو الوارد في المرفق الأول لهذه</w:t>
      </w:r>
      <w:r w:rsidR="0016686D">
        <w:rPr>
          <w:rFonts w:hint="eastAsia"/>
          <w:rtl/>
        </w:rPr>
        <w:t> </w:t>
      </w:r>
      <w:r>
        <w:rPr>
          <w:rFonts w:hint="cs"/>
          <w:rtl/>
        </w:rPr>
        <w:t xml:space="preserve">الوثيقة. </w:t>
      </w:r>
      <w:r w:rsidR="009F10E1">
        <w:rPr>
          <w:rFonts w:hint="cs"/>
          <w:rtl/>
        </w:rPr>
        <w:t>ويُقترح أيضا تعديل التع</w:t>
      </w:r>
      <w:r w:rsidR="00FF41BA">
        <w:rPr>
          <w:rFonts w:hint="cs"/>
          <w:rtl/>
        </w:rPr>
        <w:t>ليمات الإدارية وفق</w:t>
      </w:r>
      <w:r w:rsidR="0086780F">
        <w:rPr>
          <w:rFonts w:hint="cs"/>
          <w:rtl/>
        </w:rPr>
        <w:t>ا</w:t>
      </w:r>
      <w:r w:rsidR="00FF41BA">
        <w:rPr>
          <w:rFonts w:hint="cs"/>
          <w:rtl/>
        </w:rPr>
        <w:t xml:space="preserve"> لذلك ب</w:t>
      </w:r>
      <w:r w:rsidR="009F10E1">
        <w:rPr>
          <w:rFonts w:hint="cs"/>
          <w:rtl/>
        </w:rPr>
        <w:t xml:space="preserve">إضافة </w:t>
      </w:r>
      <w:r w:rsidR="0016686D">
        <w:rPr>
          <w:rFonts w:hint="cs"/>
          <w:rtl/>
        </w:rPr>
        <w:t>بند</w:t>
      </w:r>
      <w:r w:rsidR="009F10E1">
        <w:rPr>
          <w:rFonts w:hint="cs"/>
          <w:rtl/>
        </w:rPr>
        <w:t xml:space="preserve"> جديد 419(ثانيا)، على النحو الوارد في المرفق</w:t>
      </w:r>
      <w:r w:rsidR="0016686D">
        <w:rPr>
          <w:rFonts w:hint="eastAsia"/>
          <w:rtl/>
        </w:rPr>
        <w:t> </w:t>
      </w:r>
      <w:r w:rsidR="009F10E1">
        <w:rPr>
          <w:rFonts w:hint="cs"/>
          <w:rtl/>
        </w:rPr>
        <w:t xml:space="preserve">الثاني لهذه الوثيقة. </w:t>
      </w:r>
    </w:p>
    <w:p w:rsidR="00E423F3" w:rsidRDefault="0086780F" w:rsidP="00261623">
      <w:pPr>
        <w:pStyle w:val="ONUMA"/>
      </w:pPr>
      <w:r>
        <w:rPr>
          <w:rFonts w:hint="cs"/>
          <w:rtl/>
        </w:rPr>
        <w:t>و</w:t>
      </w:r>
      <w:r w:rsidR="00E423F3">
        <w:rPr>
          <w:rFonts w:hint="cs"/>
          <w:rtl/>
        </w:rPr>
        <w:t xml:space="preserve">ناقش </w:t>
      </w:r>
      <w:r w:rsidR="0016686D">
        <w:rPr>
          <w:rFonts w:hint="cs"/>
          <w:rtl/>
        </w:rPr>
        <w:t>هذا الاقتراح</w:t>
      </w:r>
      <w:r w:rsidR="0016686D" w:rsidRPr="00E423F3">
        <w:rPr>
          <w:rtl/>
        </w:rPr>
        <w:t xml:space="preserve"> </w:t>
      </w:r>
      <w:r w:rsidR="00E423F3" w:rsidRPr="00E423F3">
        <w:rPr>
          <w:rtl/>
        </w:rPr>
        <w:t xml:space="preserve">اجتماع </w:t>
      </w:r>
      <w:r w:rsidR="00E423F3">
        <w:rPr>
          <w:rFonts w:hint="cs"/>
          <w:rtl/>
        </w:rPr>
        <w:t>الإدارات</w:t>
      </w:r>
      <w:r w:rsidR="00E423F3" w:rsidRPr="00E423F3">
        <w:rPr>
          <w:rtl/>
        </w:rPr>
        <w:t xml:space="preserve"> الدولية </w:t>
      </w:r>
      <w:r w:rsidR="00E423F3">
        <w:rPr>
          <w:rFonts w:hint="cs"/>
          <w:rtl/>
        </w:rPr>
        <w:t>إبان</w:t>
      </w:r>
      <w:r w:rsidR="00E423F3">
        <w:rPr>
          <w:rtl/>
        </w:rPr>
        <w:t xml:space="preserve"> دورته السادسة والعشرين</w:t>
      </w:r>
      <w:r w:rsidR="00E423F3" w:rsidRPr="00E423F3">
        <w:rPr>
          <w:rtl/>
        </w:rPr>
        <w:t xml:space="preserve"> </w:t>
      </w:r>
      <w:r w:rsidR="00E423F3">
        <w:rPr>
          <w:rFonts w:hint="cs"/>
          <w:rtl/>
        </w:rPr>
        <w:t>المعقودة</w:t>
      </w:r>
      <w:r w:rsidR="00E423F3" w:rsidRPr="00E423F3">
        <w:rPr>
          <w:rtl/>
        </w:rPr>
        <w:t xml:space="preserve"> في فبراير 2019 في القاهرة. </w:t>
      </w:r>
      <w:r w:rsidR="00E423F3">
        <w:rPr>
          <w:rFonts w:hint="cs"/>
          <w:rtl/>
        </w:rPr>
        <w:t>و</w:t>
      </w:r>
      <w:r w:rsidR="00E423F3" w:rsidRPr="00E423F3">
        <w:rPr>
          <w:rtl/>
        </w:rPr>
        <w:t xml:space="preserve">كما </w:t>
      </w:r>
      <w:r w:rsidR="00E423F3">
        <w:rPr>
          <w:rFonts w:hint="cs"/>
          <w:rtl/>
        </w:rPr>
        <w:t>هو وارد</w:t>
      </w:r>
      <w:r w:rsidR="00E423F3">
        <w:rPr>
          <w:rtl/>
        </w:rPr>
        <w:t xml:space="preserve"> في الفقرتين 34 و35 من ملخص الرئيس</w:t>
      </w:r>
      <w:r w:rsidR="00E423F3" w:rsidRPr="00E423F3">
        <w:rPr>
          <w:rtl/>
        </w:rPr>
        <w:t xml:space="preserve">، الوثيقة </w:t>
      </w:r>
      <w:r w:rsidR="00E423F3" w:rsidRPr="00E423F3">
        <w:t>PCT/MIA/26/13</w:t>
      </w:r>
      <w:r w:rsidR="00E423F3" w:rsidRPr="00E423F3">
        <w:rPr>
          <w:rtl/>
        </w:rPr>
        <w:t xml:space="preserve"> (</w:t>
      </w:r>
      <w:r w:rsidR="00E423F3">
        <w:rPr>
          <w:rFonts w:hint="cs"/>
          <w:rtl/>
        </w:rPr>
        <w:t>ترد في مرفق الوثيقة</w:t>
      </w:r>
      <w:r w:rsidR="00261623">
        <w:rPr>
          <w:rFonts w:hint="eastAsia"/>
          <w:rtl/>
        </w:rPr>
        <w:t> </w:t>
      </w:r>
      <w:r w:rsidR="00E423F3" w:rsidRPr="00E423F3">
        <w:t>PCT/WG/12/2</w:t>
      </w:r>
      <w:r w:rsidR="00E423F3" w:rsidRPr="00E423F3">
        <w:rPr>
          <w:rtl/>
        </w:rPr>
        <w:t>):</w:t>
      </w:r>
    </w:p>
    <w:p w:rsidR="00E423F3" w:rsidRDefault="00E423F3" w:rsidP="0016686D">
      <w:pPr>
        <w:pStyle w:val="BodyTextFirstIndent"/>
        <w:rPr>
          <w:rtl/>
          <w:lang w:bidi="ar-SA"/>
        </w:rPr>
      </w:pPr>
      <w:r>
        <w:rPr>
          <w:rFonts w:hint="cs"/>
          <w:rtl/>
        </w:rPr>
        <w:t>"</w:t>
      </w:r>
      <w:r w:rsidR="00D7608D" w:rsidRPr="00D7608D">
        <w:rPr>
          <w:rtl/>
        </w:rPr>
        <w:t>34.</w:t>
      </w:r>
      <w:r w:rsidR="00D7608D" w:rsidRPr="00D7608D">
        <w:rPr>
          <w:rtl/>
        </w:rPr>
        <w:tab/>
        <w:t xml:space="preserve">واتفقت الإدارات على أنه من الملائم أن يُسمح بتصحيح أو إضافة </w:t>
      </w:r>
      <w:r w:rsidR="00851CAF">
        <w:rPr>
          <w:rtl/>
        </w:rPr>
        <w:t>بيان</w:t>
      </w:r>
      <w:r w:rsidR="00D7608D" w:rsidRPr="00D7608D">
        <w:rPr>
          <w:rtl/>
        </w:rPr>
        <w:t xml:space="preserve">ات بموجب القاعدة </w:t>
      </w:r>
      <w:r w:rsidR="006A0ABF">
        <w:rPr>
          <w:rtl/>
        </w:rPr>
        <w:t>11.4</w:t>
      </w:r>
      <w:r w:rsidR="00D7608D" w:rsidRPr="00D7608D">
        <w:rPr>
          <w:rtl/>
        </w:rPr>
        <w:t>، واعتبرت أن تشابه القاعدة 26(رابعاً) المقترحة مع القاعدة 26(ثالثاً) الحالية يبعث على الثقة بأن التفاصيل مناسبة ويمكن إدارتها بفعالية.</w:t>
      </w:r>
      <w:r w:rsidR="00D7608D">
        <w:rPr>
          <w:rFonts w:hint="cs"/>
          <w:rtl/>
          <w:lang w:bidi="ar-SA"/>
        </w:rPr>
        <w:t>"</w:t>
      </w:r>
    </w:p>
    <w:p w:rsidR="00D7608D" w:rsidRDefault="00D7608D" w:rsidP="0016686D">
      <w:pPr>
        <w:pStyle w:val="BodyTextFirstIndent"/>
        <w:rPr>
          <w:rtl/>
          <w:lang w:bidi="ar-SA"/>
        </w:rPr>
      </w:pPr>
      <w:r>
        <w:rPr>
          <w:rFonts w:hint="cs"/>
          <w:rtl/>
          <w:lang w:bidi="ar-SA"/>
        </w:rPr>
        <w:t>"</w:t>
      </w:r>
      <w:r w:rsidRPr="00D7608D">
        <w:rPr>
          <w:rtl/>
          <w:lang w:bidi="ar-SA"/>
        </w:rPr>
        <w:t>35.</w:t>
      </w:r>
      <w:r w:rsidRPr="00D7608D">
        <w:rPr>
          <w:rtl/>
          <w:lang w:bidi="ar-SA"/>
        </w:rPr>
        <w:tab/>
        <w:t>ودعا الاجتماع مكتب الولايات المتحدة للبراءات والعلامات التجارية إلى تقديم المقترحات إلى الفريق العامل لمعاهدة التعاون بشأن البراءات.</w:t>
      </w:r>
      <w:r>
        <w:rPr>
          <w:rFonts w:hint="cs"/>
          <w:rtl/>
          <w:lang w:bidi="ar-SA"/>
        </w:rPr>
        <w:t>"</w:t>
      </w:r>
    </w:p>
    <w:p w:rsidR="00AD7AB3" w:rsidRDefault="00AD7AB3" w:rsidP="00AD7AB3">
      <w:pPr>
        <w:pStyle w:val="Decision"/>
      </w:pPr>
      <w:r w:rsidRPr="00AD7AB3">
        <w:rPr>
          <w:rtl/>
        </w:rPr>
        <w:t xml:space="preserve">‏إن الفريق العامل مدعوٌ إلى التعليق على التعديلات المقترح إدخالها على اللائحة التنفيذية لمعاهدة التعاون بشأن البراءات </w:t>
      </w:r>
      <w:r>
        <w:rPr>
          <w:rFonts w:hint="cs"/>
          <w:rtl/>
        </w:rPr>
        <w:t xml:space="preserve">والتعديلات المقترح إدخالها على التعليمات الإدارية </w:t>
      </w:r>
      <w:r w:rsidRPr="00AD7AB3">
        <w:rPr>
          <w:rtl/>
        </w:rPr>
        <w:t>والمبيَّنة في مرفق</w:t>
      </w:r>
      <w:r>
        <w:rPr>
          <w:rFonts w:hint="cs"/>
          <w:rtl/>
        </w:rPr>
        <w:t>ي</w:t>
      </w:r>
      <w:r w:rsidRPr="00AD7AB3">
        <w:rPr>
          <w:rtl/>
        </w:rPr>
        <w:t xml:space="preserve"> هذه الوثيقة.</w:t>
      </w:r>
    </w:p>
    <w:p w:rsidR="00064FEC" w:rsidRDefault="00AD7AB3" w:rsidP="00A64958">
      <w:pPr>
        <w:pStyle w:val="Endofdocument-Annex"/>
        <w:rPr>
          <w:rtl/>
        </w:rPr>
        <w:sectPr w:rsidR="00064FEC"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 الأول]</w:t>
      </w:r>
    </w:p>
    <w:p w:rsidR="00064FEC" w:rsidRDefault="00064FEC" w:rsidP="00064FEC">
      <w:pPr>
        <w:jc w:val="center"/>
        <w:rPr>
          <w:sz w:val="40"/>
          <w:szCs w:val="40"/>
          <w:rtl/>
        </w:rPr>
      </w:pPr>
      <w:r w:rsidRPr="00064FEC">
        <w:rPr>
          <w:sz w:val="40"/>
          <w:szCs w:val="40"/>
          <w:rtl/>
        </w:rPr>
        <w:lastRenderedPageBreak/>
        <w:t>التعديلات المقترح إدخالها على اللائحة التنفيذية لمعاهدة التعاون بشأن البراءات</w:t>
      </w:r>
      <w:r w:rsidR="004B6E12">
        <w:rPr>
          <w:rStyle w:val="FootnoteReference"/>
          <w:rtl/>
        </w:rPr>
        <w:footnoteReference w:id="1"/>
      </w:r>
    </w:p>
    <w:p w:rsidR="00064FEC" w:rsidRPr="00064FEC" w:rsidRDefault="00064FEC" w:rsidP="001751A2">
      <w:pPr>
        <w:spacing w:before="600"/>
        <w:jc w:val="center"/>
        <w:rPr>
          <w:sz w:val="40"/>
          <w:szCs w:val="40"/>
          <w:rtl/>
        </w:rPr>
      </w:pPr>
      <w:r>
        <w:rPr>
          <w:rFonts w:hint="cs"/>
          <w:sz w:val="40"/>
          <w:szCs w:val="40"/>
          <w:rtl/>
        </w:rPr>
        <w:t>جدول المحتويات</w:t>
      </w:r>
    </w:p>
    <w:sdt>
      <w:sdtPr>
        <w:rPr>
          <w:b w:val="0"/>
          <w:bCs w:val="0"/>
          <w:noProof w:val="0"/>
          <w:rtl/>
        </w:rPr>
        <w:id w:val="-844713307"/>
        <w:docPartObj>
          <w:docPartGallery w:val="Table of Contents"/>
          <w:docPartUnique/>
        </w:docPartObj>
      </w:sdtPr>
      <w:sdtEndPr/>
      <w:sdtContent>
        <w:p w:rsidR="00786C90" w:rsidRPr="00786C90" w:rsidRDefault="00862562" w:rsidP="00786C90">
          <w:pPr>
            <w:pStyle w:val="TOC1"/>
            <w:bidi/>
            <w:rPr>
              <w:rFonts w:asciiTheme="minorHAnsi" w:eastAsiaTheme="minorEastAsia" w:hAnsiTheme="minorHAnsi" w:cstheme="minorBidi"/>
              <w:b w:val="0"/>
              <w:bCs w:val="0"/>
              <w:sz w:val="22"/>
              <w:szCs w:val="22"/>
            </w:rPr>
          </w:pPr>
          <w:r w:rsidRPr="00786C90">
            <w:rPr>
              <w:b w:val="0"/>
              <w:bCs w:val="0"/>
            </w:rPr>
            <w:fldChar w:fldCharType="begin"/>
          </w:r>
          <w:r w:rsidRPr="00786C90">
            <w:rPr>
              <w:b w:val="0"/>
              <w:bCs w:val="0"/>
            </w:rPr>
            <w:instrText xml:space="preserve"> TOC \o "1-3" \h \z \u </w:instrText>
          </w:r>
          <w:r w:rsidRPr="00786C90">
            <w:rPr>
              <w:b w:val="0"/>
              <w:bCs w:val="0"/>
            </w:rPr>
            <w:fldChar w:fldCharType="separate"/>
          </w:r>
          <w:hyperlink w:anchor="_Toc8386754" w:history="1">
            <w:r w:rsidR="00786C90" w:rsidRPr="00786C90">
              <w:rPr>
                <w:rStyle w:val="Hyperlink"/>
                <w:b w:val="0"/>
                <w:bCs w:val="0"/>
                <w:rtl/>
              </w:rPr>
              <w:t>القاعدة 4 العريضة (محتوياتها)</w:t>
            </w:r>
            <w:r w:rsidR="00786C90" w:rsidRPr="00786C90">
              <w:rPr>
                <w:b w:val="0"/>
                <w:bCs w:val="0"/>
                <w:webHidden/>
              </w:rPr>
              <w:tab/>
            </w:r>
            <w:r w:rsidR="00786C90" w:rsidRPr="00786C90">
              <w:rPr>
                <w:b w:val="0"/>
                <w:bCs w:val="0"/>
                <w:webHidden/>
              </w:rPr>
              <w:fldChar w:fldCharType="begin"/>
            </w:r>
            <w:r w:rsidR="00786C90" w:rsidRPr="00786C90">
              <w:rPr>
                <w:b w:val="0"/>
                <w:bCs w:val="0"/>
                <w:webHidden/>
              </w:rPr>
              <w:instrText xml:space="preserve"> PAGEREF _Toc8386754 \h </w:instrText>
            </w:r>
            <w:r w:rsidR="00786C90" w:rsidRPr="00786C90">
              <w:rPr>
                <w:b w:val="0"/>
                <w:bCs w:val="0"/>
                <w:webHidden/>
              </w:rPr>
            </w:r>
            <w:r w:rsidR="00786C90" w:rsidRPr="00786C90">
              <w:rPr>
                <w:b w:val="0"/>
                <w:bCs w:val="0"/>
                <w:webHidden/>
              </w:rPr>
              <w:fldChar w:fldCharType="separate"/>
            </w:r>
            <w:r w:rsidR="00FE7951">
              <w:rPr>
                <w:b w:val="0"/>
                <w:bCs w:val="0"/>
                <w:webHidden/>
                <w:rtl/>
              </w:rPr>
              <w:t>2</w:t>
            </w:r>
            <w:r w:rsidR="00786C90" w:rsidRPr="00786C90">
              <w:rPr>
                <w:b w:val="0"/>
                <w:bCs w:val="0"/>
                <w:webHidden/>
              </w:rPr>
              <w:fldChar w:fldCharType="end"/>
            </w:r>
          </w:hyperlink>
        </w:p>
        <w:p w:rsidR="00786C90" w:rsidRPr="00786C90" w:rsidRDefault="004F45B6" w:rsidP="00786C90">
          <w:pPr>
            <w:pStyle w:val="TOC2"/>
            <w:rPr>
              <w:rFonts w:asciiTheme="minorHAnsi" w:eastAsiaTheme="minorEastAsia" w:hAnsiTheme="minorHAnsi" w:cstheme="minorBidi"/>
              <w:noProof/>
              <w:sz w:val="22"/>
              <w:szCs w:val="22"/>
            </w:rPr>
          </w:pPr>
          <w:hyperlink w:anchor="_Toc8386755" w:history="1">
            <w:r w:rsidR="00786C90" w:rsidRPr="00786C90">
              <w:rPr>
                <w:rStyle w:val="Hyperlink"/>
                <w:i/>
                <w:iCs/>
                <w:noProof/>
                <w:rtl/>
                <w:lang w:val="fr-CH"/>
              </w:rPr>
              <w:t>1.4 إلى 10.4   [دون تغيير]</w:t>
            </w:r>
            <w:r w:rsidR="00786C90" w:rsidRPr="00786C90">
              <w:rPr>
                <w:noProof/>
                <w:webHidden/>
              </w:rPr>
              <w:tab/>
            </w:r>
            <w:r w:rsidR="00786C90" w:rsidRPr="00786C90">
              <w:rPr>
                <w:noProof/>
                <w:webHidden/>
              </w:rPr>
              <w:fldChar w:fldCharType="begin"/>
            </w:r>
            <w:r w:rsidR="00786C90" w:rsidRPr="00786C90">
              <w:rPr>
                <w:noProof/>
                <w:webHidden/>
              </w:rPr>
              <w:instrText xml:space="preserve"> PAGEREF _Toc8386755 \h </w:instrText>
            </w:r>
            <w:r w:rsidR="00786C90" w:rsidRPr="00786C90">
              <w:rPr>
                <w:noProof/>
                <w:webHidden/>
              </w:rPr>
            </w:r>
            <w:r w:rsidR="00786C90" w:rsidRPr="00786C90">
              <w:rPr>
                <w:noProof/>
                <w:webHidden/>
              </w:rPr>
              <w:fldChar w:fldCharType="separate"/>
            </w:r>
            <w:r w:rsidR="00FE7951">
              <w:rPr>
                <w:noProof/>
                <w:webHidden/>
                <w:rtl/>
              </w:rPr>
              <w:t>2</w:t>
            </w:r>
            <w:r w:rsidR="00786C90" w:rsidRPr="00786C90">
              <w:rPr>
                <w:noProof/>
                <w:webHidden/>
              </w:rPr>
              <w:fldChar w:fldCharType="end"/>
            </w:r>
          </w:hyperlink>
        </w:p>
        <w:p w:rsidR="00786C90" w:rsidRPr="00786C90" w:rsidRDefault="004F45B6" w:rsidP="00786C90">
          <w:pPr>
            <w:pStyle w:val="TOC2"/>
            <w:tabs>
              <w:tab w:val="left" w:pos="5422"/>
            </w:tabs>
            <w:rPr>
              <w:rFonts w:asciiTheme="minorHAnsi" w:eastAsiaTheme="minorEastAsia" w:hAnsiTheme="minorHAnsi" w:cstheme="minorBidi"/>
              <w:noProof/>
              <w:sz w:val="22"/>
              <w:szCs w:val="22"/>
            </w:rPr>
          </w:pPr>
          <w:hyperlink w:anchor="_Toc8386756" w:history="1">
            <w:r w:rsidR="00786C90" w:rsidRPr="00786C90">
              <w:rPr>
                <w:rStyle w:val="Hyperlink"/>
                <w:i/>
                <w:iCs/>
                <w:noProof/>
                <w:rtl/>
                <w:lang w:val="fr-CH"/>
              </w:rPr>
              <w:t>11.4   [دون تغيير]</w:t>
            </w:r>
            <w:r w:rsidR="00786C90" w:rsidRPr="00786C90">
              <w:rPr>
                <w:rStyle w:val="Hyperlink"/>
                <w:rFonts w:hint="cs"/>
                <w:i/>
                <w:iCs/>
                <w:noProof/>
                <w:rtl/>
                <w:lang w:val="fr-CH"/>
              </w:rPr>
              <w:t xml:space="preserve">  </w:t>
            </w:r>
            <w:r w:rsidR="00786C90" w:rsidRPr="00786C90">
              <w:rPr>
                <w:rStyle w:val="Hyperlink"/>
                <w:i/>
                <w:iCs/>
                <w:noProof/>
                <w:rtl/>
                <w:lang w:val="fr-CH"/>
              </w:rPr>
              <w:t xml:space="preserve"> الإشارة إلى تكملة أو تكملة جزئية أو طلب رئيسي أو سند رئيسي</w:t>
            </w:r>
            <w:r w:rsidR="00786C90" w:rsidRPr="00786C90">
              <w:rPr>
                <w:noProof/>
                <w:webHidden/>
              </w:rPr>
              <w:tab/>
            </w:r>
            <w:r w:rsidR="00786C90" w:rsidRPr="00786C90">
              <w:rPr>
                <w:noProof/>
                <w:webHidden/>
              </w:rPr>
              <w:fldChar w:fldCharType="begin"/>
            </w:r>
            <w:r w:rsidR="00786C90" w:rsidRPr="00786C90">
              <w:rPr>
                <w:noProof/>
                <w:webHidden/>
              </w:rPr>
              <w:instrText xml:space="preserve"> PAGEREF _Toc8386756 \h </w:instrText>
            </w:r>
            <w:r w:rsidR="00786C90" w:rsidRPr="00786C90">
              <w:rPr>
                <w:noProof/>
                <w:webHidden/>
              </w:rPr>
            </w:r>
            <w:r w:rsidR="00786C90" w:rsidRPr="00786C90">
              <w:rPr>
                <w:noProof/>
                <w:webHidden/>
              </w:rPr>
              <w:fldChar w:fldCharType="separate"/>
            </w:r>
            <w:r w:rsidR="00FE7951">
              <w:rPr>
                <w:noProof/>
                <w:webHidden/>
                <w:rtl/>
              </w:rPr>
              <w:t>2</w:t>
            </w:r>
            <w:r w:rsidR="00786C90" w:rsidRPr="00786C90">
              <w:rPr>
                <w:noProof/>
                <w:webHidden/>
              </w:rPr>
              <w:fldChar w:fldCharType="end"/>
            </w:r>
          </w:hyperlink>
        </w:p>
        <w:p w:rsidR="00786C90" w:rsidRPr="00786C90" w:rsidRDefault="004F45B6" w:rsidP="00786C90">
          <w:pPr>
            <w:pStyle w:val="TOC2"/>
            <w:rPr>
              <w:rFonts w:asciiTheme="minorHAnsi" w:eastAsiaTheme="minorEastAsia" w:hAnsiTheme="minorHAnsi" w:cstheme="minorBidi"/>
              <w:noProof/>
              <w:sz w:val="22"/>
              <w:szCs w:val="22"/>
            </w:rPr>
          </w:pPr>
          <w:hyperlink w:anchor="_Toc8386757" w:history="1">
            <w:r w:rsidR="00786C90" w:rsidRPr="00786C90">
              <w:rPr>
                <w:rStyle w:val="Hyperlink"/>
                <w:i/>
                <w:iCs/>
                <w:noProof/>
                <w:rtl/>
                <w:lang w:val="fr-CH"/>
              </w:rPr>
              <w:t>12.4 إلى 19.4   [دون تغيير]</w:t>
            </w:r>
            <w:r w:rsidR="00786C90" w:rsidRPr="00786C90">
              <w:rPr>
                <w:noProof/>
                <w:webHidden/>
              </w:rPr>
              <w:tab/>
            </w:r>
            <w:r w:rsidR="00786C90" w:rsidRPr="00786C90">
              <w:rPr>
                <w:noProof/>
                <w:webHidden/>
              </w:rPr>
              <w:fldChar w:fldCharType="begin"/>
            </w:r>
            <w:r w:rsidR="00786C90" w:rsidRPr="00786C90">
              <w:rPr>
                <w:noProof/>
                <w:webHidden/>
              </w:rPr>
              <w:instrText xml:space="preserve"> PAGEREF _Toc8386757 \h </w:instrText>
            </w:r>
            <w:r w:rsidR="00786C90" w:rsidRPr="00786C90">
              <w:rPr>
                <w:noProof/>
                <w:webHidden/>
              </w:rPr>
            </w:r>
            <w:r w:rsidR="00786C90" w:rsidRPr="00786C90">
              <w:rPr>
                <w:noProof/>
                <w:webHidden/>
              </w:rPr>
              <w:fldChar w:fldCharType="separate"/>
            </w:r>
            <w:r w:rsidR="00FE7951">
              <w:rPr>
                <w:noProof/>
                <w:webHidden/>
                <w:rtl/>
              </w:rPr>
              <w:t>2</w:t>
            </w:r>
            <w:r w:rsidR="00786C90" w:rsidRPr="00786C90">
              <w:rPr>
                <w:noProof/>
                <w:webHidden/>
              </w:rPr>
              <w:fldChar w:fldCharType="end"/>
            </w:r>
          </w:hyperlink>
        </w:p>
        <w:p w:rsidR="00786C90" w:rsidRPr="00786C90" w:rsidRDefault="004F45B6" w:rsidP="00786C90">
          <w:pPr>
            <w:pStyle w:val="TOC1"/>
            <w:bidi/>
            <w:rPr>
              <w:rFonts w:asciiTheme="minorHAnsi" w:eastAsiaTheme="minorEastAsia" w:hAnsiTheme="minorHAnsi" w:cstheme="minorBidi"/>
              <w:b w:val="0"/>
              <w:bCs w:val="0"/>
              <w:sz w:val="22"/>
              <w:szCs w:val="22"/>
            </w:rPr>
          </w:pPr>
          <w:hyperlink w:anchor="_Toc8386758" w:history="1">
            <w:r w:rsidR="00786C90" w:rsidRPr="00786C90">
              <w:rPr>
                <w:rStyle w:val="Hyperlink"/>
                <w:b w:val="0"/>
                <w:bCs w:val="0"/>
                <w:rtl/>
              </w:rPr>
              <w:t>القاعدة 26(رابعا) تصحيح أو إضافة البيانات بموجب القاعدة 11.4</w:t>
            </w:r>
            <w:r w:rsidR="00786C90" w:rsidRPr="00786C90">
              <w:rPr>
                <w:b w:val="0"/>
                <w:bCs w:val="0"/>
                <w:webHidden/>
              </w:rPr>
              <w:tab/>
            </w:r>
            <w:r w:rsidR="00786C90" w:rsidRPr="00786C90">
              <w:rPr>
                <w:b w:val="0"/>
                <w:bCs w:val="0"/>
                <w:webHidden/>
              </w:rPr>
              <w:fldChar w:fldCharType="begin"/>
            </w:r>
            <w:r w:rsidR="00786C90" w:rsidRPr="00786C90">
              <w:rPr>
                <w:b w:val="0"/>
                <w:bCs w:val="0"/>
                <w:webHidden/>
              </w:rPr>
              <w:instrText xml:space="preserve"> PAGEREF _Toc8386758 \h </w:instrText>
            </w:r>
            <w:r w:rsidR="00786C90" w:rsidRPr="00786C90">
              <w:rPr>
                <w:b w:val="0"/>
                <w:bCs w:val="0"/>
                <w:webHidden/>
              </w:rPr>
            </w:r>
            <w:r w:rsidR="00786C90" w:rsidRPr="00786C90">
              <w:rPr>
                <w:b w:val="0"/>
                <w:bCs w:val="0"/>
                <w:webHidden/>
              </w:rPr>
              <w:fldChar w:fldCharType="separate"/>
            </w:r>
            <w:r w:rsidR="00FE7951">
              <w:rPr>
                <w:b w:val="0"/>
                <w:bCs w:val="0"/>
                <w:webHidden/>
                <w:rtl/>
              </w:rPr>
              <w:t>3</w:t>
            </w:r>
            <w:r w:rsidR="00786C90" w:rsidRPr="00786C90">
              <w:rPr>
                <w:b w:val="0"/>
                <w:bCs w:val="0"/>
                <w:webHidden/>
              </w:rPr>
              <w:fldChar w:fldCharType="end"/>
            </w:r>
          </w:hyperlink>
        </w:p>
        <w:p w:rsidR="00786C90" w:rsidRPr="00786C90" w:rsidRDefault="004F45B6" w:rsidP="00786C90">
          <w:pPr>
            <w:pStyle w:val="TOC2"/>
            <w:rPr>
              <w:rFonts w:asciiTheme="minorHAnsi" w:eastAsiaTheme="minorEastAsia" w:hAnsiTheme="minorHAnsi" w:cstheme="minorBidi"/>
              <w:noProof/>
              <w:sz w:val="22"/>
              <w:szCs w:val="22"/>
            </w:rPr>
          </w:pPr>
          <w:hyperlink w:anchor="_Toc8386759" w:history="1">
            <w:r w:rsidR="00786C90" w:rsidRPr="00786C90">
              <w:rPr>
                <w:rStyle w:val="Hyperlink"/>
                <w:i/>
                <w:iCs/>
                <w:noProof/>
                <w:rtl/>
              </w:rPr>
              <w:t>القاعدة 26(رابعا)1 تصحيح أو إضافة البيانات</w:t>
            </w:r>
            <w:r w:rsidR="00786C90" w:rsidRPr="00786C90">
              <w:rPr>
                <w:noProof/>
                <w:webHidden/>
              </w:rPr>
              <w:tab/>
            </w:r>
            <w:r w:rsidR="00786C90" w:rsidRPr="00786C90">
              <w:rPr>
                <w:noProof/>
                <w:webHidden/>
              </w:rPr>
              <w:fldChar w:fldCharType="begin"/>
            </w:r>
            <w:r w:rsidR="00786C90" w:rsidRPr="00786C90">
              <w:rPr>
                <w:noProof/>
                <w:webHidden/>
              </w:rPr>
              <w:instrText xml:space="preserve"> PAGEREF _Toc8386759 \h </w:instrText>
            </w:r>
            <w:r w:rsidR="00786C90" w:rsidRPr="00786C90">
              <w:rPr>
                <w:noProof/>
                <w:webHidden/>
              </w:rPr>
            </w:r>
            <w:r w:rsidR="00786C90" w:rsidRPr="00786C90">
              <w:rPr>
                <w:noProof/>
                <w:webHidden/>
              </w:rPr>
              <w:fldChar w:fldCharType="separate"/>
            </w:r>
            <w:r w:rsidR="00FE7951">
              <w:rPr>
                <w:noProof/>
                <w:webHidden/>
                <w:rtl/>
              </w:rPr>
              <w:t>3</w:t>
            </w:r>
            <w:r w:rsidR="00786C90" w:rsidRPr="00786C90">
              <w:rPr>
                <w:noProof/>
                <w:webHidden/>
              </w:rPr>
              <w:fldChar w:fldCharType="end"/>
            </w:r>
          </w:hyperlink>
        </w:p>
        <w:p w:rsidR="00786C90" w:rsidRPr="00786C90" w:rsidRDefault="004F45B6" w:rsidP="00786C90">
          <w:pPr>
            <w:pStyle w:val="TOC2"/>
            <w:rPr>
              <w:rFonts w:asciiTheme="minorHAnsi" w:eastAsiaTheme="minorEastAsia" w:hAnsiTheme="minorHAnsi" w:cstheme="minorBidi"/>
              <w:noProof/>
              <w:sz w:val="22"/>
              <w:szCs w:val="22"/>
            </w:rPr>
          </w:pPr>
          <w:hyperlink w:anchor="_Toc8386760" w:history="1">
            <w:r w:rsidR="00786C90" w:rsidRPr="00786C90">
              <w:rPr>
                <w:rStyle w:val="Hyperlink"/>
                <w:i/>
                <w:iCs/>
                <w:noProof/>
                <w:rtl/>
              </w:rPr>
              <w:t>القاعدة 26(رابعا)2 التأخر في تصحيح أو إضافة البيانات</w:t>
            </w:r>
            <w:r w:rsidR="00786C90" w:rsidRPr="00786C90">
              <w:rPr>
                <w:noProof/>
                <w:webHidden/>
              </w:rPr>
              <w:tab/>
            </w:r>
            <w:r w:rsidR="00786C90" w:rsidRPr="00786C90">
              <w:rPr>
                <w:noProof/>
                <w:webHidden/>
              </w:rPr>
              <w:fldChar w:fldCharType="begin"/>
            </w:r>
            <w:r w:rsidR="00786C90" w:rsidRPr="00786C90">
              <w:rPr>
                <w:noProof/>
                <w:webHidden/>
              </w:rPr>
              <w:instrText xml:space="preserve"> PAGEREF _Toc8386760 \h </w:instrText>
            </w:r>
            <w:r w:rsidR="00786C90" w:rsidRPr="00786C90">
              <w:rPr>
                <w:noProof/>
                <w:webHidden/>
              </w:rPr>
            </w:r>
            <w:r w:rsidR="00786C90" w:rsidRPr="00786C90">
              <w:rPr>
                <w:noProof/>
                <w:webHidden/>
              </w:rPr>
              <w:fldChar w:fldCharType="separate"/>
            </w:r>
            <w:r w:rsidR="00FE7951">
              <w:rPr>
                <w:noProof/>
                <w:webHidden/>
                <w:rtl/>
              </w:rPr>
              <w:t>3</w:t>
            </w:r>
            <w:r w:rsidR="00786C90" w:rsidRPr="00786C90">
              <w:rPr>
                <w:noProof/>
                <w:webHidden/>
              </w:rPr>
              <w:fldChar w:fldCharType="end"/>
            </w:r>
          </w:hyperlink>
        </w:p>
        <w:p w:rsidR="00862562" w:rsidRDefault="00862562" w:rsidP="001751A2">
          <w:r w:rsidRPr="00786C90">
            <w:rPr>
              <w:noProof/>
            </w:rPr>
            <w:fldChar w:fldCharType="end"/>
          </w:r>
        </w:p>
      </w:sdtContent>
    </w:sdt>
    <w:p w:rsidR="001751A2" w:rsidRDefault="001751A2">
      <w:pPr>
        <w:bidi w:val="0"/>
        <w:rPr>
          <w:rtl/>
        </w:rPr>
      </w:pPr>
      <w:r>
        <w:rPr>
          <w:rtl/>
        </w:rPr>
        <w:br w:type="page"/>
      </w:r>
    </w:p>
    <w:p w:rsidR="000A6871" w:rsidRPr="001C6678" w:rsidRDefault="000A6871" w:rsidP="00796A03">
      <w:pPr>
        <w:pStyle w:val="Heading1AR"/>
        <w:keepNext w:val="0"/>
        <w:jc w:val="center"/>
        <w:outlineLvl w:val="0"/>
        <w:rPr>
          <w:sz w:val="36"/>
          <w:szCs w:val="36"/>
        </w:rPr>
      </w:pPr>
      <w:bookmarkStart w:id="50" w:name="_Toc447016160"/>
      <w:bookmarkStart w:id="51" w:name="_Toc447024752"/>
      <w:bookmarkStart w:id="52" w:name="_Toc447026922"/>
      <w:bookmarkStart w:id="53" w:name="_Toc8386754"/>
      <w:r w:rsidRPr="001C6678">
        <w:rPr>
          <w:rFonts w:hint="cs"/>
          <w:sz w:val="36"/>
          <w:szCs w:val="36"/>
          <w:rtl/>
        </w:rPr>
        <w:lastRenderedPageBreak/>
        <w:t>القاعدة 4</w:t>
      </w:r>
      <w:bookmarkEnd w:id="50"/>
      <w:r>
        <w:rPr>
          <w:rFonts w:hint="cs"/>
          <w:sz w:val="36"/>
          <w:szCs w:val="36"/>
          <w:rtl/>
        </w:rPr>
        <w:br/>
      </w:r>
      <w:r w:rsidR="00796A03">
        <w:rPr>
          <w:rFonts w:hint="cs"/>
          <w:sz w:val="36"/>
          <w:szCs w:val="36"/>
          <w:rtl/>
        </w:rPr>
        <w:t>العريضة</w:t>
      </w:r>
      <w:r w:rsidRPr="001C6678">
        <w:rPr>
          <w:rFonts w:hint="cs"/>
          <w:sz w:val="36"/>
          <w:szCs w:val="36"/>
          <w:rtl/>
        </w:rPr>
        <w:t xml:space="preserve"> (محتويات</w:t>
      </w:r>
      <w:r>
        <w:rPr>
          <w:rFonts w:hint="cs"/>
          <w:sz w:val="36"/>
          <w:szCs w:val="36"/>
          <w:rtl/>
        </w:rPr>
        <w:t>ه</w:t>
      </w:r>
      <w:r w:rsidR="00796A03">
        <w:rPr>
          <w:rFonts w:hint="cs"/>
          <w:sz w:val="36"/>
          <w:szCs w:val="36"/>
          <w:rtl/>
        </w:rPr>
        <w:t>ا</w:t>
      </w:r>
      <w:r w:rsidRPr="001C6678">
        <w:rPr>
          <w:rFonts w:hint="cs"/>
          <w:sz w:val="36"/>
          <w:szCs w:val="36"/>
          <w:rtl/>
        </w:rPr>
        <w:t>)</w:t>
      </w:r>
      <w:bookmarkEnd w:id="51"/>
      <w:bookmarkEnd w:id="52"/>
      <w:bookmarkEnd w:id="53"/>
    </w:p>
    <w:p w:rsidR="000A6871" w:rsidRPr="00796A03" w:rsidRDefault="000A6871" w:rsidP="000A6871">
      <w:pPr>
        <w:pStyle w:val="Heading2AR"/>
        <w:keepNext w:val="0"/>
        <w:spacing w:before="0" w:after="240" w:line="360" w:lineRule="exact"/>
        <w:outlineLvl w:val="1"/>
        <w:rPr>
          <w:i/>
          <w:iCs/>
          <w:sz w:val="36"/>
          <w:szCs w:val="36"/>
          <w:rtl/>
          <w:lang w:val="fr-CH"/>
        </w:rPr>
      </w:pPr>
      <w:bookmarkStart w:id="54" w:name="_Toc447024753"/>
      <w:bookmarkStart w:id="55" w:name="_Toc447026923"/>
      <w:bookmarkStart w:id="56" w:name="_Toc8386755"/>
      <w:r w:rsidRPr="00796A03">
        <w:rPr>
          <w:rFonts w:hint="cs"/>
          <w:i/>
          <w:iCs/>
          <w:rtl/>
          <w:lang w:val="fr-CH"/>
        </w:rPr>
        <w:t>1.</w:t>
      </w:r>
      <w:r w:rsidRPr="00796A03">
        <w:rPr>
          <w:rFonts w:hint="cs"/>
          <w:i/>
          <w:iCs/>
          <w:sz w:val="36"/>
          <w:szCs w:val="36"/>
          <w:rtl/>
          <w:lang w:val="fr-CH"/>
        </w:rPr>
        <w:t>4 إلى 10.4</w:t>
      </w:r>
      <w:r w:rsidR="00796A03">
        <w:rPr>
          <w:rFonts w:hint="cs"/>
          <w:i/>
          <w:iCs/>
          <w:sz w:val="36"/>
          <w:szCs w:val="36"/>
          <w:rtl/>
          <w:lang w:val="fr-CH"/>
        </w:rPr>
        <w:t xml:space="preserve">  </w:t>
      </w:r>
      <w:r w:rsidRPr="00796A03">
        <w:rPr>
          <w:rFonts w:hint="cs"/>
          <w:i/>
          <w:iCs/>
          <w:sz w:val="36"/>
          <w:szCs w:val="36"/>
          <w:rtl/>
          <w:lang w:val="fr-CH"/>
        </w:rPr>
        <w:t xml:space="preserve"> </w:t>
      </w:r>
      <w:r w:rsidRPr="00796A03">
        <w:rPr>
          <w:i/>
          <w:iCs/>
          <w:sz w:val="36"/>
          <w:szCs w:val="36"/>
          <w:rtl/>
          <w:lang w:val="fr-CH"/>
        </w:rPr>
        <w:t>[دون تغيير]</w:t>
      </w:r>
      <w:bookmarkEnd w:id="54"/>
      <w:bookmarkEnd w:id="55"/>
      <w:bookmarkEnd w:id="56"/>
    </w:p>
    <w:p w:rsidR="000A6871" w:rsidRPr="00796A03" w:rsidRDefault="000A6871" w:rsidP="000A6871">
      <w:pPr>
        <w:pStyle w:val="Heading2AR"/>
        <w:keepNext w:val="0"/>
        <w:spacing w:before="0" w:after="240" w:line="360" w:lineRule="exact"/>
        <w:outlineLvl w:val="1"/>
        <w:rPr>
          <w:i/>
          <w:iCs/>
          <w:sz w:val="36"/>
          <w:szCs w:val="36"/>
          <w:rtl/>
          <w:lang w:val="fr-CH"/>
        </w:rPr>
      </w:pPr>
      <w:bookmarkStart w:id="57" w:name="_Toc447024754"/>
      <w:bookmarkStart w:id="58" w:name="_Toc447026924"/>
      <w:bookmarkStart w:id="59" w:name="_Toc8386756"/>
      <w:r w:rsidRPr="00796A03">
        <w:rPr>
          <w:rFonts w:hint="cs"/>
          <w:i/>
          <w:iCs/>
          <w:sz w:val="36"/>
          <w:szCs w:val="36"/>
          <w:rtl/>
          <w:lang w:val="fr-CH"/>
        </w:rPr>
        <w:t>11.4</w:t>
      </w:r>
      <w:r w:rsidRPr="00796A03">
        <w:rPr>
          <w:rFonts w:hint="eastAsia"/>
          <w:i/>
          <w:iCs/>
          <w:sz w:val="36"/>
          <w:szCs w:val="36"/>
          <w:rtl/>
          <w:lang w:val="fr-CH"/>
        </w:rPr>
        <w:t>   </w:t>
      </w:r>
      <w:bookmarkEnd w:id="57"/>
      <w:bookmarkEnd w:id="58"/>
      <w:r w:rsidRPr="00796A03">
        <w:rPr>
          <w:i/>
          <w:iCs/>
          <w:sz w:val="36"/>
          <w:szCs w:val="36"/>
          <w:rtl/>
          <w:lang w:val="fr-CH"/>
        </w:rPr>
        <w:t>[دون تغيير]</w:t>
      </w:r>
      <w:r w:rsidRPr="00796A03">
        <w:rPr>
          <w:rFonts w:hint="cs"/>
          <w:i/>
          <w:iCs/>
          <w:sz w:val="36"/>
          <w:szCs w:val="36"/>
          <w:rtl/>
          <w:lang w:val="fr-CH"/>
        </w:rPr>
        <w:t xml:space="preserve"> </w:t>
      </w:r>
      <w:r w:rsidR="00F8329B" w:rsidRPr="00796A03">
        <w:rPr>
          <w:i/>
          <w:iCs/>
          <w:sz w:val="36"/>
          <w:szCs w:val="36"/>
          <w:rtl/>
          <w:lang w:val="fr-CH"/>
        </w:rPr>
        <w:tab/>
        <w:t>الإشارة إلى تكملة أو تكملة جزئية أو طلب رئيسي أو سند رئيسي</w:t>
      </w:r>
      <w:bookmarkEnd w:id="59"/>
    </w:p>
    <w:p w:rsidR="00F8329B" w:rsidRPr="00F8329B" w:rsidRDefault="00F8329B" w:rsidP="00F8329B">
      <w:pPr>
        <w:keepNext/>
        <w:tabs>
          <w:tab w:val="left" w:pos="1699"/>
        </w:tabs>
        <w:spacing w:after="240" w:line="340" w:lineRule="exact"/>
        <w:ind w:firstLine="851"/>
        <w:jc w:val="lowKashida"/>
        <w:rPr>
          <w:rtl/>
          <w:lang w:bidi="ar-EG"/>
        </w:rPr>
      </w:pPr>
      <w:r w:rsidRPr="00F8329B">
        <w:rPr>
          <w:rtl/>
          <w:lang w:bidi="ar-EG"/>
        </w:rPr>
        <w:t>( أ )</w:t>
      </w:r>
      <w:r w:rsidRPr="00F8329B">
        <w:rPr>
          <w:rtl/>
          <w:lang w:bidi="ar-EG"/>
        </w:rPr>
        <w:tab/>
        <w:t>إذا:</w:t>
      </w:r>
    </w:p>
    <w:p w:rsidR="00F8329B" w:rsidRPr="00F8329B" w:rsidRDefault="00F8329B" w:rsidP="00F8329B">
      <w:pPr>
        <w:spacing w:after="240" w:line="340" w:lineRule="exact"/>
        <w:ind w:left="2268" w:hanging="567"/>
        <w:jc w:val="lowKashida"/>
        <w:rPr>
          <w:rtl/>
          <w:lang w:bidi="ar-EG"/>
        </w:rPr>
      </w:pPr>
      <w:r w:rsidRPr="00F8329B">
        <w:rPr>
          <w:rtl/>
          <w:lang w:bidi="ar-EG"/>
        </w:rPr>
        <w:t>"1"</w:t>
      </w:r>
      <w:r w:rsidRPr="00F8329B">
        <w:rPr>
          <w:rtl/>
          <w:lang w:bidi="ar-EG"/>
        </w:rPr>
        <w:tab/>
        <w:t>كان المودع ينوي أن يقدم بياناً، بناء على القاعدة 49(ثانيا)1(أ) أو (ب)، يبيّن فيه رغبته في أن يُعامَل الطلب الدولي، في أي دولة معينة، كما لو كان طلب براءة إضافية أو شهادة إضافية أو شهادة مخترع إضافية أو شهادة منفعة إضافية؛</w:t>
      </w:r>
    </w:p>
    <w:p w:rsidR="00F8329B" w:rsidRPr="00F8329B" w:rsidRDefault="00F8329B" w:rsidP="00F8329B">
      <w:pPr>
        <w:spacing w:after="240" w:line="340" w:lineRule="exact"/>
        <w:ind w:left="2268" w:hanging="567"/>
        <w:jc w:val="lowKashida"/>
        <w:rPr>
          <w:rtl/>
          <w:lang w:bidi="ar-EG"/>
        </w:rPr>
      </w:pPr>
      <w:r w:rsidRPr="00F8329B">
        <w:rPr>
          <w:rtl/>
          <w:lang w:bidi="ar-EG"/>
        </w:rPr>
        <w:t>"2"</w:t>
      </w:r>
      <w:r w:rsidRPr="00F8329B">
        <w:rPr>
          <w:rtl/>
          <w:lang w:bidi="ar-EG"/>
        </w:rPr>
        <w:tab/>
        <w:t>أو كان المودع ينوي أن يقدم بياناً، بناء على القاعدة 49(ثانيا)1(د)، يبيّن فيه رغبته في أن يُعامَل الطلب الدولي، في أية دولة معينة، كما لو كان تكملة أو تكملة جزئية لطلب سابق.</w:t>
      </w:r>
    </w:p>
    <w:p w:rsidR="00F8329B" w:rsidRPr="00F8329B" w:rsidRDefault="00F8329B" w:rsidP="00F8329B">
      <w:pPr>
        <w:spacing w:after="240" w:line="340" w:lineRule="exact"/>
        <w:jc w:val="lowKashida"/>
        <w:rPr>
          <w:rtl/>
          <w:lang w:bidi="ar-EG"/>
        </w:rPr>
      </w:pPr>
      <w:r w:rsidRPr="00F8329B">
        <w:rPr>
          <w:rtl/>
          <w:lang w:bidi="ar-EG"/>
        </w:rPr>
        <w:t>وجب أن يُبيَّن ذلك في العريضة ويُبيَّن فيها الطلب الرئيسي المعني أو البراءة الرئيسية المعنية أو السند الرئيسي الآخر.</w:t>
      </w:r>
    </w:p>
    <w:p w:rsidR="00F8329B" w:rsidRPr="00F8329B" w:rsidRDefault="00F8329B" w:rsidP="00F8329B">
      <w:pPr>
        <w:tabs>
          <w:tab w:val="left" w:pos="1699"/>
        </w:tabs>
        <w:spacing w:after="240" w:line="340" w:lineRule="exact"/>
        <w:ind w:firstLine="851"/>
        <w:jc w:val="lowKashida"/>
        <w:rPr>
          <w:rtl/>
          <w:lang w:bidi="ar-EG"/>
        </w:rPr>
      </w:pPr>
      <w:r w:rsidRPr="00F8329B">
        <w:rPr>
          <w:rtl/>
          <w:lang w:bidi="ar-EG"/>
        </w:rPr>
        <w:t>(ب)</w:t>
      </w:r>
      <w:r w:rsidRPr="00F8329B">
        <w:rPr>
          <w:rtl/>
          <w:lang w:bidi="ar-EG"/>
        </w:rPr>
        <w:tab/>
        <w:t>لا يؤثر تضمين العريضة بياناً من النوع المذكور في الفقرة (أ) في تطبيق القاعدة 4</w:t>
      </w:r>
      <w:r w:rsidRPr="00F8329B">
        <w:rPr>
          <w:lang w:bidi="ar-EG"/>
        </w:rPr>
        <w:t>.</w:t>
      </w:r>
      <w:r w:rsidRPr="00F8329B">
        <w:rPr>
          <w:rtl/>
          <w:lang w:bidi="ar-EG"/>
        </w:rPr>
        <w:t>9.</w:t>
      </w:r>
    </w:p>
    <w:p w:rsidR="00851CAF" w:rsidRPr="00796A03" w:rsidRDefault="00851CAF" w:rsidP="00851CAF">
      <w:pPr>
        <w:pStyle w:val="Heading2AR"/>
        <w:keepNext w:val="0"/>
        <w:spacing w:before="0" w:after="240" w:line="360" w:lineRule="exact"/>
        <w:outlineLvl w:val="1"/>
        <w:rPr>
          <w:i/>
          <w:iCs/>
          <w:sz w:val="36"/>
          <w:szCs w:val="36"/>
          <w:rtl/>
          <w:lang w:val="fr-CH"/>
        </w:rPr>
      </w:pPr>
      <w:bookmarkStart w:id="60" w:name="_Toc8386757"/>
      <w:r w:rsidRPr="00796A03">
        <w:rPr>
          <w:rFonts w:hint="cs"/>
          <w:i/>
          <w:iCs/>
          <w:rtl/>
          <w:lang w:val="fr-CH"/>
        </w:rPr>
        <w:t>12.</w:t>
      </w:r>
      <w:r w:rsidRPr="00796A03">
        <w:rPr>
          <w:rFonts w:hint="cs"/>
          <w:i/>
          <w:iCs/>
          <w:sz w:val="36"/>
          <w:szCs w:val="36"/>
          <w:rtl/>
          <w:lang w:val="fr-CH"/>
        </w:rPr>
        <w:t>4 إلى 19.4</w:t>
      </w:r>
      <w:r w:rsidR="00796A03">
        <w:rPr>
          <w:rFonts w:hint="cs"/>
          <w:i/>
          <w:iCs/>
          <w:sz w:val="36"/>
          <w:szCs w:val="36"/>
          <w:rtl/>
          <w:lang w:val="fr-CH"/>
        </w:rPr>
        <w:t xml:space="preserve">  </w:t>
      </w:r>
      <w:r w:rsidRPr="00796A03">
        <w:rPr>
          <w:rFonts w:hint="cs"/>
          <w:i/>
          <w:iCs/>
          <w:sz w:val="36"/>
          <w:szCs w:val="36"/>
          <w:rtl/>
          <w:lang w:val="fr-CH"/>
        </w:rPr>
        <w:t xml:space="preserve"> </w:t>
      </w:r>
      <w:r w:rsidRPr="00796A03">
        <w:rPr>
          <w:i/>
          <w:iCs/>
          <w:sz w:val="36"/>
          <w:szCs w:val="36"/>
          <w:rtl/>
          <w:lang w:val="fr-CH"/>
        </w:rPr>
        <w:t>[دون تغيير]</w:t>
      </w:r>
      <w:bookmarkEnd w:id="60"/>
    </w:p>
    <w:p w:rsidR="00462463" w:rsidRDefault="00462463">
      <w:pPr>
        <w:bidi w:val="0"/>
        <w:rPr>
          <w:rtl/>
          <w:lang w:val="fr-CH"/>
        </w:rPr>
      </w:pPr>
      <w:r>
        <w:rPr>
          <w:rtl/>
          <w:lang w:val="fr-CH"/>
        </w:rPr>
        <w:br w:type="page"/>
      </w:r>
    </w:p>
    <w:p w:rsidR="00CD541A" w:rsidRPr="00495802" w:rsidRDefault="00CD541A" w:rsidP="001751A2">
      <w:pPr>
        <w:pStyle w:val="Heading1"/>
        <w:spacing w:before="240" w:after="60" w:line="400" w:lineRule="exact"/>
        <w:jc w:val="center"/>
        <w:rPr>
          <w:rFonts w:ascii="Arabic Typesetting" w:hAnsi="Arabic Typesetting" w:cs="Arabic Typesetting"/>
          <w:bCs/>
          <w:color w:val="0000FF"/>
          <w:sz w:val="36"/>
          <w:szCs w:val="36"/>
          <w:u w:val="single"/>
        </w:rPr>
      </w:pPr>
      <w:bookmarkStart w:id="61" w:name="_Toc8386758"/>
      <w:r w:rsidRPr="00495802">
        <w:rPr>
          <w:rFonts w:ascii="Arabic Typesetting" w:hAnsi="Arabic Typesetting" w:cs="Arabic Typesetting"/>
          <w:bCs/>
          <w:color w:val="0000FF"/>
          <w:sz w:val="36"/>
          <w:szCs w:val="36"/>
          <w:u w:val="single"/>
          <w:rtl/>
        </w:rPr>
        <w:lastRenderedPageBreak/>
        <w:t>القاعدة 26(رابعا)</w:t>
      </w:r>
      <w:r w:rsidR="001751A2" w:rsidRPr="00495802">
        <w:rPr>
          <w:rFonts w:ascii="Arabic Typesetting" w:hAnsi="Arabic Typesetting" w:cs="Arabic Typesetting"/>
          <w:bCs/>
          <w:color w:val="0000FF"/>
          <w:sz w:val="36"/>
          <w:szCs w:val="36"/>
          <w:u w:val="single"/>
          <w:rtl/>
        </w:rPr>
        <w:br/>
      </w:r>
      <w:r w:rsidRPr="00495802">
        <w:rPr>
          <w:rFonts w:ascii="Arabic Typesetting" w:hAnsi="Arabic Typesetting" w:cs="Arabic Typesetting"/>
          <w:bCs/>
          <w:color w:val="0000FF"/>
          <w:sz w:val="36"/>
          <w:szCs w:val="36"/>
          <w:u w:val="single"/>
          <w:rtl/>
        </w:rPr>
        <w:t>تصحيح أو إضافة البيانات بموجب القاعدة 11.4</w:t>
      </w:r>
      <w:bookmarkEnd w:id="61"/>
    </w:p>
    <w:p w:rsidR="00CD541A" w:rsidRPr="00495802" w:rsidRDefault="00CD541A" w:rsidP="005726F2">
      <w:pPr>
        <w:pStyle w:val="Heading2"/>
        <w:rPr>
          <w:b w:val="0"/>
          <w:bCs w:val="0"/>
          <w:i/>
          <w:iCs/>
          <w:color w:val="0000FF"/>
          <w:sz w:val="36"/>
          <w:szCs w:val="36"/>
          <w:u w:val="single"/>
          <w:rtl/>
        </w:rPr>
      </w:pPr>
      <w:bookmarkStart w:id="62" w:name="_Toc8386759"/>
      <w:r w:rsidRPr="00495802">
        <w:rPr>
          <w:b w:val="0"/>
          <w:bCs w:val="0"/>
          <w:i/>
          <w:iCs/>
          <w:color w:val="0000FF"/>
          <w:sz w:val="36"/>
          <w:szCs w:val="36"/>
          <w:u w:val="single"/>
          <w:rtl/>
        </w:rPr>
        <w:t>القاعدة 26(رابعا)1 تصحيح أو إضافة البيانات</w:t>
      </w:r>
      <w:bookmarkEnd w:id="62"/>
    </w:p>
    <w:p w:rsidR="00CD541A" w:rsidRPr="00495802" w:rsidRDefault="00CD541A" w:rsidP="00CD541A">
      <w:pPr>
        <w:spacing w:before="200"/>
        <w:ind w:firstLine="535"/>
        <w:rPr>
          <w:color w:val="0000FF"/>
          <w:u w:val="single"/>
          <w:rtl/>
        </w:rPr>
      </w:pPr>
      <w:r w:rsidRPr="00495802">
        <w:rPr>
          <w:color w:val="0000FF"/>
          <w:u w:val="single"/>
          <w:rtl/>
        </w:rPr>
        <w:t>يجوز لمودع الطلب أن يصح</w:t>
      </w:r>
      <w:r w:rsidRPr="00495802">
        <w:rPr>
          <w:rFonts w:hint="cs"/>
          <w:color w:val="0000FF"/>
          <w:u w:val="single"/>
          <w:rtl/>
        </w:rPr>
        <w:t>ّ</w:t>
      </w:r>
      <w:r w:rsidRPr="00495802">
        <w:rPr>
          <w:color w:val="0000FF"/>
          <w:u w:val="single"/>
          <w:rtl/>
        </w:rPr>
        <w:t>ح</w:t>
      </w:r>
      <w:r w:rsidRPr="00495802">
        <w:rPr>
          <w:rFonts w:hint="cs"/>
          <w:color w:val="0000FF"/>
          <w:u w:val="single"/>
          <w:rtl/>
        </w:rPr>
        <w:t xml:space="preserve"> أو يضيف</w:t>
      </w:r>
      <w:r w:rsidRPr="00495802">
        <w:rPr>
          <w:color w:val="0000FF"/>
          <w:u w:val="single"/>
          <w:rtl/>
        </w:rPr>
        <w:t xml:space="preserve"> أي بيان مشار إليه في القاعدة 11.4 أو أن يضيفه إلى </w:t>
      </w:r>
      <w:r w:rsidRPr="00495802">
        <w:rPr>
          <w:rFonts w:hint="cs"/>
          <w:color w:val="0000FF"/>
          <w:u w:val="single"/>
          <w:rtl/>
        </w:rPr>
        <w:t xml:space="preserve">العريضة </w:t>
      </w:r>
      <w:r w:rsidRPr="00495802">
        <w:rPr>
          <w:color w:val="0000FF"/>
          <w:u w:val="single"/>
          <w:rtl/>
        </w:rPr>
        <w:t xml:space="preserve">بموجب إشعار يوجه إلى المكتب الدولي في غضون 16 شهراً من تاريخ الأولوية، شريطة أن يعتبر أي إشعار يتسلّمه المكتب الدولي بعد انقضاء تلك المهلة كما لو كان </w:t>
      </w:r>
      <w:r w:rsidRPr="00495802">
        <w:rPr>
          <w:rFonts w:hint="cs"/>
          <w:color w:val="0000FF"/>
          <w:u w:val="single"/>
          <w:rtl/>
        </w:rPr>
        <w:t>قد استُلم</w:t>
      </w:r>
      <w:r w:rsidRPr="00495802">
        <w:rPr>
          <w:color w:val="0000FF"/>
          <w:u w:val="single"/>
          <w:rtl/>
        </w:rPr>
        <w:t xml:space="preserve"> في اليوم الأخير من تلك المهلة إذا بلغه قبل الانتهاء من إعداد </w:t>
      </w:r>
      <w:r w:rsidRPr="00495802">
        <w:rPr>
          <w:rFonts w:hint="cs"/>
          <w:color w:val="0000FF"/>
          <w:u w:val="single"/>
          <w:rtl/>
        </w:rPr>
        <w:t>النشر الدولي من الناحية التقنية</w:t>
      </w:r>
      <w:r w:rsidRPr="00495802">
        <w:rPr>
          <w:color w:val="0000FF"/>
          <w:u w:val="single"/>
          <w:rtl/>
        </w:rPr>
        <w:t>.</w:t>
      </w:r>
    </w:p>
    <w:p w:rsidR="00CD541A" w:rsidRPr="00495802" w:rsidRDefault="00CD541A" w:rsidP="005726F2">
      <w:pPr>
        <w:pStyle w:val="Heading2"/>
        <w:rPr>
          <w:i/>
          <w:iCs/>
          <w:color w:val="0000FF"/>
          <w:u w:val="single"/>
          <w:rtl/>
        </w:rPr>
      </w:pPr>
      <w:bookmarkStart w:id="63" w:name="_Toc8386760"/>
      <w:r w:rsidRPr="00495802">
        <w:rPr>
          <w:rFonts w:hint="cs"/>
          <w:b w:val="0"/>
          <w:bCs w:val="0"/>
          <w:i/>
          <w:iCs/>
          <w:color w:val="0000FF"/>
          <w:sz w:val="36"/>
          <w:szCs w:val="36"/>
          <w:u w:val="single"/>
          <w:rtl/>
        </w:rPr>
        <w:t xml:space="preserve">القاعدة 26(رابعا)2 التأخر في </w:t>
      </w:r>
      <w:r w:rsidRPr="00495802">
        <w:rPr>
          <w:b w:val="0"/>
          <w:bCs w:val="0"/>
          <w:i/>
          <w:iCs/>
          <w:color w:val="0000FF"/>
          <w:sz w:val="36"/>
          <w:szCs w:val="36"/>
          <w:u w:val="single"/>
          <w:rtl/>
        </w:rPr>
        <w:t>تصحيح أو إضافة البيانات</w:t>
      </w:r>
      <w:bookmarkEnd w:id="63"/>
    </w:p>
    <w:p w:rsidR="000A6871" w:rsidRDefault="00CD541A" w:rsidP="00CD541A">
      <w:pPr>
        <w:spacing w:before="200"/>
        <w:ind w:firstLine="535"/>
        <w:rPr>
          <w:rtl/>
        </w:rPr>
      </w:pPr>
      <w:r w:rsidRPr="00495802">
        <w:rPr>
          <w:rFonts w:hint="cs"/>
          <w:color w:val="0000FF"/>
          <w:u w:val="single"/>
          <w:rtl/>
        </w:rPr>
        <w:t>إذا لم يُستلم</w:t>
      </w:r>
      <w:r w:rsidRPr="00495802">
        <w:rPr>
          <w:color w:val="0000FF"/>
          <w:u w:val="single"/>
          <w:rtl/>
        </w:rPr>
        <w:t xml:space="preserve"> أ</w:t>
      </w:r>
      <w:r w:rsidRPr="00495802">
        <w:rPr>
          <w:rFonts w:hint="cs"/>
          <w:color w:val="0000FF"/>
          <w:u w:val="single"/>
          <w:rtl/>
        </w:rPr>
        <w:t>ي</w:t>
      </w:r>
      <w:r w:rsidRPr="00495802">
        <w:rPr>
          <w:color w:val="0000FF"/>
          <w:u w:val="single"/>
          <w:rtl/>
        </w:rPr>
        <w:t xml:space="preserve"> تصحيح</w:t>
      </w:r>
      <w:r w:rsidRPr="00495802">
        <w:rPr>
          <w:rFonts w:hint="cs"/>
          <w:color w:val="0000FF"/>
          <w:u w:val="single"/>
          <w:rtl/>
        </w:rPr>
        <w:t xml:space="preserve"> أو إضافة للبيانات</w:t>
      </w:r>
      <w:r w:rsidRPr="00495802">
        <w:rPr>
          <w:color w:val="0000FF"/>
          <w:u w:val="single"/>
          <w:rtl/>
        </w:rPr>
        <w:t xml:space="preserve"> </w:t>
      </w:r>
      <w:r w:rsidRPr="00495802">
        <w:rPr>
          <w:rFonts w:hint="cs"/>
          <w:color w:val="0000FF"/>
          <w:u w:val="single"/>
          <w:rtl/>
        </w:rPr>
        <w:t>المشار إليها في</w:t>
      </w:r>
      <w:r w:rsidRPr="00495802">
        <w:rPr>
          <w:color w:val="0000FF"/>
          <w:u w:val="single"/>
          <w:rtl/>
        </w:rPr>
        <w:t xml:space="preserve"> القاعدة </w:t>
      </w:r>
      <w:r w:rsidRPr="00495802">
        <w:rPr>
          <w:rFonts w:hint="cs"/>
          <w:color w:val="0000FF"/>
          <w:u w:val="single"/>
          <w:rtl/>
        </w:rPr>
        <w:t>11.4</w:t>
      </w:r>
      <w:r w:rsidRPr="00495802">
        <w:rPr>
          <w:color w:val="0000FF"/>
          <w:u w:val="single"/>
          <w:rtl/>
        </w:rPr>
        <w:t xml:space="preserve"> </w:t>
      </w:r>
      <w:r w:rsidRPr="00495802">
        <w:rPr>
          <w:rFonts w:hint="cs"/>
          <w:color w:val="0000FF"/>
          <w:u w:val="single"/>
          <w:rtl/>
        </w:rPr>
        <w:t>في المهلة المحدّدة بموجب القاعدة 26(رابعا)1</w:t>
      </w:r>
      <w:r w:rsidRPr="00495802">
        <w:rPr>
          <w:color w:val="0000FF"/>
          <w:u w:val="single"/>
          <w:rtl/>
        </w:rPr>
        <w:t>، تعيّن على المكتب الدولي أن يخطر مودع الطلب بذلك وأن يباشر الإجراءات المنصوص عليها في التعليمات الإدارية.</w:t>
      </w:r>
    </w:p>
    <w:p w:rsidR="005719B3" w:rsidRDefault="005719B3" w:rsidP="005719B3">
      <w:pPr>
        <w:pStyle w:val="Endofdocument-Annex"/>
        <w:rPr>
          <w:rtl/>
        </w:rPr>
      </w:pPr>
      <w:r>
        <w:rPr>
          <w:rFonts w:hint="cs"/>
          <w:rtl/>
        </w:rPr>
        <w:t>[يلي ذلك المرفق الثاني]</w:t>
      </w:r>
    </w:p>
    <w:p w:rsidR="00D110D0" w:rsidRDefault="00D110D0" w:rsidP="00D110D0">
      <w:pPr>
        <w:rPr>
          <w:rtl/>
        </w:rPr>
      </w:pPr>
    </w:p>
    <w:p w:rsidR="00D110D0" w:rsidRDefault="00D110D0" w:rsidP="00D110D0">
      <w:pPr>
        <w:rPr>
          <w:rtl/>
        </w:rPr>
        <w:sectPr w:rsidR="00D110D0" w:rsidSect="001B27FC">
          <w:headerReference w:type="default" r:id="rId10"/>
          <w:headerReference w:type="first" r:id="rId11"/>
          <w:pgSz w:w="11907" w:h="16840" w:code="9"/>
          <w:pgMar w:top="567" w:right="1418" w:bottom="1418" w:left="1134" w:header="510" w:footer="1021" w:gutter="0"/>
          <w:pgNumType w:start="1"/>
          <w:cols w:space="720"/>
          <w:titlePg/>
          <w:docGrid w:linePitch="299"/>
        </w:sectPr>
      </w:pPr>
    </w:p>
    <w:p w:rsidR="00767746" w:rsidRDefault="00D110D0" w:rsidP="00D110D0">
      <w:pPr>
        <w:jc w:val="center"/>
        <w:rPr>
          <w:sz w:val="40"/>
          <w:szCs w:val="40"/>
          <w:rtl/>
        </w:rPr>
      </w:pPr>
      <w:r w:rsidRPr="00064FEC">
        <w:rPr>
          <w:sz w:val="40"/>
          <w:szCs w:val="40"/>
          <w:rtl/>
        </w:rPr>
        <w:lastRenderedPageBreak/>
        <w:t xml:space="preserve">التعديلات المقترح إدخالها على </w:t>
      </w:r>
      <w:r>
        <w:rPr>
          <w:rFonts w:hint="cs"/>
          <w:sz w:val="40"/>
          <w:szCs w:val="40"/>
          <w:rtl/>
        </w:rPr>
        <w:t>التعليمات الإدارية</w:t>
      </w:r>
      <w:r w:rsidR="00D208FB">
        <w:rPr>
          <w:rStyle w:val="FootnoteReference"/>
          <w:rtl/>
        </w:rPr>
        <w:footnoteReference w:id="2"/>
      </w:r>
    </w:p>
    <w:p w:rsidR="006E4092" w:rsidRPr="006E4092" w:rsidRDefault="006E4092" w:rsidP="003D2602">
      <w:pPr>
        <w:bidi w:val="0"/>
        <w:jc w:val="center"/>
        <w:rPr>
          <w:rFonts w:ascii="Arial" w:eastAsia="SimSun" w:hAnsi="Arial" w:cs="Arial"/>
          <w:b/>
          <w:color w:val="0000FF"/>
          <w:sz w:val="22"/>
          <w:szCs w:val="20"/>
          <w:u w:val="single"/>
          <w:lang w:eastAsia="zh-CN"/>
        </w:rPr>
      </w:pPr>
      <w:r w:rsidRPr="006E4092">
        <w:rPr>
          <w:rFonts w:ascii="Arial" w:eastAsia="SimSun" w:hAnsi="Arial" w:cs="Arial"/>
          <w:b/>
          <w:color w:val="0000FF"/>
          <w:sz w:val="22"/>
          <w:szCs w:val="20"/>
          <w:u w:val="single"/>
          <w:lang w:eastAsia="zh-CN"/>
        </w:rPr>
        <w:t>Section 419</w:t>
      </w:r>
      <w:r w:rsidRPr="006E4092">
        <w:rPr>
          <w:rFonts w:ascii="Arial" w:eastAsia="SimSun" w:hAnsi="Arial" w:cs="Arial"/>
          <w:b/>
          <w:i/>
          <w:color w:val="0000FF"/>
          <w:sz w:val="22"/>
          <w:szCs w:val="20"/>
          <w:u w:val="single"/>
          <w:lang w:eastAsia="zh-CN"/>
        </w:rPr>
        <w:t xml:space="preserve">bis </w:t>
      </w:r>
      <w:r w:rsidRPr="006E4092">
        <w:rPr>
          <w:rFonts w:ascii="Arial" w:eastAsia="SimSun" w:hAnsi="Arial" w:cs="Arial"/>
          <w:b/>
          <w:color w:val="0000FF"/>
          <w:sz w:val="22"/>
          <w:szCs w:val="20"/>
          <w:u w:val="single"/>
          <w:lang w:eastAsia="zh-CN"/>
        </w:rPr>
        <w:t xml:space="preserve"> </w:t>
      </w:r>
    </w:p>
    <w:p w:rsidR="006E4092" w:rsidRPr="006E4092" w:rsidRDefault="006E4092" w:rsidP="003D2602">
      <w:pPr>
        <w:bidi w:val="0"/>
        <w:jc w:val="center"/>
        <w:rPr>
          <w:rFonts w:ascii="Arial" w:eastAsia="SimSun" w:hAnsi="Arial" w:cs="Arial"/>
          <w:b/>
          <w:color w:val="0000FF"/>
          <w:sz w:val="22"/>
          <w:szCs w:val="20"/>
          <w:u w:val="single"/>
          <w:lang w:eastAsia="zh-CN"/>
        </w:rPr>
      </w:pPr>
      <w:r w:rsidRPr="006E4092">
        <w:rPr>
          <w:rFonts w:ascii="Arial" w:eastAsia="SimSun" w:hAnsi="Arial" w:cs="Arial"/>
          <w:b/>
          <w:color w:val="0000FF"/>
          <w:sz w:val="22"/>
          <w:szCs w:val="20"/>
          <w:u w:val="single"/>
          <w:lang w:eastAsia="zh-CN"/>
        </w:rPr>
        <w:br/>
        <w:t>Processing of Corrections or Additions under Rule 26</w:t>
      </w:r>
      <w:r w:rsidRPr="006E4092">
        <w:rPr>
          <w:rFonts w:ascii="Arial" w:eastAsia="SimSun" w:hAnsi="Arial" w:cs="Arial"/>
          <w:b/>
          <w:i/>
          <w:color w:val="0000FF"/>
          <w:sz w:val="22"/>
          <w:szCs w:val="20"/>
          <w:u w:val="single"/>
          <w:lang w:eastAsia="zh-CN"/>
        </w:rPr>
        <w:t>quater</w:t>
      </w:r>
    </w:p>
    <w:p w:rsidR="006E4092" w:rsidRPr="006E4092" w:rsidRDefault="006E4092" w:rsidP="003D2602">
      <w:pPr>
        <w:bidi w:val="0"/>
        <w:jc w:val="center"/>
        <w:rPr>
          <w:rFonts w:ascii="Arial" w:eastAsia="SimSun" w:hAnsi="Arial" w:cs="Arial"/>
          <w:b/>
          <w:color w:val="0000FF"/>
          <w:sz w:val="22"/>
          <w:szCs w:val="20"/>
          <w:u w:val="single"/>
          <w:lang w:eastAsia="zh-CN"/>
        </w:rPr>
      </w:pPr>
    </w:p>
    <w:p w:rsidR="006E4092" w:rsidRPr="006E4092" w:rsidRDefault="006E4092" w:rsidP="003D2602">
      <w:pPr>
        <w:tabs>
          <w:tab w:val="left" w:pos="454"/>
        </w:tabs>
        <w:bidi w:val="0"/>
        <w:spacing w:before="119" w:after="480" w:line="480" w:lineRule="auto"/>
        <w:rPr>
          <w:rFonts w:ascii="Arial" w:eastAsia="Calibri" w:hAnsi="Arial" w:cs="Arial"/>
          <w:snapToGrid w:val="0"/>
          <w:color w:val="0000FF"/>
          <w:sz w:val="22"/>
          <w:szCs w:val="22"/>
          <w:u w:val="single"/>
        </w:rPr>
      </w:pPr>
      <w:r w:rsidRPr="006E4092">
        <w:rPr>
          <w:rFonts w:ascii="Arial" w:eastAsia="Calibri" w:hAnsi="Arial" w:cs="Arial"/>
          <w:snapToGrid w:val="0"/>
          <w:color w:val="0000FF"/>
          <w:sz w:val="22"/>
          <w:szCs w:val="22"/>
        </w:rPr>
        <w:tab/>
      </w:r>
      <w:proofErr w:type="gramStart"/>
      <w:r w:rsidRPr="006E4092">
        <w:rPr>
          <w:rFonts w:ascii="Arial" w:eastAsia="Calibri" w:hAnsi="Arial" w:cs="Arial"/>
          <w:snapToGrid w:val="0"/>
          <w:color w:val="0000FF"/>
          <w:sz w:val="22"/>
          <w:szCs w:val="22"/>
          <w:u w:val="single"/>
        </w:rPr>
        <w:t>(a)  Where any indication referred to in Rule 4.11, or any correction thereof under Rule 26</w:t>
      </w:r>
      <w:r w:rsidRPr="006E4092">
        <w:rPr>
          <w:rFonts w:ascii="Arial" w:eastAsia="Calibri" w:hAnsi="Arial" w:cs="Arial"/>
          <w:i/>
          <w:snapToGrid w:val="0"/>
          <w:color w:val="0000FF"/>
          <w:sz w:val="22"/>
          <w:szCs w:val="22"/>
          <w:u w:val="single"/>
        </w:rPr>
        <w:t>quater</w:t>
      </w:r>
      <w:r w:rsidRPr="006E4092">
        <w:rPr>
          <w:rFonts w:ascii="Arial" w:eastAsia="Calibri" w:hAnsi="Arial" w:cs="Arial"/>
          <w:snapToGrid w:val="0"/>
          <w:color w:val="0000FF"/>
          <w:sz w:val="22"/>
          <w:szCs w:val="22"/>
          <w:u w:val="single"/>
        </w:rPr>
        <w:t>.1, is submitted to the International Bureau within the time limit under Rule 26</w:t>
      </w:r>
      <w:r w:rsidRPr="006E4092">
        <w:rPr>
          <w:rFonts w:ascii="Arial" w:eastAsia="Calibri" w:hAnsi="Arial" w:cs="Arial"/>
          <w:i/>
          <w:snapToGrid w:val="0"/>
          <w:color w:val="0000FF"/>
          <w:sz w:val="22"/>
          <w:szCs w:val="22"/>
          <w:u w:val="single"/>
        </w:rPr>
        <w:t>quater</w:t>
      </w:r>
      <w:r w:rsidRPr="006E4092">
        <w:rPr>
          <w:rFonts w:ascii="Arial" w:eastAsia="Calibri" w:hAnsi="Arial" w:cs="Arial"/>
          <w:snapToGrid w:val="0"/>
          <w:color w:val="0000FF"/>
          <w:sz w:val="22"/>
          <w:szCs w:val="22"/>
          <w:u w:val="single"/>
        </w:rPr>
        <w:t>.1, the International Bureau shall enter the correction or addition in the request, draw a line through, while still leaving legible, any indication deleted as a result of the correction, and enter, in the margin, the letters “IB”.</w:t>
      </w:r>
      <w:proofErr w:type="gramEnd"/>
      <w:r w:rsidRPr="006E4092">
        <w:rPr>
          <w:rFonts w:ascii="Arial" w:eastAsia="Calibri" w:hAnsi="Arial" w:cs="Arial"/>
          <w:snapToGrid w:val="0"/>
          <w:color w:val="0000FF"/>
          <w:sz w:val="22"/>
          <w:szCs w:val="22"/>
          <w:u w:val="single"/>
        </w:rPr>
        <w:t xml:space="preserve"> </w:t>
      </w:r>
    </w:p>
    <w:p w:rsidR="006E4092" w:rsidRPr="006E4092" w:rsidRDefault="006E4092" w:rsidP="003D2602">
      <w:pPr>
        <w:tabs>
          <w:tab w:val="left" w:pos="454"/>
        </w:tabs>
        <w:bidi w:val="0"/>
        <w:spacing w:before="119" w:after="480" w:line="480" w:lineRule="auto"/>
        <w:rPr>
          <w:rFonts w:ascii="Arial" w:eastAsia="Calibri" w:hAnsi="Arial" w:cs="Arial"/>
          <w:snapToGrid w:val="0"/>
          <w:color w:val="0000FF"/>
          <w:sz w:val="22"/>
          <w:szCs w:val="22"/>
          <w:u w:val="single"/>
        </w:rPr>
      </w:pPr>
      <w:r w:rsidRPr="006E4092">
        <w:rPr>
          <w:rFonts w:ascii="Arial" w:eastAsia="Calibri" w:hAnsi="Arial" w:cs="Arial"/>
          <w:snapToGrid w:val="0"/>
          <w:color w:val="0000FF"/>
          <w:sz w:val="22"/>
          <w:szCs w:val="22"/>
        </w:rPr>
        <w:tab/>
      </w:r>
      <w:r w:rsidRPr="006E4092">
        <w:rPr>
          <w:rFonts w:ascii="Arial" w:eastAsia="Calibri" w:hAnsi="Arial" w:cs="Arial"/>
          <w:snapToGrid w:val="0"/>
          <w:color w:val="0000FF"/>
          <w:sz w:val="22"/>
          <w:szCs w:val="22"/>
          <w:u w:val="single"/>
        </w:rPr>
        <w:t>(b)  The International Bureau shall promptly notify the applicant of any indication corrected or added under Rule 26</w:t>
      </w:r>
      <w:r w:rsidRPr="006E4092">
        <w:rPr>
          <w:rFonts w:ascii="Arial" w:eastAsia="Calibri" w:hAnsi="Arial" w:cs="Arial"/>
          <w:i/>
          <w:snapToGrid w:val="0"/>
          <w:color w:val="0000FF"/>
          <w:sz w:val="22"/>
          <w:szCs w:val="22"/>
          <w:u w:val="single"/>
        </w:rPr>
        <w:t>quater</w:t>
      </w:r>
      <w:r w:rsidRPr="006E4092">
        <w:rPr>
          <w:rFonts w:ascii="Arial" w:eastAsia="Calibri" w:hAnsi="Arial" w:cs="Arial"/>
          <w:snapToGrid w:val="0"/>
          <w:color w:val="0000FF"/>
          <w:sz w:val="22"/>
          <w:szCs w:val="22"/>
          <w:u w:val="single"/>
        </w:rPr>
        <w:t>.1.</w:t>
      </w:r>
    </w:p>
    <w:p w:rsidR="00182C29" w:rsidRDefault="006E4092" w:rsidP="003D2602">
      <w:pPr>
        <w:bidi w:val="0"/>
        <w:spacing w:before="480"/>
        <w:ind w:firstLine="535"/>
        <w:rPr>
          <w:rtl/>
        </w:rPr>
      </w:pPr>
      <w:r w:rsidRPr="006E4092">
        <w:rPr>
          <w:rFonts w:ascii="Arial" w:eastAsia="SimSun" w:hAnsi="Arial" w:cs="Arial"/>
          <w:color w:val="0000FF"/>
          <w:sz w:val="22"/>
          <w:szCs w:val="20"/>
          <w:lang w:eastAsia="zh-CN"/>
        </w:rPr>
        <w:tab/>
      </w:r>
      <w:proofErr w:type="gramStart"/>
      <w:r w:rsidRPr="006E4092">
        <w:rPr>
          <w:rFonts w:ascii="Arial" w:eastAsia="SimSun" w:hAnsi="Arial" w:cs="Arial"/>
          <w:color w:val="0000FF"/>
          <w:sz w:val="22"/>
          <w:szCs w:val="20"/>
          <w:u w:val="single"/>
          <w:lang w:eastAsia="zh-CN"/>
        </w:rPr>
        <w:t>(c)  Where any indication referred to in Rule 4.11, or any correction thereof under Rule 26</w:t>
      </w:r>
      <w:r w:rsidRPr="006E4092">
        <w:rPr>
          <w:rFonts w:ascii="Arial" w:eastAsia="SimSun" w:hAnsi="Arial" w:cs="Arial"/>
          <w:i/>
          <w:color w:val="0000FF"/>
          <w:sz w:val="22"/>
          <w:szCs w:val="20"/>
          <w:u w:val="single"/>
          <w:lang w:eastAsia="zh-CN"/>
        </w:rPr>
        <w:t>quater</w:t>
      </w:r>
      <w:r w:rsidRPr="006E4092">
        <w:rPr>
          <w:rFonts w:ascii="Arial" w:eastAsia="SimSun" w:hAnsi="Arial" w:cs="Arial"/>
          <w:color w:val="0000FF"/>
          <w:sz w:val="22"/>
          <w:szCs w:val="20"/>
          <w:u w:val="single"/>
          <w:lang w:eastAsia="zh-CN"/>
        </w:rPr>
        <w:t>.1, is submitted to the International Bureau after the expiration of the time limit under Rule 26</w:t>
      </w:r>
      <w:r w:rsidRPr="006E4092">
        <w:rPr>
          <w:rFonts w:ascii="Arial" w:eastAsia="SimSun" w:hAnsi="Arial" w:cs="Arial"/>
          <w:i/>
          <w:color w:val="0000FF"/>
          <w:sz w:val="22"/>
          <w:szCs w:val="20"/>
          <w:u w:val="single"/>
          <w:lang w:eastAsia="zh-CN"/>
        </w:rPr>
        <w:t>quater</w:t>
      </w:r>
      <w:r w:rsidRPr="006E4092">
        <w:rPr>
          <w:rFonts w:ascii="Arial" w:eastAsia="SimSun" w:hAnsi="Arial" w:cs="Arial"/>
          <w:color w:val="0000FF"/>
          <w:sz w:val="22"/>
          <w:szCs w:val="20"/>
          <w:u w:val="single"/>
          <w:lang w:eastAsia="zh-CN"/>
        </w:rPr>
        <w:t>.1, the International Bureau shall notify the applicant accordingly and inform the applicant that such an indication or correction should be submitted directly to the designated Office or Offices concerned.</w:t>
      </w:r>
      <w:proofErr w:type="gramEnd"/>
    </w:p>
    <w:p w:rsidR="004C3BD1" w:rsidRPr="00296B7B" w:rsidRDefault="004C3BD1" w:rsidP="00635DBE">
      <w:pPr>
        <w:pStyle w:val="Endofdocument-Annex"/>
        <w:ind w:left="5530"/>
        <w:rPr>
          <w:rtl/>
        </w:rPr>
      </w:pPr>
      <w:r>
        <w:rPr>
          <w:rFonts w:hint="cs"/>
          <w:rtl/>
        </w:rPr>
        <w:t>[نهاية المرفق الثاني والوثيقة]</w:t>
      </w:r>
    </w:p>
    <w:sectPr w:rsidR="004C3BD1" w:rsidRPr="00296B7B" w:rsidSect="00EB7752">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B6" w:rsidRDefault="004F45B6">
      <w:r>
        <w:separator/>
      </w:r>
    </w:p>
  </w:endnote>
  <w:endnote w:type="continuationSeparator" w:id="0">
    <w:p w:rsidR="004F45B6" w:rsidRDefault="004F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B6" w:rsidRDefault="004F45B6" w:rsidP="009622BF">
      <w:bookmarkStart w:id="0" w:name="OLE_LINK1"/>
      <w:bookmarkStart w:id="1" w:name="OLE_LINK2"/>
      <w:r>
        <w:separator/>
      </w:r>
      <w:bookmarkEnd w:id="0"/>
      <w:bookmarkEnd w:id="1"/>
    </w:p>
  </w:footnote>
  <w:footnote w:type="continuationSeparator" w:id="0">
    <w:p w:rsidR="004F45B6" w:rsidRDefault="004F45B6" w:rsidP="009622BF">
      <w:r>
        <w:separator/>
      </w:r>
    </w:p>
  </w:footnote>
  <w:footnote w:id="1">
    <w:p w:rsidR="004B6E12" w:rsidRDefault="004B6E12" w:rsidP="00EA3EB1">
      <w:pPr>
        <w:pStyle w:val="FootnoteText"/>
        <w:rPr>
          <w:lang w:bidi="ar-SA"/>
        </w:rPr>
      </w:pPr>
      <w:r>
        <w:rPr>
          <w:rStyle w:val="FootnoteReference"/>
        </w:rPr>
        <w:footnoteRef/>
      </w:r>
      <w:r>
        <w:rPr>
          <w:rtl/>
        </w:rPr>
        <w:t xml:space="preserve"> </w:t>
      </w:r>
      <w:r w:rsidRPr="004B6E12">
        <w:rPr>
          <w:rtl/>
        </w:rPr>
        <w:t>يُشار إلى حالات الإضافة أو الحذف المقترحة، على التو</w:t>
      </w:r>
      <w:r w:rsidR="00EA3EB1">
        <w:rPr>
          <w:rtl/>
        </w:rPr>
        <w:t>الي، بتسطير النص المعني أو شطبه</w:t>
      </w:r>
      <w:r w:rsidR="00EA3EB1">
        <w:rPr>
          <w:rFonts w:hint="cs"/>
          <w:rtl/>
        </w:rPr>
        <w:t>.</w:t>
      </w:r>
    </w:p>
  </w:footnote>
  <w:footnote w:id="2">
    <w:p w:rsidR="00D208FB" w:rsidRDefault="00D208FB">
      <w:pPr>
        <w:pStyle w:val="FootnoteText"/>
        <w:rPr>
          <w:lang w:bidi="ar-SA"/>
        </w:rPr>
      </w:pPr>
      <w:r>
        <w:rPr>
          <w:rStyle w:val="FootnoteReference"/>
        </w:rPr>
        <w:footnoteRef/>
      </w:r>
      <w:r>
        <w:rPr>
          <w:rtl/>
        </w:rPr>
        <w:t xml:space="preserve"> </w:t>
      </w:r>
      <w:r>
        <w:rPr>
          <w:rFonts w:hint="cs"/>
          <w:rtl/>
        </w:rPr>
        <w:t>يُ</w:t>
      </w:r>
      <w:r w:rsidRPr="00D208FB">
        <w:rPr>
          <w:rtl/>
        </w:rPr>
        <w:t>شار إلى حالات الإضافة أو الحذف المقترحة، على التوالي، بتسطير النص المعني أو شطبه.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45" w:rsidRDefault="00654445" w:rsidP="0023693F">
    <w:pPr>
      <w:bidi w:val="0"/>
      <w:rPr>
        <w:rFonts w:ascii="Arial" w:hAnsi="Arial" w:cs="Arial"/>
        <w:sz w:val="22"/>
        <w:szCs w:val="22"/>
      </w:rPr>
    </w:pPr>
    <w:bookmarkStart w:id="49" w:name="Code3"/>
    <w:bookmarkEnd w:id="49"/>
    <w:r w:rsidRPr="00654445">
      <w:rPr>
        <w:rFonts w:ascii="Arial" w:hAnsi="Arial" w:cs="Arial"/>
        <w:sz w:val="22"/>
        <w:szCs w:val="22"/>
      </w:rPr>
      <w:t>PCT/WG/12/8</w:t>
    </w:r>
  </w:p>
  <w:p w:rsidR="004C495B" w:rsidRPr="00C50A61" w:rsidRDefault="004C495B" w:rsidP="0065444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554EE">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B7" w:rsidRDefault="00C206B7" w:rsidP="00C206B7">
    <w:pPr>
      <w:bidi w:val="0"/>
      <w:rPr>
        <w:rFonts w:ascii="Arial" w:hAnsi="Arial" w:cs="Arial"/>
        <w:sz w:val="22"/>
        <w:szCs w:val="22"/>
      </w:rPr>
    </w:pPr>
    <w:r w:rsidRPr="00654445">
      <w:rPr>
        <w:rFonts w:ascii="Arial" w:hAnsi="Arial" w:cs="Arial"/>
        <w:sz w:val="22"/>
        <w:szCs w:val="22"/>
      </w:rPr>
      <w:t>PCT/WG/12/8</w:t>
    </w:r>
  </w:p>
  <w:p w:rsidR="00C206B7" w:rsidRDefault="00C206B7" w:rsidP="00C206B7">
    <w:pPr>
      <w:bidi w:val="0"/>
      <w:rPr>
        <w:rFonts w:ascii="Arial" w:hAnsi="Arial" w:cs="Arial"/>
        <w:sz w:val="22"/>
        <w:szCs w:val="22"/>
        <w:rtl/>
      </w:rPr>
    </w:pPr>
    <w:r>
      <w:rPr>
        <w:rFonts w:ascii="Arial" w:hAnsi="Arial" w:cs="Arial"/>
        <w:sz w:val="22"/>
        <w:szCs w:val="22"/>
      </w:rPr>
      <w:t>Annex I</w:t>
    </w:r>
  </w:p>
  <w:p w:rsidR="000A6871" w:rsidRPr="00C50A61" w:rsidRDefault="000A6871" w:rsidP="00C206B7">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554EE">
      <w:rPr>
        <w:rFonts w:ascii="Arial" w:hAnsi="Arial" w:cs="Arial"/>
        <w:noProof/>
        <w:sz w:val="22"/>
        <w:szCs w:val="22"/>
        <w:lang w:bidi="ar-EG"/>
      </w:rPr>
      <w:t>3</w:t>
    </w:r>
    <w:r w:rsidRPr="00C50A61">
      <w:rPr>
        <w:rFonts w:ascii="Arial" w:hAnsi="Arial" w:cs="Arial"/>
        <w:sz w:val="22"/>
        <w:szCs w:val="22"/>
      </w:rPr>
      <w:fldChar w:fldCharType="end"/>
    </w:r>
  </w:p>
  <w:p w:rsidR="000A6871" w:rsidRPr="00C50A61" w:rsidRDefault="000A6871"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45" w:rsidRDefault="00654445" w:rsidP="00654445">
    <w:pPr>
      <w:bidi w:val="0"/>
      <w:rPr>
        <w:rFonts w:ascii="Arial" w:hAnsi="Arial" w:cs="Arial"/>
        <w:sz w:val="22"/>
        <w:szCs w:val="22"/>
      </w:rPr>
    </w:pPr>
    <w:r w:rsidRPr="00654445">
      <w:rPr>
        <w:rFonts w:ascii="Arial" w:hAnsi="Arial" w:cs="Arial"/>
        <w:sz w:val="22"/>
        <w:szCs w:val="22"/>
      </w:rPr>
      <w:t>PCT/WG/12/8</w:t>
    </w:r>
  </w:p>
  <w:p w:rsidR="00654445" w:rsidRDefault="00654445" w:rsidP="00654445">
    <w:pPr>
      <w:bidi w:val="0"/>
      <w:rPr>
        <w:rFonts w:ascii="Arial" w:hAnsi="Arial" w:cs="Arial"/>
        <w:sz w:val="22"/>
        <w:szCs w:val="22"/>
        <w:rtl/>
      </w:rPr>
    </w:pPr>
    <w:r>
      <w:rPr>
        <w:rFonts w:ascii="Arial" w:hAnsi="Arial" w:cs="Arial"/>
        <w:sz w:val="22"/>
        <w:szCs w:val="22"/>
      </w:rPr>
      <w:t>ANNEX I</w:t>
    </w:r>
  </w:p>
  <w:p w:rsidR="00654445" w:rsidRDefault="00654445" w:rsidP="00796A03">
    <w:pPr>
      <w:jc w:val="right"/>
    </w:pPr>
    <w:r w:rsidRPr="00654445">
      <w:rPr>
        <w:rtl/>
      </w:rPr>
      <w:t>المرفق الأول</w:t>
    </w:r>
  </w:p>
  <w:p w:rsidR="00796A03" w:rsidRDefault="00796A03" w:rsidP="00796A03">
    <w:pPr>
      <w:bidi w:val="0"/>
      <w:rPr>
        <w:rFonts w:ascii="Arial" w:hAnsi="Arial" w:cs="Arial"/>
        <w:sz w:val="22"/>
        <w:szCs w:val="22"/>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B7" w:rsidRDefault="00C206B7" w:rsidP="00C206B7">
    <w:pPr>
      <w:bidi w:val="0"/>
      <w:rPr>
        <w:rFonts w:ascii="Arial" w:hAnsi="Arial" w:cs="Arial"/>
        <w:sz w:val="22"/>
        <w:szCs w:val="22"/>
      </w:rPr>
    </w:pPr>
    <w:r w:rsidRPr="00654445">
      <w:rPr>
        <w:rFonts w:ascii="Arial" w:hAnsi="Arial" w:cs="Arial"/>
        <w:sz w:val="22"/>
        <w:szCs w:val="22"/>
      </w:rPr>
      <w:t>PCT/WG/12/8</w:t>
    </w:r>
  </w:p>
  <w:p w:rsidR="00C206B7" w:rsidRDefault="00C206B7" w:rsidP="00C206B7">
    <w:pPr>
      <w:bidi w:val="0"/>
      <w:rPr>
        <w:rFonts w:ascii="Arial" w:hAnsi="Arial" w:cs="Arial"/>
        <w:sz w:val="22"/>
        <w:szCs w:val="22"/>
        <w:rtl/>
      </w:rPr>
    </w:pPr>
    <w:r>
      <w:rPr>
        <w:rFonts w:ascii="Arial" w:hAnsi="Arial" w:cs="Arial"/>
        <w:sz w:val="22"/>
        <w:szCs w:val="22"/>
      </w:rPr>
      <w:t>ANNEX II</w:t>
    </w:r>
  </w:p>
  <w:p w:rsidR="00D110D0" w:rsidRDefault="00C206B7" w:rsidP="00462463">
    <w:pPr>
      <w:jc w:val="right"/>
      <w:rPr>
        <w:rtl/>
      </w:rPr>
    </w:pPr>
    <w:r w:rsidRPr="00654445">
      <w:rPr>
        <w:rtl/>
      </w:rPr>
      <w:t xml:space="preserve">المرفق </w:t>
    </w:r>
    <w:r>
      <w:rPr>
        <w:rFonts w:hint="cs"/>
        <w:rtl/>
      </w:rPr>
      <w:t>الثاني</w:t>
    </w:r>
  </w:p>
  <w:p w:rsidR="00462463" w:rsidRDefault="00462463" w:rsidP="00462463">
    <w:pPr>
      <w:bidi w:val="0"/>
      <w:rPr>
        <w:rFonts w:ascii="Arial" w:hAnsi="Arial" w:cs="Arial"/>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28"/>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43D5"/>
    <w:rsid w:val="00064FEC"/>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871"/>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31"/>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24DB"/>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6D"/>
    <w:rsid w:val="001668D4"/>
    <w:rsid w:val="00166A09"/>
    <w:rsid w:val="00167809"/>
    <w:rsid w:val="00167F30"/>
    <w:rsid w:val="00170F22"/>
    <w:rsid w:val="00171844"/>
    <w:rsid w:val="0017385A"/>
    <w:rsid w:val="001751A2"/>
    <w:rsid w:val="00175448"/>
    <w:rsid w:val="001757AF"/>
    <w:rsid w:val="00175825"/>
    <w:rsid w:val="0017666F"/>
    <w:rsid w:val="00176D38"/>
    <w:rsid w:val="00176D64"/>
    <w:rsid w:val="00176E2C"/>
    <w:rsid w:val="00177DBF"/>
    <w:rsid w:val="00182417"/>
    <w:rsid w:val="0018242F"/>
    <w:rsid w:val="00182C29"/>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27FC"/>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6E4"/>
    <w:rsid w:val="00256955"/>
    <w:rsid w:val="0026071A"/>
    <w:rsid w:val="00261623"/>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18"/>
    <w:rsid w:val="002772A5"/>
    <w:rsid w:val="002806F8"/>
    <w:rsid w:val="002810B5"/>
    <w:rsid w:val="00281B81"/>
    <w:rsid w:val="00281F4F"/>
    <w:rsid w:val="00286744"/>
    <w:rsid w:val="002909B9"/>
    <w:rsid w:val="00292CEE"/>
    <w:rsid w:val="00292D22"/>
    <w:rsid w:val="0029470D"/>
    <w:rsid w:val="00296B7B"/>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52D"/>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2602"/>
    <w:rsid w:val="003D37D4"/>
    <w:rsid w:val="003D47A7"/>
    <w:rsid w:val="003D56B5"/>
    <w:rsid w:val="003D5DCC"/>
    <w:rsid w:val="003D6B84"/>
    <w:rsid w:val="003E07D2"/>
    <w:rsid w:val="003E1A49"/>
    <w:rsid w:val="003E2D01"/>
    <w:rsid w:val="003E330E"/>
    <w:rsid w:val="003E3AE3"/>
    <w:rsid w:val="003E5733"/>
    <w:rsid w:val="003E5E27"/>
    <w:rsid w:val="003E6EF6"/>
    <w:rsid w:val="003E6FD2"/>
    <w:rsid w:val="003E788F"/>
    <w:rsid w:val="003E7A97"/>
    <w:rsid w:val="003E7D3A"/>
    <w:rsid w:val="003F0950"/>
    <w:rsid w:val="003F09C9"/>
    <w:rsid w:val="003F37E0"/>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463"/>
    <w:rsid w:val="004627AE"/>
    <w:rsid w:val="0046298E"/>
    <w:rsid w:val="004647BB"/>
    <w:rsid w:val="0046482B"/>
    <w:rsid w:val="004648E0"/>
    <w:rsid w:val="00466020"/>
    <w:rsid w:val="00472043"/>
    <w:rsid w:val="00472F56"/>
    <w:rsid w:val="0047335E"/>
    <w:rsid w:val="00473CA1"/>
    <w:rsid w:val="0047572C"/>
    <w:rsid w:val="00476407"/>
    <w:rsid w:val="004773F7"/>
    <w:rsid w:val="004808D3"/>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5802"/>
    <w:rsid w:val="00497356"/>
    <w:rsid w:val="004A076F"/>
    <w:rsid w:val="004A132A"/>
    <w:rsid w:val="004A1DC1"/>
    <w:rsid w:val="004A211A"/>
    <w:rsid w:val="004A31A2"/>
    <w:rsid w:val="004A48A7"/>
    <w:rsid w:val="004A655D"/>
    <w:rsid w:val="004B01B1"/>
    <w:rsid w:val="004B08D1"/>
    <w:rsid w:val="004B10E6"/>
    <w:rsid w:val="004B198F"/>
    <w:rsid w:val="004B46D0"/>
    <w:rsid w:val="004B57B0"/>
    <w:rsid w:val="004B60CE"/>
    <w:rsid w:val="004B61C9"/>
    <w:rsid w:val="004B6E12"/>
    <w:rsid w:val="004C0B26"/>
    <w:rsid w:val="004C12FE"/>
    <w:rsid w:val="004C1D57"/>
    <w:rsid w:val="004C2F7C"/>
    <w:rsid w:val="004C34F8"/>
    <w:rsid w:val="004C375F"/>
    <w:rsid w:val="004C3BD1"/>
    <w:rsid w:val="004C482F"/>
    <w:rsid w:val="004C495B"/>
    <w:rsid w:val="004C49C9"/>
    <w:rsid w:val="004C627F"/>
    <w:rsid w:val="004C74CC"/>
    <w:rsid w:val="004C76C1"/>
    <w:rsid w:val="004C7DDE"/>
    <w:rsid w:val="004D0D1A"/>
    <w:rsid w:val="004D169F"/>
    <w:rsid w:val="004D18CF"/>
    <w:rsid w:val="004D2331"/>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A19"/>
    <w:rsid w:val="004F1EEC"/>
    <w:rsid w:val="004F24C8"/>
    <w:rsid w:val="004F30D6"/>
    <w:rsid w:val="004F34A5"/>
    <w:rsid w:val="004F40D6"/>
    <w:rsid w:val="004F45B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4831"/>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663D"/>
    <w:rsid w:val="005674C3"/>
    <w:rsid w:val="00567990"/>
    <w:rsid w:val="00567C4C"/>
    <w:rsid w:val="005719B3"/>
    <w:rsid w:val="005726F2"/>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9786C"/>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28F4"/>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DBE"/>
    <w:rsid w:val="00636A63"/>
    <w:rsid w:val="00636C79"/>
    <w:rsid w:val="00636DCB"/>
    <w:rsid w:val="00636DE3"/>
    <w:rsid w:val="00636EEF"/>
    <w:rsid w:val="00636F89"/>
    <w:rsid w:val="0063700D"/>
    <w:rsid w:val="00637470"/>
    <w:rsid w:val="00637E13"/>
    <w:rsid w:val="006404AC"/>
    <w:rsid w:val="00640D89"/>
    <w:rsid w:val="00640F58"/>
    <w:rsid w:val="00641203"/>
    <w:rsid w:val="00641776"/>
    <w:rsid w:val="00644C8F"/>
    <w:rsid w:val="00645742"/>
    <w:rsid w:val="0064656E"/>
    <w:rsid w:val="00646DF5"/>
    <w:rsid w:val="006478ED"/>
    <w:rsid w:val="00650397"/>
    <w:rsid w:val="006507E8"/>
    <w:rsid w:val="00650C73"/>
    <w:rsid w:val="00651143"/>
    <w:rsid w:val="00651959"/>
    <w:rsid w:val="00653149"/>
    <w:rsid w:val="006531E4"/>
    <w:rsid w:val="00654445"/>
    <w:rsid w:val="00654505"/>
    <w:rsid w:val="006575ED"/>
    <w:rsid w:val="006578FD"/>
    <w:rsid w:val="00657E26"/>
    <w:rsid w:val="00660060"/>
    <w:rsid w:val="006609AA"/>
    <w:rsid w:val="00662EDE"/>
    <w:rsid w:val="00664C9F"/>
    <w:rsid w:val="00666548"/>
    <w:rsid w:val="00666A71"/>
    <w:rsid w:val="0066724E"/>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0ABF"/>
    <w:rsid w:val="006A20FB"/>
    <w:rsid w:val="006A339D"/>
    <w:rsid w:val="006A4462"/>
    <w:rsid w:val="006A5B59"/>
    <w:rsid w:val="006A6A14"/>
    <w:rsid w:val="006A753A"/>
    <w:rsid w:val="006A777C"/>
    <w:rsid w:val="006A7C46"/>
    <w:rsid w:val="006B0F76"/>
    <w:rsid w:val="006B1F20"/>
    <w:rsid w:val="006B398A"/>
    <w:rsid w:val="006B3C6C"/>
    <w:rsid w:val="006B3E04"/>
    <w:rsid w:val="006B4024"/>
    <w:rsid w:val="006B47D7"/>
    <w:rsid w:val="006B499D"/>
    <w:rsid w:val="006B5041"/>
    <w:rsid w:val="006B643D"/>
    <w:rsid w:val="006B79A4"/>
    <w:rsid w:val="006C0DA2"/>
    <w:rsid w:val="006C1254"/>
    <w:rsid w:val="006C12C7"/>
    <w:rsid w:val="006C18E5"/>
    <w:rsid w:val="006C2DC5"/>
    <w:rsid w:val="006C480B"/>
    <w:rsid w:val="006C570B"/>
    <w:rsid w:val="006C572E"/>
    <w:rsid w:val="006C5997"/>
    <w:rsid w:val="006C5CD2"/>
    <w:rsid w:val="006D0636"/>
    <w:rsid w:val="006D06DC"/>
    <w:rsid w:val="006D6E46"/>
    <w:rsid w:val="006D7FA8"/>
    <w:rsid w:val="006E4092"/>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9FE"/>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67746"/>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6C90"/>
    <w:rsid w:val="00787917"/>
    <w:rsid w:val="00791489"/>
    <w:rsid w:val="00791683"/>
    <w:rsid w:val="00792F0C"/>
    <w:rsid w:val="00793AEB"/>
    <w:rsid w:val="00795460"/>
    <w:rsid w:val="00796A03"/>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4BA8"/>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32E"/>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4DB9"/>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1CAF"/>
    <w:rsid w:val="008548DB"/>
    <w:rsid w:val="00855CA6"/>
    <w:rsid w:val="00860323"/>
    <w:rsid w:val="00860F4F"/>
    <w:rsid w:val="008610B9"/>
    <w:rsid w:val="008623C4"/>
    <w:rsid w:val="00862562"/>
    <w:rsid w:val="00862656"/>
    <w:rsid w:val="00863013"/>
    <w:rsid w:val="00863F67"/>
    <w:rsid w:val="0086483A"/>
    <w:rsid w:val="0086780F"/>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428"/>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632"/>
    <w:rsid w:val="008E3E79"/>
    <w:rsid w:val="008E5282"/>
    <w:rsid w:val="008E5E2C"/>
    <w:rsid w:val="008E78F1"/>
    <w:rsid w:val="008E7AFD"/>
    <w:rsid w:val="008F03CE"/>
    <w:rsid w:val="008F075B"/>
    <w:rsid w:val="008F0E9E"/>
    <w:rsid w:val="008F2913"/>
    <w:rsid w:val="008F2A4E"/>
    <w:rsid w:val="008F2AE9"/>
    <w:rsid w:val="008F2D1F"/>
    <w:rsid w:val="008F332B"/>
    <w:rsid w:val="008F4371"/>
    <w:rsid w:val="008F52D0"/>
    <w:rsid w:val="008F58BB"/>
    <w:rsid w:val="008F6106"/>
    <w:rsid w:val="008F6DAE"/>
    <w:rsid w:val="008F791D"/>
    <w:rsid w:val="00900959"/>
    <w:rsid w:val="00901053"/>
    <w:rsid w:val="00901900"/>
    <w:rsid w:val="00901B7A"/>
    <w:rsid w:val="00901EE8"/>
    <w:rsid w:val="00901F6C"/>
    <w:rsid w:val="0090266B"/>
    <w:rsid w:val="00902F06"/>
    <w:rsid w:val="009035DB"/>
    <w:rsid w:val="00904671"/>
    <w:rsid w:val="00904FDD"/>
    <w:rsid w:val="00905BC5"/>
    <w:rsid w:val="009064AA"/>
    <w:rsid w:val="00912257"/>
    <w:rsid w:val="00913495"/>
    <w:rsid w:val="0091358E"/>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69F3"/>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0497"/>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05F"/>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0E1"/>
    <w:rsid w:val="009F1458"/>
    <w:rsid w:val="009F1D3A"/>
    <w:rsid w:val="009F2C2E"/>
    <w:rsid w:val="009F4190"/>
    <w:rsid w:val="009F4911"/>
    <w:rsid w:val="009F513E"/>
    <w:rsid w:val="009F5241"/>
    <w:rsid w:val="009F6807"/>
    <w:rsid w:val="009F68DF"/>
    <w:rsid w:val="009F6A24"/>
    <w:rsid w:val="00A0042C"/>
    <w:rsid w:val="00A00495"/>
    <w:rsid w:val="00A00908"/>
    <w:rsid w:val="00A0126A"/>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958"/>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1CAA"/>
    <w:rsid w:val="00A91F32"/>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62A"/>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AB3"/>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3AC5"/>
    <w:rsid w:val="00C07988"/>
    <w:rsid w:val="00C07C5E"/>
    <w:rsid w:val="00C10068"/>
    <w:rsid w:val="00C10AC5"/>
    <w:rsid w:val="00C12DAD"/>
    <w:rsid w:val="00C12E17"/>
    <w:rsid w:val="00C14741"/>
    <w:rsid w:val="00C1544B"/>
    <w:rsid w:val="00C1665A"/>
    <w:rsid w:val="00C1739F"/>
    <w:rsid w:val="00C177FF"/>
    <w:rsid w:val="00C206B7"/>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3B6"/>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54EE"/>
    <w:rsid w:val="00C57ED3"/>
    <w:rsid w:val="00C61640"/>
    <w:rsid w:val="00C61AA7"/>
    <w:rsid w:val="00C61B8E"/>
    <w:rsid w:val="00C668DE"/>
    <w:rsid w:val="00C7044F"/>
    <w:rsid w:val="00C71881"/>
    <w:rsid w:val="00C720F8"/>
    <w:rsid w:val="00C7294B"/>
    <w:rsid w:val="00C73886"/>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7D0"/>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19DA"/>
    <w:rsid w:val="00CC4CB6"/>
    <w:rsid w:val="00CC4DB0"/>
    <w:rsid w:val="00CC5038"/>
    <w:rsid w:val="00CC5326"/>
    <w:rsid w:val="00CC7426"/>
    <w:rsid w:val="00CC7602"/>
    <w:rsid w:val="00CC7910"/>
    <w:rsid w:val="00CD0C20"/>
    <w:rsid w:val="00CD297A"/>
    <w:rsid w:val="00CD3DB0"/>
    <w:rsid w:val="00CD4129"/>
    <w:rsid w:val="00CD4AF9"/>
    <w:rsid w:val="00CD541A"/>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0D0"/>
    <w:rsid w:val="00D1149D"/>
    <w:rsid w:val="00D11B8E"/>
    <w:rsid w:val="00D11D8D"/>
    <w:rsid w:val="00D12B12"/>
    <w:rsid w:val="00D12DD7"/>
    <w:rsid w:val="00D13A8C"/>
    <w:rsid w:val="00D149E1"/>
    <w:rsid w:val="00D14A44"/>
    <w:rsid w:val="00D15BCC"/>
    <w:rsid w:val="00D1628F"/>
    <w:rsid w:val="00D208FB"/>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608D"/>
    <w:rsid w:val="00D80F87"/>
    <w:rsid w:val="00D812A5"/>
    <w:rsid w:val="00D82A5C"/>
    <w:rsid w:val="00D82D11"/>
    <w:rsid w:val="00D82EE9"/>
    <w:rsid w:val="00D83CD3"/>
    <w:rsid w:val="00D83E51"/>
    <w:rsid w:val="00D84719"/>
    <w:rsid w:val="00D84F52"/>
    <w:rsid w:val="00D856EA"/>
    <w:rsid w:val="00D85ACD"/>
    <w:rsid w:val="00D86460"/>
    <w:rsid w:val="00D87F74"/>
    <w:rsid w:val="00D912D5"/>
    <w:rsid w:val="00D91AAF"/>
    <w:rsid w:val="00D94564"/>
    <w:rsid w:val="00D9536E"/>
    <w:rsid w:val="00D9638C"/>
    <w:rsid w:val="00D96DB1"/>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39"/>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3F3"/>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3EB1"/>
    <w:rsid w:val="00EA43C0"/>
    <w:rsid w:val="00EA4CB0"/>
    <w:rsid w:val="00EA566F"/>
    <w:rsid w:val="00EB2857"/>
    <w:rsid w:val="00EB30B7"/>
    <w:rsid w:val="00EB3A6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2A24"/>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2F79"/>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5EAE"/>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329B"/>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A6F"/>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2A92"/>
    <w:rsid w:val="00FC3387"/>
    <w:rsid w:val="00FC382F"/>
    <w:rsid w:val="00FC4236"/>
    <w:rsid w:val="00FC615D"/>
    <w:rsid w:val="00FD01CC"/>
    <w:rsid w:val="00FD08AF"/>
    <w:rsid w:val="00FD1E7A"/>
    <w:rsid w:val="00FD2672"/>
    <w:rsid w:val="00FD28F4"/>
    <w:rsid w:val="00FD2CE2"/>
    <w:rsid w:val="00FD4A1E"/>
    <w:rsid w:val="00FD5C18"/>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951"/>
    <w:rsid w:val="00FE7BD8"/>
    <w:rsid w:val="00FF12EF"/>
    <w:rsid w:val="00FF1D76"/>
    <w:rsid w:val="00FF309E"/>
    <w:rsid w:val="00FF3EE6"/>
    <w:rsid w:val="00FF41BA"/>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8BA9E0-D7F7-446E-9DD9-CB278B00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1751A2"/>
    <w:pPr>
      <w:tabs>
        <w:tab w:val="right" w:leader="dot" w:pos="9345"/>
      </w:tabs>
      <w:bidi w:val="0"/>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Heading1AR">
    <w:name w:val="Heading_1_AR"/>
    <w:basedOn w:val="Normal"/>
    <w:next w:val="Normal"/>
    <w:rsid w:val="000A6871"/>
    <w:pPr>
      <w:keepNext/>
      <w:spacing w:before="240" w:after="60" w:line="400" w:lineRule="exact"/>
    </w:pPr>
    <w:rPr>
      <w:bCs/>
      <w:sz w:val="40"/>
      <w:szCs w:val="40"/>
    </w:rPr>
  </w:style>
  <w:style w:type="paragraph" w:customStyle="1" w:styleId="Heading2AR">
    <w:name w:val="Heading_2_AR"/>
    <w:basedOn w:val="Heading1AR"/>
    <w:next w:val="Normal"/>
    <w:rsid w:val="000A6871"/>
    <w:rPr>
      <w:bCs w:val="0"/>
    </w:rPr>
  </w:style>
  <w:style w:type="paragraph" w:styleId="ListParagraph">
    <w:name w:val="List Paragraph"/>
    <w:basedOn w:val="Normal"/>
    <w:uiPriority w:val="34"/>
    <w:qFormat/>
    <w:rsid w:val="00296B7B"/>
    <w:pPr>
      <w:ind w:left="720"/>
      <w:contextualSpacing/>
    </w:pPr>
  </w:style>
  <w:style w:type="paragraph" w:styleId="Revision">
    <w:name w:val="Revision"/>
    <w:hidden/>
    <w:uiPriority w:val="99"/>
    <w:semiHidden/>
    <w:rsid w:val="0064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4840-CDE6-43F1-862D-A1B4A6BA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PCT/WG/12/ (Arabic)</vt:lpstr>
    </vt:vector>
  </TitlesOfParts>
  <Company>World Intellectual Property Organization</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PCT/WG/12/8(Arabic)</dc:title>
  <dc:creator>WIPO</dc:creator>
  <cp:lastModifiedBy>BAUDIN Claudine</cp:lastModifiedBy>
  <cp:revision>27</cp:revision>
  <cp:lastPrinted>2019-05-10T15:45:00Z</cp:lastPrinted>
  <dcterms:created xsi:type="dcterms:W3CDTF">2019-05-10T08:01:00Z</dcterms:created>
  <dcterms:modified xsi:type="dcterms:W3CDTF">2019-05-15T12:39:00Z</dcterms:modified>
</cp:coreProperties>
</file>