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E90F8BD"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val="en-GB" w:eastAsia="en-GB"/>
        </w:rPr>
        <mc:AlternateContent>
          <mc:Choice Requires="wpg">
            <w:drawing>
              <wp:inline distT="0" distB="0" distL="0" distR="0" wp14:anchorId="3D0C1FAD" wp14:editId="1527F6F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BD28DF" id="Group 5" o:spid="_x0000_s1026" alt="Titre : شعار الويبو، المنظمة العالمية للملكية الفكرية - Description :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AA34339" w14:textId="63412981" w:rsidR="008B2CC1" w:rsidRPr="002326AB" w:rsidRDefault="00DA27BB" w:rsidP="007F5B74">
      <w:pPr>
        <w:bidi w:val="0"/>
        <w:rPr>
          <w:rFonts w:ascii="Arial Black" w:hAnsi="Arial Black"/>
          <w:caps/>
          <w:sz w:val="15"/>
          <w:szCs w:val="15"/>
        </w:rPr>
      </w:pPr>
      <w:bookmarkStart w:id="1" w:name="Code"/>
      <w:bookmarkEnd w:id="1"/>
      <w:r w:rsidRPr="00DA27BB">
        <w:rPr>
          <w:rFonts w:ascii="Arial Black" w:hAnsi="Arial Black"/>
          <w:caps/>
          <w:sz w:val="15"/>
          <w:szCs w:val="15"/>
        </w:rPr>
        <w:t>PCT/WG/15/13</w:t>
      </w:r>
      <w:r w:rsidR="005B6E7F" w:rsidRPr="005B6E7F">
        <w:rPr>
          <w:rFonts w:ascii="Arial Black" w:hAnsi="Arial Black"/>
          <w:caps/>
          <w:sz w:val="15"/>
          <w:szCs w:val="15"/>
        </w:rPr>
        <w:t xml:space="preserve"> </w:t>
      </w:r>
    </w:p>
    <w:p w14:paraId="6456D65E" w14:textId="0A69C657" w:rsidR="008B2CC1" w:rsidRPr="00CC3E2D" w:rsidRDefault="00CC3E2D" w:rsidP="00CC3E2D">
      <w:pPr>
        <w:jc w:val="right"/>
        <w:rPr>
          <w:rFonts w:asciiTheme="minorHAnsi" w:hAnsiTheme="minorHAnsi" w:cstheme="minorHAnsi"/>
          <w:caps/>
          <w:sz w:val="15"/>
          <w:szCs w:val="15"/>
          <w:lang w:bidi="ar-EG"/>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460956">
        <w:rPr>
          <w:rFonts w:asciiTheme="minorHAnsi" w:hAnsiTheme="minorHAnsi" w:cstheme="minorHAnsi" w:hint="cs"/>
          <w:caps/>
          <w:sz w:val="15"/>
          <w:szCs w:val="15"/>
          <w:rtl/>
          <w:lang w:bidi="ar-EG"/>
        </w:rPr>
        <w:t>بالإنكليزية</w:t>
      </w:r>
    </w:p>
    <w:p w14:paraId="726ACD4E" w14:textId="2F0644C8"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460956">
        <w:rPr>
          <w:rFonts w:asciiTheme="minorHAnsi" w:hAnsiTheme="minorHAnsi" w:cstheme="minorHAnsi" w:hint="cs"/>
          <w:b/>
          <w:bCs/>
          <w:caps/>
          <w:sz w:val="15"/>
          <w:szCs w:val="15"/>
          <w:rtl/>
        </w:rPr>
        <w:t xml:space="preserve"> </w:t>
      </w:r>
      <w:r w:rsidR="00DA27BB">
        <w:rPr>
          <w:rFonts w:asciiTheme="minorHAnsi" w:hAnsiTheme="minorHAnsi" w:cstheme="minorHAnsi" w:hint="cs"/>
          <w:b/>
          <w:bCs/>
          <w:caps/>
          <w:sz w:val="15"/>
          <w:szCs w:val="15"/>
          <w:rtl/>
        </w:rPr>
        <w:t>7</w:t>
      </w:r>
      <w:r w:rsidR="00460956">
        <w:rPr>
          <w:rFonts w:asciiTheme="minorHAnsi" w:hAnsiTheme="minorHAnsi" w:cstheme="minorHAnsi" w:hint="cs"/>
          <w:b/>
          <w:bCs/>
          <w:caps/>
          <w:sz w:val="15"/>
          <w:szCs w:val="15"/>
          <w:rtl/>
        </w:rPr>
        <w:t xml:space="preserve"> </w:t>
      </w:r>
      <w:r w:rsidR="00DA27BB">
        <w:rPr>
          <w:rFonts w:asciiTheme="minorHAnsi" w:hAnsiTheme="minorHAnsi" w:cstheme="minorHAnsi" w:hint="cs"/>
          <w:b/>
          <w:bCs/>
          <w:caps/>
          <w:sz w:val="15"/>
          <w:szCs w:val="15"/>
          <w:rtl/>
        </w:rPr>
        <w:t>سبتمبر</w:t>
      </w:r>
      <w:r w:rsidR="00460956">
        <w:rPr>
          <w:rFonts w:asciiTheme="minorHAnsi" w:hAnsiTheme="minorHAnsi" w:cstheme="minorHAnsi" w:hint="cs"/>
          <w:b/>
          <w:bCs/>
          <w:caps/>
          <w:sz w:val="15"/>
          <w:szCs w:val="15"/>
          <w:rtl/>
        </w:rPr>
        <w:t xml:space="preserve"> 2022</w:t>
      </w:r>
      <w:r>
        <w:rPr>
          <w:rFonts w:asciiTheme="minorHAnsi" w:hAnsiTheme="minorHAnsi" w:cstheme="minorHAnsi" w:hint="cs"/>
          <w:b/>
          <w:bCs/>
          <w:caps/>
          <w:sz w:val="15"/>
          <w:szCs w:val="15"/>
          <w:rtl/>
        </w:rPr>
        <w:t xml:space="preserve"> </w:t>
      </w:r>
    </w:p>
    <w:p w14:paraId="1711C229" w14:textId="3593C1B2" w:rsidR="00456C03" w:rsidRPr="00456C03" w:rsidRDefault="005B6E7F" w:rsidP="00456C03">
      <w:pPr>
        <w:pStyle w:val="Heading1"/>
        <w:rPr>
          <w:rFonts w:asciiTheme="minorHAnsi" w:hAnsiTheme="minorHAnsi" w:cstheme="minorHAnsi"/>
          <w:sz w:val="28"/>
          <w:szCs w:val="28"/>
          <w:rtl/>
          <w:lang w:bidi="ar-EG"/>
        </w:rPr>
      </w:pPr>
      <w:bookmarkStart w:id="4" w:name="_Toc111388009"/>
      <w:bookmarkStart w:id="5" w:name="_Toc114145676"/>
      <w:bookmarkStart w:id="6" w:name="_Toc114145767"/>
      <w:bookmarkEnd w:id="3"/>
      <w:r w:rsidRPr="005B6E7F">
        <w:rPr>
          <w:rtl/>
        </w:rPr>
        <w:t>ا</w:t>
      </w:r>
      <w:bookmarkEnd w:id="4"/>
      <w:r w:rsidR="00456C03" w:rsidRPr="00456C03">
        <w:rPr>
          <w:rFonts w:asciiTheme="minorHAnsi" w:hAnsiTheme="minorHAnsi" w:cstheme="minorHAnsi"/>
          <w:caps w:val="0"/>
          <w:sz w:val="28"/>
          <w:szCs w:val="28"/>
          <w:rtl/>
          <w:lang w:bidi="ar-EG"/>
        </w:rPr>
        <w:t>لفريق العامل لمعاهدة التعاون بشأن البراءات</w:t>
      </w:r>
      <w:bookmarkEnd w:id="5"/>
      <w:bookmarkEnd w:id="6"/>
      <w:r w:rsidR="00456C03" w:rsidRPr="00456C03">
        <w:rPr>
          <w:rFonts w:asciiTheme="minorHAnsi" w:hAnsiTheme="minorHAnsi" w:cstheme="minorHAnsi"/>
          <w:caps w:val="0"/>
          <w:sz w:val="28"/>
          <w:szCs w:val="28"/>
          <w:rtl/>
          <w:lang w:bidi="ar-EG"/>
        </w:rPr>
        <w:t xml:space="preserve"> </w:t>
      </w:r>
    </w:p>
    <w:p w14:paraId="1F525A2A" w14:textId="77777777" w:rsidR="00456C03" w:rsidRPr="00456C03" w:rsidRDefault="00456C03" w:rsidP="00456C03">
      <w:pPr>
        <w:outlineLvl w:val="1"/>
        <w:rPr>
          <w:rFonts w:asciiTheme="minorHAnsi" w:hAnsiTheme="minorHAnsi" w:cstheme="minorHAnsi"/>
          <w:b/>
          <w:sz w:val="24"/>
          <w:szCs w:val="24"/>
          <w:rtl/>
          <w:lang w:bidi="ar-EG"/>
        </w:rPr>
      </w:pPr>
      <w:bookmarkStart w:id="7" w:name="_Toc114145677"/>
      <w:bookmarkStart w:id="8" w:name="_Toc114145768"/>
      <w:r w:rsidRPr="00456C03">
        <w:rPr>
          <w:rFonts w:asciiTheme="minorHAnsi" w:hAnsiTheme="minorHAnsi" w:cstheme="minorHAnsi"/>
          <w:b/>
          <w:bCs/>
          <w:sz w:val="24"/>
          <w:szCs w:val="24"/>
          <w:rtl/>
          <w:lang w:bidi="ar-EG"/>
        </w:rPr>
        <w:t>الدورة الخامسة عشرة</w:t>
      </w:r>
      <w:bookmarkEnd w:id="7"/>
      <w:bookmarkEnd w:id="8"/>
    </w:p>
    <w:p w14:paraId="3559CABC" w14:textId="77777777" w:rsidR="00456C03" w:rsidRPr="00456C03" w:rsidRDefault="00456C03" w:rsidP="00456C03">
      <w:pPr>
        <w:spacing w:after="720"/>
        <w:outlineLvl w:val="1"/>
        <w:rPr>
          <w:rFonts w:asciiTheme="minorHAnsi" w:hAnsiTheme="minorHAnsi" w:cstheme="minorHAnsi"/>
          <w:b/>
          <w:sz w:val="24"/>
          <w:szCs w:val="24"/>
          <w:rtl/>
          <w:lang w:bidi="ar-EG"/>
        </w:rPr>
      </w:pPr>
      <w:bookmarkStart w:id="9" w:name="_Toc114145678"/>
      <w:bookmarkStart w:id="10" w:name="_Toc114145769"/>
      <w:r w:rsidRPr="00456C03">
        <w:rPr>
          <w:rFonts w:asciiTheme="minorHAnsi" w:hAnsiTheme="minorHAnsi" w:cstheme="minorHAnsi"/>
          <w:b/>
          <w:bCs/>
          <w:sz w:val="24"/>
          <w:szCs w:val="24"/>
          <w:rtl/>
          <w:lang w:bidi="ar-EG"/>
        </w:rPr>
        <w:t>جنيف، من 3 إلى 7 أكتوبر 2022</w:t>
      </w:r>
      <w:bookmarkEnd w:id="9"/>
      <w:bookmarkEnd w:id="10"/>
    </w:p>
    <w:p w14:paraId="50C36118" w14:textId="1E896FCB" w:rsidR="00456C03" w:rsidRPr="00456C03" w:rsidRDefault="00456C03" w:rsidP="00456C03">
      <w:pPr>
        <w:spacing w:after="360"/>
        <w:outlineLvl w:val="0"/>
        <w:rPr>
          <w:rFonts w:asciiTheme="minorHAnsi" w:hAnsiTheme="minorHAnsi" w:cstheme="minorHAnsi"/>
          <w:caps/>
          <w:sz w:val="24"/>
          <w:szCs w:val="20"/>
          <w:rtl/>
          <w:lang w:bidi="ar-EG"/>
        </w:rPr>
      </w:pPr>
      <w:bookmarkStart w:id="11" w:name="_Toc114145679"/>
      <w:bookmarkStart w:id="12" w:name="_Toc114145770"/>
      <w:bookmarkStart w:id="13" w:name="TitleOfDoc"/>
      <w:r w:rsidRPr="00456C03">
        <w:rPr>
          <w:rFonts w:asciiTheme="minorHAnsi" w:hAnsiTheme="minorHAnsi"/>
          <w:caps/>
          <w:sz w:val="24"/>
          <w:szCs w:val="24"/>
          <w:rtl/>
          <w:lang w:bidi="ar-EG"/>
        </w:rPr>
        <w:t>وسيلة إيداع الطلبات الدولية وال</w:t>
      </w:r>
      <w:r w:rsidR="00831D71">
        <w:rPr>
          <w:rFonts w:asciiTheme="minorHAnsi" w:hAnsiTheme="minorHAnsi"/>
          <w:caps/>
          <w:sz w:val="24"/>
          <w:szCs w:val="24"/>
          <w:rtl/>
          <w:lang w:bidi="ar-EG"/>
        </w:rPr>
        <w:t>مستندات</w:t>
      </w:r>
      <w:r w:rsidRPr="00456C03">
        <w:rPr>
          <w:rFonts w:asciiTheme="minorHAnsi" w:hAnsiTheme="minorHAnsi"/>
          <w:caps/>
          <w:sz w:val="24"/>
          <w:szCs w:val="24"/>
          <w:rtl/>
          <w:lang w:bidi="ar-EG"/>
        </w:rPr>
        <w:t xml:space="preserve"> ذات الصلة</w:t>
      </w:r>
      <w:bookmarkEnd w:id="11"/>
      <w:bookmarkEnd w:id="12"/>
    </w:p>
    <w:p w14:paraId="7270A48A" w14:textId="77777777" w:rsidR="00456C03" w:rsidRPr="00456C03" w:rsidRDefault="00456C03" w:rsidP="00456C03">
      <w:pPr>
        <w:spacing w:after="1040"/>
        <w:rPr>
          <w:rFonts w:asciiTheme="minorHAnsi" w:hAnsiTheme="minorHAnsi" w:cstheme="minorHAnsi"/>
          <w:i/>
          <w:szCs w:val="20"/>
          <w:rtl/>
          <w:lang w:bidi="ar-EG"/>
        </w:rPr>
      </w:pPr>
      <w:bookmarkStart w:id="14" w:name="Prepared"/>
      <w:bookmarkEnd w:id="13"/>
      <w:bookmarkEnd w:id="14"/>
      <w:r w:rsidRPr="00456C03">
        <w:rPr>
          <w:rFonts w:asciiTheme="minorHAnsi" w:hAnsiTheme="minorHAnsi" w:cstheme="minorHAnsi"/>
          <w:i/>
          <w:iCs/>
          <w:szCs w:val="20"/>
          <w:rtl/>
          <w:lang w:bidi="ar-EG"/>
        </w:rPr>
        <w:t>وثيقة من إعداد المكتب الدولي</w:t>
      </w:r>
    </w:p>
    <w:p w14:paraId="666545A1" w14:textId="77777777" w:rsidR="00456C03" w:rsidRPr="00456C03" w:rsidRDefault="00456C03" w:rsidP="00456C03">
      <w:pPr>
        <w:keepNext/>
        <w:spacing w:before="240" w:after="60"/>
        <w:outlineLvl w:val="0"/>
        <w:rPr>
          <w:rFonts w:asciiTheme="minorHAnsi" w:hAnsiTheme="minorHAnsi" w:cstheme="minorHAnsi"/>
          <w:b/>
          <w:bCs/>
          <w:caps/>
          <w:kern w:val="32"/>
          <w:sz w:val="24"/>
          <w:szCs w:val="24"/>
          <w:rtl/>
          <w:lang w:bidi="ar-EG"/>
        </w:rPr>
      </w:pPr>
      <w:bookmarkStart w:id="15" w:name="_Toc114145680"/>
      <w:bookmarkStart w:id="16" w:name="_Toc114145771"/>
      <w:r w:rsidRPr="00456C03">
        <w:rPr>
          <w:rFonts w:asciiTheme="minorHAnsi" w:hAnsiTheme="minorHAnsi" w:cstheme="minorHAnsi"/>
          <w:b/>
          <w:bCs/>
          <w:caps/>
          <w:kern w:val="32"/>
          <w:sz w:val="24"/>
          <w:szCs w:val="24"/>
          <w:rtl/>
          <w:lang w:bidi="ar-EG"/>
        </w:rPr>
        <w:t>ملخص</w:t>
      </w:r>
      <w:bookmarkEnd w:id="15"/>
      <w:bookmarkEnd w:id="16"/>
    </w:p>
    <w:p w14:paraId="562D294C" w14:textId="04F08DC2" w:rsidR="00456C03" w:rsidRPr="00456C03" w:rsidRDefault="00456C03" w:rsidP="0050744E">
      <w:pPr>
        <w:pStyle w:val="ONUMA"/>
        <w:rPr>
          <w:rFonts w:cstheme="minorHAnsi"/>
          <w:rtl/>
          <w:lang w:bidi="ar-EG"/>
        </w:rPr>
      </w:pPr>
      <w:r w:rsidRPr="00456C03">
        <w:rPr>
          <w:rtl/>
          <w:lang w:bidi="ar-EG"/>
        </w:rPr>
        <w:t xml:space="preserve">تقترح الوثيقة الحالية تعديل اللائحة التنفيذية لمعاهدة التعاون بشأن البراءات، بهدف </w:t>
      </w:r>
      <w:r w:rsidRPr="00456C03">
        <w:rPr>
          <w:rFonts w:hint="cs"/>
          <w:rtl/>
          <w:lang w:bidi="ar-EG"/>
        </w:rPr>
        <w:t>تمكين</w:t>
      </w:r>
      <w:r w:rsidRPr="00456C03">
        <w:rPr>
          <w:rtl/>
          <w:lang w:bidi="ar-EG"/>
        </w:rPr>
        <w:t xml:space="preserve"> </w:t>
      </w:r>
      <w:r w:rsidRPr="00456C03">
        <w:rPr>
          <w:rFonts w:hint="cs"/>
          <w:rtl/>
          <w:lang w:bidi="ar-EG"/>
        </w:rPr>
        <w:t>ا</w:t>
      </w:r>
      <w:r w:rsidRPr="00456C03">
        <w:rPr>
          <w:rtl/>
          <w:lang w:bidi="ar-EG"/>
        </w:rPr>
        <w:t xml:space="preserve">لمكاتب </w:t>
      </w:r>
      <w:r w:rsidRPr="00456C03">
        <w:rPr>
          <w:rFonts w:hint="cs"/>
          <w:rtl/>
          <w:lang w:bidi="ar-EG"/>
        </w:rPr>
        <w:t xml:space="preserve">من </w:t>
      </w:r>
      <w:r w:rsidRPr="00456C03">
        <w:rPr>
          <w:rtl/>
          <w:lang w:bidi="ar-EG"/>
        </w:rPr>
        <w:t xml:space="preserve">المطالبة بإيداع الطلبات الدولية </w:t>
      </w:r>
      <w:r w:rsidRPr="00456C03">
        <w:rPr>
          <w:rFonts w:hint="cs"/>
          <w:rtl/>
          <w:lang w:bidi="ar-EG"/>
        </w:rPr>
        <w:t>و</w:t>
      </w:r>
      <w:r w:rsidRPr="00456C03">
        <w:rPr>
          <w:rtl/>
          <w:lang w:bidi="ar-EG"/>
        </w:rPr>
        <w:t>ال</w:t>
      </w:r>
      <w:r w:rsidR="00831D71">
        <w:rPr>
          <w:rtl/>
          <w:lang w:bidi="ar-EG"/>
        </w:rPr>
        <w:t>مستندات</w:t>
      </w:r>
      <w:r w:rsidRPr="00456C03">
        <w:rPr>
          <w:rtl/>
          <w:lang w:bidi="ar-EG"/>
        </w:rPr>
        <w:t xml:space="preserve"> </w:t>
      </w:r>
      <w:r w:rsidR="00697258">
        <w:rPr>
          <w:rFonts w:hint="cs"/>
          <w:rtl/>
          <w:lang w:bidi="ar-EG"/>
        </w:rPr>
        <w:t>اللاحقة</w:t>
      </w:r>
      <w:r w:rsidRPr="00456C03">
        <w:rPr>
          <w:rFonts w:hint="cs"/>
          <w:rtl/>
          <w:lang w:bidi="ar-EG"/>
        </w:rPr>
        <w:t xml:space="preserve"> وجوبا في نسق</w:t>
      </w:r>
      <w:r w:rsidRPr="00456C03">
        <w:rPr>
          <w:rtl/>
          <w:lang w:bidi="ar-EG"/>
        </w:rPr>
        <w:t xml:space="preserve"> إلكتروني وليس </w:t>
      </w:r>
      <w:r w:rsidRPr="00456C03">
        <w:rPr>
          <w:rFonts w:hint="cs"/>
          <w:rtl/>
          <w:lang w:bidi="ar-EG"/>
        </w:rPr>
        <w:t>في شكل ورقي</w:t>
      </w:r>
      <w:r w:rsidRPr="00456C03">
        <w:rPr>
          <w:rtl/>
          <w:lang w:bidi="ar-EG"/>
        </w:rPr>
        <w:t>. كما تقترح الوثيقة دعوة المكتب الدولي لدراسة القضايا المتعلقة بالدخول</w:t>
      </w:r>
      <w:r w:rsidRPr="00456C03">
        <w:rPr>
          <w:rFonts w:hint="cs"/>
          <w:rtl/>
          <w:lang w:bidi="ar-EG"/>
        </w:rPr>
        <w:t xml:space="preserve"> في </w:t>
      </w:r>
      <w:r w:rsidRPr="00456C03">
        <w:rPr>
          <w:rtl/>
          <w:lang w:bidi="ar-EG"/>
        </w:rPr>
        <w:t>المرحلة الوطنية</w:t>
      </w:r>
      <w:r w:rsidRPr="00456C03">
        <w:rPr>
          <w:rFonts w:hint="cs"/>
          <w:rtl/>
          <w:lang w:bidi="ar-EG"/>
        </w:rPr>
        <w:t xml:space="preserve"> بنسق </w:t>
      </w:r>
      <w:r w:rsidRPr="00456C03">
        <w:rPr>
          <w:rtl/>
          <w:lang w:bidi="ar-EG"/>
        </w:rPr>
        <w:t>إلكتروني فقط</w:t>
      </w:r>
      <w:r w:rsidRPr="00456C03">
        <w:rPr>
          <w:rFonts w:cstheme="minorHAnsi"/>
          <w:rtl/>
          <w:lang w:bidi="ar-EG"/>
        </w:rPr>
        <w:t xml:space="preserve">.  </w:t>
      </w:r>
    </w:p>
    <w:p w14:paraId="1D963376" w14:textId="77777777" w:rsidR="00456C03" w:rsidRPr="00456C03" w:rsidRDefault="00456C03" w:rsidP="00456C03">
      <w:pPr>
        <w:keepNext/>
        <w:spacing w:before="240" w:after="60"/>
        <w:outlineLvl w:val="0"/>
        <w:rPr>
          <w:rFonts w:asciiTheme="minorHAnsi" w:hAnsiTheme="minorHAnsi" w:cstheme="minorHAnsi"/>
          <w:b/>
          <w:bCs/>
          <w:caps/>
          <w:kern w:val="32"/>
          <w:sz w:val="24"/>
          <w:szCs w:val="24"/>
          <w:rtl/>
          <w:lang w:bidi="ar-EG"/>
        </w:rPr>
      </w:pPr>
      <w:bookmarkStart w:id="17" w:name="_Toc114145681"/>
      <w:bookmarkStart w:id="18" w:name="_Toc114145772"/>
      <w:r w:rsidRPr="00456C03">
        <w:rPr>
          <w:rFonts w:asciiTheme="minorHAnsi" w:hAnsiTheme="minorHAnsi" w:cstheme="minorHAnsi"/>
          <w:b/>
          <w:bCs/>
          <w:caps/>
          <w:kern w:val="32"/>
          <w:sz w:val="24"/>
          <w:szCs w:val="24"/>
          <w:rtl/>
          <w:lang w:bidi="ar-EG"/>
        </w:rPr>
        <w:t>معلومات أساسية</w:t>
      </w:r>
      <w:bookmarkEnd w:id="17"/>
      <w:bookmarkEnd w:id="18"/>
    </w:p>
    <w:p w14:paraId="2640EA18" w14:textId="408E4863" w:rsidR="00456C03" w:rsidRPr="00456C03" w:rsidRDefault="00456C03" w:rsidP="0050744E">
      <w:pPr>
        <w:pStyle w:val="ONUMA"/>
        <w:rPr>
          <w:rFonts w:cstheme="minorHAnsi"/>
          <w:lang w:bidi="ar-EG"/>
        </w:rPr>
      </w:pPr>
      <w:r w:rsidRPr="00456C03">
        <w:rPr>
          <w:rtl/>
          <w:lang w:bidi="ar-EG"/>
        </w:rPr>
        <w:t xml:space="preserve">وافقت سلسلة اجتماعات الدورة الحادية والستين لجمعية الدول الأعضاء في الويبو، المنعقدة في الفترة من 25 إلى 27 مارس 1998، على اقتراح أتمتة </w:t>
      </w:r>
      <w:r w:rsidRPr="00456C03">
        <w:rPr>
          <w:rFonts w:hint="cs"/>
          <w:rtl/>
          <w:lang w:bidi="ar-EG"/>
        </w:rPr>
        <w:t>إجراءات</w:t>
      </w:r>
      <w:r w:rsidRPr="00456C03">
        <w:rPr>
          <w:rtl/>
          <w:lang w:bidi="ar-EG"/>
        </w:rPr>
        <w:t xml:space="preserve"> معاهدة التعاون بشأن البراءات (الوثيقة </w:t>
      </w:r>
      <w:r w:rsidRPr="00456C03">
        <w:rPr>
          <w:rFonts w:cstheme="minorHAnsi"/>
          <w:lang w:bidi="ar-EG"/>
        </w:rPr>
        <w:t>A/32/5</w:t>
      </w:r>
      <w:r w:rsidRPr="00456C03">
        <w:rPr>
          <w:rtl/>
          <w:lang w:bidi="ar-EG"/>
        </w:rPr>
        <w:t xml:space="preserve">). </w:t>
      </w:r>
      <w:r w:rsidRPr="00456C03">
        <w:rPr>
          <w:rFonts w:hint="cs"/>
          <w:rtl/>
          <w:lang w:bidi="ar-EG"/>
        </w:rPr>
        <w:t>و</w:t>
      </w:r>
      <w:r w:rsidRPr="00456C03">
        <w:rPr>
          <w:rtl/>
          <w:lang w:bidi="ar-EG"/>
        </w:rPr>
        <w:t xml:space="preserve">نشأ مشروع إيداع </w:t>
      </w:r>
      <w:r w:rsidRPr="00456C03">
        <w:rPr>
          <w:rFonts w:hint="cs"/>
          <w:rtl/>
          <w:lang w:bidi="ar-EG"/>
        </w:rPr>
        <w:t>ا</w:t>
      </w:r>
      <w:r w:rsidRPr="00456C03">
        <w:rPr>
          <w:rtl/>
          <w:lang w:bidi="ar-EG"/>
        </w:rPr>
        <w:t xml:space="preserve">لطلبات الدولية </w:t>
      </w:r>
      <w:r w:rsidRPr="00456C03">
        <w:rPr>
          <w:rFonts w:hint="cs"/>
          <w:rtl/>
          <w:lang w:bidi="ar-EG"/>
        </w:rPr>
        <w:t>إلكترونيا</w:t>
      </w:r>
      <w:r w:rsidRPr="00456C03">
        <w:rPr>
          <w:rtl/>
          <w:lang w:bidi="ar-EG"/>
        </w:rPr>
        <w:t xml:space="preserve"> كجزء من مشروع إدارة المعلومات </w:t>
      </w:r>
      <w:r w:rsidRPr="00456C03">
        <w:rPr>
          <w:rFonts w:hint="cs"/>
          <w:rtl/>
          <w:lang w:bidi="ar-EG"/>
        </w:rPr>
        <w:t xml:space="preserve">في إطار </w:t>
      </w:r>
      <w:r w:rsidRPr="00456C03">
        <w:rPr>
          <w:rtl/>
          <w:lang w:bidi="ar-EG"/>
        </w:rPr>
        <w:t xml:space="preserve">معاهدة التعاون بشأن البراءات. </w:t>
      </w:r>
      <w:r w:rsidRPr="00456C03">
        <w:rPr>
          <w:rFonts w:hint="cs"/>
          <w:rtl/>
          <w:lang w:bidi="ar-EG"/>
        </w:rPr>
        <w:t>وقد أُطلقت برمجية</w:t>
      </w:r>
      <w:r w:rsidRPr="00456C03">
        <w:rPr>
          <w:rtl/>
          <w:lang w:bidi="ar-EG"/>
        </w:rPr>
        <w:t xml:space="preserve"> </w:t>
      </w:r>
      <w:r w:rsidRPr="00456C03">
        <w:rPr>
          <w:rFonts w:cstheme="minorHAnsi"/>
          <w:lang w:bidi="ar-EG"/>
        </w:rPr>
        <w:t>PCT EASY</w:t>
      </w:r>
      <w:r w:rsidRPr="00456C03">
        <w:rPr>
          <w:rtl/>
          <w:lang w:bidi="ar-EG"/>
        </w:rPr>
        <w:t xml:space="preserve"> (نظام </w:t>
      </w:r>
      <w:r w:rsidRPr="00456C03">
        <w:rPr>
          <w:rFonts w:hint="cs"/>
          <w:rtl/>
          <w:lang w:bidi="ar-EG"/>
        </w:rPr>
        <w:t>إيداع الطلبات</w:t>
      </w:r>
      <w:r w:rsidRPr="00456C03">
        <w:rPr>
          <w:rtl/>
          <w:lang w:bidi="ar-EG"/>
        </w:rPr>
        <w:t xml:space="preserve"> إلكتروني</w:t>
      </w:r>
      <w:r w:rsidRPr="00456C03">
        <w:rPr>
          <w:rFonts w:hint="cs"/>
          <w:rtl/>
          <w:lang w:bidi="ar-EG"/>
        </w:rPr>
        <w:t>ا</w:t>
      </w:r>
      <w:r w:rsidRPr="00456C03">
        <w:rPr>
          <w:rtl/>
          <w:lang w:bidi="ar-EG"/>
        </w:rPr>
        <w:t xml:space="preserve">) في يناير 1999، مما </w:t>
      </w:r>
      <w:r w:rsidRPr="00456C03">
        <w:rPr>
          <w:rFonts w:hint="cs"/>
          <w:rtl/>
          <w:lang w:bidi="ar-EG"/>
        </w:rPr>
        <w:t>مكن من</w:t>
      </w:r>
      <w:r w:rsidRPr="00456C03">
        <w:rPr>
          <w:rtl/>
          <w:lang w:bidi="ar-EG"/>
        </w:rPr>
        <w:t xml:space="preserve"> إنشاء </w:t>
      </w:r>
      <w:r w:rsidRPr="00456C03">
        <w:rPr>
          <w:rFonts w:hint="cs"/>
          <w:rtl/>
          <w:lang w:bidi="ar-EG"/>
        </w:rPr>
        <w:t>استمارة</w:t>
      </w:r>
      <w:r w:rsidRPr="00456C03">
        <w:rPr>
          <w:rtl/>
          <w:lang w:bidi="ar-EG"/>
        </w:rPr>
        <w:t xml:space="preserve"> طلب إلكتروني، </w:t>
      </w:r>
      <w:r w:rsidRPr="00456C03">
        <w:rPr>
          <w:rFonts w:hint="cs"/>
          <w:rtl/>
          <w:lang w:bidi="ar-EG"/>
        </w:rPr>
        <w:t>قُدمت</w:t>
      </w:r>
      <w:r w:rsidRPr="00456C03">
        <w:rPr>
          <w:rtl/>
          <w:lang w:bidi="ar-EG"/>
        </w:rPr>
        <w:t xml:space="preserve"> </w:t>
      </w:r>
      <w:r w:rsidRPr="00456C03">
        <w:rPr>
          <w:rFonts w:hint="cs"/>
          <w:rtl/>
          <w:lang w:bidi="ar-EG"/>
        </w:rPr>
        <w:t>في</w:t>
      </w:r>
      <w:r w:rsidRPr="00456C03">
        <w:rPr>
          <w:rtl/>
          <w:lang w:bidi="ar-EG"/>
        </w:rPr>
        <w:t xml:space="preserve"> وسائط مادية </w:t>
      </w:r>
      <w:r w:rsidRPr="00456C03">
        <w:rPr>
          <w:rFonts w:hint="cs"/>
          <w:rtl/>
          <w:lang w:bidi="ar-EG"/>
        </w:rPr>
        <w:t>إلى جانب النسخ الورقية من</w:t>
      </w:r>
      <w:r w:rsidRPr="00456C03">
        <w:rPr>
          <w:rtl/>
          <w:lang w:bidi="ar-EG"/>
        </w:rPr>
        <w:t xml:space="preserve"> </w:t>
      </w:r>
      <w:r w:rsidR="00831D71">
        <w:rPr>
          <w:rFonts w:hint="cs"/>
          <w:rtl/>
          <w:lang w:bidi="ar-EG"/>
        </w:rPr>
        <w:t>مستندات</w:t>
      </w:r>
      <w:r w:rsidRPr="00456C03">
        <w:rPr>
          <w:rFonts w:hint="cs"/>
          <w:rtl/>
          <w:lang w:bidi="ar-EG"/>
        </w:rPr>
        <w:t xml:space="preserve"> إيداع الطلب</w:t>
      </w:r>
      <w:r w:rsidRPr="00456C03">
        <w:rPr>
          <w:rtl/>
          <w:lang w:bidi="ar-EG"/>
        </w:rPr>
        <w:t xml:space="preserve">. </w:t>
      </w:r>
      <w:r w:rsidRPr="00456C03">
        <w:rPr>
          <w:rFonts w:hint="cs"/>
          <w:rtl/>
          <w:lang w:bidi="ar-EG"/>
        </w:rPr>
        <w:t>وشُرع في استخدام</w:t>
      </w:r>
      <w:r w:rsidRPr="00456C03">
        <w:rPr>
          <w:rtl/>
          <w:lang w:bidi="ar-EG"/>
        </w:rPr>
        <w:t xml:space="preserve"> </w:t>
      </w:r>
      <w:r w:rsidRPr="00456C03">
        <w:rPr>
          <w:rFonts w:cstheme="minorHAnsi"/>
          <w:lang w:bidi="ar-EG"/>
        </w:rPr>
        <w:t>PCT-SAFE</w:t>
      </w:r>
      <w:r w:rsidRPr="00456C03">
        <w:rPr>
          <w:rtl/>
          <w:lang w:bidi="ar-EG"/>
        </w:rPr>
        <w:t xml:space="preserve"> (</w:t>
      </w:r>
      <w:r w:rsidRPr="00456C03">
        <w:rPr>
          <w:rFonts w:hint="cs"/>
          <w:rtl/>
          <w:lang w:bidi="ar-EG"/>
        </w:rPr>
        <w:t>الطلبات</w:t>
      </w:r>
      <w:r w:rsidRPr="00456C03">
        <w:rPr>
          <w:rtl/>
          <w:lang w:bidi="ar-EG"/>
        </w:rPr>
        <w:t xml:space="preserve"> الآمن </w:t>
      </w:r>
      <w:r w:rsidRPr="00456C03">
        <w:rPr>
          <w:rFonts w:hint="cs"/>
          <w:rtl/>
          <w:lang w:bidi="ar-EG"/>
        </w:rPr>
        <w:t>إيداعها</w:t>
      </w:r>
      <w:r w:rsidRPr="00456C03">
        <w:rPr>
          <w:rtl/>
          <w:lang w:bidi="ar-EG"/>
        </w:rPr>
        <w:t xml:space="preserve"> </w:t>
      </w:r>
      <w:r w:rsidRPr="00456C03">
        <w:rPr>
          <w:rFonts w:hint="cs"/>
          <w:rtl/>
          <w:lang w:bidi="ar-EG"/>
        </w:rPr>
        <w:t>إلكترونيًا) كبرنام</w:t>
      </w:r>
      <w:r w:rsidRPr="00456C03">
        <w:rPr>
          <w:rtl/>
          <w:lang w:bidi="ar-EG"/>
        </w:rPr>
        <w:t xml:space="preserve">ج تجريبي في فبراير 2003، مما </w:t>
      </w:r>
      <w:r w:rsidRPr="00456C03">
        <w:rPr>
          <w:rFonts w:hint="cs"/>
          <w:rtl/>
          <w:lang w:bidi="ar-EG"/>
        </w:rPr>
        <w:t>أتاح</w:t>
      </w:r>
      <w:r w:rsidRPr="00456C03">
        <w:rPr>
          <w:rtl/>
          <w:lang w:bidi="ar-EG"/>
        </w:rPr>
        <w:t xml:space="preserve"> </w:t>
      </w:r>
      <w:r w:rsidRPr="00456C03">
        <w:rPr>
          <w:rFonts w:hint="cs"/>
          <w:rtl/>
          <w:lang w:bidi="ar-EG"/>
        </w:rPr>
        <w:t>إيداع الطلبات</w:t>
      </w:r>
      <w:r w:rsidRPr="00456C03">
        <w:rPr>
          <w:rtl/>
          <w:lang w:bidi="ar-EG"/>
        </w:rPr>
        <w:t xml:space="preserve"> </w:t>
      </w:r>
      <w:r w:rsidRPr="00456C03">
        <w:rPr>
          <w:rFonts w:hint="cs"/>
          <w:rtl/>
          <w:lang w:bidi="ar-EG"/>
        </w:rPr>
        <w:t>إلكترونيا</w:t>
      </w:r>
      <w:r w:rsidRPr="00456C03">
        <w:rPr>
          <w:rtl/>
          <w:lang w:bidi="ar-EG"/>
        </w:rPr>
        <w:t xml:space="preserve"> بالكامل. وسرعان ما تم إضفاء الطابع الرسمي على ذلك </w:t>
      </w:r>
      <w:r w:rsidRPr="00456C03">
        <w:rPr>
          <w:rFonts w:hint="cs"/>
          <w:rtl/>
          <w:lang w:bidi="ar-EG"/>
        </w:rPr>
        <w:t>واعتمدته</w:t>
      </w:r>
      <w:r w:rsidRPr="00456C03">
        <w:rPr>
          <w:rtl/>
          <w:lang w:bidi="ar-EG"/>
        </w:rPr>
        <w:t xml:space="preserve"> مكاتب إضافية. </w:t>
      </w:r>
      <w:r w:rsidRPr="00456C03">
        <w:rPr>
          <w:rFonts w:hint="cs"/>
          <w:rtl/>
          <w:lang w:bidi="ar-EG"/>
        </w:rPr>
        <w:t xml:space="preserve">وإلى جانب استخدام </w:t>
      </w:r>
      <w:r w:rsidRPr="00456C03">
        <w:rPr>
          <w:rtl/>
          <w:lang w:bidi="ar-EG"/>
        </w:rPr>
        <w:t>المكاتب الوطنية التي تعمل على نفس البروتوكولات</w:t>
      </w:r>
      <w:r w:rsidRPr="00456C03">
        <w:rPr>
          <w:rFonts w:hint="cs"/>
          <w:rtl/>
          <w:lang w:bidi="ar-EG"/>
        </w:rPr>
        <w:t xml:space="preserve"> برمجيات</w:t>
      </w:r>
      <w:r w:rsidRPr="00456C03">
        <w:rPr>
          <w:rtl/>
          <w:lang w:bidi="ar-EG"/>
        </w:rPr>
        <w:t xml:space="preserve"> متوافقة، سرعان ما أصبح</w:t>
      </w:r>
      <w:r w:rsidRPr="00456C03">
        <w:rPr>
          <w:rFonts w:hint="cs"/>
          <w:rtl/>
          <w:lang w:bidi="ar-EG"/>
        </w:rPr>
        <w:t xml:space="preserve">ت هذه هي الطريقة السائدة </w:t>
      </w:r>
      <w:r w:rsidRPr="00456C03">
        <w:rPr>
          <w:rtl/>
          <w:lang w:bidi="ar-EG"/>
        </w:rPr>
        <w:t xml:space="preserve">للإيداع في مكاتب </w:t>
      </w:r>
      <w:r w:rsidRPr="00456C03">
        <w:rPr>
          <w:rFonts w:hint="cs"/>
          <w:rtl/>
          <w:lang w:bidi="ar-EG"/>
        </w:rPr>
        <w:t>تسلم الطلبات</w:t>
      </w:r>
      <w:r w:rsidRPr="00456C03">
        <w:rPr>
          <w:rtl/>
          <w:lang w:bidi="ar-EG"/>
        </w:rPr>
        <w:t xml:space="preserve"> التي </w:t>
      </w:r>
      <w:r w:rsidRPr="00456C03">
        <w:rPr>
          <w:rFonts w:hint="cs"/>
          <w:rtl/>
          <w:lang w:bidi="ar-EG"/>
        </w:rPr>
        <w:t>تتيح هذه</w:t>
      </w:r>
      <w:r w:rsidRPr="00456C03">
        <w:rPr>
          <w:rtl/>
          <w:lang w:bidi="ar-EG"/>
        </w:rPr>
        <w:t xml:space="preserve"> الخدمة.</w:t>
      </w:r>
    </w:p>
    <w:p w14:paraId="23616559" w14:textId="77777777" w:rsidR="00456C03" w:rsidRPr="00456C03" w:rsidRDefault="00456C03" w:rsidP="0050744E">
      <w:pPr>
        <w:pStyle w:val="ONUMA"/>
        <w:rPr>
          <w:rFonts w:cstheme="minorHAnsi"/>
          <w:lang w:bidi="ar-EG"/>
        </w:rPr>
      </w:pPr>
      <w:r w:rsidRPr="00456C03">
        <w:rPr>
          <w:rFonts w:hint="cs"/>
          <w:rtl/>
          <w:lang w:bidi="ar-EG"/>
        </w:rPr>
        <w:t>و</w:t>
      </w:r>
      <w:r w:rsidRPr="00456C03">
        <w:rPr>
          <w:rtl/>
          <w:lang w:bidi="ar-EG"/>
        </w:rPr>
        <w:t>أفاد المكتب الدولي في يونيو 2011</w:t>
      </w:r>
      <w:r w:rsidRPr="00456C03">
        <w:rPr>
          <w:rFonts w:hint="cs"/>
          <w:rtl/>
          <w:lang w:bidi="ar-EG"/>
        </w:rPr>
        <w:t xml:space="preserve"> أثناء </w:t>
      </w:r>
      <w:r w:rsidRPr="00456C03">
        <w:rPr>
          <w:rtl/>
          <w:lang w:bidi="ar-EG"/>
        </w:rPr>
        <w:t>الدورة الرابعة للفريق العامل لمعاهدة التعاون بشأن البراءات</w:t>
      </w:r>
      <w:r w:rsidRPr="00456C03">
        <w:rPr>
          <w:rFonts w:hint="cs"/>
          <w:rtl/>
          <w:lang w:bidi="ar-EG"/>
        </w:rPr>
        <w:t xml:space="preserve"> </w:t>
      </w:r>
      <w:r w:rsidRPr="00456C03">
        <w:rPr>
          <w:rtl/>
          <w:lang w:bidi="ar-EG"/>
        </w:rPr>
        <w:t xml:space="preserve">أنه يجري </w:t>
      </w:r>
      <w:r w:rsidRPr="00456C03">
        <w:rPr>
          <w:rFonts w:hint="cs"/>
          <w:rtl/>
          <w:lang w:bidi="ar-EG"/>
        </w:rPr>
        <w:t>إعداد</w:t>
      </w:r>
      <w:r w:rsidRPr="00456C03">
        <w:rPr>
          <w:rtl/>
          <w:lang w:bidi="ar-EG"/>
        </w:rPr>
        <w:t xml:space="preserve"> نظام جديد لتكنولوجيا المعلومات </w:t>
      </w:r>
      <w:r w:rsidRPr="00456C03">
        <w:rPr>
          <w:rFonts w:hint="cs"/>
          <w:rtl/>
          <w:lang w:bidi="ar-EG"/>
        </w:rPr>
        <w:t xml:space="preserve">بغية </w:t>
      </w:r>
      <w:r w:rsidRPr="00456C03">
        <w:rPr>
          <w:rtl/>
          <w:lang w:bidi="ar-EG"/>
        </w:rPr>
        <w:t xml:space="preserve">تحسين الخدمات المقدمة في إطار معاهدة التعاون بشأن البراءات، </w:t>
      </w:r>
      <w:r w:rsidRPr="00456C03">
        <w:rPr>
          <w:rFonts w:hint="cs"/>
          <w:rtl/>
          <w:lang w:bidi="ar-EG"/>
        </w:rPr>
        <w:t>وا</w:t>
      </w:r>
      <w:r w:rsidRPr="00456C03">
        <w:rPr>
          <w:rtl/>
          <w:lang w:bidi="ar-EG"/>
        </w:rPr>
        <w:t>لنظام الإلكتروني لمعاهدة التعاون بشأن البراءات (</w:t>
      </w:r>
      <w:r w:rsidRPr="00456C03">
        <w:rPr>
          <w:lang w:bidi="ar-EG"/>
        </w:rPr>
        <w:t>ePCT</w:t>
      </w:r>
      <w:r w:rsidRPr="00456C03">
        <w:rPr>
          <w:rtl/>
          <w:lang w:bidi="ar-EG"/>
        </w:rPr>
        <w:t xml:space="preserve">) (الوثيقة </w:t>
      </w:r>
      <w:r w:rsidRPr="00456C03">
        <w:rPr>
          <w:rFonts w:cstheme="minorHAnsi"/>
          <w:lang w:bidi="ar-EG"/>
        </w:rPr>
        <w:t>PCT/WG/4/13</w:t>
      </w:r>
      <w:r w:rsidRPr="00456C03">
        <w:rPr>
          <w:rtl/>
          <w:lang w:bidi="ar-EG"/>
        </w:rPr>
        <w:t xml:space="preserve">). ومنذ ذلك الحين، عمل نظام </w:t>
      </w:r>
      <w:proofErr w:type="spellStart"/>
      <w:r w:rsidRPr="00456C03">
        <w:rPr>
          <w:rFonts w:cstheme="minorHAnsi"/>
          <w:lang w:bidi="ar-EG"/>
        </w:rPr>
        <w:t>ePCT</w:t>
      </w:r>
      <w:proofErr w:type="spellEnd"/>
      <w:r w:rsidRPr="00456C03">
        <w:rPr>
          <w:rtl/>
          <w:lang w:bidi="ar-EG"/>
        </w:rPr>
        <w:t xml:space="preserve"> على توسيع نطاق الخدمات </w:t>
      </w:r>
      <w:r w:rsidRPr="00456C03">
        <w:rPr>
          <w:rFonts w:hint="cs"/>
          <w:rtl/>
          <w:lang w:bidi="ar-EG"/>
        </w:rPr>
        <w:t>الإلكترونية المقدمة</w:t>
      </w:r>
      <w:r w:rsidRPr="00456C03">
        <w:rPr>
          <w:rtl/>
          <w:lang w:bidi="ar-EG"/>
        </w:rPr>
        <w:t xml:space="preserve"> لمودعي الطلبات ومكاتب البراءات </w:t>
      </w:r>
      <w:r w:rsidRPr="00456C03">
        <w:rPr>
          <w:rFonts w:hint="cs"/>
          <w:rtl/>
          <w:lang w:bidi="ar-EG"/>
        </w:rPr>
        <w:t xml:space="preserve">بصفتها </w:t>
      </w:r>
      <w:r w:rsidRPr="00456C03">
        <w:rPr>
          <w:rtl/>
          <w:lang w:bidi="ar-EG"/>
        </w:rPr>
        <w:t xml:space="preserve">مكتب تسلم </w:t>
      </w:r>
      <w:r w:rsidRPr="00456C03">
        <w:rPr>
          <w:rFonts w:hint="cs"/>
          <w:rtl/>
          <w:lang w:bidi="ar-EG"/>
        </w:rPr>
        <w:t xml:space="preserve">الطلبات </w:t>
      </w:r>
      <w:r w:rsidRPr="00456C03">
        <w:rPr>
          <w:rtl/>
          <w:lang w:bidi="ar-EG"/>
        </w:rPr>
        <w:t xml:space="preserve">وإدارة البحث الدولي وإدارة الفحص التمهيدي الدولي. </w:t>
      </w:r>
      <w:r w:rsidRPr="00456C03">
        <w:rPr>
          <w:rFonts w:hint="cs"/>
          <w:rtl/>
          <w:lang w:bidi="ar-EG"/>
        </w:rPr>
        <w:t xml:space="preserve">وأُتيحت </w:t>
      </w:r>
      <w:r w:rsidRPr="00456C03">
        <w:rPr>
          <w:rtl/>
          <w:lang w:bidi="ar-EG"/>
        </w:rPr>
        <w:t>في عام 2013</w:t>
      </w:r>
      <w:r w:rsidRPr="00456C03">
        <w:rPr>
          <w:rFonts w:hint="cs"/>
          <w:rtl/>
          <w:lang w:bidi="ar-EG"/>
        </w:rPr>
        <w:t xml:space="preserve"> </w:t>
      </w:r>
      <w:r w:rsidRPr="00456C03">
        <w:rPr>
          <w:rtl/>
          <w:lang w:bidi="ar-EG"/>
        </w:rPr>
        <w:t>خدمة الإيداع الإلكتروني "</w:t>
      </w:r>
      <w:proofErr w:type="spellStart"/>
      <w:r w:rsidRPr="00456C03">
        <w:rPr>
          <w:rFonts w:cstheme="minorHAnsi"/>
          <w:lang w:bidi="ar-EG"/>
        </w:rPr>
        <w:t>ePCT</w:t>
      </w:r>
      <w:proofErr w:type="spellEnd"/>
      <w:r w:rsidRPr="00456C03">
        <w:rPr>
          <w:rFonts w:cstheme="minorHAnsi"/>
          <w:lang w:bidi="ar-EG"/>
        </w:rPr>
        <w:t>-Filing</w:t>
      </w:r>
      <w:r w:rsidRPr="00456C03">
        <w:rPr>
          <w:rtl/>
          <w:lang w:bidi="ar-EG"/>
        </w:rPr>
        <w:t xml:space="preserve">" مبدئيًا لإيداع </w:t>
      </w:r>
      <w:r w:rsidRPr="00456C03">
        <w:rPr>
          <w:rFonts w:hint="cs"/>
          <w:rtl/>
          <w:lang w:bidi="ar-EG"/>
        </w:rPr>
        <w:t>الطلبات لدى</w:t>
      </w:r>
      <w:r w:rsidRPr="00456C03">
        <w:rPr>
          <w:rtl/>
          <w:lang w:bidi="ar-EG"/>
        </w:rPr>
        <w:t xml:space="preserve"> </w:t>
      </w:r>
      <w:r w:rsidRPr="00456C03">
        <w:rPr>
          <w:rFonts w:hint="cs"/>
          <w:rtl/>
          <w:lang w:bidi="ar-EG"/>
        </w:rPr>
        <w:t>ا</w:t>
      </w:r>
      <w:r w:rsidRPr="00456C03">
        <w:rPr>
          <w:rtl/>
          <w:lang w:bidi="ar-EG"/>
        </w:rPr>
        <w:t>لمكتب الدولي</w:t>
      </w:r>
      <w:r w:rsidRPr="00456C03">
        <w:rPr>
          <w:rFonts w:hint="cs"/>
          <w:rtl/>
          <w:lang w:bidi="ar-EG"/>
        </w:rPr>
        <w:t xml:space="preserve"> حصرا</w:t>
      </w:r>
      <w:r w:rsidRPr="00456C03">
        <w:rPr>
          <w:rFonts w:cs="Arial"/>
          <w:szCs w:val="20"/>
          <w:rtl/>
          <w:lang w:bidi="ar-EG"/>
        </w:rPr>
        <w:t xml:space="preserve"> </w:t>
      </w:r>
      <w:r w:rsidRPr="00456C03">
        <w:rPr>
          <w:rFonts w:cs="Arial" w:hint="cs"/>
          <w:szCs w:val="20"/>
          <w:rtl/>
          <w:lang w:bidi="ar-EG"/>
        </w:rPr>
        <w:t xml:space="preserve">بوصفه </w:t>
      </w:r>
      <w:r w:rsidRPr="00456C03">
        <w:rPr>
          <w:rtl/>
          <w:lang w:bidi="ar-EG"/>
        </w:rPr>
        <w:t>مكتب</w:t>
      </w:r>
      <w:r w:rsidRPr="00456C03">
        <w:rPr>
          <w:rFonts w:hint="cs"/>
          <w:rtl/>
          <w:lang w:bidi="ar-EG"/>
        </w:rPr>
        <w:t>ا</w:t>
      </w:r>
      <w:r w:rsidRPr="00456C03">
        <w:rPr>
          <w:rtl/>
          <w:lang w:bidi="ar-EG"/>
        </w:rPr>
        <w:t xml:space="preserve"> </w:t>
      </w:r>
      <w:r w:rsidRPr="00456C03">
        <w:rPr>
          <w:rFonts w:hint="cs"/>
          <w:rtl/>
          <w:lang w:bidi="ar-EG"/>
        </w:rPr>
        <w:t>ل</w:t>
      </w:r>
      <w:r w:rsidRPr="00456C03">
        <w:rPr>
          <w:rtl/>
          <w:lang w:bidi="ar-EG"/>
        </w:rPr>
        <w:t xml:space="preserve">تسلم الطلبات، وتم </w:t>
      </w:r>
      <w:r w:rsidRPr="00456C03">
        <w:rPr>
          <w:rFonts w:hint="cs"/>
          <w:rtl/>
          <w:lang w:bidi="ar-EG"/>
        </w:rPr>
        <w:t>توسيعها</w:t>
      </w:r>
      <w:r w:rsidRPr="00456C03">
        <w:rPr>
          <w:rtl/>
          <w:lang w:bidi="ar-EG"/>
        </w:rPr>
        <w:t xml:space="preserve"> في عام 2014 لإيداع </w:t>
      </w:r>
      <w:r w:rsidRPr="00456C03">
        <w:rPr>
          <w:rFonts w:hint="cs"/>
          <w:rtl/>
          <w:lang w:bidi="ar-EG"/>
        </w:rPr>
        <w:t xml:space="preserve">الطلبات لدى </w:t>
      </w:r>
      <w:r w:rsidRPr="00456C03">
        <w:rPr>
          <w:rtl/>
          <w:lang w:bidi="ar-EG"/>
        </w:rPr>
        <w:t xml:space="preserve">أي مكتب يرغب في استخدام </w:t>
      </w:r>
      <w:r w:rsidRPr="00456C03">
        <w:rPr>
          <w:rFonts w:hint="cs"/>
          <w:rtl/>
          <w:lang w:bidi="ar-EG"/>
        </w:rPr>
        <w:t xml:space="preserve">تلك </w:t>
      </w:r>
      <w:r w:rsidRPr="00456C03">
        <w:rPr>
          <w:rtl/>
          <w:lang w:bidi="ar-EG"/>
        </w:rPr>
        <w:t>الخدمة.</w:t>
      </w:r>
    </w:p>
    <w:p w14:paraId="6A79DDDF" w14:textId="77777777" w:rsidR="00456C03" w:rsidRPr="00456C03" w:rsidRDefault="00456C03" w:rsidP="0050744E">
      <w:pPr>
        <w:pStyle w:val="ONUMA"/>
        <w:rPr>
          <w:rFonts w:cstheme="minorHAnsi"/>
          <w:lang w:bidi="ar-EG"/>
        </w:rPr>
      </w:pPr>
      <w:r w:rsidRPr="00456C03">
        <w:rPr>
          <w:rFonts w:hint="cs"/>
          <w:rtl/>
          <w:lang w:bidi="ar-EG"/>
        </w:rPr>
        <w:lastRenderedPageBreak/>
        <w:t xml:space="preserve">وتراجع بشكل كبير </w:t>
      </w:r>
      <w:r w:rsidRPr="00456C03">
        <w:rPr>
          <w:rtl/>
          <w:lang w:bidi="ar-EG"/>
        </w:rPr>
        <w:t>في السنوات الأخيرة</w:t>
      </w:r>
      <w:r w:rsidRPr="00456C03">
        <w:rPr>
          <w:rFonts w:hint="cs"/>
          <w:rtl/>
          <w:lang w:bidi="ar-EG"/>
        </w:rPr>
        <w:t xml:space="preserve"> </w:t>
      </w:r>
      <w:r w:rsidRPr="00456C03">
        <w:rPr>
          <w:rtl/>
          <w:lang w:bidi="ar-EG"/>
        </w:rPr>
        <w:t xml:space="preserve">عدد الطلبات الدولية المودعة </w:t>
      </w:r>
      <w:r w:rsidRPr="00456C03">
        <w:rPr>
          <w:rFonts w:hint="cs"/>
          <w:rtl/>
          <w:lang w:bidi="ar-EG"/>
        </w:rPr>
        <w:t>ورقيا</w:t>
      </w:r>
      <w:r w:rsidRPr="00456C03">
        <w:rPr>
          <w:rtl/>
          <w:lang w:bidi="ar-EG"/>
        </w:rPr>
        <w:t xml:space="preserve">. </w:t>
      </w:r>
      <w:r w:rsidRPr="00456C03">
        <w:rPr>
          <w:rFonts w:hint="cs"/>
          <w:rtl/>
          <w:lang w:bidi="ar-EG"/>
        </w:rPr>
        <w:t>و</w:t>
      </w:r>
      <w:r w:rsidRPr="00456C03">
        <w:rPr>
          <w:rtl/>
          <w:lang w:bidi="ar-EG"/>
        </w:rPr>
        <w:t>وفقًا لبيانات الويبو،</w:t>
      </w:r>
      <w:r w:rsidRPr="00456C03">
        <w:rPr>
          <w:rFonts w:hint="cs"/>
          <w:rtl/>
          <w:lang w:bidi="ar-EG"/>
        </w:rPr>
        <w:t xml:space="preserve"> تم</w:t>
      </w:r>
      <w:r w:rsidRPr="00456C03">
        <w:rPr>
          <w:rtl/>
          <w:lang w:bidi="ar-EG"/>
        </w:rPr>
        <w:t xml:space="preserve"> في عام 2018</w:t>
      </w:r>
      <w:r w:rsidRPr="00456C03">
        <w:rPr>
          <w:rFonts w:hint="cs"/>
          <w:rtl/>
          <w:lang w:bidi="ar-EG"/>
        </w:rPr>
        <w:t xml:space="preserve"> </w:t>
      </w:r>
      <w:r w:rsidRPr="00456C03">
        <w:rPr>
          <w:rtl/>
          <w:lang w:bidi="ar-EG"/>
        </w:rPr>
        <w:t>إيداع 2.99</w:t>
      </w:r>
      <w:r w:rsidRPr="00456C03">
        <w:rPr>
          <w:rFonts w:hint="cs"/>
          <w:rtl/>
          <w:lang w:bidi="ar-EG"/>
        </w:rPr>
        <w:t xml:space="preserve"> في المائة</w:t>
      </w:r>
      <w:r w:rsidRPr="00456C03">
        <w:rPr>
          <w:rtl/>
          <w:lang w:bidi="ar-EG"/>
        </w:rPr>
        <w:t xml:space="preserve"> فقط من إجمالي الطلبات الدولية </w:t>
      </w:r>
      <w:r w:rsidRPr="00456C03">
        <w:rPr>
          <w:rFonts w:hint="cs"/>
          <w:rtl/>
          <w:lang w:bidi="ar-EG"/>
        </w:rPr>
        <w:t>ورقيا</w:t>
      </w:r>
      <w:r w:rsidRPr="00456C03">
        <w:rPr>
          <w:rtl/>
          <w:lang w:bidi="ar-EG"/>
        </w:rPr>
        <w:t xml:space="preserve">؛ </w:t>
      </w:r>
      <w:r w:rsidRPr="00456C03">
        <w:rPr>
          <w:rFonts w:hint="cs"/>
          <w:rtl/>
          <w:lang w:bidi="ar-EG"/>
        </w:rPr>
        <w:t>و</w:t>
      </w:r>
      <w:r w:rsidRPr="00456C03">
        <w:rPr>
          <w:rtl/>
          <w:lang w:bidi="ar-EG"/>
        </w:rPr>
        <w:t xml:space="preserve">2.33 في المائة في عام 2019؛ </w:t>
      </w:r>
      <w:r w:rsidRPr="00456C03">
        <w:rPr>
          <w:rFonts w:hint="cs"/>
          <w:rtl/>
          <w:lang w:bidi="ar-EG"/>
        </w:rPr>
        <w:t>و</w:t>
      </w:r>
      <w:r w:rsidRPr="00456C03">
        <w:rPr>
          <w:rtl/>
          <w:lang w:bidi="ar-EG"/>
        </w:rPr>
        <w:t>1.6 في المائة في عام 2020</w:t>
      </w:r>
      <w:r w:rsidRPr="00456C03">
        <w:rPr>
          <w:rFonts w:hint="cs"/>
          <w:rtl/>
          <w:lang w:bidi="ar-EG"/>
        </w:rPr>
        <w:t>؛ و1.3 في المائة في عام 2021.</w:t>
      </w:r>
      <w:r w:rsidRPr="00456C03">
        <w:rPr>
          <w:rtl/>
          <w:lang w:bidi="ar-EG"/>
        </w:rPr>
        <w:t xml:space="preserve"> و</w:t>
      </w:r>
      <w:r w:rsidRPr="00456C03">
        <w:rPr>
          <w:rFonts w:hint="cs"/>
          <w:rtl/>
          <w:lang w:bidi="ar-EG"/>
        </w:rPr>
        <w:t xml:space="preserve">لم تتجاوز </w:t>
      </w:r>
      <w:r w:rsidRPr="00456C03">
        <w:rPr>
          <w:rtl/>
          <w:lang w:bidi="ar-EG"/>
        </w:rPr>
        <w:t xml:space="preserve">الطلبات الدولية </w:t>
      </w:r>
      <w:r w:rsidRPr="00456C03">
        <w:rPr>
          <w:rFonts w:hint="cs"/>
          <w:rtl/>
          <w:lang w:bidi="ar-EG"/>
        </w:rPr>
        <w:t>المودعة ورقيا</w:t>
      </w:r>
      <w:r w:rsidRPr="00456C03">
        <w:rPr>
          <w:rtl/>
          <w:lang w:bidi="ar-EG"/>
        </w:rPr>
        <w:t xml:space="preserve"> </w:t>
      </w:r>
      <w:r w:rsidRPr="00456C03">
        <w:rPr>
          <w:rFonts w:hint="cs"/>
          <w:rtl/>
          <w:lang w:bidi="ar-EG"/>
        </w:rPr>
        <w:t>1</w:t>
      </w:r>
      <w:r w:rsidRPr="00456C03">
        <w:rPr>
          <w:rtl/>
          <w:lang w:bidi="ar-EG"/>
        </w:rPr>
        <w:t xml:space="preserve"> في المائة</w:t>
      </w:r>
      <w:r w:rsidRPr="00456C03">
        <w:rPr>
          <w:rFonts w:hint="cs"/>
          <w:rtl/>
          <w:lang w:bidi="ar-EG"/>
        </w:rPr>
        <w:t xml:space="preserve"> من مجموع الطلبات في عام 2021 في </w:t>
      </w:r>
      <w:r w:rsidRPr="00456C03">
        <w:rPr>
          <w:rtl/>
          <w:lang w:bidi="ar-EG"/>
        </w:rPr>
        <w:t>بعض مكاتب تسلم الطلبات مثل الصين وإسرائيل واليابان وجمهورية كوريا وسنغافورة والسويد.</w:t>
      </w:r>
    </w:p>
    <w:p w14:paraId="6041AC58" w14:textId="77777777" w:rsidR="00456C03" w:rsidRPr="00456C03" w:rsidRDefault="00456C03" w:rsidP="0050744E">
      <w:pPr>
        <w:pStyle w:val="ONUMA"/>
        <w:rPr>
          <w:rFonts w:cstheme="minorHAnsi"/>
          <w:rtl/>
          <w:lang w:bidi="ar-EG"/>
        </w:rPr>
      </w:pPr>
      <w:r w:rsidRPr="00456C03">
        <w:rPr>
          <w:rFonts w:hint="cs"/>
          <w:rtl/>
          <w:lang w:bidi="ar-EG"/>
        </w:rPr>
        <w:t>و</w:t>
      </w:r>
      <w:r w:rsidRPr="00456C03">
        <w:rPr>
          <w:rtl/>
          <w:lang w:bidi="ar-EG"/>
        </w:rPr>
        <w:t xml:space="preserve">يوضح الشكل 1، </w:t>
      </w:r>
      <w:r w:rsidRPr="00456C03">
        <w:rPr>
          <w:rFonts w:hint="cs"/>
          <w:rtl/>
          <w:lang w:bidi="ar-EG"/>
        </w:rPr>
        <w:t>المقتطف</w:t>
      </w:r>
      <w:r w:rsidRPr="00456C03">
        <w:rPr>
          <w:rtl/>
          <w:lang w:bidi="ar-EG"/>
        </w:rPr>
        <w:t xml:space="preserve"> من </w:t>
      </w:r>
      <w:r w:rsidRPr="00456C03">
        <w:rPr>
          <w:rFonts w:hint="cs"/>
          <w:i/>
          <w:iCs/>
          <w:rtl/>
          <w:lang w:bidi="ar-EG"/>
        </w:rPr>
        <w:t>الاستعراض</w:t>
      </w:r>
      <w:r w:rsidRPr="00456C03">
        <w:rPr>
          <w:i/>
          <w:iCs/>
          <w:rtl/>
          <w:lang w:bidi="ar-EG"/>
        </w:rPr>
        <w:t xml:space="preserve"> السنوي لمعاهدة التعاون بشأن البراءات لعام 2022</w:t>
      </w:r>
      <w:r w:rsidRPr="00456C03">
        <w:rPr>
          <w:rtl/>
          <w:lang w:bidi="ar-EG"/>
        </w:rPr>
        <w:t xml:space="preserve">، التباين الذي حدث في السنوات العشر الماضية فيما يتعلق </w:t>
      </w:r>
      <w:r w:rsidRPr="00456C03">
        <w:rPr>
          <w:rFonts w:hint="cs"/>
          <w:rtl/>
          <w:lang w:bidi="ar-EG"/>
        </w:rPr>
        <w:t>بوسيلة</w:t>
      </w:r>
      <w:r w:rsidRPr="00456C03">
        <w:rPr>
          <w:rtl/>
          <w:lang w:bidi="ar-EG"/>
        </w:rPr>
        <w:t xml:space="preserve"> إيداع الطلبات الدولية</w:t>
      </w:r>
    </w:p>
    <w:p w14:paraId="527DA13B" w14:textId="77777777" w:rsidR="00456C03" w:rsidRPr="00456C03" w:rsidRDefault="00456C03" w:rsidP="00456C03">
      <w:pPr>
        <w:rPr>
          <w:rFonts w:asciiTheme="minorHAnsi" w:hAnsiTheme="minorHAnsi"/>
          <w:rtl/>
          <w:lang w:bidi="ar-EG"/>
        </w:rPr>
      </w:pPr>
      <w:r w:rsidRPr="00456C03">
        <w:rPr>
          <w:rFonts w:cs="Arial"/>
          <w:noProof/>
          <w:szCs w:val="20"/>
          <w:lang w:val="en-GB" w:eastAsia="en-GB"/>
        </w:rPr>
        <w:drawing>
          <wp:inline distT="0" distB="0" distL="0" distR="0" wp14:anchorId="5996C64B" wp14:editId="0841FFEB">
            <wp:extent cx="5940425" cy="2689860"/>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689860"/>
                    </a:xfrm>
                    <a:prstGeom prst="rect">
                      <a:avLst/>
                    </a:prstGeom>
                    <a:noFill/>
                    <a:ln>
                      <a:noFill/>
                    </a:ln>
                  </pic:spPr>
                </pic:pic>
              </a:graphicData>
            </a:graphic>
          </wp:inline>
        </w:drawing>
      </w:r>
      <w:r w:rsidRPr="00456C03">
        <w:rPr>
          <w:rFonts w:asciiTheme="minorHAnsi" w:hAnsiTheme="minorHAnsi"/>
          <w:rtl/>
          <w:lang w:bidi="ar-EG"/>
        </w:rPr>
        <w:t>الشكل 1: توزيع طلبات معاهدة التعاون بشأن البراءات حسب وسيلة الإيداع</w:t>
      </w:r>
      <w:r w:rsidRPr="00456C03">
        <w:rPr>
          <w:rFonts w:asciiTheme="minorHAnsi" w:hAnsiTheme="minorHAnsi" w:hint="cs"/>
          <w:rtl/>
          <w:lang w:bidi="ar-EG"/>
        </w:rPr>
        <w:t xml:space="preserve"> في عامي</w:t>
      </w:r>
      <w:r w:rsidRPr="00456C03">
        <w:rPr>
          <w:rFonts w:asciiTheme="minorHAnsi" w:hAnsiTheme="minorHAnsi"/>
          <w:rtl/>
          <w:lang w:bidi="ar-EG"/>
        </w:rPr>
        <w:t xml:space="preserve"> 2011 و2022</w:t>
      </w:r>
    </w:p>
    <w:p w14:paraId="389F388A" w14:textId="77777777" w:rsidR="00456C03" w:rsidRPr="00456C03" w:rsidRDefault="00456C03" w:rsidP="00456C03">
      <w:pPr>
        <w:spacing w:after="220"/>
        <w:rPr>
          <w:rFonts w:asciiTheme="minorHAnsi" w:hAnsiTheme="minorHAnsi"/>
          <w:rtl/>
          <w:lang w:bidi="ar-EG"/>
        </w:rPr>
      </w:pPr>
      <w:r w:rsidRPr="00456C03">
        <w:rPr>
          <w:rFonts w:asciiTheme="minorHAnsi" w:hAnsiTheme="minorHAnsi"/>
          <w:rtl/>
          <w:lang w:bidi="ar-EG"/>
        </w:rPr>
        <w:t>المصدر: قاعدة بيانات إحصاءات الويبو، مارس 2022</w:t>
      </w:r>
    </w:p>
    <w:p w14:paraId="4F48D362" w14:textId="2D2A5D90" w:rsidR="00456C03" w:rsidRPr="00456C03" w:rsidRDefault="001857F9" w:rsidP="0050744E">
      <w:pPr>
        <w:pStyle w:val="ONUMA"/>
        <w:rPr>
          <w:rFonts w:cstheme="minorHAnsi"/>
          <w:lang w:bidi="ar-EG"/>
        </w:rPr>
      </w:pPr>
      <w:r>
        <w:rPr>
          <w:rFonts w:hint="cs"/>
          <w:rtl/>
          <w:lang w:bidi="ar-EG"/>
        </w:rPr>
        <w:t>و</w:t>
      </w:r>
      <w:r w:rsidR="00456C03" w:rsidRPr="00456C03">
        <w:rPr>
          <w:rtl/>
          <w:lang w:bidi="ar-EG"/>
        </w:rPr>
        <w:t xml:space="preserve">يرجع هذا </w:t>
      </w:r>
      <w:r w:rsidR="00456C03" w:rsidRPr="00456C03">
        <w:rPr>
          <w:rFonts w:hint="cs"/>
          <w:rtl/>
          <w:lang w:bidi="ar-EG"/>
        </w:rPr>
        <w:t>التراجع</w:t>
      </w:r>
      <w:r w:rsidR="00456C03" w:rsidRPr="00456C03">
        <w:rPr>
          <w:rtl/>
          <w:lang w:bidi="ar-EG"/>
        </w:rPr>
        <w:t xml:space="preserve"> في إيداع </w:t>
      </w:r>
      <w:r w:rsidR="00456C03" w:rsidRPr="00456C03">
        <w:rPr>
          <w:rFonts w:hint="cs"/>
          <w:rtl/>
          <w:lang w:bidi="ar-EG"/>
        </w:rPr>
        <w:t>الطلبات ورقيا</w:t>
      </w:r>
      <w:r w:rsidR="00456C03" w:rsidRPr="00456C03">
        <w:rPr>
          <w:rtl/>
          <w:lang w:bidi="ar-EG"/>
        </w:rPr>
        <w:t xml:space="preserve"> إلى </w:t>
      </w:r>
      <w:r w:rsidR="00456C03" w:rsidRPr="00456C03">
        <w:rPr>
          <w:rFonts w:hint="cs"/>
          <w:rtl/>
          <w:lang w:bidi="ar-EG"/>
        </w:rPr>
        <w:t>اعتماد</w:t>
      </w:r>
      <w:r w:rsidR="00456C03" w:rsidRPr="00456C03">
        <w:rPr>
          <w:rtl/>
          <w:lang w:bidi="ar-EG"/>
        </w:rPr>
        <w:t xml:space="preserve"> عدد كبير من مكاتب تسلم الطلبات ومودعيها نظام الإيداع الإلكتروني </w:t>
      </w:r>
      <w:r w:rsidR="00456C03" w:rsidRPr="00456C03">
        <w:rPr>
          <w:rFonts w:hint="cs"/>
          <w:rtl/>
          <w:lang w:bidi="ar-EG"/>
        </w:rPr>
        <w:t>(</w:t>
      </w:r>
      <w:proofErr w:type="spellStart"/>
      <w:r w:rsidR="00456C03" w:rsidRPr="00456C03">
        <w:rPr>
          <w:rFonts w:cstheme="minorHAnsi"/>
          <w:lang w:bidi="ar-EG"/>
        </w:rPr>
        <w:t>ePCT</w:t>
      </w:r>
      <w:proofErr w:type="spellEnd"/>
      <w:r w:rsidR="00456C03" w:rsidRPr="00456C03">
        <w:rPr>
          <w:rFonts w:cstheme="minorHAnsi" w:hint="cs"/>
          <w:rtl/>
          <w:lang w:bidi="ar-EG"/>
        </w:rPr>
        <w:t>)</w:t>
      </w:r>
      <w:r w:rsidR="00456C03" w:rsidRPr="00456C03">
        <w:rPr>
          <w:rtl/>
          <w:lang w:bidi="ar-EG"/>
        </w:rPr>
        <w:t xml:space="preserve">، </w:t>
      </w:r>
      <w:r w:rsidR="00456C03" w:rsidRPr="00456C03">
        <w:rPr>
          <w:rFonts w:hint="cs"/>
          <w:rtl/>
          <w:lang w:bidi="ar-EG"/>
        </w:rPr>
        <w:t>حيث حضهم على ذلك</w:t>
      </w:r>
      <w:r w:rsidR="00456C03" w:rsidRPr="00456C03">
        <w:rPr>
          <w:rtl/>
          <w:lang w:bidi="ar-EG"/>
        </w:rPr>
        <w:t xml:space="preserve"> </w:t>
      </w:r>
      <w:r w:rsidR="00456C03" w:rsidRPr="00456C03">
        <w:rPr>
          <w:rFonts w:hint="cs"/>
          <w:rtl/>
          <w:lang w:bidi="ar-EG"/>
        </w:rPr>
        <w:t>انخفاض</w:t>
      </w:r>
      <w:r w:rsidR="00456C03" w:rsidRPr="00456C03">
        <w:rPr>
          <w:rtl/>
          <w:lang w:bidi="ar-EG"/>
        </w:rPr>
        <w:t xml:space="preserve"> التكلفة و</w:t>
      </w:r>
      <w:r w:rsidR="00456C03" w:rsidRPr="00456C03">
        <w:rPr>
          <w:rFonts w:hint="cs"/>
          <w:rtl/>
          <w:lang w:bidi="ar-EG"/>
        </w:rPr>
        <w:t xml:space="preserve">قصر </w:t>
      </w:r>
      <w:r w:rsidR="00456C03" w:rsidRPr="00456C03">
        <w:rPr>
          <w:rtl/>
          <w:lang w:bidi="ar-EG"/>
        </w:rPr>
        <w:t xml:space="preserve">وقت المعالجة، </w:t>
      </w:r>
      <w:r w:rsidR="00456C03" w:rsidRPr="00456C03">
        <w:rPr>
          <w:rFonts w:hint="cs"/>
          <w:rtl/>
          <w:lang w:bidi="ar-EG"/>
        </w:rPr>
        <w:t xml:space="preserve">كما </w:t>
      </w:r>
      <w:r w:rsidR="00456C03" w:rsidRPr="00456C03">
        <w:rPr>
          <w:rtl/>
          <w:lang w:bidi="ar-EG"/>
        </w:rPr>
        <w:t xml:space="preserve">وجد المودعون بدورهم أن الإيداع الإلكتروني مفيد </w:t>
      </w:r>
      <w:r w:rsidR="00456C03" w:rsidRPr="00456C03">
        <w:rPr>
          <w:rFonts w:hint="cs"/>
          <w:rtl/>
          <w:lang w:bidi="ar-EG"/>
        </w:rPr>
        <w:t xml:space="preserve">لهم </w:t>
      </w:r>
      <w:r w:rsidR="00456C03" w:rsidRPr="00456C03">
        <w:rPr>
          <w:rtl/>
          <w:lang w:bidi="ar-EG"/>
        </w:rPr>
        <w:t xml:space="preserve">للغاية. </w:t>
      </w:r>
      <w:r w:rsidR="00456C03" w:rsidRPr="00456C03">
        <w:rPr>
          <w:rFonts w:hint="cs"/>
          <w:rtl/>
          <w:lang w:bidi="ar-EG"/>
        </w:rPr>
        <w:t>و</w:t>
      </w:r>
      <w:r w:rsidR="00456C03" w:rsidRPr="00456C03">
        <w:rPr>
          <w:rtl/>
          <w:lang w:bidi="ar-EG"/>
        </w:rPr>
        <w:t>بالإضافة إلى ذلك، تستخدم بعض مكاتب البراءات التي لديها أنظم</w:t>
      </w:r>
      <w:r w:rsidR="00456C03" w:rsidRPr="00456C03">
        <w:rPr>
          <w:rFonts w:hint="cs"/>
          <w:rtl/>
          <w:lang w:bidi="ar-EG"/>
        </w:rPr>
        <w:t>تها</w:t>
      </w:r>
      <w:r w:rsidR="00456C03" w:rsidRPr="00456C03">
        <w:rPr>
          <w:rtl/>
          <w:lang w:bidi="ar-EG"/>
        </w:rPr>
        <w:t xml:space="preserve"> </w:t>
      </w:r>
      <w:r w:rsidR="00456C03" w:rsidRPr="00456C03">
        <w:rPr>
          <w:rFonts w:hint="cs"/>
          <w:rtl/>
          <w:lang w:bidi="ar-EG"/>
        </w:rPr>
        <w:t>ل</w:t>
      </w:r>
      <w:r w:rsidR="00456C03" w:rsidRPr="00456C03">
        <w:rPr>
          <w:rtl/>
          <w:lang w:bidi="ar-EG"/>
        </w:rPr>
        <w:t xml:space="preserve">لإيداع الإلكتروني، مثل المكتب الأوروبي للبراءات ومكتب الولايات المتحدة للبراءات والعلامات التجارية نظام </w:t>
      </w:r>
      <w:proofErr w:type="spellStart"/>
      <w:r w:rsidR="00456C03" w:rsidRPr="00456C03">
        <w:rPr>
          <w:rFonts w:cstheme="minorHAnsi"/>
          <w:lang w:bidi="ar-EG"/>
        </w:rPr>
        <w:t>ePCT</w:t>
      </w:r>
      <w:proofErr w:type="spellEnd"/>
      <w:r w:rsidR="00456C03" w:rsidRPr="00456C03">
        <w:rPr>
          <w:rtl/>
          <w:lang w:bidi="ar-EG"/>
        </w:rPr>
        <w:t xml:space="preserve"> لإيداع </w:t>
      </w:r>
      <w:r w:rsidR="00456C03" w:rsidRPr="00456C03">
        <w:rPr>
          <w:rFonts w:hint="cs"/>
          <w:rtl/>
          <w:lang w:bidi="ar-EG"/>
        </w:rPr>
        <w:t>ا</w:t>
      </w:r>
      <w:r w:rsidR="00456C03" w:rsidRPr="00456C03">
        <w:rPr>
          <w:rtl/>
          <w:lang w:bidi="ar-EG"/>
        </w:rPr>
        <w:t>لطلبات الدولية</w:t>
      </w:r>
      <w:r w:rsidR="00456C03" w:rsidRPr="00456C03">
        <w:rPr>
          <w:rFonts w:hint="cs"/>
          <w:rtl/>
          <w:lang w:bidi="ar-EG"/>
        </w:rPr>
        <w:t xml:space="preserve"> إلكترونية بموجب </w:t>
      </w:r>
      <w:r w:rsidR="00456C03" w:rsidRPr="00456C03">
        <w:rPr>
          <w:rtl/>
          <w:lang w:bidi="ar-EG"/>
        </w:rPr>
        <w:t xml:space="preserve">معاهدة التعاون بشأن البراءات. </w:t>
      </w:r>
      <w:r w:rsidR="00456C03" w:rsidRPr="00456C03">
        <w:rPr>
          <w:rFonts w:hint="cs"/>
          <w:rtl/>
          <w:lang w:bidi="ar-EG"/>
        </w:rPr>
        <w:t>و</w:t>
      </w:r>
      <w:r w:rsidR="00456C03" w:rsidRPr="00456C03">
        <w:rPr>
          <w:rtl/>
          <w:lang w:bidi="ar-EG"/>
        </w:rPr>
        <w:t xml:space="preserve">تجدر الإشارة إلى أن خصمًا خاصًا ينطبق على رسوم الإيداع الدولية </w:t>
      </w:r>
      <w:r w:rsidR="00456C03" w:rsidRPr="00456C03">
        <w:rPr>
          <w:rFonts w:hint="cs"/>
          <w:rtl/>
          <w:lang w:bidi="ar-EG"/>
        </w:rPr>
        <w:t>في حالة إيداع ا</w:t>
      </w:r>
      <w:r w:rsidR="00456C03" w:rsidRPr="00456C03">
        <w:rPr>
          <w:rtl/>
          <w:lang w:bidi="ar-EG"/>
        </w:rPr>
        <w:t xml:space="preserve">لطلبات الدولية بالوسائل الإلكترونية، كما </w:t>
      </w:r>
      <w:r w:rsidR="00456C03" w:rsidRPr="00456C03">
        <w:rPr>
          <w:rFonts w:hint="cs"/>
          <w:rtl/>
          <w:lang w:bidi="ar-EG"/>
        </w:rPr>
        <w:t>تطبق</w:t>
      </w:r>
      <w:r w:rsidR="00456C03" w:rsidRPr="00456C03">
        <w:rPr>
          <w:rtl/>
          <w:lang w:bidi="ar-EG"/>
        </w:rPr>
        <w:t xml:space="preserve"> بعض المكاتب الوطنية خصومات عل</w:t>
      </w:r>
      <w:r w:rsidR="00456C03" w:rsidRPr="00456C03">
        <w:rPr>
          <w:rFonts w:hint="cs"/>
          <w:rtl/>
          <w:lang w:bidi="ar-EG"/>
        </w:rPr>
        <w:t xml:space="preserve"> رسوم أخرى في حالة</w:t>
      </w:r>
      <w:r w:rsidR="00456C03" w:rsidRPr="00456C03">
        <w:rPr>
          <w:rtl/>
          <w:lang w:bidi="ar-EG"/>
        </w:rPr>
        <w:t xml:space="preserve"> الإيداع الإلكتروني، مثل رسوم </w:t>
      </w:r>
      <w:r w:rsidR="00456C03" w:rsidRPr="00456C03">
        <w:rPr>
          <w:rFonts w:hint="cs"/>
          <w:rtl/>
          <w:lang w:bidi="ar-EG"/>
        </w:rPr>
        <w:t>الإحالة</w:t>
      </w:r>
      <w:r w:rsidR="00456C03" w:rsidRPr="00456C03">
        <w:rPr>
          <w:rtl/>
          <w:lang w:bidi="ar-EG"/>
        </w:rPr>
        <w:t>.</w:t>
      </w:r>
    </w:p>
    <w:p w14:paraId="37E23ADB" w14:textId="4D542851" w:rsidR="00456C03" w:rsidRPr="00456C03" w:rsidRDefault="001857F9" w:rsidP="0050744E">
      <w:pPr>
        <w:pStyle w:val="ONUMA"/>
        <w:rPr>
          <w:rFonts w:cstheme="minorHAnsi"/>
          <w:lang w:bidi="ar-EG"/>
        </w:rPr>
      </w:pPr>
      <w:r>
        <w:rPr>
          <w:rFonts w:hint="cs"/>
          <w:rtl/>
          <w:lang w:bidi="ar-EG"/>
        </w:rPr>
        <w:t>و</w:t>
      </w:r>
      <w:r w:rsidR="00456C03" w:rsidRPr="00456C03">
        <w:rPr>
          <w:rtl/>
          <w:lang w:bidi="ar-EG"/>
        </w:rPr>
        <w:t xml:space="preserve">يستخدم </w:t>
      </w:r>
      <w:r w:rsidR="00456C03" w:rsidRPr="00456C03">
        <w:rPr>
          <w:rFonts w:hint="cs"/>
          <w:rtl/>
          <w:lang w:bidi="ar-EG"/>
        </w:rPr>
        <w:t xml:space="preserve">حاليا ما مجموعه </w:t>
      </w:r>
      <w:r w:rsidR="00456C03" w:rsidRPr="00456C03">
        <w:rPr>
          <w:rtl/>
          <w:lang w:bidi="ar-EG"/>
        </w:rPr>
        <w:t xml:space="preserve">83 مكتب </w:t>
      </w:r>
      <w:r w:rsidR="00456C03" w:rsidRPr="00456C03">
        <w:rPr>
          <w:rFonts w:hint="cs"/>
          <w:rtl/>
          <w:lang w:bidi="ar-EG"/>
        </w:rPr>
        <w:t>ل</w:t>
      </w:r>
      <w:r w:rsidR="00456C03" w:rsidRPr="00456C03">
        <w:rPr>
          <w:rtl/>
          <w:lang w:bidi="ar-EG"/>
        </w:rPr>
        <w:t>تسلم</w:t>
      </w:r>
      <w:r w:rsidR="00456C03" w:rsidRPr="00456C03">
        <w:rPr>
          <w:rFonts w:hint="cs"/>
          <w:rtl/>
          <w:lang w:bidi="ar-EG"/>
        </w:rPr>
        <w:t xml:space="preserve"> الطلبات</w:t>
      </w:r>
      <w:r w:rsidR="00456C03" w:rsidRPr="00456C03">
        <w:rPr>
          <w:rtl/>
          <w:lang w:bidi="ar-EG"/>
        </w:rPr>
        <w:t xml:space="preserve"> نظام الإيداع الإلكتروني</w:t>
      </w:r>
      <w:r w:rsidR="00456C03" w:rsidRPr="00456C03">
        <w:rPr>
          <w:rFonts w:hint="cs"/>
          <w:rtl/>
          <w:lang w:bidi="ar-EG"/>
        </w:rPr>
        <w:t xml:space="preserve"> </w:t>
      </w:r>
      <w:r w:rsidR="00456C03" w:rsidRPr="00456C03">
        <w:rPr>
          <w:rtl/>
          <w:lang w:bidi="ar-EG"/>
        </w:rPr>
        <w:t>(</w:t>
      </w:r>
      <w:proofErr w:type="spellStart"/>
      <w:r w:rsidR="00456C03" w:rsidRPr="00456C03">
        <w:rPr>
          <w:rFonts w:cstheme="minorHAnsi"/>
          <w:lang w:bidi="ar-EG"/>
        </w:rPr>
        <w:t>ePCT</w:t>
      </w:r>
      <w:proofErr w:type="spellEnd"/>
      <w:r w:rsidR="00456C03" w:rsidRPr="00456C03">
        <w:rPr>
          <w:rtl/>
          <w:lang w:bidi="ar-EG"/>
        </w:rPr>
        <w:t xml:space="preserve">)، كما </w:t>
      </w:r>
      <w:r w:rsidR="00456C03" w:rsidRPr="00456C03">
        <w:rPr>
          <w:rFonts w:hint="cs"/>
          <w:rtl/>
          <w:lang w:bidi="ar-EG"/>
        </w:rPr>
        <w:t xml:space="preserve">تُتاح لعدد من </w:t>
      </w:r>
      <w:r w:rsidR="00456C03" w:rsidRPr="00456C03">
        <w:rPr>
          <w:rtl/>
          <w:lang w:bidi="ar-EG"/>
        </w:rPr>
        <w:t>مكاتب تسلم الطلبات الأخرى أنظمة الإيداع الإلكتروني الوطنية.</w:t>
      </w:r>
    </w:p>
    <w:p w14:paraId="7CF8BEBE" w14:textId="309B7E73" w:rsidR="00456C03" w:rsidRPr="00456C03" w:rsidRDefault="001857F9" w:rsidP="0050744E">
      <w:pPr>
        <w:pStyle w:val="ONUMA"/>
        <w:rPr>
          <w:rFonts w:cstheme="minorHAnsi"/>
          <w:rtl/>
          <w:lang w:bidi="ar-EG"/>
        </w:rPr>
      </w:pPr>
      <w:r>
        <w:rPr>
          <w:rFonts w:hint="cs"/>
          <w:rtl/>
          <w:lang w:bidi="ar-EG"/>
        </w:rPr>
        <w:t>و</w:t>
      </w:r>
      <w:r w:rsidR="00456C03" w:rsidRPr="00456C03">
        <w:rPr>
          <w:rtl/>
          <w:lang w:bidi="ar-EG"/>
        </w:rPr>
        <w:t>لم يدخر المكتب الدولي أي جهد لتحسين نظام الإيداع الإلكتروني (</w:t>
      </w:r>
      <w:proofErr w:type="spellStart"/>
      <w:r w:rsidR="00456C03" w:rsidRPr="00456C03">
        <w:rPr>
          <w:lang w:bidi="ar-EG"/>
        </w:rPr>
        <w:t>ePCT</w:t>
      </w:r>
      <w:proofErr w:type="spellEnd"/>
      <w:r w:rsidR="00456C03" w:rsidRPr="00456C03">
        <w:rPr>
          <w:rtl/>
          <w:lang w:bidi="ar-EG"/>
        </w:rPr>
        <w:t>)</w:t>
      </w:r>
      <w:r w:rsidR="00456C03" w:rsidRPr="00456C03">
        <w:rPr>
          <w:rFonts w:hint="cs"/>
          <w:rtl/>
          <w:lang w:bidi="ar-EG"/>
        </w:rPr>
        <w:t xml:space="preserve"> </w:t>
      </w:r>
      <w:r w:rsidR="00456C03" w:rsidRPr="00456C03">
        <w:rPr>
          <w:rtl/>
          <w:lang w:bidi="ar-EG"/>
        </w:rPr>
        <w:t xml:space="preserve">ليس فقط لتسهيل إيداع الطلبات الدولية ولكن أيضًا للإسراع في </w:t>
      </w:r>
      <w:r w:rsidR="00456C03" w:rsidRPr="00456C03">
        <w:rPr>
          <w:rFonts w:hint="cs"/>
          <w:rtl/>
          <w:lang w:bidi="ar-EG"/>
        </w:rPr>
        <w:t>إحالة</w:t>
      </w:r>
      <w:r w:rsidR="00456C03" w:rsidRPr="00456C03">
        <w:rPr>
          <w:rtl/>
          <w:lang w:bidi="ar-EG"/>
        </w:rPr>
        <w:t xml:space="preserve"> نسخ الطلبات الدولية وال</w:t>
      </w:r>
      <w:r w:rsidR="00831D71">
        <w:rPr>
          <w:rtl/>
          <w:lang w:bidi="ar-EG"/>
        </w:rPr>
        <w:t>مستندات</w:t>
      </w:r>
      <w:r w:rsidR="00456C03" w:rsidRPr="00456C03">
        <w:rPr>
          <w:rtl/>
          <w:lang w:bidi="ar-EG"/>
        </w:rPr>
        <w:t xml:space="preserve"> والتقارير الصادرة عن الإدارات الدولية. </w:t>
      </w:r>
      <w:r w:rsidR="00456C03" w:rsidRPr="00456C03">
        <w:rPr>
          <w:rFonts w:hint="cs"/>
          <w:rtl/>
          <w:lang w:bidi="ar-EG"/>
        </w:rPr>
        <w:t xml:space="preserve">وتقوم </w:t>
      </w:r>
      <w:r w:rsidR="00456C03" w:rsidRPr="00456C03">
        <w:rPr>
          <w:rtl/>
          <w:lang w:bidi="ar-EG"/>
        </w:rPr>
        <w:t>جميع مكاتب تسلم الطلبات التي ترسل نسخ بحث إلى مكاتب أخرى بصفتها إدارات بحث دولية</w:t>
      </w:r>
      <w:r w:rsidR="00456C03" w:rsidRPr="00456C03">
        <w:rPr>
          <w:rFonts w:hint="cs"/>
          <w:rtl/>
          <w:lang w:bidi="ar-EG"/>
        </w:rPr>
        <w:t xml:space="preserve"> باستخدام</w:t>
      </w:r>
      <w:r w:rsidR="00456C03" w:rsidRPr="00456C03">
        <w:rPr>
          <w:rtl/>
          <w:lang w:bidi="ar-EG"/>
        </w:rPr>
        <w:t xml:space="preserve"> نظام نُسخ البحث الإلكترونية (</w:t>
      </w:r>
      <w:proofErr w:type="spellStart"/>
      <w:r w:rsidR="00456C03" w:rsidRPr="00456C03">
        <w:rPr>
          <w:rFonts w:cstheme="minorHAnsi"/>
          <w:lang w:bidi="ar-EG"/>
        </w:rPr>
        <w:t>eSearchCopy</w:t>
      </w:r>
      <w:proofErr w:type="spellEnd"/>
      <w:r w:rsidR="00456C03" w:rsidRPr="00456C03">
        <w:rPr>
          <w:rtl/>
          <w:lang w:bidi="ar-EG"/>
        </w:rPr>
        <w:t>)</w:t>
      </w:r>
      <w:r w:rsidR="00456C03" w:rsidRPr="00456C03">
        <w:rPr>
          <w:rFonts w:cstheme="minorHAnsi"/>
          <w:rtl/>
          <w:lang w:bidi="ar-EG"/>
        </w:rPr>
        <w:t>.</w:t>
      </w:r>
    </w:p>
    <w:p w14:paraId="6DBA8165" w14:textId="77777777" w:rsidR="00456C03" w:rsidRPr="00456C03" w:rsidRDefault="00456C03" w:rsidP="00456C03">
      <w:pPr>
        <w:keepNext/>
        <w:spacing w:before="240" w:after="60"/>
        <w:outlineLvl w:val="0"/>
        <w:rPr>
          <w:rFonts w:asciiTheme="minorHAnsi" w:hAnsiTheme="minorHAnsi" w:cstheme="minorHAnsi"/>
          <w:b/>
          <w:bCs/>
          <w:caps/>
          <w:kern w:val="32"/>
          <w:sz w:val="24"/>
          <w:szCs w:val="24"/>
          <w:rtl/>
          <w:lang w:bidi="ar-EG"/>
        </w:rPr>
      </w:pPr>
      <w:bookmarkStart w:id="19" w:name="_Toc114145682"/>
      <w:bookmarkStart w:id="20" w:name="_Toc114145773"/>
      <w:r w:rsidRPr="00456C03">
        <w:rPr>
          <w:rFonts w:asciiTheme="minorHAnsi" w:hAnsiTheme="minorHAnsi" w:cstheme="minorHAnsi" w:hint="cs"/>
          <w:b/>
          <w:bCs/>
          <w:caps/>
          <w:kern w:val="32"/>
          <w:sz w:val="24"/>
          <w:szCs w:val="24"/>
          <w:rtl/>
          <w:lang w:bidi="ar-EG"/>
        </w:rPr>
        <w:t>الوضع الراهن</w:t>
      </w:r>
      <w:bookmarkEnd w:id="19"/>
      <w:bookmarkEnd w:id="20"/>
    </w:p>
    <w:p w14:paraId="270301FE" w14:textId="77777777" w:rsidR="00456C03" w:rsidRPr="00456C03" w:rsidRDefault="00456C03" w:rsidP="0050744E">
      <w:pPr>
        <w:pStyle w:val="ONUMA"/>
        <w:rPr>
          <w:rFonts w:cstheme="minorHAnsi"/>
          <w:lang w:bidi="ar-EG"/>
        </w:rPr>
      </w:pPr>
      <w:r w:rsidRPr="00456C03">
        <w:rPr>
          <w:rtl/>
          <w:lang w:bidi="ar-EG"/>
        </w:rPr>
        <w:t xml:space="preserve">تسعى المكاتب الوطنية والإقليمية أيضًا إلى تحسين الخدمات المقدمة، لكل من المودعين الوطنيين والأجانب (اتفاقية باريس ومعاهدة التعاون بشأن البراءات)، </w:t>
      </w:r>
      <w:r w:rsidRPr="00456C03">
        <w:rPr>
          <w:rFonts w:hint="cs"/>
          <w:rtl/>
          <w:lang w:bidi="ar-EG"/>
        </w:rPr>
        <w:t>بتوظيف</w:t>
      </w:r>
      <w:r w:rsidRPr="00456C03">
        <w:rPr>
          <w:rtl/>
          <w:lang w:bidi="ar-EG"/>
        </w:rPr>
        <w:t xml:space="preserve"> أنظمة تكنولوجيا المعلومات لتطوير الخدمات الإلكترونية التي تسرع معالجة الطلب، و</w:t>
      </w:r>
      <w:r w:rsidRPr="00456C03">
        <w:rPr>
          <w:rFonts w:hint="cs"/>
          <w:rtl/>
          <w:lang w:bidi="ar-EG"/>
        </w:rPr>
        <w:t>ت</w:t>
      </w:r>
      <w:r w:rsidRPr="00456C03">
        <w:rPr>
          <w:rtl/>
          <w:lang w:bidi="ar-EG"/>
        </w:rPr>
        <w:t xml:space="preserve">خفض التكاليف </w:t>
      </w:r>
      <w:r w:rsidRPr="00456C03">
        <w:rPr>
          <w:rFonts w:hint="cs"/>
          <w:rtl/>
          <w:lang w:bidi="ar-EG"/>
        </w:rPr>
        <w:t>وتضمن</w:t>
      </w:r>
      <w:r w:rsidRPr="00456C03">
        <w:rPr>
          <w:rtl/>
          <w:lang w:bidi="ar-EG"/>
        </w:rPr>
        <w:t xml:space="preserve"> أمن البيانات والمعلومات الواردة في طلب </w:t>
      </w:r>
      <w:r w:rsidRPr="00456C03">
        <w:rPr>
          <w:rFonts w:hint="cs"/>
          <w:rtl/>
          <w:lang w:bidi="ar-EG"/>
        </w:rPr>
        <w:t>ال</w:t>
      </w:r>
      <w:r w:rsidRPr="00456C03">
        <w:rPr>
          <w:rtl/>
          <w:lang w:bidi="ar-EG"/>
        </w:rPr>
        <w:t>براءة.</w:t>
      </w:r>
    </w:p>
    <w:p w14:paraId="39704251" w14:textId="77777777" w:rsidR="00456C03" w:rsidRPr="00456C03" w:rsidRDefault="00456C03" w:rsidP="0050744E">
      <w:pPr>
        <w:pStyle w:val="ONUMA"/>
        <w:rPr>
          <w:rFonts w:cstheme="minorHAnsi"/>
          <w:lang w:bidi="ar-EG"/>
        </w:rPr>
      </w:pPr>
      <w:r w:rsidRPr="00456C03">
        <w:rPr>
          <w:rFonts w:hint="cs"/>
          <w:rtl/>
          <w:lang w:bidi="ar-EG"/>
        </w:rPr>
        <w:t>و</w:t>
      </w:r>
      <w:r w:rsidRPr="00456C03">
        <w:rPr>
          <w:rtl/>
          <w:lang w:bidi="ar-EG"/>
        </w:rPr>
        <w:t xml:space="preserve">في حالة الطلبات الدولية </w:t>
      </w:r>
      <w:r w:rsidRPr="00456C03">
        <w:rPr>
          <w:rFonts w:hint="cs"/>
          <w:rtl/>
          <w:lang w:bidi="ar-EG"/>
        </w:rPr>
        <w:t>بموجب</w:t>
      </w:r>
      <w:r w:rsidRPr="00456C03">
        <w:rPr>
          <w:rtl/>
          <w:lang w:bidi="ar-EG"/>
        </w:rPr>
        <w:t xml:space="preserve"> معاهدة التعاون بشأن البراءات، لا تتم المعالجة الإلكترونية فقط بين مكتب تسلم الطلبات والمكتب الدولي وإدارة البحث الدولي، ولكن أيضًا داخل المكتب نفسه، على سبيل المثال، عند استلام الطلب وفحص الإجراءات الشكلية وإصدار الاستمارات.</w:t>
      </w:r>
    </w:p>
    <w:p w14:paraId="22ACFD7C" w14:textId="21F684A8" w:rsidR="00456C03" w:rsidRPr="00456C03" w:rsidRDefault="00456C03" w:rsidP="0050744E">
      <w:pPr>
        <w:pStyle w:val="ONUMA"/>
        <w:rPr>
          <w:rFonts w:cstheme="minorHAnsi"/>
          <w:lang w:bidi="ar-EG"/>
        </w:rPr>
      </w:pPr>
      <w:r w:rsidRPr="00456C03">
        <w:rPr>
          <w:rFonts w:hint="cs"/>
          <w:rtl/>
          <w:lang w:bidi="ar-EG"/>
        </w:rPr>
        <w:t>و</w:t>
      </w:r>
      <w:r w:rsidRPr="00456C03">
        <w:rPr>
          <w:rtl/>
          <w:lang w:bidi="ar-EG"/>
        </w:rPr>
        <w:t xml:space="preserve">في الوقت الحاضر، </w:t>
      </w:r>
      <w:r w:rsidRPr="00456C03">
        <w:rPr>
          <w:rFonts w:hint="cs"/>
          <w:rtl/>
          <w:lang w:bidi="ar-EG"/>
        </w:rPr>
        <w:t>تتبع</w:t>
      </w:r>
      <w:r w:rsidRPr="00456C03">
        <w:rPr>
          <w:rtl/>
          <w:lang w:bidi="ar-EG"/>
        </w:rPr>
        <w:t xml:space="preserve"> العديد من مكاتب البراءات معالجة إلكترونية في جميع القطاعات المسؤولة عن الأنشطة المتعلقة بمنح البراء</w:t>
      </w:r>
      <w:r w:rsidRPr="00456C03">
        <w:rPr>
          <w:rFonts w:hint="cs"/>
          <w:rtl/>
          <w:lang w:bidi="ar-EG"/>
        </w:rPr>
        <w:t>ات</w:t>
      </w:r>
      <w:r w:rsidRPr="00456C03">
        <w:rPr>
          <w:rtl/>
          <w:lang w:bidi="ar-EG"/>
        </w:rPr>
        <w:t>: تلقي الطلبات وال</w:t>
      </w:r>
      <w:r w:rsidR="00831D71">
        <w:rPr>
          <w:rtl/>
          <w:lang w:bidi="ar-EG"/>
        </w:rPr>
        <w:t>مستندات</w:t>
      </w:r>
      <w:r w:rsidRPr="00456C03">
        <w:rPr>
          <w:rtl/>
          <w:lang w:bidi="ar-EG"/>
        </w:rPr>
        <w:t xml:space="preserve"> الوطنية، والتسجيل، وفحص الإجراءات الشكلية، والنشر، ودفع الرسوم، والالتماسات، والفحص الموضوعي، ومنح البراءات.</w:t>
      </w:r>
    </w:p>
    <w:p w14:paraId="618552A4" w14:textId="77777777" w:rsidR="00456C03" w:rsidRPr="00456C03" w:rsidRDefault="00456C03" w:rsidP="0050744E">
      <w:pPr>
        <w:pStyle w:val="ONUMA"/>
        <w:rPr>
          <w:rFonts w:cstheme="minorHAnsi"/>
          <w:lang w:bidi="ar-EG"/>
        </w:rPr>
      </w:pPr>
      <w:r w:rsidRPr="00456C03">
        <w:rPr>
          <w:rtl/>
          <w:lang w:bidi="ar-EG"/>
        </w:rPr>
        <w:lastRenderedPageBreak/>
        <w:t xml:space="preserve">وبالتالي، </w:t>
      </w:r>
      <w:r w:rsidRPr="00456C03">
        <w:rPr>
          <w:rFonts w:hint="cs"/>
          <w:rtl/>
          <w:lang w:bidi="ar-EG"/>
        </w:rPr>
        <w:t>يشكل</w:t>
      </w:r>
      <w:r w:rsidRPr="00456C03">
        <w:rPr>
          <w:rtl/>
          <w:lang w:bidi="ar-EG"/>
        </w:rPr>
        <w:t xml:space="preserve"> تلقي الطلب </w:t>
      </w:r>
      <w:r w:rsidRPr="00456C03">
        <w:rPr>
          <w:rFonts w:hint="cs"/>
          <w:rtl/>
          <w:lang w:bidi="ar-EG"/>
        </w:rPr>
        <w:t>ورقيا</w:t>
      </w:r>
      <w:r w:rsidRPr="00456C03">
        <w:rPr>
          <w:rtl/>
          <w:lang w:bidi="ar-EG"/>
        </w:rPr>
        <w:t xml:space="preserve">، سواء كان الإيداع في المرحلة الدولية أو الوطنية من معاهدة التعاون بشأن البراءات، </w:t>
      </w:r>
      <w:r w:rsidRPr="00456C03">
        <w:rPr>
          <w:rFonts w:hint="cs"/>
          <w:rtl/>
          <w:lang w:bidi="ar-EG"/>
        </w:rPr>
        <w:t>عبئا</w:t>
      </w:r>
      <w:r w:rsidRPr="00456C03">
        <w:rPr>
          <w:rtl/>
          <w:lang w:bidi="ar-EG"/>
        </w:rPr>
        <w:t xml:space="preserve"> إضافيًا للمكتب، سواء كان يعمل كمكتب تسلم أو إدارة دولية أو كمكتب منتخب أو معين، حيث سيتعين عليه </w:t>
      </w:r>
      <w:r w:rsidRPr="00456C03">
        <w:rPr>
          <w:rFonts w:hint="cs"/>
          <w:rtl/>
          <w:lang w:bidi="ar-EG"/>
        </w:rPr>
        <w:t>إخضاعه</w:t>
      </w:r>
      <w:r w:rsidRPr="00456C03">
        <w:rPr>
          <w:rtl/>
          <w:lang w:bidi="ar-EG"/>
        </w:rPr>
        <w:t xml:space="preserve"> للمعالجة إلكترونيًا من خلال أنظمتها.</w:t>
      </w:r>
    </w:p>
    <w:p w14:paraId="52C03A30" w14:textId="584EBF24" w:rsidR="00456C03" w:rsidRPr="00456C03" w:rsidRDefault="001857F9" w:rsidP="0050744E">
      <w:pPr>
        <w:pStyle w:val="ONUMA"/>
        <w:rPr>
          <w:rFonts w:cstheme="minorHAnsi"/>
          <w:lang w:bidi="ar-EG"/>
        </w:rPr>
      </w:pPr>
      <w:r>
        <w:rPr>
          <w:rFonts w:hint="cs"/>
          <w:rtl/>
          <w:lang w:bidi="ar-EG"/>
        </w:rPr>
        <w:t>و</w:t>
      </w:r>
      <w:r w:rsidR="00456C03" w:rsidRPr="00456C03">
        <w:rPr>
          <w:rtl/>
          <w:lang w:bidi="ar-EG"/>
        </w:rPr>
        <w:t xml:space="preserve">تستغرق معالجة الطلب الدولي </w:t>
      </w:r>
      <w:r w:rsidR="00456C03" w:rsidRPr="00456C03">
        <w:rPr>
          <w:rFonts w:hint="cs"/>
          <w:rtl/>
          <w:lang w:bidi="ar-EG"/>
        </w:rPr>
        <w:t>بموجب</w:t>
      </w:r>
      <w:r w:rsidR="00456C03" w:rsidRPr="00456C03">
        <w:rPr>
          <w:rtl/>
          <w:lang w:bidi="ar-EG"/>
        </w:rPr>
        <w:t xml:space="preserve"> معاهدة التعاون بشأن البراءات المودع </w:t>
      </w:r>
      <w:r w:rsidR="00456C03" w:rsidRPr="00456C03">
        <w:rPr>
          <w:rFonts w:hint="cs"/>
          <w:rtl/>
          <w:lang w:bidi="ar-EG"/>
        </w:rPr>
        <w:t>ورقيا</w:t>
      </w:r>
      <w:r w:rsidR="00456C03" w:rsidRPr="00456C03">
        <w:rPr>
          <w:rtl/>
          <w:lang w:bidi="ar-EG"/>
        </w:rPr>
        <w:t xml:space="preserve"> وقتًا أطول، حيث يلزم مسحه ضوئيًا وتسجيله وتحميله على نظام الإيداع الإلكتروني (</w:t>
      </w:r>
      <w:proofErr w:type="spellStart"/>
      <w:r w:rsidR="00456C03" w:rsidRPr="00456C03">
        <w:rPr>
          <w:lang w:bidi="ar-EG"/>
        </w:rPr>
        <w:t>ePCT</w:t>
      </w:r>
      <w:proofErr w:type="spellEnd"/>
      <w:r w:rsidR="00456C03" w:rsidRPr="00456C03">
        <w:rPr>
          <w:rtl/>
          <w:lang w:bidi="ar-EG"/>
        </w:rPr>
        <w:t xml:space="preserve">)، مع الأخذ في الاعتبار أن المكتب الدولي والإدارات الدولية </w:t>
      </w:r>
      <w:r w:rsidR="00456C03" w:rsidRPr="00456C03">
        <w:rPr>
          <w:rFonts w:hint="cs"/>
          <w:rtl/>
          <w:lang w:bidi="ar-EG"/>
        </w:rPr>
        <w:t>تستخدم في عملها</w:t>
      </w:r>
      <w:r w:rsidR="00456C03" w:rsidRPr="00456C03">
        <w:rPr>
          <w:rtl/>
          <w:lang w:bidi="ar-EG"/>
        </w:rPr>
        <w:t xml:space="preserve"> فقط ال</w:t>
      </w:r>
      <w:r w:rsidR="00831D71">
        <w:rPr>
          <w:rtl/>
          <w:lang w:bidi="ar-EG"/>
        </w:rPr>
        <w:t>مستندات</w:t>
      </w:r>
      <w:r w:rsidR="00456C03" w:rsidRPr="00456C03">
        <w:rPr>
          <w:rtl/>
          <w:lang w:bidi="ar-EG"/>
        </w:rPr>
        <w:t xml:space="preserve"> في </w:t>
      </w:r>
      <w:r w:rsidR="00456C03" w:rsidRPr="00456C03">
        <w:rPr>
          <w:rFonts w:hint="cs"/>
          <w:rtl/>
          <w:lang w:bidi="ar-EG"/>
        </w:rPr>
        <w:t>نسق</w:t>
      </w:r>
      <w:r w:rsidR="00456C03" w:rsidRPr="00456C03">
        <w:rPr>
          <w:rtl/>
          <w:lang w:bidi="ar-EG"/>
        </w:rPr>
        <w:t xml:space="preserve"> إلكتروني. </w:t>
      </w:r>
      <w:r w:rsidR="00456C03" w:rsidRPr="00456C03">
        <w:rPr>
          <w:rFonts w:hint="cs"/>
          <w:rtl/>
          <w:lang w:bidi="ar-EG"/>
        </w:rPr>
        <w:t>و</w:t>
      </w:r>
      <w:r w:rsidR="00456C03" w:rsidRPr="00456C03">
        <w:rPr>
          <w:rtl/>
          <w:lang w:bidi="ar-EG"/>
        </w:rPr>
        <w:t xml:space="preserve">بالإضافة إلى ذلك، يتألف العمل من شقين فيما يتعلق </w:t>
      </w:r>
      <w:r w:rsidR="00456C03" w:rsidRPr="00456C03">
        <w:rPr>
          <w:rFonts w:hint="cs"/>
          <w:rtl/>
          <w:lang w:bidi="ar-EG"/>
        </w:rPr>
        <w:t>بالاستمارات</w:t>
      </w:r>
      <w:r w:rsidR="00456C03" w:rsidRPr="00456C03">
        <w:rPr>
          <w:rtl/>
          <w:lang w:bidi="ar-EG"/>
        </w:rPr>
        <w:t xml:space="preserve"> الصادرة، حيث يتلقى </w:t>
      </w:r>
      <w:r w:rsidR="00456C03" w:rsidRPr="00456C03">
        <w:rPr>
          <w:rFonts w:hint="cs"/>
          <w:rtl/>
          <w:lang w:bidi="ar-EG"/>
        </w:rPr>
        <w:t>مودع</w:t>
      </w:r>
      <w:r w:rsidR="00456C03" w:rsidRPr="00456C03">
        <w:rPr>
          <w:rtl/>
          <w:lang w:bidi="ar-EG"/>
        </w:rPr>
        <w:t xml:space="preserve"> الطلب جميع ال</w:t>
      </w:r>
      <w:r w:rsidR="00831D71">
        <w:rPr>
          <w:rtl/>
          <w:lang w:bidi="ar-EG"/>
        </w:rPr>
        <w:t>مستندات</w:t>
      </w:r>
      <w:r w:rsidR="00456C03" w:rsidRPr="00456C03">
        <w:rPr>
          <w:rtl/>
          <w:lang w:bidi="ar-EG"/>
        </w:rPr>
        <w:t xml:space="preserve"> </w:t>
      </w:r>
      <w:r w:rsidR="00456C03" w:rsidRPr="00456C03">
        <w:rPr>
          <w:rFonts w:hint="cs"/>
          <w:rtl/>
          <w:lang w:bidi="ar-EG"/>
        </w:rPr>
        <w:t>ورقيا</w:t>
      </w:r>
      <w:r w:rsidR="00456C03" w:rsidRPr="00456C03">
        <w:rPr>
          <w:rtl/>
          <w:lang w:bidi="ar-EG"/>
        </w:rPr>
        <w:t xml:space="preserve">، بينما سيتسلمها المكتب الدولي وإدارات البحث الدولي في </w:t>
      </w:r>
      <w:r w:rsidR="00456C03" w:rsidRPr="00456C03">
        <w:rPr>
          <w:rFonts w:hint="cs"/>
          <w:rtl/>
          <w:lang w:bidi="ar-EG"/>
        </w:rPr>
        <w:t>نسق</w:t>
      </w:r>
      <w:r w:rsidR="00456C03" w:rsidRPr="00456C03">
        <w:rPr>
          <w:rtl/>
          <w:lang w:bidi="ar-EG"/>
        </w:rPr>
        <w:t xml:space="preserve"> إلكتروني. </w:t>
      </w:r>
      <w:r w:rsidR="00456C03" w:rsidRPr="00456C03">
        <w:rPr>
          <w:rFonts w:hint="cs"/>
          <w:rtl/>
          <w:lang w:bidi="ar-EG"/>
        </w:rPr>
        <w:t>و</w:t>
      </w:r>
      <w:r w:rsidR="00456C03" w:rsidRPr="00456C03">
        <w:rPr>
          <w:rtl/>
          <w:lang w:bidi="ar-EG"/>
        </w:rPr>
        <w:t xml:space="preserve">هناك أيضًا </w:t>
      </w:r>
      <w:r w:rsidR="00456C03" w:rsidRPr="00456C03">
        <w:rPr>
          <w:rFonts w:hint="cs"/>
          <w:rtl/>
          <w:lang w:bidi="ar-EG"/>
        </w:rPr>
        <w:t>احتمالية كبيرة</w:t>
      </w:r>
      <w:r w:rsidR="00456C03" w:rsidRPr="00456C03">
        <w:rPr>
          <w:rtl/>
          <w:lang w:bidi="ar-EG"/>
        </w:rPr>
        <w:t xml:space="preserve"> في قيام المكاتب بإدخال أخطاء </w:t>
      </w:r>
      <w:r w:rsidR="00456C03" w:rsidRPr="00456C03">
        <w:rPr>
          <w:rFonts w:hint="cs"/>
          <w:rtl/>
          <w:lang w:bidi="ar-EG"/>
        </w:rPr>
        <w:t>عند</w:t>
      </w:r>
      <w:r w:rsidR="00456C03" w:rsidRPr="00456C03">
        <w:rPr>
          <w:rtl/>
          <w:lang w:bidi="ar-EG"/>
        </w:rPr>
        <w:t xml:space="preserve"> نسخ المعلومات من </w:t>
      </w:r>
      <w:r w:rsidR="00456C03" w:rsidRPr="00456C03">
        <w:rPr>
          <w:rFonts w:hint="cs"/>
          <w:rtl/>
          <w:lang w:bidi="ar-EG"/>
        </w:rPr>
        <w:t>استمارة</w:t>
      </w:r>
      <w:r w:rsidR="00456C03" w:rsidRPr="00456C03">
        <w:rPr>
          <w:rtl/>
          <w:lang w:bidi="ar-EG"/>
        </w:rPr>
        <w:t xml:space="preserve"> الطلب وتحميل </w:t>
      </w:r>
      <w:r w:rsidR="00456C03" w:rsidRPr="00456C03">
        <w:rPr>
          <w:rFonts w:hint="cs"/>
          <w:rtl/>
          <w:lang w:bidi="ar-EG"/>
        </w:rPr>
        <w:t>ال</w:t>
      </w:r>
      <w:r w:rsidR="00831D71">
        <w:rPr>
          <w:rFonts w:hint="cs"/>
          <w:rtl/>
          <w:lang w:bidi="ar-EG"/>
        </w:rPr>
        <w:t>مستندات</w:t>
      </w:r>
      <w:r w:rsidR="00456C03" w:rsidRPr="00456C03">
        <w:rPr>
          <w:rtl/>
          <w:lang w:bidi="ar-EG"/>
        </w:rPr>
        <w:t xml:space="preserve"> الممسوحة ضوئيًا وتصنيفها. وتجدر الإشارة إلى أن العديد من هذه المشكلات تنطبق أيضًا على أنظمة </w:t>
      </w:r>
      <w:r w:rsidR="00456C03" w:rsidRPr="00456C03">
        <w:rPr>
          <w:rFonts w:hint="cs"/>
          <w:rtl/>
          <w:lang w:bidi="ar-EG"/>
        </w:rPr>
        <w:t>الإيداع</w:t>
      </w:r>
      <w:r w:rsidR="00456C03" w:rsidRPr="00456C03">
        <w:rPr>
          <w:rtl/>
          <w:lang w:bidi="ar-EG"/>
        </w:rPr>
        <w:t xml:space="preserve"> الإلكتروني </w:t>
      </w:r>
      <w:r w:rsidR="00456C03" w:rsidRPr="00456C03">
        <w:rPr>
          <w:rFonts w:hint="cs"/>
          <w:rtl/>
          <w:lang w:bidi="ar-EG"/>
        </w:rPr>
        <w:t>عند</w:t>
      </w:r>
      <w:r w:rsidR="00456C03" w:rsidRPr="00456C03">
        <w:rPr>
          <w:rtl/>
          <w:lang w:bidi="ar-EG"/>
        </w:rPr>
        <w:t xml:space="preserve"> استلام عناصر مثل </w:t>
      </w:r>
      <w:r w:rsidR="00456C03" w:rsidRPr="00456C03">
        <w:rPr>
          <w:rFonts w:hint="cs"/>
          <w:rtl/>
          <w:lang w:bidi="ar-EG"/>
        </w:rPr>
        <w:t>استمارة</w:t>
      </w:r>
      <w:r w:rsidR="00456C03" w:rsidRPr="00456C03">
        <w:rPr>
          <w:rtl/>
          <w:lang w:bidi="ar-EG"/>
        </w:rPr>
        <w:t xml:space="preserve"> الطلب </w:t>
      </w:r>
      <w:r w:rsidR="00456C03" w:rsidRPr="00456C03">
        <w:rPr>
          <w:rFonts w:hint="cs"/>
          <w:rtl/>
          <w:lang w:bidi="ar-EG"/>
        </w:rPr>
        <w:t>بنسق</w:t>
      </w:r>
      <w:r w:rsidR="00456C03" w:rsidRPr="00456C03">
        <w:rPr>
          <w:rtl/>
          <w:lang w:bidi="ar-EG"/>
        </w:rPr>
        <w:t xml:space="preserve"> </w:t>
      </w:r>
      <w:r w:rsidR="00456C03" w:rsidRPr="00456C03">
        <w:rPr>
          <w:rFonts w:hint="cs"/>
          <w:rtl/>
          <w:lang w:bidi="ar-EG"/>
        </w:rPr>
        <w:t>الصور</w:t>
      </w:r>
      <w:r w:rsidR="00456C03" w:rsidRPr="00456C03">
        <w:rPr>
          <w:rtl/>
          <w:lang w:bidi="ar-EG"/>
        </w:rPr>
        <w:t xml:space="preserve">، بدلاً من </w:t>
      </w:r>
      <w:r w:rsidR="00456C03" w:rsidRPr="00456C03">
        <w:rPr>
          <w:rFonts w:cstheme="minorHAnsi"/>
          <w:lang w:bidi="ar-EG"/>
        </w:rPr>
        <w:t>XML</w:t>
      </w:r>
      <w:r w:rsidR="00456C03" w:rsidRPr="00456C03">
        <w:rPr>
          <w:rtl/>
          <w:lang w:bidi="ar-EG"/>
        </w:rPr>
        <w:t xml:space="preserve"> القابل للمعالجة تلقائيًا.</w:t>
      </w:r>
    </w:p>
    <w:p w14:paraId="338530C2" w14:textId="4B987AB0" w:rsidR="00456C03" w:rsidRPr="00456C03" w:rsidRDefault="00456C03" w:rsidP="0050744E">
      <w:pPr>
        <w:pStyle w:val="ONUMA"/>
        <w:rPr>
          <w:rFonts w:cstheme="minorHAnsi"/>
          <w:rtl/>
          <w:lang w:bidi="ar-EG"/>
        </w:rPr>
      </w:pPr>
      <w:r w:rsidRPr="00456C03">
        <w:rPr>
          <w:rFonts w:hint="cs"/>
          <w:rtl/>
          <w:lang w:bidi="ar-EG"/>
        </w:rPr>
        <w:t>و</w:t>
      </w:r>
      <w:r w:rsidRPr="00456C03">
        <w:rPr>
          <w:rtl/>
          <w:lang w:bidi="ar-EG"/>
        </w:rPr>
        <w:t xml:space="preserve">تهدف جميع مبادرات المكتب الدولي إلى تشجيع وتعزيز الخدمات الإلكترونية في جميع مراحل معاهدة التعاون بشأن البراءات، مما </w:t>
      </w:r>
      <w:r w:rsidRPr="00456C03">
        <w:rPr>
          <w:rFonts w:hint="cs"/>
          <w:rtl/>
          <w:lang w:bidi="ar-EG"/>
        </w:rPr>
        <w:t>يحتم على</w:t>
      </w:r>
      <w:r w:rsidRPr="00456C03">
        <w:rPr>
          <w:rtl/>
          <w:lang w:bidi="ar-EG"/>
        </w:rPr>
        <w:t xml:space="preserve"> المكاتب </w:t>
      </w:r>
      <w:r w:rsidRPr="00456C03">
        <w:rPr>
          <w:rFonts w:hint="cs"/>
          <w:rtl/>
          <w:lang w:bidi="ar-EG"/>
        </w:rPr>
        <w:t>التأهب</w:t>
      </w:r>
      <w:r w:rsidRPr="00456C03">
        <w:rPr>
          <w:rtl/>
          <w:lang w:bidi="ar-EG"/>
        </w:rPr>
        <w:t xml:space="preserve"> بشكل متزايد للعمل بهذا </w:t>
      </w:r>
      <w:r w:rsidRPr="00456C03">
        <w:rPr>
          <w:rFonts w:hint="cs"/>
          <w:rtl/>
          <w:lang w:bidi="ar-EG"/>
        </w:rPr>
        <w:t>النحو</w:t>
      </w:r>
      <w:r w:rsidRPr="00456C03">
        <w:rPr>
          <w:rtl/>
          <w:lang w:bidi="ar-EG"/>
        </w:rPr>
        <w:t xml:space="preserve">. وبالتالي، </w:t>
      </w:r>
      <w:r w:rsidRPr="00456C03">
        <w:rPr>
          <w:rFonts w:hint="cs"/>
          <w:rtl/>
          <w:lang w:bidi="ar-EG"/>
        </w:rPr>
        <w:t>يشكل</w:t>
      </w:r>
      <w:r w:rsidRPr="00456C03">
        <w:rPr>
          <w:rtl/>
          <w:lang w:bidi="ar-EG"/>
        </w:rPr>
        <w:t xml:space="preserve"> استلام جميع </w:t>
      </w:r>
      <w:r w:rsidR="00831D71">
        <w:rPr>
          <w:rtl/>
          <w:lang w:bidi="ar-EG"/>
        </w:rPr>
        <w:t>مستندات</w:t>
      </w:r>
      <w:r w:rsidRPr="00456C03">
        <w:rPr>
          <w:rtl/>
          <w:lang w:bidi="ar-EG"/>
        </w:rPr>
        <w:t xml:space="preserve"> الطلبات الدولية في </w:t>
      </w:r>
      <w:r w:rsidRPr="00456C03">
        <w:rPr>
          <w:rFonts w:hint="cs"/>
          <w:rtl/>
          <w:lang w:bidi="ar-EG"/>
        </w:rPr>
        <w:t>نسق</w:t>
      </w:r>
      <w:r w:rsidRPr="00456C03">
        <w:rPr>
          <w:rtl/>
          <w:lang w:bidi="ar-EG"/>
        </w:rPr>
        <w:t xml:space="preserve"> إلكتروني نقطة مهمة لمشاركة المكاتب وإسهامها في المبادرات ذات الأولوية لمعاهدة التعاون بشأن البراءات.</w:t>
      </w:r>
    </w:p>
    <w:p w14:paraId="17AC5CD8" w14:textId="77777777" w:rsidR="00456C03" w:rsidRPr="00456C03" w:rsidRDefault="00456C03" w:rsidP="00456C03">
      <w:pPr>
        <w:keepNext/>
        <w:spacing w:before="240" w:after="60"/>
        <w:outlineLvl w:val="0"/>
        <w:rPr>
          <w:rFonts w:asciiTheme="minorHAnsi" w:hAnsiTheme="minorHAnsi" w:cstheme="minorHAnsi"/>
          <w:b/>
          <w:bCs/>
          <w:caps/>
          <w:kern w:val="32"/>
          <w:sz w:val="24"/>
          <w:szCs w:val="24"/>
          <w:rtl/>
          <w:lang w:bidi="ar-EG"/>
        </w:rPr>
      </w:pPr>
      <w:bookmarkStart w:id="21" w:name="_Toc114145683"/>
      <w:bookmarkStart w:id="22" w:name="_Toc114145774"/>
      <w:r w:rsidRPr="00456C03">
        <w:rPr>
          <w:rFonts w:asciiTheme="minorHAnsi" w:hAnsiTheme="minorHAnsi" w:cstheme="minorHAnsi" w:hint="cs"/>
          <w:b/>
          <w:bCs/>
          <w:caps/>
          <w:kern w:val="32"/>
          <w:sz w:val="24"/>
          <w:szCs w:val="24"/>
          <w:rtl/>
          <w:lang w:bidi="ar-EG"/>
        </w:rPr>
        <w:t>المقترح</w:t>
      </w:r>
      <w:bookmarkEnd w:id="21"/>
      <w:bookmarkEnd w:id="22"/>
    </w:p>
    <w:p w14:paraId="4A728031" w14:textId="40A3E0B2" w:rsidR="00456C03" w:rsidRPr="00456C03" w:rsidRDefault="00456C03" w:rsidP="0050744E">
      <w:pPr>
        <w:pStyle w:val="ONUMA"/>
        <w:rPr>
          <w:rFonts w:cstheme="minorHAnsi"/>
          <w:lang w:bidi="ar-EG"/>
        </w:rPr>
      </w:pPr>
      <w:r w:rsidRPr="00456C03">
        <w:rPr>
          <w:rtl/>
          <w:lang w:bidi="ar-EG"/>
        </w:rPr>
        <w:t xml:space="preserve">يعرض </w:t>
      </w:r>
      <w:r w:rsidRPr="00456C03">
        <w:rPr>
          <w:rFonts w:hint="cs"/>
          <w:rtl/>
          <w:lang w:bidi="ar-EG"/>
        </w:rPr>
        <w:t>المرفق</w:t>
      </w:r>
      <w:r w:rsidRPr="00456C03">
        <w:rPr>
          <w:rtl/>
          <w:lang w:bidi="ar-EG"/>
        </w:rPr>
        <w:t xml:space="preserve"> الأول تعديلاً مقترحًا للقاعدة 89</w:t>
      </w:r>
      <w:r w:rsidRPr="00456C03">
        <w:rPr>
          <w:rFonts w:hint="cs"/>
          <w:vertAlign w:val="superscript"/>
          <w:rtl/>
          <w:lang w:bidi="ar-EG"/>
        </w:rPr>
        <w:t>ثانيا</w:t>
      </w:r>
      <w:r w:rsidRPr="00456C03">
        <w:rPr>
          <w:rtl/>
          <w:lang w:bidi="ar-EG"/>
        </w:rPr>
        <w:t xml:space="preserve"> </w:t>
      </w:r>
      <w:r w:rsidRPr="00456C03">
        <w:rPr>
          <w:rFonts w:hint="cs"/>
          <w:rtl/>
          <w:lang w:bidi="ar-EG"/>
        </w:rPr>
        <w:t>لتمكين</w:t>
      </w:r>
      <w:r w:rsidRPr="00456C03">
        <w:rPr>
          <w:rtl/>
          <w:lang w:bidi="ar-EG"/>
        </w:rPr>
        <w:t xml:space="preserve"> مكاتب تسلم الطلبات </w:t>
      </w:r>
      <w:r w:rsidRPr="00456C03">
        <w:rPr>
          <w:rFonts w:hint="cs"/>
          <w:rtl/>
          <w:lang w:bidi="ar-EG"/>
        </w:rPr>
        <w:t>من تحديد</w:t>
      </w:r>
      <w:r w:rsidRPr="00456C03">
        <w:rPr>
          <w:rtl/>
          <w:lang w:bidi="ar-EG"/>
        </w:rPr>
        <w:t xml:space="preserve"> </w:t>
      </w:r>
      <w:r w:rsidRPr="00456C03">
        <w:rPr>
          <w:rFonts w:hint="cs"/>
          <w:rtl/>
          <w:lang w:bidi="ar-EG"/>
        </w:rPr>
        <w:t>وسيلة</w:t>
      </w:r>
      <w:r w:rsidRPr="00456C03">
        <w:rPr>
          <w:rtl/>
          <w:lang w:bidi="ar-EG"/>
        </w:rPr>
        <w:t xml:space="preserve"> إيداع الطلب الدولي، ولا سيما اشتراط إيداع الطلبات الدولية في نسق إلكتروني فقط وليس </w:t>
      </w:r>
      <w:r w:rsidRPr="00456C03">
        <w:rPr>
          <w:rFonts w:hint="cs"/>
          <w:rtl/>
          <w:lang w:bidi="ar-EG"/>
        </w:rPr>
        <w:t>ورقيا</w:t>
      </w:r>
      <w:r w:rsidRPr="00456C03">
        <w:rPr>
          <w:rtl/>
          <w:lang w:bidi="ar-EG"/>
        </w:rPr>
        <w:t xml:space="preserve">. </w:t>
      </w:r>
      <w:r w:rsidRPr="00456C03">
        <w:rPr>
          <w:rFonts w:hint="cs"/>
          <w:rtl/>
          <w:lang w:bidi="ar-EG"/>
        </w:rPr>
        <w:t>وتوسع</w:t>
      </w:r>
      <w:r w:rsidRPr="00456C03">
        <w:rPr>
          <w:rtl/>
          <w:lang w:bidi="ar-EG"/>
        </w:rPr>
        <w:t xml:space="preserve"> القاعدة 89 </w:t>
      </w:r>
      <w:r w:rsidRPr="00456C03">
        <w:rPr>
          <w:rFonts w:hint="cs"/>
          <w:vertAlign w:val="superscript"/>
          <w:rtl/>
          <w:lang w:bidi="ar-EG"/>
        </w:rPr>
        <w:t>ثانيا</w:t>
      </w:r>
      <w:r w:rsidRPr="00456C03">
        <w:rPr>
          <w:rtl/>
          <w:lang w:bidi="ar-EG"/>
        </w:rPr>
        <w:t xml:space="preserve">2 نفس المبدأ ليشمل </w:t>
      </w:r>
      <w:r w:rsidRPr="00456C03">
        <w:rPr>
          <w:rFonts w:hint="cs"/>
          <w:rtl/>
          <w:lang w:bidi="ar-EG"/>
        </w:rPr>
        <w:t>ال</w:t>
      </w:r>
      <w:r w:rsidR="00831D71">
        <w:rPr>
          <w:rFonts w:hint="cs"/>
          <w:rtl/>
          <w:lang w:bidi="ar-EG"/>
        </w:rPr>
        <w:t>مستندات</w:t>
      </w:r>
      <w:r w:rsidRPr="00456C03">
        <w:rPr>
          <w:rtl/>
          <w:lang w:bidi="ar-EG"/>
        </w:rPr>
        <w:t xml:space="preserve"> المقدمة بعد إيداع الطلب الدولي، سواء إلى مكتب تسلم الطلبات أو إلى مكتب يتصرف بصفة أخرى مثل إدارة البحث الدولي أو إدارة الفحص التمهيدي.</w:t>
      </w:r>
    </w:p>
    <w:p w14:paraId="25ACBAB5" w14:textId="77777777" w:rsidR="00456C03" w:rsidRPr="00456C03" w:rsidRDefault="00456C03" w:rsidP="0050744E">
      <w:pPr>
        <w:pStyle w:val="ONUMA"/>
        <w:rPr>
          <w:rFonts w:cstheme="minorHAnsi"/>
          <w:lang w:bidi="ar-EG"/>
        </w:rPr>
      </w:pPr>
      <w:r w:rsidRPr="00456C03">
        <w:rPr>
          <w:rFonts w:hint="cs"/>
          <w:rtl/>
          <w:lang w:bidi="ar-EG"/>
        </w:rPr>
        <w:t>ويتعين على كل</w:t>
      </w:r>
      <w:r w:rsidRPr="00456C03">
        <w:rPr>
          <w:rtl/>
          <w:lang w:bidi="ar-EG"/>
        </w:rPr>
        <w:t xml:space="preserve"> مكتب يرغب في اتخاذ مثل هذه التدابير أن يخطر المكتب الدولي، الذي سينشر المعلومات في جريدة معاهدة التعاون بشأن البراءات وإتاحتها في أماكن أخرى، بما في ذلك دليل مودع طلب معاهدة التعاون بشأن البراءات والرسالة الإخبارية لمعاهدة التعاون بشأن البراءات. </w:t>
      </w:r>
      <w:r w:rsidRPr="00456C03">
        <w:rPr>
          <w:rFonts w:hint="cs"/>
          <w:rtl/>
          <w:lang w:bidi="ar-EG"/>
        </w:rPr>
        <w:t>و</w:t>
      </w:r>
      <w:r w:rsidRPr="00456C03">
        <w:rPr>
          <w:rtl/>
          <w:lang w:bidi="ar-EG"/>
        </w:rPr>
        <w:t xml:space="preserve">لن </w:t>
      </w:r>
      <w:r w:rsidRPr="00456C03">
        <w:rPr>
          <w:rFonts w:hint="cs"/>
          <w:rtl/>
          <w:lang w:bidi="ar-EG"/>
        </w:rPr>
        <w:t>يطلب المقترح</w:t>
      </w:r>
      <w:r w:rsidRPr="00456C03">
        <w:rPr>
          <w:rtl/>
          <w:lang w:bidi="ar-EG"/>
        </w:rPr>
        <w:t xml:space="preserve"> من مكاتب التسلم إجراء أي تغييرات على </w:t>
      </w:r>
      <w:r w:rsidRPr="00456C03">
        <w:rPr>
          <w:rFonts w:hint="cs"/>
          <w:rtl/>
          <w:lang w:bidi="ar-EG"/>
        </w:rPr>
        <w:t>أنساق</w:t>
      </w:r>
      <w:r w:rsidRPr="00456C03">
        <w:rPr>
          <w:rtl/>
          <w:lang w:bidi="ar-EG"/>
        </w:rPr>
        <w:t xml:space="preserve"> الإيداع التي تقبلها حاليًا.</w:t>
      </w:r>
    </w:p>
    <w:p w14:paraId="6E838299" w14:textId="6C32B9C4" w:rsidR="00456C03" w:rsidRPr="00456C03" w:rsidRDefault="00456C03" w:rsidP="0050744E">
      <w:pPr>
        <w:pStyle w:val="ONUMA"/>
        <w:rPr>
          <w:rFonts w:cstheme="minorHAnsi"/>
          <w:lang w:bidi="ar-EG"/>
        </w:rPr>
      </w:pPr>
      <w:r w:rsidRPr="00456C03">
        <w:rPr>
          <w:rFonts w:hint="cs"/>
          <w:rtl/>
          <w:lang w:bidi="ar-EG"/>
        </w:rPr>
        <w:t>و</w:t>
      </w:r>
      <w:r w:rsidRPr="00456C03">
        <w:rPr>
          <w:rtl/>
          <w:lang w:bidi="ar-EG"/>
        </w:rPr>
        <w:t xml:space="preserve">من </w:t>
      </w:r>
      <w:r w:rsidRPr="00456C03">
        <w:rPr>
          <w:rFonts w:hint="cs"/>
          <w:rtl/>
          <w:lang w:bidi="ar-EG"/>
        </w:rPr>
        <w:t>المسلم به</w:t>
      </w:r>
      <w:r w:rsidRPr="00456C03">
        <w:rPr>
          <w:rtl/>
          <w:lang w:bidi="ar-EG"/>
        </w:rPr>
        <w:t xml:space="preserve"> أنه في بعض الأحيان </w:t>
      </w:r>
      <w:r w:rsidRPr="00456C03">
        <w:rPr>
          <w:rFonts w:hint="cs"/>
          <w:rtl/>
          <w:lang w:bidi="ar-EG"/>
        </w:rPr>
        <w:t>ستكون</w:t>
      </w:r>
      <w:r w:rsidRPr="00456C03">
        <w:rPr>
          <w:rtl/>
          <w:lang w:bidi="ar-EG"/>
        </w:rPr>
        <w:t xml:space="preserve"> هناك حالات </w:t>
      </w:r>
      <w:r w:rsidRPr="00456C03">
        <w:rPr>
          <w:rFonts w:hint="cs"/>
          <w:rtl/>
          <w:lang w:bidi="ar-EG"/>
        </w:rPr>
        <w:t>يستعصي فيها</w:t>
      </w:r>
      <w:r w:rsidRPr="00456C03">
        <w:rPr>
          <w:rtl/>
          <w:lang w:bidi="ar-EG"/>
        </w:rPr>
        <w:t xml:space="preserve"> على </w:t>
      </w:r>
      <w:r w:rsidRPr="00456C03">
        <w:rPr>
          <w:rFonts w:hint="cs"/>
          <w:rtl/>
          <w:lang w:bidi="ar-EG"/>
        </w:rPr>
        <w:t>مودع</w:t>
      </w:r>
      <w:r w:rsidRPr="00456C03">
        <w:rPr>
          <w:rtl/>
          <w:lang w:bidi="ar-EG"/>
        </w:rPr>
        <w:t xml:space="preserve"> الطلب تقديم </w:t>
      </w:r>
      <w:r w:rsidRPr="00456C03">
        <w:rPr>
          <w:rFonts w:hint="cs"/>
          <w:rtl/>
          <w:lang w:bidi="ar-EG"/>
        </w:rPr>
        <w:t>ال</w:t>
      </w:r>
      <w:r w:rsidR="00831D71">
        <w:rPr>
          <w:rFonts w:hint="cs"/>
          <w:rtl/>
          <w:lang w:bidi="ar-EG"/>
        </w:rPr>
        <w:t>مستندات</w:t>
      </w:r>
      <w:r w:rsidRPr="00456C03">
        <w:rPr>
          <w:rtl/>
          <w:lang w:bidi="ar-EG"/>
        </w:rPr>
        <w:t xml:space="preserve"> إلكترونيًا. قد تكون هذه مشكلة عامة، مثل </w:t>
      </w:r>
      <w:r w:rsidRPr="00456C03">
        <w:rPr>
          <w:rFonts w:hint="cs"/>
          <w:rtl/>
          <w:lang w:bidi="ar-EG"/>
        </w:rPr>
        <w:t>حدوث عطل في</w:t>
      </w:r>
      <w:r w:rsidRPr="00456C03">
        <w:rPr>
          <w:rtl/>
          <w:lang w:bidi="ar-EG"/>
        </w:rPr>
        <w:t xml:space="preserve"> أنظمة الإيداع الإلكتروني أو </w:t>
      </w:r>
      <w:r w:rsidRPr="00456C03">
        <w:rPr>
          <w:rFonts w:hint="cs"/>
          <w:rtl/>
          <w:lang w:bidi="ar-EG"/>
        </w:rPr>
        <w:t>لسبب شخصي يخص</w:t>
      </w:r>
      <w:r w:rsidRPr="00456C03">
        <w:rPr>
          <w:rtl/>
          <w:lang w:bidi="ar-EG"/>
        </w:rPr>
        <w:t xml:space="preserve"> </w:t>
      </w:r>
      <w:r w:rsidRPr="00456C03">
        <w:rPr>
          <w:rFonts w:hint="cs"/>
          <w:rtl/>
          <w:lang w:bidi="ar-EG"/>
        </w:rPr>
        <w:t>مودع</w:t>
      </w:r>
      <w:r w:rsidRPr="00456C03">
        <w:rPr>
          <w:rtl/>
          <w:lang w:bidi="ar-EG"/>
        </w:rPr>
        <w:t xml:space="preserve"> الطلب الفردي. وبناءً على ذلك، يُقترح إدراج </w:t>
      </w:r>
      <w:r w:rsidRPr="00456C03">
        <w:rPr>
          <w:rFonts w:hint="cs"/>
          <w:rtl/>
          <w:lang w:bidi="ar-EG"/>
        </w:rPr>
        <w:t>مقتضى</w:t>
      </w:r>
      <w:r w:rsidRPr="00456C03">
        <w:rPr>
          <w:rtl/>
          <w:lang w:bidi="ar-EG"/>
        </w:rPr>
        <w:t xml:space="preserve"> في التعليمات الإدارية لمعاهدة التعاون بشأن البراءات لتوضيح أن المكتب يمكنه قبول إيداع </w:t>
      </w:r>
      <w:r w:rsidRPr="00456C03">
        <w:rPr>
          <w:rFonts w:hint="cs"/>
          <w:rtl/>
          <w:lang w:bidi="ar-EG"/>
        </w:rPr>
        <w:t>ال</w:t>
      </w:r>
      <w:r w:rsidR="00831D71">
        <w:rPr>
          <w:rFonts w:hint="cs"/>
          <w:rtl/>
          <w:lang w:bidi="ar-EG"/>
        </w:rPr>
        <w:t>مستندات</w:t>
      </w:r>
      <w:r w:rsidRPr="00456C03">
        <w:rPr>
          <w:rFonts w:hint="cs"/>
          <w:rtl/>
          <w:lang w:bidi="ar-EG"/>
        </w:rPr>
        <w:t xml:space="preserve"> ورقيا</w:t>
      </w:r>
      <w:r w:rsidRPr="00456C03">
        <w:rPr>
          <w:rtl/>
          <w:lang w:bidi="ar-EG"/>
        </w:rPr>
        <w:t xml:space="preserve"> (أو </w:t>
      </w:r>
      <w:r w:rsidR="00831D71">
        <w:rPr>
          <w:rFonts w:hint="cs"/>
          <w:rtl/>
          <w:lang w:bidi="ar-EG"/>
        </w:rPr>
        <w:t>المستندات</w:t>
      </w:r>
      <w:r w:rsidRPr="00456C03">
        <w:rPr>
          <w:rtl/>
          <w:lang w:bidi="ar-EG"/>
        </w:rPr>
        <w:t xml:space="preserve"> المود</w:t>
      </w:r>
      <w:r w:rsidR="00831D71">
        <w:rPr>
          <w:rFonts w:hint="cs"/>
          <w:rtl/>
          <w:lang w:bidi="ar-EG"/>
        </w:rPr>
        <w:t>عة</w:t>
      </w:r>
      <w:r w:rsidRPr="00456C03">
        <w:rPr>
          <w:rtl/>
          <w:lang w:bidi="ar-EG"/>
        </w:rPr>
        <w:t xml:space="preserve"> لاحقًا) إذا </w:t>
      </w:r>
      <w:r w:rsidRPr="00456C03">
        <w:rPr>
          <w:rFonts w:hint="cs"/>
          <w:rtl/>
          <w:lang w:bidi="ar-EG"/>
        </w:rPr>
        <w:t>رأى</w:t>
      </w:r>
      <w:r w:rsidRPr="00456C03">
        <w:rPr>
          <w:rtl/>
          <w:lang w:bidi="ar-EG"/>
        </w:rPr>
        <w:t xml:space="preserve"> ذلك مناسبًا، حتى </w:t>
      </w:r>
      <w:r w:rsidRPr="00456C03">
        <w:rPr>
          <w:rFonts w:hint="cs"/>
          <w:rtl/>
          <w:lang w:bidi="ar-EG"/>
        </w:rPr>
        <w:t>لو</w:t>
      </w:r>
      <w:r w:rsidRPr="00456C03">
        <w:rPr>
          <w:rtl/>
          <w:lang w:bidi="ar-EG"/>
        </w:rPr>
        <w:t xml:space="preserve"> قدم إخطارًا يشير إلى </w:t>
      </w:r>
      <w:r w:rsidRPr="00456C03">
        <w:rPr>
          <w:rFonts w:hint="cs"/>
          <w:rtl/>
          <w:lang w:bidi="ar-EG"/>
        </w:rPr>
        <w:t>عدم قبوله</w:t>
      </w:r>
      <w:r w:rsidRPr="00456C03">
        <w:rPr>
          <w:rtl/>
          <w:lang w:bidi="ar-EG"/>
        </w:rPr>
        <w:t xml:space="preserve"> إيداع </w:t>
      </w:r>
      <w:r w:rsidRPr="00456C03">
        <w:rPr>
          <w:rFonts w:hint="cs"/>
          <w:rtl/>
          <w:lang w:bidi="ar-EG"/>
        </w:rPr>
        <w:t>الطلب ورقيا</w:t>
      </w:r>
      <w:r w:rsidRPr="00456C03">
        <w:rPr>
          <w:rtl/>
          <w:lang w:bidi="ar-EG"/>
        </w:rPr>
        <w:t xml:space="preserve">. </w:t>
      </w:r>
      <w:r w:rsidRPr="00456C03">
        <w:rPr>
          <w:rFonts w:hint="cs"/>
          <w:rtl/>
          <w:lang w:bidi="ar-EG"/>
        </w:rPr>
        <w:t>و</w:t>
      </w:r>
      <w:r w:rsidRPr="00456C03">
        <w:rPr>
          <w:rtl/>
          <w:lang w:bidi="ar-EG"/>
        </w:rPr>
        <w:t xml:space="preserve">يحدد </w:t>
      </w:r>
      <w:r w:rsidRPr="00456C03">
        <w:rPr>
          <w:rFonts w:hint="cs"/>
          <w:rtl/>
          <w:lang w:bidi="ar-EG"/>
        </w:rPr>
        <w:t>المرفق</w:t>
      </w:r>
      <w:r w:rsidRPr="00456C03">
        <w:rPr>
          <w:rtl/>
          <w:lang w:bidi="ar-EG"/>
        </w:rPr>
        <w:t xml:space="preserve"> الثاني مشروع القسم 703 (هـ </w:t>
      </w:r>
      <w:r w:rsidRPr="00456C03">
        <w:rPr>
          <w:rFonts w:hint="cs"/>
          <w:rtl/>
          <w:lang w:bidi="ar-EG"/>
        </w:rPr>
        <w:t>ثانيا</w:t>
      </w:r>
      <w:r w:rsidRPr="00456C03">
        <w:rPr>
          <w:rtl/>
          <w:lang w:bidi="ar-EG"/>
        </w:rPr>
        <w:t xml:space="preserve">) الجديد لهذا الغرض، بناءً على القسم 703 (هـ) الحالي، والذي يسمح للمكاتب بقبول </w:t>
      </w:r>
      <w:r w:rsidRPr="00456C03">
        <w:rPr>
          <w:rFonts w:hint="cs"/>
          <w:rtl/>
          <w:lang w:bidi="ar-EG"/>
        </w:rPr>
        <w:t>الإيداعات</w:t>
      </w:r>
      <w:r w:rsidRPr="00456C03">
        <w:rPr>
          <w:rtl/>
          <w:lang w:bidi="ar-EG"/>
        </w:rPr>
        <w:t xml:space="preserve"> الإلكترونية غير </w:t>
      </w:r>
      <w:r w:rsidRPr="00456C03">
        <w:rPr>
          <w:rFonts w:hint="cs"/>
          <w:rtl/>
          <w:lang w:bidi="ar-EG"/>
        </w:rPr>
        <w:t>المحترمة للمعايير</w:t>
      </w:r>
      <w:r w:rsidRPr="00456C03">
        <w:rPr>
          <w:rtl/>
          <w:lang w:bidi="ar-EG"/>
        </w:rPr>
        <w:t xml:space="preserve"> على أساس كل حالة على حدة. وبدلاً من ذلك، </w:t>
      </w:r>
      <w:r w:rsidRPr="00456C03">
        <w:rPr>
          <w:rFonts w:hint="cs"/>
          <w:rtl/>
          <w:lang w:bidi="ar-EG"/>
        </w:rPr>
        <w:t>سي</w:t>
      </w:r>
      <w:r w:rsidRPr="00456C03">
        <w:rPr>
          <w:rtl/>
          <w:lang w:bidi="ar-EG"/>
        </w:rPr>
        <w:t>ظل</w:t>
      </w:r>
      <w:r w:rsidRPr="00456C03">
        <w:rPr>
          <w:rFonts w:hint="cs"/>
          <w:rtl/>
          <w:lang w:bidi="ar-EG"/>
        </w:rPr>
        <w:t xml:space="preserve"> مسموحا</w:t>
      </w:r>
      <w:r w:rsidRPr="00456C03">
        <w:rPr>
          <w:rtl/>
          <w:lang w:bidi="ar-EG"/>
        </w:rPr>
        <w:t xml:space="preserve"> </w:t>
      </w:r>
      <w:r w:rsidRPr="00456C03">
        <w:rPr>
          <w:rFonts w:hint="cs"/>
          <w:rtl/>
          <w:lang w:bidi="ar-EG"/>
        </w:rPr>
        <w:t>لمودعي</w:t>
      </w:r>
      <w:r w:rsidRPr="00456C03">
        <w:rPr>
          <w:rtl/>
          <w:lang w:bidi="ar-EG"/>
        </w:rPr>
        <w:t xml:space="preserve"> الطلبات</w:t>
      </w:r>
      <w:r w:rsidRPr="00456C03">
        <w:rPr>
          <w:rFonts w:hint="cs"/>
          <w:rtl/>
          <w:lang w:bidi="ar-EG"/>
        </w:rPr>
        <w:t xml:space="preserve"> المنحدرين </w:t>
      </w:r>
      <w:r w:rsidRPr="00456C03">
        <w:rPr>
          <w:rtl/>
          <w:lang w:bidi="ar-EG"/>
        </w:rPr>
        <w:t>من بلد أرسل مكتبه</w:t>
      </w:r>
      <w:r w:rsidRPr="00456C03">
        <w:rPr>
          <w:rFonts w:hint="cs"/>
          <w:rtl/>
          <w:lang w:bidi="ar-EG"/>
        </w:rPr>
        <w:t xml:space="preserve"> </w:t>
      </w:r>
      <w:r w:rsidRPr="00456C03">
        <w:rPr>
          <w:rtl/>
          <w:lang w:bidi="ar-EG"/>
        </w:rPr>
        <w:t xml:space="preserve">هذا الإخطار أحرارًا في إيداع الطلبات </w:t>
      </w:r>
      <w:r w:rsidRPr="00456C03">
        <w:rPr>
          <w:rFonts w:hint="cs"/>
          <w:rtl/>
          <w:lang w:bidi="ar-EG"/>
        </w:rPr>
        <w:t>ورقيا لدى</w:t>
      </w:r>
      <w:r w:rsidRPr="00456C03">
        <w:rPr>
          <w:rtl/>
          <w:lang w:bidi="ar-EG"/>
        </w:rPr>
        <w:t xml:space="preserve"> </w:t>
      </w:r>
      <w:r w:rsidRPr="00456C03">
        <w:rPr>
          <w:rFonts w:hint="cs"/>
          <w:rtl/>
          <w:lang w:bidi="ar-EG"/>
        </w:rPr>
        <w:t>ا</w:t>
      </w:r>
      <w:r w:rsidRPr="00456C03">
        <w:rPr>
          <w:rtl/>
          <w:lang w:bidi="ar-EG"/>
        </w:rPr>
        <w:t>لمكتب الدولي</w:t>
      </w:r>
      <w:r w:rsidRPr="00456C03">
        <w:rPr>
          <w:rFonts w:hint="cs"/>
          <w:rtl/>
          <w:lang w:bidi="ar-EG"/>
        </w:rPr>
        <w:t xml:space="preserve"> بوصفه</w:t>
      </w:r>
      <w:r w:rsidRPr="00456C03">
        <w:rPr>
          <w:rtl/>
          <w:lang w:bidi="ar-EG"/>
        </w:rPr>
        <w:t xml:space="preserve"> مكتب</w:t>
      </w:r>
      <w:r w:rsidRPr="00456C03">
        <w:rPr>
          <w:rFonts w:hint="cs"/>
          <w:rtl/>
          <w:lang w:bidi="ar-EG"/>
        </w:rPr>
        <w:t>ا</w:t>
      </w:r>
      <w:r w:rsidRPr="00456C03">
        <w:rPr>
          <w:rtl/>
          <w:lang w:bidi="ar-EG"/>
        </w:rPr>
        <w:t xml:space="preserve"> تسلم الطلبات.</w:t>
      </w:r>
    </w:p>
    <w:p w14:paraId="46362769" w14:textId="77777777" w:rsidR="00456C03" w:rsidRPr="00456C03" w:rsidRDefault="00456C03" w:rsidP="0050744E">
      <w:pPr>
        <w:pStyle w:val="ONUMA"/>
        <w:rPr>
          <w:rFonts w:cstheme="minorHAnsi"/>
          <w:rtl/>
          <w:lang w:bidi="ar-EG"/>
        </w:rPr>
      </w:pPr>
      <w:r w:rsidRPr="00456C03">
        <w:rPr>
          <w:rtl/>
          <w:lang w:bidi="ar-EG"/>
        </w:rPr>
        <w:t xml:space="preserve">كما يرغب المعهد الوطني البرازيلي للملكية الصناعية في جعل دخول المرحلة الوطنية إلكترونيًا فقط. ومع ذلك، لا يزال هناك عدد من القضايا التي يتعين توضيحها في سياق المادة 22 والقاعدة 49 من معاهدة التعاون بشأن البراءات. </w:t>
      </w:r>
      <w:r w:rsidRPr="00456C03">
        <w:rPr>
          <w:rFonts w:hint="cs"/>
          <w:rtl/>
          <w:lang w:bidi="ar-EG"/>
        </w:rPr>
        <w:t>وسيكون لهذا</w:t>
      </w:r>
      <w:r w:rsidRPr="00456C03">
        <w:rPr>
          <w:rtl/>
          <w:lang w:bidi="ar-EG"/>
        </w:rPr>
        <w:t xml:space="preserve"> تأثير أكبر </w:t>
      </w:r>
      <w:r w:rsidRPr="00456C03">
        <w:rPr>
          <w:rFonts w:hint="cs"/>
          <w:rtl/>
          <w:lang w:bidi="ar-EG"/>
        </w:rPr>
        <w:t xml:space="preserve">أيضا </w:t>
      </w:r>
      <w:r w:rsidRPr="00456C03">
        <w:rPr>
          <w:rtl/>
          <w:lang w:bidi="ar-EG"/>
        </w:rPr>
        <w:t xml:space="preserve">على مصالح المودعين من جميع الدول المتعاقدة بموجب معاهدة التعاون بشأن البراءات، وليس فقط في حالة إيداع الطلب. وبناءً على ذلك، تدعو البرازيل </w:t>
      </w:r>
      <w:r w:rsidRPr="00456C03">
        <w:rPr>
          <w:rFonts w:hint="cs"/>
          <w:rtl/>
          <w:lang w:bidi="ar-EG"/>
        </w:rPr>
        <w:t>الفريق العامل إلى تقديم</w:t>
      </w:r>
      <w:r w:rsidRPr="00456C03">
        <w:rPr>
          <w:rtl/>
          <w:lang w:bidi="ar-EG"/>
        </w:rPr>
        <w:t xml:space="preserve"> تعليقات بشأن القضايا المعنية وتقترح دعوة المكتب الدولي لإجراء تحليل </w:t>
      </w:r>
      <w:r w:rsidRPr="00456C03">
        <w:rPr>
          <w:rFonts w:hint="cs"/>
          <w:rtl/>
          <w:lang w:bidi="ar-EG"/>
        </w:rPr>
        <w:t>وتقديم مقترح</w:t>
      </w:r>
      <w:r w:rsidRPr="00456C03">
        <w:rPr>
          <w:rtl/>
          <w:lang w:bidi="ar-EG"/>
        </w:rPr>
        <w:t xml:space="preserve"> في الدورة المقبلة للفريق العامل</w:t>
      </w:r>
      <w:r w:rsidRPr="00456C03">
        <w:rPr>
          <w:rFonts w:cstheme="minorHAnsi"/>
          <w:rtl/>
          <w:lang w:bidi="ar-EG"/>
        </w:rPr>
        <w:t>.</w:t>
      </w:r>
    </w:p>
    <w:p w14:paraId="2692BC7D" w14:textId="77777777" w:rsidR="00456C03" w:rsidRPr="00456C03" w:rsidRDefault="00456C03" w:rsidP="002F0A4B">
      <w:pPr>
        <w:pStyle w:val="ONUMA"/>
        <w:ind w:left="5527"/>
        <w:rPr>
          <w:rFonts w:asciiTheme="minorHAnsi" w:hAnsiTheme="minorHAnsi" w:cstheme="minorHAnsi"/>
          <w:i/>
          <w:lang w:bidi="ar-EG"/>
        </w:rPr>
      </w:pPr>
      <w:r w:rsidRPr="00456C03">
        <w:rPr>
          <w:rFonts w:asciiTheme="minorHAnsi" w:hAnsiTheme="minorHAnsi" w:cstheme="minorHAnsi"/>
          <w:i/>
          <w:iCs/>
          <w:rtl/>
          <w:lang w:bidi="ar-EG"/>
        </w:rPr>
        <w:t>إن الفريق العامل مدعو إلى ما يلي:</w:t>
      </w:r>
      <w:r w:rsidRPr="00456C03">
        <w:rPr>
          <w:rFonts w:asciiTheme="minorHAnsi" w:hAnsiTheme="minorHAnsi" w:cstheme="minorHAnsi"/>
          <w:i/>
          <w:iCs/>
          <w:rtl/>
          <w:lang w:bidi="ar-EG"/>
        </w:rPr>
        <w:br/>
      </w:r>
      <w:r w:rsidRPr="00456C03">
        <w:rPr>
          <w:rFonts w:asciiTheme="minorHAnsi" w:hAnsiTheme="minorHAnsi" w:cstheme="minorHAnsi"/>
          <w:i/>
          <w:iCs/>
          <w:rtl/>
          <w:lang w:bidi="ar-EG"/>
        </w:rPr>
        <w:br/>
        <w:t xml:space="preserve">"1" </w:t>
      </w:r>
      <w:r w:rsidRPr="00456C03">
        <w:rPr>
          <w:rFonts w:asciiTheme="minorHAnsi" w:hAnsiTheme="minorHAnsi" w:cstheme="minorHAnsi"/>
          <w:i/>
          <w:iCs/>
          <w:lang w:bidi="ar-EG"/>
        </w:rPr>
        <w:t xml:space="preserve"> </w:t>
      </w:r>
      <w:r w:rsidRPr="00456C03">
        <w:rPr>
          <w:rFonts w:asciiTheme="minorHAnsi" w:hAnsiTheme="minorHAnsi"/>
          <w:i/>
          <w:iCs/>
          <w:rtl/>
          <w:lang w:bidi="ar-EG"/>
        </w:rPr>
        <w:t>النظر في المقترحات الواردة في مرفقي الوثيقة</w:t>
      </w:r>
      <w:r w:rsidRPr="00456C03">
        <w:rPr>
          <w:rFonts w:cs="Arial"/>
          <w:szCs w:val="20"/>
          <w:lang w:bidi="ar-EG"/>
        </w:rPr>
        <w:t xml:space="preserve"> </w:t>
      </w:r>
      <w:r w:rsidRPr="00456C03">
        <w:rPr>
          <w:rFonts w:asciiTheme="minorHAnsi" w:hAnsiTheme="minorHAnsi"/>
          <w:i/>
          <w:iCs/>
          <w:lang w:bidi="ar-EG"/>
        </w:rPr>
        <w:t>PCT/WG/15/13</w:t>
      </w:r>
      <w:r w:rsidRPr="00456C03">
        <w:rPr>
          <w:rFonts w:asciiTheme="minorHAnsi" w:hAnsiTheme="minorHAnsi"/>
          <w:i/>
          <w:iCs/>
          <w:rtl/>
          <w:lang w:bidi="ar-EG"/>
        </w:rPr>
        <w:t xml:space="preserve"> </w:t>
      </w:r>
      <w:r w:rsidRPr="00456C03">
        <w:rPr>
          <w:rFonts w:asciiTheme="minorHAnsi" w:hAnsiTheme="minorHAnsi" w:cstheme="minorHAnsi"/>
          <w:i/>
          <w:iCs/>
          <w:rtl/>
          <w:lang w:bidi="ar-EG"/>
        </w:rPr>
        <w:t xml:space="preserve">؛ </w:t>
      </w:r>
    </w:p>
    <w:p w14:paraId="6655DCFA" w14:textId="39D5F345" w:rsidR="00456C03" w:rsidRPr="00456C03" w:rsidRDefault="00456C03" w:rsidP="002F0A4B">
      <w:pPr>
        <w:pStyle w:val="ONUMA"/>
        <w:numPr>
          <w:ilvl w:val="0"/>
          <w:numId w:val="0"/>
        </w:numPr>
        <w:ind w:left="5527"/>
        <w:rPr>
          <w:rFonts w:asciiTheme="minorHAnsi" w:hAnsiTheme="minorHAnsi" w:cstheme="minorHAnsi"/>
          <w:i/>
          <w:iCs/>
          <w:rtl/>
          <w:lang w:bidi="ar-EG"/>
        </w:rPr>
      </w:pPr>
      <w:r w:rsidRPr="00456C03">
        <w:rPr>
          <w:rFonts w:asciiTheme="minorHAnsi" w:hAnsiTheme="minorHAnsi" w:cstheme="minorHAnsi"/>
          <w:i/>
          <w:iCs/>
          <w:rtl/>
          <w:lang w:bidi="ar-EG"/>
        </w:rPr>
        <w:t>"2"</w:t>
      </w:r>
      <w:r w:rsidR="00660C7F">
        <w:rPr>
          <w:rFonts w:asciiTheme="minorHAnsi" w:hAnsiTheme="minorHAnsi" w:cstheme="minorHAnsi" w:hint="cs"/>
          <w:i/>
          <w:iCs/>
          <w:rtl/>
          <w:lang w:bidi="ar-EG"/>
        </w:rPr>
        <w:t xml:space="preserve"> </w:t>
      </w:r>
      <w:r w:rsidRPr="00456C03">
        <w:rPr>
          <w:rFonts w:asciiTheme="minorHAnsi" w:hAnsiTheme="minorHAnsi" w:cstheme="minorHAnsi" w:hint="cs"/>
          <w:i/>
          <w:iCs/>
          <w:rtl/>
          <w:lang w:bidi="ar-EG"/>
        </w:rPr>
        <w:t>و</w:t>
      </w:r>
      <w:r w:rsidRPr="00456C03">
        <w:rPr>
          <w:rFonts w:asciiTheme="minorHAnsi" w:hAnsiTheme="minorHAnsi" w:cstheme="minorHAnsi"/>
          <w:i/>
          <w:iCs/>
          <w:lang w:bidi="ar-EG"/>
        </w:rPr>
        <w:t xml:space="preserve"> </w:t>
      </w:r>
      <w:r w:rsidRPr="00456C03">
        <w:rPr>
          <w:rFonts w:asciiTheme="minorHAnsi" w:hAnsiTheme="minorHAnsi"/>
          <w:i/>
          <w:iCs/>
          <w:rtl/>
          <w:lang w:bidi="ar-EG"/>
        </w:rPr>
        <w:t xml:space="preserve">مطالبة المكتب الدولي بدراسة القضايا المتعلقة </w:t>
      </w:r>
      <w:r w:rsidRPr="00456C03">
        <w:rPr>
          <w:rFonts w:asciiTheme="minorHAnsi" w:hAnsiTheme="minorHAnsi" w:hint="cs"/>
          <w:i/>
          <w:iCs/>
          <w:rtl/>
          <w:lang w:bidi="ar-EG"/>
        </w:rPr>
        <w:t xml:space="preserve">بجعل </w:t>
      </w:r>
      <w:r w:rsidRPr="00456C03">
        <w:rPr>
          <w:rFonts w:asciiTheme="minorHAnsi" w:hAnsiTheme="minorHAnsi"/>
          <w:i/>
          <w:iCs/>
          <w:rtl/>
          <w:lang w:bidi="ar-EG"/>
        </w:rPr>
        <w:t>دخول</w:t>
      </w:r>
      <w:r w:rsidRPr="00456C03">
        <w:rPr>
          <w:rFonts w:asciiTheme="minorHAnsi" w:hAnsiTheme="minorHAnsi" w:hint="cs"/>
          <w:i/>
          <w:iCs/>
          <w:rtl/>
          <w:lang w:bidi="ar-EG"/>
        </w:rPr>
        <w:t xml:space="preserve"> المرحلة الوطنية</w:t>
      </w:r>
      <w:r w:rsidRPr="00456C03">
        <w:rPr>
          <w:rFonts w:asciiTheme="minorHAnsi" w:hAnsiTheme="minorHAnsi"/>
          <w:i/>
          <w:iCs/>
          <w:rtl/>
          <w:lang w:bidi="ar-EG"/>
        </w:rPr>
        <w:t xml:space="preserve"> </w:t>
      </w:r>
      <w:r w:rsidRPr="00456C03">
        <w:rPr>
          <w:rFonts w:asciiTheme="minorHAnsi" w:hAnsiTheme="minorHAnsi" w:hint="cs"/>
          <w:i/>
          <w:iCs/>
          <w:rtl/>
          <w:lang w:bidi="ar-EG"/>
        </w:rPr>
        <w:t>إلكترونيا</w:t>
      </w:r>
      <w:r w:rsidRPr="00456C03">
        <w:rPr>
          <w:rFonts w:asciiTheme="minorHAnsi" w:hAnsiTheme="minorHAnsi"/>
          <w:i/>
          <w:iCs/>
          <w:rtl/>
          <w:lang w:bidi="ar-EG"/>
        </w:rPr>
        <w:t xml:space="preserve"> فقط وتقديم </w:t>
      </w:r>
      <w:r w:rsidRPr="00456C03">
        <w:rPr>
          <w:rFonts w:asciiTheme="minorHAnsi" w:hAnsiTheme="minorHAnsi" w:hint="cs"/>
          <w:i/>
          <w:iCs/>
          <w:rtl/>
          <w:lang w:bidi="ar-EG"/>
        </w:rPr>
        <w:t>مقترحات في</w:t>
      </w:r>
      <w:r w:rsidRPr="00456C03">
        <w:rPr>
          <w:rFonts w:asciiTheme="minorHAnsi" w:hAnsiTheme="minorHAnsi"/>
          <w:i/>
          <w:iCs/>
          <w:rtl/>
          <w:lang w:bidi="ar-EG"/>
        </w:rPr>
        <w:t xml:space="preserve"> </w:t>
      </w:r>
      <w:r w:rsidRPr="00456C03">
        <w:rPr>
          <w:rFonts w:asciiTheme="minorHAnsi" w:hAnsiTheme="minorHAnsi" w:hint="cs"/>
          <w:i/>
          <w:iCs/>
          <w:rtl/>
          <w:lang w:bidi="ar-EG"/>
        </w:rPr>
        <w:t>ا</w:t>
      </w:r>
      <w:r w:rsidRPr="00456C03">
        <w:rPr>
          <w:rFonts w:asciiTheme="minorHAnsi" w:hAnsiTheme="minorHAnsi"/>
          <w:i/>
          <w:iCs/>
          <w:rtl/>
          <w:lang w:bidi="ar-EG"/>
        </w:rPr>
        <w:t>لدورة التالية</w:t>
      </w:r>
      <w:r w:rsidRPr="00456C03">
        <w:rPr>
          <w:rFonts w:asciiTheme="minorHAnsi" w:hAnsiTheme="minorHAnsi" w:hint="cs"/>
          <w:i/>
          <w:iCs/>
          <w:rtl/>
          <w:lang w:bidi="ar-EG"/>
        </w:rPr>
        <w:t xml:space="preserve"> ل</w:t>
      </w:r>
      <w:r w:rsidRPr="00456C03">
        <w:rPr>
          <w:rFonts w:asciiTheme="minorHAnsi" w:hAnsiTheme="minorHAnsi"/>
          <w:i/>
          <w:iCs/>
          <w:rtl/>
          <w:lang w:bidi="ar-EG"/>
        </w:rPr>
        <w:t xml:space="preserve">لفريق </w:t>
      </w:r>
      <w:r w:rsidRPr="00456C03">
        <w:rPr>
          <w:rFonts w:asciiTheme="minorHAnsi" w:hAnsiTheme="minorHAnsi" w:hint="cs"/>
          <w:i/>
          <w:iCs/>
          <w:rtl/>
          <w:lang w:bidi="ar-EG"/>
        </w:rPr>
        <w:t>العامل</w:t>
      </w:r>
      <w:r w:rsidRPr="00456C03">
        <w:rPr>
          <w:rFonts w:asciiTheme="minorHAnsi" w:hAnsiTheme="minorHAnsi" w:cstheme="minorHAnsi"/>
          <w:i/>
          <w:iCs/>
          <w:rtl/>
          <w:lang w:bidi="ar-EG"/>
        </w:rPr>
        <w:t>.</w:t>
      </w:r>
    </w:p>
    <w:p w14:paraId="070B4D4C" w14:textId="77777777" w:rsidR="00456C03" w:rsidRPr="00456C03" w:rsidRDefault="00456C03" w:rsidP="00456C03">
      <w:pPr>
        <w:keepLines/>
        <w:spacing w:after="220"/>
        <w:ind w:left="5530"/>
        <w:rPr>
          <w:rFonts w:asciiTheme="minorHAnsi" w:hAnsiTheme="minorHAnsi" w:cstheme="minorHAnsi"/>
          <w:i/>
          <w:rtl/>
          <w:lang w:bidi="ar-EG"/>
        </w:rPr>
      </w:pPr>
    </w:p>
    <w:p w14:paraId="15B4EF08" w14:textId="5451A8A0" w:rsidR="004C0C00" w:rsidRDefault="00456C03" w:rsidP="00660C7F">
      <w:pPr>
        <w:pStyle w:val="Endofdocument-Annex"/>
        <w:rPr>
          <w:rtl/>
          <w:lang w:bidi="ar-EG"/>
        </w:rPr>
        <w:sectPr w:rsidR="004C0C00" w:rsidSect="00456C03">
          <w:headerReference w:type="even" r:id="rId13"/>
          <w:headerReference w:type="default" r:id="rId14"/>
          <w:footerReference w:type="even" r:id="rId15"/>
          <w:footerReference w:type="default" r:id="rId16"/>
          <w:headerReference w:type="first" r:id="rId17"/>
          <w:footerReference w:type="first" r:id="rId18"/>
          <w:pgSz w:w="11907" w:h="16840" w:code="9"/>
          <w:pgMar w:top="567" w:right="1418" w:bottom="1418" w:left="1134" w:header="510" w:footer="1021" w:gutter="0"/>
          <w:cols w:space="720"/>
          <w:titlePg/>
          <w:docGrid w:linePitch="299"/>
        </w:sectPr>
      </w:pPr>
      <w:r w:rsidRPr="00456C03">
        <w:rPr>
          <w:rFonts w:hint="cs"/>
          <w:rtl/>
          <w:lang w:bidi="ar-EG"/>
        </w:rPr>
        <w:t xml:space="preserve">[يلي ذلك </w:t>
      </w:r>
      <w:r w:rsidR="00660C7F">
        <w:rPr>
          <w:rFonts w:hint="cs"/>
          <w:rtl/>
          <w:lang w:bidi="ar-EG"/>
        </w:rPr>
        <w:t>المرفق الأول</w:t>
      </w:r>
      <w:r w:rsidRPr="00456C03">
        <w:rPr>
          <w:rFonts w:hint="cs"/>
          <w:rtl/>
          <w:lang w:bidi="ar-EG"/>
        </w:rPr>
        <w:t>]</w:t>
      </w:r>
    </w:p>
    <w:p w14:paraId="57A1145B" w14:textId="7B12A79B" w:rsidR="00456C03" w:rsidRPr="00456C03" w:rsidRDefault="00456C03" w:rsidP="002F0A4B">
      <w:pPr>
        <w:pStyle w:val="Endofdocument-Annex"/>
        <w:rPr>
          <w:lang w:bidi="ar-EG"/>
        </w:rPr>
      </w:pPr>
    </w:p>
    <w:p w14:paraId="4E45EFD2" w14:textId="77777777" w:rsidR="009F4A87" w:rsidRPr="00BC1C2E" w:rsidRDefault="009F4A87" w:rsidP="009F4A87">
      <w:pPr>
        <w:keepNext/>
        <w:spacing w:after="220" w:line="340" w:lineRule="atLeast"/>
        <w:jc w:val="center"/>
        <w:rPr>
          <w:rFonts w:asciiTheme="minorHAnsi" w:eastAsia="Times New Roman" w:hAnsiTheme="minorHAnsi" w:cstheme="minorHAnsi"/>
          <w:b/>
          <w:bCs/>
          <w:sz w:val="28"/>
          <w:szCs w:val="28"/>
          <w:rtl/>
          <w:lang w:val="fr-CH" w:eastAsia="fr-CH" w:bidi="ar-EG"/>
        </w:rPr>
      </w:pPr>
      <w:r w:rsidRPr="00BC1C2E">
        <w:rPr>
          <w:rFonts w:asciiTheme="minorHAnsi" w:eastAsia="Times New Roman" w:hAnsiTheme="minorHAnsi" w:cstheme="minorHAnsi"/>
          <w:b/>
          <w:bCs/>
          <w:sz w:val="28"/>
          <w:szCs w:val="28"/>
          <w:rtl/>
          <w:lang w:val="fr-CH" w:eastAsia="fr-CH" w:bidi="ar-EG"/>
        </w:rPr>
        <w:t>التعديلات المقترح إدخالها على اللائحة التنفيذية لمعاهدة التعاون بشأن البراءات</w:t>
      </w:r>
    </w:p>
    <w:p w14:paraId="6C0E23ED" w14:textId="77777777" w:rsidR="009F4A87" w:rsidRPr="00BC1C2E" w:rsidRDefault="009F4A87" w:rsidP="0046239E">
      <w:pPr>
        <w:keepNext/>
        <w:spacing w:after="480" w:line="340" w:lineRule="atLeast"/>
        <w:jc w:val="center"/>
        <w:rPr>
          <w:rFonts w:asciiTheme="minorHAnsi" w:eastAsia="Times New Roman" w:hAnsiTheme="minorHAnsi" w:cstheme="minorHAnsi"/>
          <w:b/>
          <w:bCs/>
          <w:sz w:val="28"/>
          <w:szCs w:val="28"/>
          <w:rtl/>
          <w:lang w:val="fr-CH" w:eastAsia="fr-CH" w:bidi="ar-EG"/>
        </w:rPr>
      </w:pPr>
      <w:r w:rsidRPr="00BC1C2E">
        <w:rPr>
          <w:rFonts w:asciiTheme="minorHAnsi" w:eastAsia="Times New Roman" w:hAnsiTheme="minorHAnsi" w:cstheme="minorHAnsi"/>
          <w:b/>
          <w:bCs/>
          <w:sz w:val="28"/>
          <w:szCs w:val="28"/>
          <w:rtl/>
          <w:lang w:val="fr-CH" w:eastAsia="fr-CH" w:bidi="ar-EG"/>
        </w:rPr>
        <w:t>المحتويات</w:t>
      </w:r>
    </w:p>
    <w:p w14:paraId="1D8DA43D" w14:textId="0AA43A55" w:rsidR="002E16CA" w:rsidRDefault="001E2BCD" w:rsidP="002E16CA">
      <w:pPr>
        <w:pStyle w:val="TOC1"/>
        <w:rPr>
          <w:rFonts w:asciiTheme="minorHAnsi" w:eastAsiaTheme="minorEastAsia" w:hAnsiTheme="minorHAnsi" w:cstheme="minorBidi"/>
          <w:noProof/>
          <w:rtl/>
          <w:lang w:val="fr-MA" w:eastAsia="fr-MA"/>
        </w:rPr>
      </w:pPr>
      <w:r>
        <w:rPr>
          <w:rFonts w:asciiTheme="minorHAnsi" w:eastAsia="Times New Roman" w:hAnsiTheme="minorHAnsi" w:cstheme="minorHAnsi"/>
          <w:rtl/>
          <w:lang w:val="fr-CH" w:eastAsia="fr-CH"/>
        </w:rPr>
        <w:fldChar w:fldCharType="begin"/>
      </w:r>
      <w:r>
        <w:rPr>
          <w:rFonts w:asciiTheme="minorHAnsi" w:eastAsia="Times New Roman" w:hAnsiTheme="minorHAnsi" w:cs="Times New Roman"/>
          <w:rtl/>
          <w:lang w:val="fr-CH" w:eastAsia="fr-CH"/>
        </w:rPr>
        <w:instrText xml:space="preserve"> </w:instrText>
      </w:r>
      <w:r>
        <w:rPr>
          <w:rFonts w:asciiTheme="minorHAnsi" w:eastAsia="Times New Roman" w:hAnsiTheme="minorHAnsi" w:cstheme="minorHAnsi"/>
          <w:lang w:val="fr-CH" w:eastAsia="fr-CH"/>
        </w:rPr>
        <w:instrText>TOC</w:instrText>
      </w:r>
      <w:r>
        <w:rPr>
          <w:rFonts w:asciiTheme="minorHAnsi" w:eastAsia="Times New Roman" w:hAnsiTheme="minorHAnsi" w:cs="Times New Roman"/>
          <w:rtl/>
          <w:lang w:val="fr-CH" w:eastAsia="fr-CH"/>
        </w:rPr>
        <w:instrText xml:space="preserve"> \</w:instrText>
      </w:r>
      <w:r>
        <w:rPr>
          <w:rFonts w:asciiTheme="minorHAnsi" w:eastAsia="Times New Roman" w:hAnsiTheme="minorHAnsi" w:cstheme="minorHAnsi"/>
          <w:lang w:val="fr-CH" w:eastAsia="fr-CH"/>
        </w:rPr>
        <w:instrText>o "1-2" \h \z \u</w:instrText>
      </w:r>
      <w:r>
        <w:rPr>
          <w:rFonts w:asciiTheme="minorHAnsi" w:eastAsia="Times New Roman" w:hAnsiTheme="minorHAnsi" w:cs="Times New Roman"/>
          <w:rtl/>
          <w:lang w:val="fr-CH" w:eastAsia="fr-CH"/>
        </w:rPr>
        <w:instrText xml:space="preserve"> </w:instrText>
      </w:r>
      <w:r>
        <w:rPr>
          <w:rFonts w:asciiTheme="minorHAnsi" w:eastAsia="Times New Roman" w:hAnsiTheme="minorHAnsi" w:cstheme="minorHAnsi"/>
          <w:rtl/>
          <w:lang w:val="fr-CH" w:eastAsia="fr-CH"/>
        </w:rPr>
        <w:fldChar w:fldCharType="separate"/>
      </w:r>
    </w:p>
    <w:p w14:paraId="5DE26DE2" w14:textId="449BAD6D" w:rsidR="002E16CA" w:rsidRDefault="00964DAC">
      <w:pPr>
        <w:pStyle w:val="TOC1"/>
        <w:rPr>
          <w:rFonts w:asciiTheme="minorHAnsi" w:eastAsiaTheme="minorEastAsia" w:hAnsiTheme="minorHAnsi" w:cstheme="minorBidi"/>
          <w:noProof/>
          <w:rtl/>
          <w:lang w:val="fr-MA" w:eastAsia="fr-MA"/>
        </w:rPr>
      </w:pPr>
      <w:hyperlink w:anchor="_Toc114145775" w:history="1">
        <w:r w:rsidR="002E16CA" w:rsidRPr="00C01115">
          <w:rPr>
            <w:rStyle w:val="Hyperlink"/>
            <w:rFonts w:hint="eastAsia"/>
            <w:noProof/>
            <w:rtl/>
            <w:lang w:val="fr-CH" w:eastAsia="fr-CH" w:bidi="ar-EG"/>
          </w:rPr>
          <w:t>القاعدة</w:t>
        </w:r>
        <w:r w:rsidR="002E16CA" w:rsidRPr="00C01115">
          <w:rPr>
            <w:rStyle w:val="Hyperlink"/>
            <w:noProof/>
            <w:rtl/>
            <w:lang w:val="fr-CH" w:eastAsia="fr-CH" w:bidi="ar-EG"/>
          </w:rPr>
          <w:t xml:space="preserve"> 89</w:t>
        </w:r>
        <w:r w:rsidR="002E16CA" w:rsidRPr="00C01115">
          <w:rPr>
            <w:rStyle w:val="Hyperlink"/>
            <w:noProof/>
            <w:vertAlign w:val="superscript"/>
            <w:rtl/>
            <w:lang w:val="fr-CH" w:eastAsia="fr-CH" w:bidi="ar-EG"/>
          </w:rPr>
          <w:t>(</w:t>
        </w:r>
        <w:r w:rsidR="002E16CA" w:rsidRPr="00C01115">
          <w:rPr>
            <w:rStyle w:val="Hyperlink"/>
            <w:rFonts w:hint="eastAsia"/>
            <w:noProof/>
            <w:vertAlign w:val="superscript"/>
            <w:rtl/>
            <w:lang w:val="fr-CH" w:eastAsia="fr-CH" w:bidi="ar-EG"/>
          </w:rPr>
          <w:t>ثانيا</w:t>
        </w:r>
        <w:r w:rsidR="002E16CA" w:rsidRPr="00C01115">
          <w:rPr>
            <w:rStyle w:val="Hyperlink"/>
            <w:noProof/>
            <w:vertAlign w:val="superscript"/>
            <w:rtl/>
            <w:lang w:val="fr-CH" w:eastAsia="fr-CH" w:bidi="ar-EG"/>
          </w:rPr>
          <w:t xml:space="preserve">) </w:t>
        </w:r>
        <w:r w:rsidR="002E16CA" w:rsidRPr="00C01115">
          <w:rPr>
            <w:rStyle w:val="Hyperlink"/>
            <w:rFonts w:hint="eastAsia"/>
            <w:noProof/>
            <w:rtl/>
            <w:lang w:val="fr-CH" w:eastAsia="fr-CH" w:bidi="ar-EG"/>
          </w:rPr>
          <w:t>إيداع</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الطلبات</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الدولية</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والمستندات</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الأخرى</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ومعالجتها</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وتحويلها</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في</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شكل</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إلكتروني</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أو</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بوسائل</w:t>
        </w:r>
        <w:r w:rsidR="002E16CA" w:rsidRPr="00C01115">
          <w:rPr>
            <w:rStyle w:val="Hyperlink"/>
            <w:noProof/>
            <w:rtl/>
            <w:lang w:val="fr-CH" w:eastAsia="fr-CH" w:bidi="ar-EG"/>
          </w:rPr>
          <w:t xml:space="preserve"> </w:t>
        </w:r>
        <w:r w:rsidR="002E16CA" w:rsidRPr="00C01115">
          <w:rPr>
            <w:rStyle w:val="Hyperlink"/>
            <w:rFonts w:hint="eastAsia"/>
            <w:noProof/>
            <w:rtl/>
            <w:lang w:val="fr-CH" w:eastAsia="fr-CH" w:bidi="ar-EG"/>
          </w:rPr>
          <w:t>إلكترونية</w:t>
        </w:r>
        <w:r w:rsidR="002E16CA">
          <w:rPr>
            <w:noProof/>
            <w:webHidden/>
            <w:rtl/>
          </w:rPr>
          <w:tab/>
        </w:r>
        <w:r w:rsidR="002E16CA">
          <w:rPr>
            <w:noProof/>
            <w:webHidden/>
            <w:rtl/>
          </w:rPr>
          <w:fldChar w:fldCharType="begin"/>
        </w:r>
        <w:r w:rsidR="002E16CA">
          <w:rPr>
            <w:noProof/>
            <w:webHidden/>
            <w:rtl/>
          </w:rPr>
          <w:instrText xml:space="preserve"> </w:instrText>
        </w:r>
        <w:r w:rsidR="002E16CA">
          <w:rPr>
            <w:noProof/>
            <w:webHidden/>
          </w:rPr>
          <w:instrText>PAGEREF</w:instrText>
        </w:r>
        <w:r w:rsidR="002E16CA">
          <w:rPr>
            <w:noProof/>
            <w:webHidden/>
            <w:rtl/>
          </w:rPr>
          <w:instrText xml:space="preserve"> _</w:instrText>
        </w:r>
        <w:r w:rsidR="002E16CA">
          <w:rPr>
            <w:noProof/>
            <w:webHidden/>
          </w:rPr>
          <w:instrText>Toc114145775 \h</w:instrText>
        </w:r>
        <w:r w:rsidR="002E16CA">
          <w:rPr>
            <w:noProof/>
            <w:webHidden/>
            <w:rtl/>
          </w:rPr>
          <w:instrText xml:space="preserve"> </w:instrText>
        </w:r>
        <w:r w:rsidR="002E16CA">
          <w:rPr>
            <w:noProof/>
            <w:webHidden/>
            <w:rtl/>
          </w:rPr>
        </w:r>
        <w:r w:rsidR="002E16CA">
          <w:rPr>
            <w:noProof/>
            <w:webHidden/>
            <w:rtl/>
          </w:rPr>
          <w:fldChar w:fldCharType="separate"/>
        </w:r>
        <w:r w:rsidR="00053B42">
          <w:rPr>
            <w:noProof/>
            <w:webHidden/>
            <w:rtl/>
          </w:rPr>
          <w:t>2</w:t>
        </w:r>
        <w:r w:rsidR="002E16CA">
          <w:rPr>
            <w:noProof/>
            <w:webHidden/>
            <w:rtl/>
          </w:rPr>
          <w:fldChar w:fldCharType="end"/>
        </w:r>
      </w:hyperlink>
    </w:p>
    <w:p w14:paraId="529E5A02" w14:textId="27CE1792" w:rsidR="002E16CA" w:rsidRDefault="00964DAC" w:rsidP="002E16CA">
      <w:pPr>
        <w:pStyle w:val="TOC2"/>
        <w:rPr>
          <w:rFonts w:asciiTheme="minorHAnsi" w:eastAsiaTheme="minorEastAsia" w:hAnsiTheme="minorHAnsi" w:cstheme="minorBidi"/>
          <w:noProof/>
          <w:rtl/>
          <w:lang w:val="fr-MA" w:eastAsia="fr-MA"/>
        </w:rPr>
      </w:pPr>
      <w:hyperlink w:anchor="_Toc114145776" w:history="1">
        <w:r w:rsidR="002E16CA" w:rsidRPr="002E71B2">
          <w:rPr>
            <w:rStyle w:val="Hyperlink"/>
            <w:rFonts w:cstheme="minorHAnsi"/>
            <w:b/>
            <w:i/>
            <w:iCs/>
            <w:noProof/>
            <w:rtl/>
            <w:lang w:val="fr-CH" w:eastAsia="fr-CH" w:bidi="ar-EG"/>
          </w:rPr>
          <w:t>89</w:t>
        </w:r>
        <w:r w:rsidR="002E16CA" w:rsidRPr="002E71B2">
          <w:rPr>
            <w:rStyle w:val="Hyperlink"/>
            <w:b/>
            <w:i/>
            <w:iCs/>
            <w:noProof/>
            <w:vertAlign w:val="superscript"/>
            <w:rtl/>
            <w:lang w:val="fr-CH" w:eastAsia="fr-CH" w:bidi="ar-EG"/>
          </w:rPr>
          <w:t>(</w:t>
        </w:r>
        <w:r w:rsidR="002E16CA" w:rsidRPr="002E71B2">
          <w:rPr>
            <w:rStyle w:val="Hyperlink"/>
            <w:rFonts w:hint="eastAsia"/>
            <w:b/>
            <w:i/>
            <w:iCs/>
            <w:noProof/>
            <w:vertAlign w:val="superscript"/>
            <w:rtl/>
            <w:lang w:val="fr-CH" w:eastAsia="fr-CH" w:bidi="ar-EG"/>
          </w:rPr>
          <w:t>ثانيا</w:t>
        </w:r>
        <w:r w:rsidR="002E16CA" w:rsidRPr="002E71B2">
          <w:rPr>
            <w:rStyle w:val="Hyperlink"/>
            <w:b/>
            <w:i/>
            <w:iCs/>
            <w:noProof/>
            <w:vertAlign w:val="superscript"/>
            <w:rtl/>
            <w:lang w:val="fr-CH" w:eastAsia="fr-CH" w:bidi="ar-EG"/>
          </w:rPr>
          <w:t>)</w:t>
        </w:r>
        <w:r w:rsidR="002E16CA" w:rsidRPr="002E71B2">
          <w:rPr>
            <w:rStyle w:val="Hyperlink"/>
            <w:b/>
            <w:i/>
            <w:iCs/>
            <w:noProof/>
            <w:rtl/>
            <w:lang w:val="fr-CH" w:eastAsia="fr-CH" w:bidi="ar-EG"/>
          </w:rPr>
          <w:t>1</w:t>
        </w:r>
        <w:r w:rsidR="002E16CA" w:rsidRPr="002E71B2">
          <w:rPr>
            <w:rFonts w:asciiTheme="minorHAnsi" w:eastAsiaTheme="minorEastAsia" w:hAnsiTheme="minorHAnsi" w:cstheme="minorBidi"/>
            <w:i/>
            <w:iCs/>
            <w:noProof/>
            <w:rtl/>
            <w:lang w:val="fr-MA" w:eastAsia="fr-MA"/>
          </w:rPr>
          <w:tab/>
        </w:r>
        <w:r w:rsidR="002E16CA" w:rsidRPr="002E71B2">
          <w:rPr>
            <w:rStyle w:val="Hyperlink"/>
            <w:rFonts w:hint="eastAsia"/>
            <w:b/>
            <w:i/>
            <w:iCs/>
            <w:noProof/>
            <w:rtl/>
            <w:lang w:val="fr-CH" w:eastAsia="fr-CH" w:bidi="ar-EG"/>
          </w:rPr>
          <w:t>الطلبات</w:t>
        </w:r>
        <w:r w:rsidR="002E16CA" w:rsidRPr="002E71B2">
          <w:rPr>
            <w:rStyle w:val="Hyperlink"/>
            <w:b/>
            <w:i/>
            <w:iCs/>
            <w:noProof/>
            <w:rtl/>
            <w:lang w:val="fr-CH" w:eastAsia="fr-CH" w:bidi="ar-EG"/>
          </w:rPr>
          <w:t xml:space="preserve"> </w:t>
        </w:r>
        <w:r w:rsidR="002E16CA" w:rsidRPr="002E71B2">
          <w:rPr>
            <w:rStyle w:val="Hyperlink"/>
            <w:rFonts w:hint="eastAsia"/>
            <w:b/>
            <w:i/>
            <w:iCs/>
            <w:noProof/>
            <w:rtl/>
            <w:lang w:val="fr-CH" w:eastAsia="fr-CH" w:bidi="ar-EG"/>
          </w:rPr>
          <w:t>الدولية</w:t>
        </w:r>
        <w:r w:rsidR="002E16CA">
          <w:rPr>
            <w:noProof/>
            <w:webHidden/>
            <w:rtl/>
          </w:rPr>
          <w:tab/>
        </w:r>
        <w:r w:rsidR="002E16CA">
          <w:rPr>
            <w:noProof/>
            <w:webHidden/>
            <w:rtl/>
          </w:rPr>
          <w:fldChar w:fldCharType="begin"/>
        </w:r>
        <w:r w:rsidR="002E16CA">
          <w:rPr>
            <w:noProof/>
            <w:webHidden/>
            <w:rtl/>
          </w:rPr>
          <w:instrText xml:space="preserve"> </w:instrText>
        </w:r>
        <w:r w:rsidR="002E16CA">
          <w:rPr>
            <w:noProof/>
            <w:webHidden/>
          </w:rPr>
          <w:instrText>PAGEREF</w:instrText>
        </w:r>
        <w:r w:rsidR="002E16CA">
          <w:rPr>
            <w:noProof/>
            <w:webHidden/>
            <w:rtl/>
          </w:rPr>
          <w:instrText xml:space="preserve"> _</w:instrText>
        </w:r>
        <w:r w:rsidR="002E16CA">
          <w:rPr>
            <w:noProof/>
            <w:webHidden/>
          </w:rPr>
          <w:instrText>Toc114145776 \h</w:instrText>
        </w:r>
        <w:r w:rsidR="002E16CA">
          <w:rPr>
            <w:noProof/>
            <w:webHidden/>
            <w:rtl/>
          </w:rPr>
          <w:instrText xml:space="preserve"> </w:instrText>
        </w:r>
        <w:r w:rsidR="002E16CA">
          <w:rPr>
            <w:noProof/>
            <w:webHidden/>
            <w:rtl/>
          </w:rPr>
        </w:r>
        <w:r w:rsidR="002E16CA">
          <w:rPr>
            <w:noProof/>
            <w:webHidden/>
            <w:rtl/>
          </w:rPr>
          <w:fldChar w:fldCharType="separate"/>
        </w:r>
        <w:r w:rsidR="00053B42">
          <w:rPr>
            <w:noProof/>
            <w:webHidden/>
            <w:rtl/>
          </w:rPr>
          <w:t>2</w:t>
        </w:r>
        <w:r w:rsidR="002E16CA">
          <w:rPr>
            <w:noProof/>
            <w:webHidden/>
            <w:rtl/>
          </w:rPr>
          <w:fldChar w:fldCharType="end"/>
        </w:r>
      </w:hyperlink>
    </w:p>
    <w:p w14:paraId="1FEFCF94" w14:textId="2CEE8489" w:rsidR="002E16CA" w:rsidRDefault="00964DAC" w:rsidP="002E16CA">
      <w:pPr>
        <w:pStyle w:val="TOC2"/>
        <w:rPr>
          <w:rFonts w:asciiTheme="minorHAnsi" w:eastAsiaTheme="minorEastAsia" w:hAnsiTheme="minorHAnsi" w:cstheme="minorBidi"/>
          <w:noProof/>
          <w:rtl/>
          <w:lang w:val="fr-MA" w:eastAsia="fr-MA"/>
        </w:rPr>
      </w:pPr>
      <w:hyperlink w:anchor="_Toc114145777" w:history="1">
        <w:r w:rsidR="002E16CA" w:rsidRPr="002E71B2">
          <w:rPr>
            <w:rStyle w:val="Hyperlink"/>
            <w:rFonts w:cstheme="minorHAnsi"/>
            <w:b/>
            <w:i/>
            <w:iCs/>
            <w:noProof/>
            <w:rtl/>
            <w:lang w:val="fr-CH" w:eastAsia="fr-CH" w:bidi="ar-EG"/>
          </w:rPr>
          <w:t>89</w:t>
        </w:r>
        <w:r w:rsidR="002E16CA" w:rsidRPr="002E71B2">
          <w:rPr>
            <w:rStyle w:val="Hyperlink"/>
            <w:rFonts w:cstheme="minorHAnsi"/>
            <w:b/>
            <w:i/>
            <w:iCs/>
            <w:noProof/>
            <w:vertAlign w:val="superscript"/>
            <w:rtl/>
            <w:lang w:val="fr-CH" w:eastAsia="fr-CH" w:bidi="ar-EG"/>
          </w:rPr>
          <w:t>(</w:t>
        </w:r>
        <w:r w:rsidR="002E16CA" w:rsidRPr="002E71B2">
          <w:rPr>
            <w:rStyle w:val="Hyperlink"/>
            <w:rFonts w:cstheme="minorHAnsi" w:hint="eastAsia"/>
            <w:b/>
            <w:i/>
            <w:iCs/>
            <w:noProof/>
            <w:vertAlign w:val="superscript"/>
            <w:rtl/>
            <w:lang w:val="fr-CH" w:eastAsia="fr-CH" w:bidi="ar-EG"/>
          </w:rPr>
          <w:t>ثانيا</w:t>
        </w:r>
        <w:r w:rsidR="002E16CA" w:rsidRPr="002E71B2">
          <w:rPr>
            <w:rStyle w:val="Hyperlink"/>
            <w:rFonts w:cstheme="minorHAnsi"/>
            <w:b/>
            <w:i/>
            <w:iCs/>
            <w:noProof/>
            <w:vertAlign w:val="superscript"/>
            <w:rtl/>
            <w:lang w:val="fr-CH" w:eastAsia="fr-CH" w:bidi="ar-EG"/>
          </w:rPr>
          <w:t>)</w:t>
        </w:r>
        <w:r w:rsidR="002E16CA" w:rsidRPr="002E71B2">
          <w:rPr>
            <w:rStyle w:val="Hyperlink"/>
            <w:rFonts w:cstheme="minorHAnsi"/>
            <w:b/>
            <w:i/>
            <w:iCs/>
            <w:noProof/>
            <w:rtl/>
            <w:lang w:val="fr-CH" w:eastAsia="fr-CH" w:bidi="ar-EG"/>
          </w:rPr>
          <w:t>2</w:t>
        </w:r>
        <w:r w:rsidR="002E16CA" w:rsidRPr="002E71B2">
          <w:rPr>
            <w:rFonts w:asciiTheme="minorHAnsi" w:eastAsiaTheme="minorEastAsia" w:hAnsiTheme="minorHAnsi" w:cstheme="minorBidi"/>
            <w:i/>
            <w:iCs/>
            <w:noProof/>
            <w:rtl/>
            <w:lang w:val="fr-MA" w:eastAsia="fr-MA"/>
          </w:rPr>
          <w:tab/>
        </w:r>
        <w:r w:rsidR="002E16CA" w:rsidRPr="002E71B2">
          <w:rPr>
            <w:rStyle w:val="Hyperlink"/>
            <w:rFonts w:cstheme="minorHAnsi" w:hint="eastAsia"/>
            <w:b/>
            <w:i/>
            <w:iCs/>
            <w:noProof/>
            <w:rtl/>
            <w:lang w:val="fr-CH" w:eastAsia="fr-CH" w:bidi="ar-EG"/>
          </w:rPr>
          <w:t>المستندات</w:t>
        </w:r>
        <w:r w:rsidR="002E16CA" w:rsidRPr="002E71B2">
          <w:rPr>
            <w:rStyle w:val="Hyperlink"/>
            <w:rFonts w:cstheme="minorHAnsi"/>
            <w:b/>
            <w:i/>
            <w:iCs/>
            <w:noProof/>
            <w:rtl/>
            <w:lang w:val="fr-CH" w:eastAsia="fr-CH" w:bidi="ar-EG"/>
          </w:rPr>
          <w:t xml:space="preserve"> </w:t>
        </w:r>
        <w:r w:rsidR="002E16CA" w:rsidRPr="002E71B2">
          <w:rPr>
            <w:rStyle w:val="Hyperlink"/>
            <w:rFonts w:cstheme="minorHAnsi" w:hint="eastAsia"/>
            <w:b/>
            <w:i/>
            <w:iCs/>
            <w:noProof/>
            <w:rtl/>
            <w:lang w:val="fr-CH" w:eastAsia="fr-CH" w:bidi="ar-EG"/>
          </w:rPr>
          <w:t>الأخرى</w:t>
        </w:r>
        <w:r w:rsidR="002E16CA">
          <w:rPr>
            <w:noProof/>
            <w:webHidden/>
            <w:rtl/>
          </w:rPr>
          <w:tab/>
        </w:r>
        <w:r w:rsidR="002E16CA">
          <w:rPr>
            <w:noProof/>
            <w:webHidden/>
            <w:rtl/>
          </w:rPr>
          <w:fldChar w:fldCharType="begin"/>
        </w:r>
        <w:r w:rsidR="002E16CA">
          <w:rPr>
            <w:noProof/>
            <w:webHidden/>
            <w:rtl/>
          </w:rPr>
          <w:instrText xml:space="preserve"> </w:instrText>
        </w:r>
        <w:r w:rsidR="002E16CA">
          <w:rPr>
            <w:noProof/>
            <w:webHidden/>
          </w:rPr>
          <w:instrText>PAGEREF</w:instrText>
        </w:r>
        <w:r w:rsidR="002E16CA">
          <w:rPr>
            <w:noProof/>
            <w:webHidden/>
            <w:rtl/>
          </w:rPr>
          <w:instrText xml:space="preserve"> _</w:instrText>
        </w:r>
        <w:r w:rsidR="002E16CA">
          <w:rPr>
            <w:noProof/>
            <w:webHidden/>
          </w:rPr>
          <w:instrText>Toc114145777 \h</w:instrText>
        </w:r>
        <w:r w:rsidR="002E16CA">
          <w:rPr>
            <w:noProof/>
            <w:webHidden/>
            <w:rtl/>
          </w:rPr>
          <w:instrText xml:space="preserve"> </w:instrText>
        </w:r>
        <w:r w:rsidR="002E16CA">
          <w:rPr>
            <w:noProof/>
            <w:webHidden/>
            <w:rtl/>
          </w:rPr>
        </w:r>
        <w:r w:rsidR="002E16CA">
          <w:rPr>
            <w:noProof/>
            <w:webHidden/>
            <w:rtl/>
          </w:rPr>
          <w:fldChar w:fldCharType="separate"/>
        </w:r>
        <w:r w:rsidR="00053B42">
          <w:rPr>
            <w:noProof/>
            <w:webHidden/>
            <w:rtl/>
          </w:rPr>
          <w:t>2</w:t>
        </w:r>
        <w:r w:rsidR="002E16CA">
          <w:rPr>
            <w:noProof/>
            <w:webHidden/>
            <w:rtl/>
          </w:rPr>
          <w:fldChar w:fldCharType="end"/>
        </w:r>
      </w:hyperlink>
    </w:p>
    <w:p w14:paraId="4DFB13DE" w14:textId="43982809" w:rsidR="002E16CA" w:rsidRDefault="00964DAC" w:rsidP="002E16CA">
      <w:pPr>
        <w:pStyle w:val="TOC2"/>
        <w:rPr>
          <w:rFonts w:asciiTheme="minorHAnsi" w:eastAsiaTheme="minorEastAsia" w:hAnsiTheme="minorHAnsi" w:cstheme="minorBidi"/>
          <w:noProof/>
          <w:rtl/>
          <w:lang w:val="fr-MA" w:eastAsia="fr-MA"/>
        </w:rPr>
      </w:pPr>
      <w:hyperlink w:anchor="_Toc114145778" w:history="1">
        <w:r w:rsidR="002E16CA" w:rsidRPr="002E71B2">
          <w:rPr>
            <w:rStyle w:val="Hyperlink"/>
            <w:rFonts w:cstheme="minorHAnsi"/>
            <w:b/>
            <w:i/>
            <w:iCs/>
            <w:noProof/>
            <w:rtl/>
            <w:lang w:val="fr-CH" w:eastAsia="fr-CH" w:bidi="ar-EG"/>
          </w:rPr>
          <w:t>89</w:t>
        </w:r>
        <w:r w:rsidR="002E16CA" w:rsidRPr="002E71B2">
          <w:rPr>
            <w:rStyle w:val="Hyperlink"/>
            <w:rFonts w:cstheme="minorHAnsi"/>
            <w:b/>
            <w:i/>
            <w:iCs/>
            <w:noProof/>
            <w:vertAlign w:val="superscript"/>
            <w:rtl/>
            <w:lang w:val="fr-CH" w:eastAsia="fr-CH" w:bidi="ar-EG"/>
          </w:rPr>
          <w:t>(</w:t>
        </w:r>
        <w:r w:rsidR="002E16CA" w:rsidRPr="002E71B2">
          <w:rPr>
            <w:rStyle w:val="Hyperlink"/>
            <w:rFonts w:cstheme="minorHAnsi" w:hint="eastAsia"/>
            <w:b/>
            <w:i/>
            <w:iCs/>
            <w:noProof/>
            <w:vertAlign w:val="superscript"/>
            <w:rtl/>
            <w:lang w:val="fr-CH" w:eastAsia="fr-CH" w:bidi="ar-EG"/>
          </w:rPr>
          <w:t>ثانيا</w:t>
        </w:r>
        <w:r w:rsidR="002E16CA" w:rsidRPr="002E71B2">
          <w:rPr>
            <w:rStyle w:val="Hyperlink"/>
            <w:rFonts w:cstheme="minorHAnsi"/>
            <w:b/>
            <w:i/>
            <w:iCs/>
            <w:noProof/>
            <w:vertAlign w:val="superscript"/>
            <w:rtl/>
            <w:lang w:val="fr-CH" w:eastAsia="fr-CH" w:bidi="ar-EG"/>
          </w:rPr>
          <w:t>)</w:t>
        </w:r>
        <w:r w:rsidR="002E16CA" w:rsidRPr="002E71B2">
          <w:rPr>
            <w:rStyle w:val="Hyperlink"/>
            <w:rFonts w:cstheme="minorHAnsi"/>
            <w:b/>
            <w:i/>
            <w:iCs/>
            <w:noProof/>
            <w:rtl/>
            <w:lang w:val="fr-CH" w:eastAsia="fr-CH" w:bidi="ar-EG"/>
          </w:rPr>
          <w:t>3</w:t>
        </w:r>
        <w:r w:rsidR="002E16CA" w:rsidRPr="002E71B2">
          <w:rPr>
            <w:rFonts w:asciiTheme="minorHAnsi" w:eastAsiaTheme="minorEastAsia" w:hAnsiTheme="minorHAnsi" w:cstheme="minorBidi"/>
            <w:i/>
            <w:iCs/>
            <w:noProof/>
            <w:rtl/>
            <w:lang w:val="fr-MA" w:eastAsia="fr-MA"/>
          </w:rPr>
          <w:tab/>
        </w:r>
        <w:r w:rsidR="002E16CA" w:rsidRPr="002E71B2">
          <w:rPr>
            <w:rStyle w:val="Hyperlink"/>
            <w:rFonts w:cstheme="minorHAnsi" w:hint="eastAsia"/>
            <w:b/>
            <w:i/>
            <w:iCs/>
            <w:noProof/>
            <w:rtl/>
            <w:lang w:val="fr-CH" w:eastAsia="fr-CH" w:bidi="ar-EG"/>
          </w:rPr>
          <w:t>التحويل</w:t>
        </w:r>
        <w:r w:rsidR="002E16CA" w:rsidRPr="002E71B2">
          <w:rPr>
            <w:rStyle w:val="Hyperlink"/>
            <w:rFonts w:cstheme="minorHAnsi"/>
            <w:b/>
            <w:i/>
            <w:iCs/>
            <w:noProof/>
            <w:rtl/>
            <w:lang w:val="fr-CH" w:eastAsia="fr-CH" w:bidi="ar-EG"/>
          </w:rPr>
          <w:t xml:space="preserve"> </w:t>
        </w:r>
        <w:r w:rsidR="002E16CA" w:rsidRPr="002E71B2">
          <w:rPr>
            <w:rStyle w:val="Hyperlink"/>
            <w:rFonts w:cstheme="minorHAnsi" w:hint="eastAsia"/>
            <w:b/>
            <w:i/>
            <w:iCs/>
            <w:noProof/>
            <w:rtl/>
            <w:lang w:val="fr-CH" w:eastAsia="fr-CH" w:bidi="ar-EG"/>
          </w:rPr>
          <w:t>بين</w:t>
        </w:r>
        <w:r w:rsidR="002E16CA" w:rsidRPr="002E71B2">
          <w:rPr>
            <w:rStyle w:val="Hyperlink"/>
            <w:rFonts w:cstheme="minorHAnsi"/>
            <w:b/>
            <w:i/>
            <w:iCs/>
            <w:noProof/>
            <w:rtl/>
            <w:lang w:val="fr-CH" w:eastAsia="fr-CH" w:bidi="ar-EG"/>
          </w:rPr>
          <w:t xml:space="preserve"> </w:t>
        </w:r>
        <w:r w:rsidR="002E16CA" w:rsidRPr="002E71B2">
          <w:rPr>
            <w:rStyle w:val="Hyperlink"/>
            <w:rFonts w:cstheme="minorHAnsi" w:hint="eastAsia"/>
            <w:b/>
            <w:i/>
            <w:iCs/>
            <w:noProof/>
            <w:rtl/>
            <w:lang w:val="fr-CH" w:eastAsia="fr-CH" w:bidi="ar-EG"/>
          </w:rPr>
          <w:t>المكاتب</w:t>
        </w:r>
        <w:r w:rsidR="002E16CA">
          <w:rPr>
            <w:noProof/>
            <w:webHidden/>
            <w:rtl/>
          </w:rPr>
          <w:tab/>
        </w:r>
        <w:r w:rsidR="002E16CA">
          <w:rPr>
            <w:noProof/>
            <w:webHidden/>
            <w:rtl/>
          </w:rPr>
          <w:fldChar w:fldCharType="begin"/>
        </w:r>
        <w:r w:rsidR="002E16CA">
          <w:rPr>
            <w:noProof/>
            <w:webHidden/>
            <w:rtl/>
          </w:rPr>
          <w:instrText xml:space="preserve"> </w:instrText>
        </w:r>
        <w:r w:rsidR="002E16CA">
          <w:rPr>
            <w:noProof/>
            <w:webHidden/>
          </w:rPr>
          <w:instrText>PAGEREF</w:instrText>
        </w:r>
        <w:r w:rsidR="002E16CA">
          <w:rPr>
            <w:noProof/>
            <w:webHidden/>
            <w:rtl/>
          </w:rPr>
          <w:instrText xml:space="preserve"> _</w:instrText>
        </w:r>
        <w:r w:rsidR="002E16CA">
          <w:rPr>
            <w:noProof/>
            <w:webHidden/>
          </w:rPr>
          <w:instrText>Toc114145778 \h</w:instrText>
        </w:r>
        <w:r w:rsidR="002E16CA">
          <w:rPr>
            <w:noProof/>
            <w:webHidden/>
            <w:rtl/>
          </w:rPr>
          <w:instrText xml:space="preserve"> </w:instrText>
        </w:r>
        <w:r w:rsidR="002E16CA">
          <w:rPr>
            <w:noProof/>
            <w:webHidden/>
            <w:rtl/>
          </w:rPr>
        </w:r>
        <w:r w:rsidR="002E16CA">
          <w:rPr>
            <w:noProof/>
            <w:webHidden/>
            <w:rtl/>
          </w:rPr>
          <w:fldChar w:fldCharType="separate"/>
        </w:r>
        <w:r w:rsidR="00053B42">
          <w:rPr>
            <w:noProof/>
            <w:webHidden/>
            <w:rtl/>
          </w:rPr>
          <w:t>2</w:t>
        </w:r>
        <w:r w:rsidR="002E16CA">
          <w:rPr>
            <w:noProof/>
            <w:webHidden/>
            <w:rtl/>
          </w:rPr>
          <w:fldChar w:fldCharType="end"/>
        </w:r>
      </w:hyperlink>
    </w:p>
    <w:p w14:paraId="3295C3CF" w14:textId="77777777" w:rsidR="002E16CA" w:rsidRDefault="001E2BCD" w:rsidP="009F4A87">
      <w:pPr>
        <w:keepNext/>
        <w:spacing w:before="720" w:line="340" w:lineRule="atLeast"/>
        <w:jc w:val="center"/>
        <w:rPr>
          <w:rFonts w:asciiTheme="minorHAnsi" w:eastAsia="Times New Roman" w:hAnsiTheme="minorHAnsi" w:cs="Times New Roman"/>
          <w:rtl/>
          <w:lang w:val="fr-CH" w:eastAsia="fr-CH"/>
        </w:rPr>
        <w:sectPr w:rsidR="002E16CA" w:rsidSect="001E2BCD">
          <w:headerReference w:type="default" r:id="rId19"/>
          <w:endnotePr>
            <w:numFmt w:val="decimal"/>
          </w:endnotePr>
          <w:pgSz w:w="11907" w:h="16840" w:code="9"/>
          <w:pgMar w:top="567" w:right="1418" w:bottom="1418" w:left="1134" w:header="510" w:footer="1021" w:gutter="0"/>
          <w:cols w:space="720"/>
          <w:bidi/>
          <w:rtlGutter/>
          <w:docGrid w:linePitch="299"/>
        </w:sectPr>
      </w:pPr>
      <w:r>
        <w:rPr>
          <w:rFonts w:asciiTheme="minorHAnsi" w:eastAsia="Times New Roman" w:hAnsiTheme="minorHAnsi" w:cstheme="minorHAnsi"/>
          <w:rtl/>
          <w:lang w:val="fr-CH" w:eastAsia="fr-CH"/>
        </w:rPr>
        <w:fldChar w:fldCharType="end"/>
      </w:r>
    </w:p>
    <w:p w14:paraId="3AAC7688" w14:textId="071470A9" w:rsidR="002E16CA" w:rsidRPr="002E16CA" w:rsidRDefault="002E16CA" w:rsidP="002E16CA">
      <w:pPr>
        <w:pStyle w:val="Heading1"/>
        <w:jc w:val="center"/>
        <w:rPr>
          <w:sz w:val="22"/>
          <w:szCs w:val="22"/>
          <w:rtl/>
          <w:lang w:val="fr-CH" w:eastAsia="fr-CH" w:bidi="ar-EG"/>
        </w:rPr>
      </w:pPr>
      <w:bookmarkStart w:id="23" w:name="_Toc114145775"/>
      <w:bookmarkStart w:id="24" w:name="_Toc114145776"/>
      <w:r w:rsidRPr="00581FBF">
        <w:rPr>
          <w:sz w:val="22"/>
          <w:szCs w:val="22"/>
          <w:rtl/>
          <w:lang w:val="fr-CH" w:eastAsia="fr-CH" w:bidi="ar-EG"/>
        </w:rPr>
        <w:lastRenderedPageBreak/>
        <w:t>القاعدة 89</w:t>
      </w:r>
      <w:r w:rsidRPr="00581FBF">
        <w:rPr>
          <w:sz w:val="22"/>
          <w:szCs w:val="22"/>
          <w:vertAlign w:val="superscript"/>
          <w:rtl/>
          <w:lang w:val="fr-CH" w:eastAsia="fr-CH" w:bidi="ar-EG"/>
        </w:rPr>
        <w:t>(ثانيا)</w:t>
      </w:r>
      <w:r w:rsidRPr="00581FBF">
        <w:rPr>
          <w:sz w:val="22"/>
          <w:szCs w:val="22"/>
          <w:vertAlign w:val="superscript"/>
          <w:rtl/>
          <w:lang w:val="fr-CH" w:eastAsia="fr-CH" w:bidi="ar-EG"/>
        </w:rPr>
        <w:br/>
      </w:r>
      <w:r w:rsidRPr="00581FBF">
        <w:rPr>
          <w:sz w:val="22"/>
          <w:szCs w:val="22"/>
          <w:rtl/>
          <w:lang w:val="fr-CH" w:eastAsia="fr-CH" w:bidi="ar-EG"/>
        </w:rPr>
        <w:t>إيداع الطلبات الدولية والمستندات الأخرى ومعالجتها وتحويلها</w:t>
      </w:r>
      <w:r w:rsidRPr="00581FBF">
        <w:rPr>
          <w:sz w:val="22"/>
          <w:szCs w:val="22"/>
          <w:rtl/>
          <w:lang w:val="fr-CH" w:eastAsia="fr-CH" w:bidi="ar-EG"/>
        </w:rPr>
        <w:br/>
        <w:t>في شكل إلكتروني أو بوسائل إلكترونية</w:t>
      </w:r>
      <w:bookmarkEnd w:id="23"/>
    </w:p>
    <w:p w14:paraId="1CBD4F3B" w14:textId="012D1C89" w:rsidR="007F5D5B" w:rsidRPr="00581FBF" w:rsidRDefault="00581FBF" w:rsidP="002E16CA">
      <w:pPr>
        <w:pStyle w:val="Heading2"/>
        <w:spacing w:after="220"/>
        <w:rPr>
          <w:rFonts w:cstheme="minorHAnsi"/>
          <w:b/>
          <w:bCs w:val="0"/>
          <w:sz w:val="22"/>
          <w:szCs w:val="22"/>
          <w:rtl/>
          <w:lang w:val="fr-CH" w:eastAsia="fr-CH" w:bidi="ar-EG"/>
        </w:rPr>
      </w:pPr>
      <w:r w:rsidRPr="00581FBF">
        <w:rPr>
          <w:rFonts w:cstheme="minorHAnsi" w:hint="cs"/>
          <w:b/>
          <w:bCs w:val="0"/>
          <w:sz w:val="22"/>
          <w:szCs w:val="22"/>
          <w:rtl/>
          <w:lang w:val="fr-CH" w:eastAsia="fr-CH" w:bidi="ar-EG"/>
        </w:rPr>
        <w:t>89</w:t>
      </w:r>
      <w:r w:rsidR="007F5D5B" w:rsidRPr="00581FBF">
        <w:rPr>
          <w:b/>
          <w:bCs w:val="0"/>
          <w:sz w:val="22"/>
          <w:szCs w:val="22"/>
          <w:vertAlign w:val="superscript"/>
          <w:rtl/>
          <w:lang w:val="fr-CH" w:eastAsia="fr-CH" w:bidi="ar-EG"/>
        </w:rPr>
        <w:t>(ثانيا)</w:t>
      </w:r>
      <w:r w:rsidR="007F5D5B" w:rsidRPr="00581FBF">
        <w:rPr>
          <w:b/>
          <w:bCs w:val="0"/>
          <w:sz w:val="22"/>
          <w:szCs w:val="22"/>
          <w:rtl/>
          <w:lang w:val="fr-CH" w:eastAsia="fr-CH" w:bidi="ar-EG"/>
        </w:rPr>
        <w:t>1</w:t>
      </w:r>
      <w:r w:rsidR="007F5D5B" w:rsidRPr="00581FBF">
        <w:rPr>
          <w:b/>
          <w:bCs w:val="0"/>
          <w:sz w:val="22"/>
          <w:szCs w:val="22"/>
          <w:rtl/>
          <w:lang w:val="fr-CH" w:eastAsia="fr-CH" w:bidi="ar-EG"/>
        </w:rPr>
        <w:tab/>
        <w:t>الطلبات الدولية</w:t>
      </w:r>
      <w:bookmarkEnd w:id="24"/>
    </w:p>
    <w:p w14:paraId="2595513E" w14:textId="77777777" w:rsidR="007F5D5B" w:rsidRPr="007F5D5B" w:rsidRDefault="007F5D5B" w:rsidP="00581FBF">
      <w:pPr>
        <w:spacing w:after="220" w:line="340" w:lineRule="atLeast"/>
        <w:ind w:firstLine="851"/>
        <w:jc w:val="lowKashida"/>
        <w:rPr>
          <w:rFonts w:asciiTheme="minorHAnsi" w:eastAsia="Times New Roman" w:hAnsiTheme="minorHAnsi" w:cstheme="minorHAnsi"/>
          <w:rtl/>
          <w:lang w:val="fr-CH" w:eastAsia="fr-CH" w:bidi="ar-EG"/>
        </w:rPr>
      </w:pPr>
      <w:r w:rsidRPr="007F5D5B">
        <w:rPr>
          <w:rFonts w:asciiTheme="minorHAnsi" w:eastAsia="Times New Roman" w:hAnsiTheme="minorHAnsi"/>
          <w:rtl/>
          <w:lang w:val="fr-CH" w:eastAsia="fr-CH" w:bidi="ar-EG"/>
        </w:rPr>
        <w:t>( أ )</w:t>
      </w:r>
      <w:r w:rsidRPr="007F5D5B">
        <w:rPr>
          <w:rFonts w:asciiTheme="minorHAnsi" w:eastAsia="Times New Roman" w:hAnsiTheme="minorHAnsi"/>
          <w:rtl/>
          <w:lang w:val="fr-CH" w:eastAsia="fr-CH" w:bidi="ar-EG"/>
        </w:rPr>
        <w:tab/>
        <w:t>يجوز إيداع الطلبات الدولية ومعالجتها في شكل إلكتروني أو بوسائل إلكترونية وفقا للتعليمات الإدارية</w:t>
      </w:r>
      <w:r w:rsidRPr="00A86DE6">
        <w:rPr>
          <w:rFonts w:asciiTheme="minorHAnsi" w:eastAsia="Times New Roman" w:hAnsiTheme="minorHAnsi"/>
          <w:strike/>
          <w:color w:val="FF0000"/>
          <w:rtl/>
          <w:lang w:val="fr-CH" w:eastAsia="fr-CH" w:bidi="ar-EG"/>
        </w:rPr>
        <w:t>، مع مراعاة الفقرات من (ب) إلى (</w:t>
      </w:r>
      <w:r w:rsidRPr="00A86DE6">
        <w:rPr>
          <w:rFonts w:asciiTheme="minorHAnsi" w:eastAsia="Times New Roman" w:hAnsiTheme="minorHAnsi" w:hint="cs"/>
          <w:strike/>
          <w:color w:val="FF0000"/>
          <w:rtl/>
          <w:lang w:val="fr-CH" w:eastAsia="fr-CH" w:bidi="ar-EG"/>
        </w:rPr>
        <w:t>ﻫ</w:t>
      </w:r>
      <w:r w:rsidRPr="00A86DE6">
        <w:rPr>
          <w:rFonts w:asciiTheme="minorHAnsi" w:eastAsia="Times New Roman" w:hAnsiTheme="minorHAnsi"/>
          <w:strike/>
          <w:color w:val="FF0000"/>
          <w:rtl/>
          <w:lang w:val="fr-CH" w:eastAsia="fr-CH" w:bidi="ar-EG"/>
        </w:rPr>
        <w:t>)، على أن يسمح مكتب تسلم الطلبات بإيداع الطلبات الدولية على الورق</w:t>
      </w:r>
      <w:r w:rsidRPr="007F5D5B">
        <w:rPr>
          <w:rFonts w:asciiTheme="minorHAnsi" w:eastAsia="Times New Roman" w:hAnsiTheme="minorHAnsi"/>
          <w:rtl/>
          <w:lang w:val="fr-CH" w:eastAsia="fr-CH" w:bidi="ar-EG"/>
        </w:rPr>
        <w:t>.</w:t>
      </w:r>
    </w:p>
    <w:p w14:paraId="6C5A83F3" w14:textId="363C0EC2" w:rsidR="007F5D5B" w:rsidRPr="008165CB" w:rsidRDefault="007F5D5B" w:rsidP="00581FBF">
      <w:pPr>
        <w:spacing w:after="220" w:line="340" w:lineRule="atLeast"/>
        <w:ind w:firstLine="851"/>
        <w:jc w:val="lowKashida"/>
        <w:rPr>
          <w:rFonts w:asciiTheme="minorHAnsi" w:eastAsia="Times New Roman" w:hAnsiTheme="minorHAnsi"/>
          <w:rtl/>
          <w:lang w:val="fr-CH" w:eastAsia="fr-CH" w:bidi="ar-EG"/>
        </w:rPr>
      </w:pPr>
      <w:r w:rsidRPr="007F5D5B">
        <w:rPr>
          <w:rFonts w:asciiTheme="minorHAnsi" w:eastAsia="Times New Roman" w:hAnsiTheme="minorHAnsi"/>
          <w:rtl/>
          <w:lang w:val="fr-CH" w:eastAsia="fr-CH" w:bidi="ar-EG"/>
        </w:rPr>
        <w:t>(ب)</w:t>
      </w:r>
      <w:r w:rsidR="00A86DE6">
        <w:rPr>
          <w:rFonts w:asciiTheme="minorHAnsi" w:eastAsia="Times New Roman" w:hAnsiTheme="minorHAnsi" w:hint="cs"/>
          <w:rtl/>
          <w:lang w:val="fr-CH" w:eastAsia="fr-CH" w:bidi="ar-EG"/>
        </w:rPr>
        <w:t xml:space="preserve"> </w:t>
      </w:r>
      <w:r w:rsidR="00A86DE6" w:rsidRPr="00A86DE6">
        <w:rPr>
          <w:rFonts w:asciiTheme="minorHAnsi" w:eastAsia="Times New Roman" w:hAnsiTheme="minorHAnsi" w:cstheme="minorHAnsi" w:hint="cs"/>
          <w:rtl/>
          <w:lang w:val="fr-CH" w:eastAsia="fr-CH" w:bidi="ar-EG"/>
        </w:rPr>
        <w:t>[بدون تغيير]</w:t>
      </w:r>
      <w:r w:rsidR="00A86DE6">
        <w:rPr>
          <w:rFonts w:asciiTheme="minorHAnsi" w:eastAsia="Times New Roman" w:hAnsiTheme="minorHAnsi" w:cstheme="minorHAnsi" w:hint="cs"/>
          <w:i/>
          <w:iCs/>
          <w:rtl/>
          <w:lang w:val="fr-CH" w:eastAsia="fr-CH" w:bidi="ar-EG"/>
        </w:rPr>
        <w:t xml:space="preserve"> </w:t>
      </w:r>
      <w:r w:rsidRPr="007F5D5B">
        <w:rPr>
          <w:rFonts w:asciiTheme="minorHAnsi" w:eastAsia="Times New Roman" w:hAnsiTheme="minorHAnsi"/>
          <w:rtl/>
          <w:lang w:val="fr-CH" w:eastAsia="fr-CH" w:bidi="ar-EG"/>
        </w:rPr>
        <w:t>تطبق هذه اللائحة التنفيذية، مع ما يلزم من تبديل، على الطلبات الدولية المودعة في شكل إلكتروني أو بوسائل إلكترونية شرط مراعاة أي أحكام خاصة في التعليمات الإدارية.</w:t>
      </w:r>
    </w:p>
    <w:p w14:paraId="6784E59B" w14:textId="2BFD1EA6" w:rsidR="007F5D5B" w:rsidRPr="008165CB" w:rsidRDefault="007F5D5B" w:rsidP="00581FBF">
      <w:pPr>
        <w:spacing w:after="220" w:line="340" w:lineRule="atLeast"/>
        <w:ind w:firstLine="851"/>
        <w:jc w:val="lowKashida"/>
        <w:rPr>
          <w:rFonts w:asciiTheme="minorHAnsi" w:eastAsia="Times New Roman" w:hAnsiTheme="minorHAnsi"/>
          <w:rtl/>
          <w:lang w:val="fr-CH" w:eastAsia="fr-CH" w:bidi="ar-EG"/>
        </w:rPr>
      </w:pPr>
      <w:r w:rsidRPr="007F5D5B">
        <w:rPr>
          <w:rFonts w:asciiTheme="minorHAnsi" w:eastAsia="Times New Roman" w:hAnsiTheme="minorHAnsi"/>
          <w:rtl/>
          <w:lang w:val="fr-CH" w:eastAsia="fr-CH" w:bidi="ar-EG"/>
        </w:rPr>
        <w:t>(ج)</w:t>
      </w:r>
      <w:r w:rsidRPr="007F5D5B">
        <w:rPr>
          <w:rFonts w:asciiTheme="minorHAnsi" w:eastAsia="Times New Roman" w:hAnsiTheme="minorHAnsi"/>
          <w:rtl/>
          <w:lang w:val="fr-CH" w:eastAsia="fr-CH" w:bidi="ar-EG"/>
        </w:rPr>
        <w:tab/>
      </w:r>
      <w:r w:rsidR="00A86DE6" w:rsidRPr="00A86DE6">
        <w:rPr>
          <w:rFonts w:asciiTheme="minorHAnsi" w:eastAsia="Times New Roman" w:hAnsiTheme="minorHAnsi" w:cstheme="minorHAnsi" w:hint="cs"/>
          <w:rtl/>
          <w:lang w:val="fr-CH" w:eastAsia="fr-CH" w:bidi="ar-EG"/>
        </w:rPr>
        <w:t>[بدون تغيير]</w:t>
      </w:r>
      <w:r w:rsidR="00A86DE6">
        <w:rPr>
          <w:rFonts w:asciiTheme="minorHAnsi" w:eastAsia="Times New Roman" w:hAnsiTheme="minorHAnsi" w:cstheme="minorHAnsi" w:hint="cs"/>
          <w:i/>
          <w:iCs/>
          <w:rtl/>
          <w:lang w:val="fr-CH" w:eastAsia="fr-CH" w:bidi="ar-EG"/>
        </w:rPr>
        <w:t xml:space="preserve"> </w:t>
      </w:r>
      <w:r w:rsidRPr="007F5D5B">
        <w:rPr>
          <w:rFonts w:asciiTheme="minorHAnsi" w:eastAsia="Times New Roman" w:hAnsiTheme="minorHAnsi"/>
          <w:rtl/>
          <w:lang w:val="fr-CH" w:eastAsia="fr-CH" w:bidi="ar-EG"/>
        </w:rPr>
        <w:t>تتضمن التعليمات الإدارية الأحكام والشروط المتعلقة بإيداع الطلبات الدولية المودعة كليا أو جزئيا في شكل إلكتروني أو بوسائل إلكترونية وبمعالجة تلك الطلبات، بما في ذلك على سبيل المثال لا الحصر، الأحكام والشروط المتعلقة بإقرار التسلم والإجراءات المتعلقة بتحديد تاريخ للإيداع الدولي والشروط المادية والآثار المترتبة على عدم الامتثال لتلك الشروط وتوقيع المستندات ووسائل التصديق على المستندات وإثبات هوية الأطراف التي تتراسل مع المكاتب والإدارات وتطبيق المادة 12 فيما يخص صورة مكتب تسلم الطلبات والنسخة الأصلية وصورة البحث. ويجوز أن تتضمن تلك التعليمات أحكاما وشروطا مختلفة بشأن الطلبات الدولية المودعة بلغات مختلفة.</w:t>
      </w:r>
    </w:p>
    <w:p w14:paraId="4D5EA68A" w14:textId="5A57135B" w:rsidR="008165CB" w:rsidRDefault="007F5D5B" w:rsidP="00581FBF">
      <w:pPr>
        <w:spacing w:after="220" w:line="340" w:lineRule="atLeast"/>
        <w:ind w:firstLine="851"/>
        <w:jc w:val="lowKashida"/>
        <w:rPr>
          <w:rFonts w:asciiTheme="minorHAnsi" w:eastAsia="Times New Roman" w:hAnsiTheme="minorHAnsi"/>
          <w:rtl/>
          <w:lang w:val="fr-CH" w:eastAsia="fr-CH" w:bidi="ar-EG"/>
        </w:rPr>
      </w:pPr>
      <w:r w:rsidRPr="007F5D5B">
        <w:rPr>
          <w:rFonts w:asciiTheme="minorHAnsi" w:eastAsia="Times New Roman" w:hAnsiTheme="minorHAnsi"/>
          <w:rtl/>
          <w:lang w:val="fr-CH" w:eastAsia="fr-CH" w:bidi="ar-EG"/>
        </w:rPr>
        <w:t>(د)</w:t>
      </w:r>
      <w:r w:rsidRPr="007F5D5B">
        <w:rPr>
          <w:rFonts w:asciiTheme="minorHAnsi" w:eastAsia="Times New Roman" w:hAnsiTheme="minorHAnsi"/>
          <w:rtl/>
          <w:lang w:val="fr-CH" w:eastAsia="fr-CH" w:bidi="ar-EG"/>
        </w:rPr>
        <w:tab/>
      </w:r>
      <w:r w:rsidR="00A86DE6" w:rsidRPr="00A86DE6">
        <w:rPr>
          <w:rFonts w:asciiTheme="minorHAnsi" w:eastAsia="Times New Roman" w:hAnsiTheme="minorHAnsi" w:cstheme="minorHAnsi" w:hint="cs"/>
          <w:rtl/>
          <w:lang w:val="fr-CH" w:eastAsia="fr-CH" w:bidi="ar-EG"/>
        </w:rPr>
        <w:t>[بدون تغيير]</w:t>
      </w:r>
      <w:r w:rsidR="00A86DE6">
        <w:rPr>
          <w:rFonts w:asciiTheme="minorHAnsi" w:eastAsia="Times New Roman" w:hAnsiTheme="minorHAnsi" w:cstheme="minorHAnsi" w:hint="cs"/>
          <w:i/>
          <w:iCs/>
          <w:rtl/>
          <w:lang w:val="fr-CH" w:eastAsia="fr-CH" w:bidi="ar-EG"/>
        </w:rPr>
        <w:t xml:space="preserve"> </w:t>
      </w:r>
      <w:r w:rsidRPr="007F5D5B">
        <w:rPr>
          <w:rFonts w:asciiTheme="minorHAnsi" w:eastAsia="Times New Roman" w:hAnsiTheme="minorHAnsi"/>
          <w:rtl/>
          <w:lang w:val="fr-CH" w:eastAsia="fr-CH" w:bidi="ar-EG"/>
        </w:rPr>
        <w:t>لا يكون المكتب الوطني أو المنظمة الحكومية الدولية ملزما بتسلم الطلبات الدولية المودعة في شكل إلكتروني أو بوسائل إلكترونية أو بمعالجة تلك الطلبات إلاّ إذا أخطر المكتب الدولي بأنه مستعد لذلك امتثالا للأحكام المطبقة من التعليمات الإدارية. ويتولى المكتب الدولي نشر تلك الإفادة في الجريدة.</w:t>
      </w:r>
    </w:p>
    <w:p w14:paraId="598E75BB" w14:textId="14BA31E8" w:rsidR="00A86DE6" w:rsidRDefault="00A86DE6" w:rsidP="00581FBF">
      <w:pPr>
        <w:spacing w:after="220" w:line="340" w:lineRule="atLeast"/>
        <w:ind w:firstLine="851"/>
        <w:jc w:val="lowKashida"/>
        <w:rPr>
          <w:rStyle w:val="InsertedText0"/>
          <w:rFonts w:cstheme="minorHAnsi"/>
          <w:szCs w:val="20"/>
          <w:rtl/>
          <w:lang w:eastAsia="en-US"/>
        </w:rPr>
      </w:pPr>
      <w:r w:rsidRPr="00504C98">
        <w:rPr>
          <w:rStyle w:val="InsertedText0"/>
          <w:rFonts w:cstheme="minorHAnsi"/>
          <w:rtl/>
          <w:lang w:eastAsia="en-US"/>
        </w:rPr>
        <w:t>(د)</w:t>
      </w:r>
      <w:r w:rsidRPr="00504C98">
        <w:rPr>
          <w:rStyle w:val="InsertedText0"/>
          <w:rFonts w:cstheme="minorHAnsi" w:hint="cs"/>
          <w:rtl/>
          <w:lang w:eastAsia="en-US"/>
        </w:rPr>
        <w:t xml:space="preserve">(ثانيا) </w:t>
      </w:r>
      <w:r w:rsidRPr="00504C98">
        <w:rPr>
          <w:rStyle w:val="InsertedText0"/>
          <w:rFonts w:cstheme="minorHAnsi"/>
          <w:szCs w:val="20"/>
          <w:rtl/>
          <w:lang w:eastAsia="en-US"/>
        </w:rPr>
        <w:t xml:space="preserve">يجوز للمكتب الذي أرسل إخطارًا بموجب الفقرة (د) إخطار المكتب الدولي بأنه لن يتلقى الطلبات الدولية إلا إذا تم إيداعها في </w:t>
      </w:r>
      <w:r w:rsidRPr="00504C98">
        <w:rPr>
          <w:rStyle w:val="InsertedText0"/>
          <w:rFonts w:cstheme="minorHAnsi" w:hint="cs"/>
          <w:rtl/>
          <w:lang w:eastAsia="en-US"/>
        </w:rPr>
        <w:t>نسق</w:t>
      </w:r>
      <w:r w:rsidRPr="00504C98">
        <w:rPr>
          <w:rStyle w:val="InsertedText0"/>
          <w:rFonts w:cstheme="minorHAnsi"/>
          <w:szCs w:val="20"/>
          <w:rtl/>
          <w:lang w:eastAsia="en-US"/>
        </w:rPr>
        <w:t xml:space="preserve"> إلكتروني أو بالوسائل الإلكترونية. </w:t>
      </w:r>
      <w:r w:rsidRPr="00504C98">
        <w:rPr>
          <w:rStyle w:val="InsertedText0"/>
          <w:rFonts w:asciiTheme="minorHAnsi" w:hAnsiTheme="minorHAnsi" w:cstheme="minorHAnsi"/>
          <w:szCs w:val="20"/>
          <w:rtl/>
          <w:lang w:eastAsia="en-US"/>
        </w:rPr>
        <w:t>ويتولى</w:t>
      </w:r>
      <w:r w:rsidRPr="00504C98">
        <w:rPr>
          <w:rStyle w:val="InsertedText0"/>
          <w:rFonts w:cstheme="minorHAnsi"/>
          <w:szCs w:val="20"/>
          <w:rtl/>
          <w:lang w:eastAsia="en-US"/>
        </w:rPr>
        <w:t xml:space="preserve"> المكتب الدولي نشر </w:t>
      </w:r>
      <w:r w:rsidR="00504C98">
        <w:rPr>
          <w:rStyle w:val="InsertedText0"/>
          <w:rFonts w:cstheme="minorHAnsi" w:hint="cs"/>
          <w:szCs w:val="20"/>
          <w:rtl/>
          <w:lang w:eastAsia="en-US"/>
        </w:rPr>
        <w:t>ذلك الإخطار بموجب هذه الفقرة</w:t>
      </w:r>
      <w:r w:rsidRPr="00504C98">
        <w:rPr>
          <w:rStyle w:val="InsertedText0"/>
          <w:rFonts w:cstheme="minorHAnsi"/>
          <w:szCs w:val="20"/>
          <w:rtl/>
          <w:lang w:eastAsia="en-US"/>
        </w:rPr>
        <w:t xml:space="preserve"> في الجريدة.</w:t>
      </w:r>
    </w:p>
    <w:p w14:paraId="7FE5CE6C" w14:textId="77777777" w:rsidR="00986F60" w:rsidRPr="00986F60" w:rsidRDefault="00986F60" w:rsidP="00581FBF">
      <w:pPr>
        <w:spacing w:after="220" w:line="340" w:lineRule="atLeast"/>
        <w:ind w:firstLine="851"/>
        <w:jc w:val="lowKashida"/>
        <w:rPr>
          <w:rStyle w:val="InsertedText0"/>
          <w:rFonts w:cstheme="minorHAnsi"/>
          <w:color w:val="auto"/>
          <w:u w:val="none"/>
          <w:rtl/>
          <w:lang w:eastAsia="en-US"/>
        </w:rPr>
      </w:pPr>
      <w:r w:rsidRPr="00986F60">
        <w:rPr>
          <w:rStyle w:val="InsertedText0"/>
          <w:color w:val="auto"/>
          <w:u w:val="none"/>
          <w:rtl/>
          <w:lang w:eastAsia="en-US"/>
        </w:rPr>
        <w:t>(</w:t>
      </w:r>
      <w:r w:rsidRPr="00986F60">
        <w:rPr>
          <w:rStyle w:val="InsertedText0"/>
          <w:rFonts w:hint="cs"/>
          <w:color w:val="auto"/>
          <w:u w:val="none"/>
          <w:rtl/>
          <w:lang w:eastAsia="en-US"/>
        </w:rPr>
        <w:t>ﻫ</w:t>
      </w:r>
      <w:r w:rsidRPr="00986F60">
        <w:rPr>
          <w:rStyle w:val="InsertedText0"/>
          <w:color w:val="auto"/>
          <w:u w:val="none"/>
          <w:rtl/>
          <w:lang w:eastAsia="en-US"/>
        </w:rPr>
        <w:t>)</w:t>
      </w:r>
      <w:r w:rsidRPr="00986F60">
        <w:rPr>
          <w:rStyle w:val="InsertedText0"/>
          <w:color w:val="auto"/>
          <w:u w:val="none"/>
          <w:rtl/>
          <w:lang w:eastAsia="en-US"/>
        </w:rPr>
        <w:tab/>
        <w:t>لا يجوز لمكتب تسلم الطلبات الذي وجه إخطارا إلى المكتب الدولي بناء على الفقرة (د) أن يرفض معالجة طلب دولي مودع في شكل إلكتروني أو بوسائل إلكترونية إذا كان ذلك الطلب يستوفي الشروط المطبقة بناء على التعليمات الإدارية.</w:t>
      </w:r>
    </w:p>
    <w:p w14:paraId="2E2D110D" w14:textId="77777777" w:rsidR="00986F60" w:rsidRPr="00581FBF" w:rsidRDefault="00986F60" w:rsidP="00581FBF">
      <w:pPr>
        <w:pStyle w:val="Heading2"/>
        <w:spacing w:after="220"/>
        <w:rPr>
          <w:b/>
          <w:bCs w:val="0"/>
          <w:sz w:val="22"/>
          <w:szCs w:val="22"/>
          <w:rtl/>
          <w:lang w:val="fr-CH" w:eastAsia="fr-CH" w:bidi="ar-EG"/>
        </w:rPr>
      </w:pPr>
      <w:bookmarkStart w:id="25" w:name="_Toc114145777"/>
      <w:r w:rsidRPr="00581FBF">
        <w:rPr>
          <w:rFonts w:cstheme="minorHAnsi"/>
          <w:b/>
          <w:bCs w:val="0"/>
          <w:sz w:val="22"/>
          <w:szCs w:val="22"/>
          <w:rtl/>
          <w:lang w:val="fr-CH" w:eastAsia="fr-CH" w:bidi="ar-EG"/>
        </w:rPr>
        <w:t>89</w:t>
      </w:r>
      <w:r w:rsidRPr="002E16CA">
        <w:rPr>
          <w:rFonts w:cstheme="minorHAnsi"/>
          <w:b/>
          <w:bCs w:val="0"/>
          <w:sz w:val="22"/>
          <w:szCs w:val="22"/>
          <w:vertAlign w:val="superscript"/>
          <w:rtl/>
          <w:lang w:val="fr-CH" w:eastAsia="fr-CH" w:bidi="ar-EG"/>
        </w:rPr>
        <w:t>(ثانيا)</w:t>
      </w:r>
      <w:r w:rsidRPr="00581FBF">
        <w:rPr>
          <w:rFonts w:cstheme="minorHAnsi"/>
          <w:b/>
          <w:bCs w:val="0"/>
          <w:sz w:val="22"/>
          <w:szCs w:val="22"/>
          <w:rtl/>
          <w:lang w:val="fr-CH" w:eastAsia="fr-CH" w:bidi="ar-EG"/>
        </w:rPr>
        <w:t>2</w:t>
      </w:r>
      <w:r w:rsidRPr="00581FBF">
        <w:rPr>
          <w:rFonts w:cstheme="minorHAnsi"/>
          <w:b/>
          <w:bCs w:val="0"/>
          <w:sz w:val="22"/>
          <w:szCs w:val="22"/>
          <w:rtl/>
          <w:lang w:val="fr-CH" w:eastAsia="fr-CH" w:bidi="ar-EG"/>
        </w:rPr>
        <w:tab/>
        <w:t>المستندات الأخرى</w:t>
      </w:r>
      <w:bookmarkEnd w:id="25"/>
    </w:p>
    <w:p w14:paraId="4619401D" w14:textId="4B0E2F8A" w:rsidR="00986F60" w:rsidRDefault="00831D71" w:rsidP="00581FBF">
      <w:pPr>
        <w:spacing w:after="220" w:line="340" w:lineRule="atLeast"/>
        <w:ind w:firstLine="851"/>
        <w:jc w:val="lowKashida"/>
        <w:rPr>
          <w:rStyle w:val="InsertedText0"/>
          <w:color w:val="auto"/>
          <w:u w:val="none"/>
          <w:rtl/>
          <w:lang w:eastAsia="en-US"/>
        </w:rPr>
      </w:pPr>
      <w:r w:rsidRPr="00A86DE6">
        <w:rPr>
          <w:rFonts w:asciiTheme="minorHAnsi" w:eastAsia="Times New Roman" w:hAnsiTheme="minorHAnsi" w:cstheme="minorHAnsi" w:hint="cs"/>
          <w:rtl/>
          <w:lang w:val="fr-CH" w:eastAsia="fr-CH" w:bidi="ar-EG"/>
        </w:rPr>
        <w:t>[بدون تغيير]</w:t>
      </w:r>
      <w:r>
        <w:rPr>
          <w:rFonts w:asciiTheme="minorHAnsi" w:eastAsia="Times New Roman" w:hAnsiTheme="minorHAnsi" w:cstheme="minorHAnsi" w:hint="cs"/>
          <w:i/>
          <w:iCs/>
          <w:rtl/>
          <w:lang w:val="fr-CH" w:eastAsia="fr-CH" w:bidi="ar-EG"/>
        </w:rPr>
        <w:t xml:space="preserve"> </w:t>
      </w:r>
      <w:r w:rsidR="00986F60" w:rsidRPr="00986F60">
        <w:rPr>
          <w:rStyle w:val="InsertedText0"/>
          <w:color w:val="auto"/>
          <w:u w:val="none"/>
          <w:rtl/>
          <w:lang w:eastAsia="en-US"/>
        </w:rPr>
        <w:t>تطبق القاعدة 89</w:t>
      </w:r>
      <w:r w:rsidR="00986F60" w:rsidRPr="00831D71">
        <w:rPr>
          <w:rStyle w:val="InsertedText0"/>
          <w:color w:val="auto"/>
          <w:u w:val="none"/>
          <w:vertAlign w:val="superscript"/>
          <w:rtl/>
          <w:lang w:eastAsia="en-US"/>
        </w:rPr>
        <w:t>(ثانيا)</w:t>
      </w:r>
      <w:r w:rsidR="00986F60" w:rsidRPr="00986F60">
        <w:rPr>
          <w:rStyle w:val="InsertedText0"/>
          <w:color w:val="auto"/>
          <w:u w:val="none"/>
          <w:rtl/>
          <w:lang w:eastAsia="en-US"/>
        </w:rPr>
        <w:t>1 مع ما يلزم من تبديل على المستندات والمراسلات الأخرى المتعلقة بالطلبات الدولية.</w:t>
      </w:r>
    </w:p>
    <w:p w14:paraId="7A42A11D" w14:textId="682C3848" w:rsidR="00831D71" w:rsidRDefault="00831D71" w:rsidP="00581FBF">
      <w:pPr>
        <w:spacing w:after="220" w:line="340" w:lineRule="atLeast"/>
        <w:jc w:val="lowKashida"/>
        <w:rPr>
          <w:rStyle w:val="InsertedText0"/>
          <w:color w:val="auto"/>
          <w:u w:val="none"/>
          <w:rtl/>
          <w:lang w:eastAsia="en-US"/>
        </w:rPr>
      </w:pPr>
      <w:r w:rsidRPr="00831D71">
        <w:rPr>
          <w:rStyle w:val="InsertedText0"/>
          <w:color w:val="auto"/>
          <w:u w:val="none"/>
          <w:rtl/>
          <w:lang w:eastAsia="en-US"/>
        </w:rPr>
        <w:t>[</w:t>
      </w:r>
      <w:r w:rsidRPr="00266A30">
        <w:rPr>
          <w:rStyle w:val="InsertedText0"/>
          <w:color w:val="auto"/>
          <w:rtl/>
          <w:lang w:eastAsia="en-US"/>
        </w:rPr>
        <w:t>ملاحظة</w:t>
      </w:r>
      <w:r w:rsidRPr="00831D71">
        <w:rPr>
          <w:rStyle w:val="InsertedText0"/>
          <w:color w:val="auto"/>
          <w:u w:val="none"/>
          <w:rtl/>
          <w:lang w:eastAsia="en-US"/>
        </w:rPr>
        <w:t xml:space="preserve">: تعمل هذه الفقرة </w:t>
      </w:r>
      <w:r>
        <w:rPr>
          <w:rStyle w:val="InsertedText0"/>
          <w:rFonts w:hint="cs"/>
          <w:color w:val="auto"/>
          <w:u w:val="none"/>
          <w:rtl/>
          <w:lang w:eastAsia="en-US"/>
        </w:rPr>
        <w:t>بناء على</w:t>
      </w:r>
      <w:r w:rsidRPr="00831D71">
        <w:rPr>
          <w:rStyle w:val="InsertedText0"/>
          <w:color w:val="auto"/>
          <w:u w:val="none"/>
          <w:rtl/>
          <w:lang w:eastAsia="en-US"/>
        </w:rPr>
        <w:t xml:space="preserve"> القاعدة </w:t>
      </w:r>
      <w:r w:rsidRPr="00986F60">
        <w:rPr>
          <w:rStyle w:val="InsertedText0"/>
          <w:color w:val="auto"/>
          <w:u w:val="none"/>
          <w:rtl/>
          <w:lang w:eastAsia="en-US"/>
        </w:rPr>
        <w:t>89</w:t>
      </w:r>
      <w:r w:rsidRPr="00831D71">
        <w:rPr>
          <w:rStyle w:val="InsertedText0"/>
          <w:color w:val="auto"/>
          <w:u w:val="none"/>
          <w:vertAlign w:val="superscript"/>
          <w:rtl/>
          <w:lang w:eastAsia="en-US"/>
        </w:rPr>
        <w:t>(ثانيا)</w:t>
      </w:r>
      <w:r w:rsidRPr="00986F60">
        <w:rPr>
          <w:rStyle w:val="InsertedText0"/>
          <w:color w:val="auto"/>
          <w:u w:val="none"/>
          <w:rtl/>
          <w:lang w:eastAsia="en-US"/>
        </w:rPr>
        <w:t xml:space="preserve">1 </w:t>
      </w:r>
      <w:r w:rsidRPr="00831D71">
        <w:rPr>
          <w:rStyle w:val="InsertedText0"/>
          <w:color w:val="auto"/>
          <w:u w:val="none"/>
          <w:rtl/>
          <w:lang w:eastAsia="en-US"/>
        </w:rPr>
        <w:t xml:space="preserve">المعدلة لتوسيع إمكانية استبعاد </w:t>
      </w:r>
      <w:r>
        <w:rPr>
          <w:rStyle w:val="InsertedText0"/>
          <w:rFonts w:hint="cs"/>
          <w:color w:val="auto"/>
          <w:u w:val="none"/>
          <w:rtl/>
          <w:lang w:eastAsia="en-US"/>
        </w:rPr>
        <w:t>إيداع</w:t>
      </w:r>
      <w:r w:rsidRPr="00831D71">
        <w:rPr>
          <w:rStyle w:val="InsertedText0"/>
          <w:color w:val="auto"/>
          <w:u w:val="none"/>
          <w:rtl/>
          <w:lang w:eastAsia="en-US"/>
        </w:rPr>
        <w:t xml:space="preserve"> </w:t>
      </w:r>
      <w:r>
        <w:rPr>
          <w:rStyle w:val="InsertedText0"/>
          <w:rFonts w:hint="cs"/>
          <w:color w:val="auto"/>
          <w:u w:val="none"/>
          <w:rtl/>
          <w:lang w:eastAsia="en-US"/>
        </w:rPr>
        <w:t>المستندات</w:t>
      </w:r>
      <w:r w:rsidRPr="00831D71">
        <w:rPr>
          <w:rStyle w:val="InsertedText0"/>
          <w:color w:val="auto"/>
          <w:u w:val="none"/>
          <w:rtl/>
          <w:lang w:eastAsia="en-US"/>
        </w:rPr>
        <w:t xml:space="preserve"> </w:t>
      </w:r>
      <w:r>
        <w:rPr>
          <w:rStyle w:val="InsertedText0"/>
          <w:rFonts w:hint="cs"/>
          <w:color w:val="auto"/>
          <w:u w:val="none"/>
          <w:rtl/>
          <w:lang w:eastAsia="en-US"/>
        </w:rPr>
        <w:t>اللاحقة ورقيا</w:t>
      </w:r>
      <w:r w:rsidRPr="00831D71">
        <w:rPr>
          <w:rStyle w:val="InsertedText0"/>
          <w:color w:val="auto"/>
          <w:u w:val="none"/>
          <w:rtl/>
          <w:lang w:eastAsia="en-US"/>
        </w:rPr>
        <w:t xml:space="preserve">. </w:t>
      </w:r>
      <w:r>
        <w:rPr>
          <w:rStyle w:val="InsertedText0"/>
          <w:rFonts w:hint="cs"/>
          <w:color w:val="auto"/>
          <w:u w:val="none"/>
          <w:rtl/>
          <w:lang w:eastAsia="en-US"/>
        </w:rPr>
        <w:t>وسيتم الأمر تدريجيا</w:t>
      </w:r>
      <w:r w:rsidRPr="00831D71">
        <w:rPr>
          <w:rStyle w:val="InsertedText0"/>
          <w:color w:val="auto"/>
          <w:u w:val="none"/>
          <w:rtl/>
          <w:lang w:eastAsia="en-US"/>
        </w:rPr>
        <w:t xml:space="preserve"> </w:t>
      </w:r>
      <w:r>
        <w:rPr>
          <w:rStyle w:val="InsertedText0"/>
          <w:rFonts w:hint="cs"/>
          <w:color w:val="auto"/>
          <w:u w:val="none"/>
          <w:rtl/>
          <w:lang w:eastAsia="en-US"/>
        </w:rPr>
        <w:t xml:space="preserve">مع </w:t>
      </w:r>
      <w:r w:rsidRPr="00831D71">
        <w:rPr>
          <w:rStyle w:val="InsertedText0"/>
          <w:color w:val="auto"/>
          <w:u w:val="none"/>
          <w:rtl/>
          <w:lang w:eastAsia="en-US"/>
        </w:rPr>
        <w:t xml:space="preserve">إخطار المكتب الدولي </w:t>
      </w:r>
      <w:r>
        <w:rPr>
          <w:rStyle w:val="InsertedText0"/>
          <w:rFonts w:hint="cs"/>
          <w:color w:val="auto"/>
          <w:u w:val="none"/>
          <w:rtl/>
          <w:lang w:eastAsia="en-US"/>
        </w:rPr>
        <w:t>بعدم قبول</w:t>
      </w:r>
      <w:r w:rsidRPr="00831D71">
        <w:rPr>
          <w:rStyle w:val="InsertedText0"/>
          <w:color w:val="auto"/>
          <w:u w:val="none"/>
          <w:rtl/>
          <w:lang w:eastAsia="en-US"/>
        </w:rPr>
        <w:t xml:space="preserve"> إيداع</w:t>
      </w:r>
      <w:r>
        <w:rPr>
          <w:rStyle w:val="InsertedText0"/>
          <w:rFonts w:hint="cs"/>
          <w:color w:val="auto"/>
          <w:u w:val="none"/>
          <w:rtl/>
          <w:lang w:eastAsia="en-US"/>
        </w:rPr>
        <w:t xml:space="preserve"> الطلبات ورقيا</w:t>
      </w:r>
      <w:r w:rsidRPr="00831D71">
        <w:rPr>
          <w:rStyle w:val="InsertedText0"/>
          <w:color w:val="auto"/>
          <w:u w:val="none"/>
          <w:rtl/>
          <w:lang w:eastAsia="en-US"/>
        </w:rPr>
        <w:t xml:space="preserve"> و</w:t>
      </w:r>
      <w:r w:rsidR="00266A30">
        <w:rPr>
          <w:rStyle w:val="InsertedText0"/>
          <w:rFonts w:hint="cs"/>
          <w:color w:val="auto"/>
          <w:u w:val="none"/>
          <w:rtl/>
          <w:lang w:eastAsia="en-US"/>
        </w:rPr>
        <w:t>لا ا</w:t>
      </w:r>
      <w:r w:rsidRPr="00831D71">
        <w:rPr>
          <w:rStyle w:val="InsertedText0"/>
          <w:color w:val="auto"/>
          <w:u w:val="none"/>
          <w:rtl/>
          <w:lang w:eastAsia="en-US"/>
        </w:rPr>
        <w:t xml:space="preserve">لمستندات المودعة لاحقًا </w:t>
      </w:r>
      <w:r w:rsidR="00266A30">
        <w:rPr>
          <w:rStyle w:val="InsertedText0"/>
          <w:rFonts w:hint="cs"/>
          <w:color w:val="auto"/>
          <w:u w:val="none"/>
          <w:rtl/>
          <w:lang w:eastAsia="en-US"/>
        </w:rPr>
        <w:t>في</w:t>
      </w:r>
      <w:r w:rsidRPr="00831D71">
        <w:rPr>
          <w:rStyle w:val="InsertedText0"/>
          <w:color w:val="auto"/>
          <w:u w:val="none"/>
          <w:rtl/>
          <w:lang w:eastAsia="en-US"/>
        </w:rPr>
        <w:t xml:space="preserve"> تواريخ مختلفة، شريطة أن تسمح أنظمة تكنولوجيا المعلومات ذات الصلة التي يستخدمها المكتب بذلك.]</w:t>
      </w:r>
    </w:p>
    <w:p w14:paraId="74FD7EFC" w14:textId="6A793A45" w:rsidR="00266A30" w:rsidRPr="00581FBF" w:rsidRDefault="00266A30" w:rsidP="00581FBF">
      <w:pPr>
        <w:pStyle w:val="Heading2"/>
        <w:spacing w:after="220"/>
        <w:rPr>
          <w:rFonts w:cstheme="minorHAnsi"/>
          <w:b/>
          <w:bCs w:val="0"/>
          <w:sz w:val="22"/>
          <w:szCs w:val="22"/>
          <w:rtl/>
          <w:lang w:val="fr-CH" w:eastAsia="fr-CH" w:bidi="ar-EG"/>
        </w:rPr>
      </w:pPr>
      <w:bookmarkStart w:id="26" w:name="_Toc114145778"/>
      <w:r w:rsidRPr="00581FBF">
        <w:rPr>
          <w:rFonts w:cstheme="minorHAnsi" w:hint="cs"/>
          <w:b/>
          <w:bCs w:val="0"/>
          <w:sz w:val="22"/>
          <w:szCs w:val="22"/>
          <w:rtl/>
          <w:lang w:val="fr-CH" w:eastAsia="fr-CH" w:bidi="ar-EG"/>
        </w:rPr>
        <w:t>89</w:t>
      </w:r>
      <w:r w:rsidRPr="002E16CA">
        <w:rPr>
          <w:rFonts w:cstheme="minorHAnsi"/>
          <w:b/>
          <w:bCs w:val="0"/>
          <w:sz w:val="22"/>
          <w:szCs w:val="22"/>
          <w:vertAlign w:val="superscript"/>
          <w:rtl/>
          <w:lang w:val="fr-CH" w:eastAsia="fr-CH" w:bidi="ar-EG"/>
        </w:rPr>
        <w:t>(ثانيا)</w:t>
      </w:r>
      <w:r w:rsidRPr="00581FBF">
        <w:rPr>
          <w:rFonts w:cstheme="minorHAnsi"/>
          <w:b/>
          <w:bCs w:val="0"/>
          <w:sz w:val="22"/>
          <w:szCs w:val="22"/>
          <w:rtl/>
          <w:lang w:val="fr-CH" w:eastAsia="fr-CH" w:bidi="ar-EG"/>
        </w:rPr>
        <w:t>3</w:t>
      </w:r>
      <w:r w:rsidRPr="00581FBF">
        <w:rPr>
          <w:rFonts w:cstheme="minorHAnsi"/>
          <w:b/>
          <w:bCs w:val="0"/>
          <w:sz w:val="22"/>
          <w:szCs w:val="22"/>
          <w:rtl/>
          <w:lang w:val="fr-CH" w:eastAsia="fr-CH" w:bidi="ar-EG"/>
        </w:rPr>
        <w:tab/>
        <w:t>التحويل بين المكاتب</w:t>
      </w:r>
      <w:bookmarkEnd w:id="26"/>
    </w:p>
    <w:p w14:paraId="0378128D" w14:textId="2C78096F" w:rsidR="00266A30" w:rsidRPr="00266A30" w:rsidRDefault="00266A30" w:rsidP="00581FBF">
      <w:pPr>
        <w:spacing w:after="220" w:line="340" w:lineRule="atLeast"/>
        <w:ind w:firstLine="851"/>
        <w:jc w:val="lowKashida"/>
        <w:rPr>
          <w:rStyle w:val="InsertedText0"/>
          <w:color w:val="auto"/>
          <w:u w:val="none"/>
          <w:rtl/>
          <w:lang w:eastAsia="en-US"/>
        </w:rPr>
      </w:pPr>
      <w:r w:rsidRPr="00A86DE6">
        <w:rPr>
          <w:rFonts w:asciiTheme="minorHAnsi" w:eastAsia="Times New Roman" w:hAnsiTheme="minorHAnsi" w:cstheme="minorHAnsi" w:hint="cs"/>
          <w:rtl/>
          <w:lang w:val="fr-CH" w:eastAsia="fr-CH" w:bidi="ar-EG"/>
        </w:rPr>
        <w:t>[بدون تغيير]</w:t>
      </w:r>
      <w:r>
        <w:rPr>
          <w:rFonts w:asciiTheme="minorHAnsi" w:eastAsia="Times New Roman" w:hAnsiTheme="minorHAnsi" w:cstheme="minorHAnsi" w:hint="cs"/>
          <w:i/>
          <w:iCs/>
          <w:rtl/>
          <w:lang w:val="fr-CH" w:eastAsia="fr-CH" w:bidi="ar-EG"/>
        </w:rPr>
        <w:t xml:space="preserve"> </w:t>
      </w:r>
      <w:r w:rsidRPr="00266A30">
        <w:rPr>
          <w:rStyle w:val="InsertedText0"/>
          <w:color w:val="auto"/>
          <w:u w:val="none"/>
          <w:rtl/>
          <w:lang w:eastAsia="en-US"/>
        </w:rPr>
        <w:t xml:space="preserve">متى </w:t>
      </w:r>
      <w:r w:rsidRPr="00266A30">
        <w:rPr>
          <w:rFonts w:asciiTheme="minorHAnsi" w:eastAsia="Times New Roman" w:hAnsiTheme="minorHAnsi" w:cstheme="minorHAnsi"/>
          <w:rtl/>
          <w:lang w:val="fr-CH" w:eastAsia="fr-CH" w:bidi="ar-EG"/>
        </w:rPr>
        <w:t>نصت</w:t>
      </w:r>
      <w:r w:rsidRPr="00266A30">
        <w:rPr>
          <w:rStyle w:val="InsertedText0"/>
          <w:color w:val="auto"/>
          <w:u w:val="none"/>
          <w:rtl/>
          <w:lang w:eastAsia="en-US"/>
        </w:rPr>
        <w:t xml:space="preserve"> المعاهدة أو هذه اللائحة التنفيذية أو التعليمات الإدارية على تحويل طلب دولي أو إخطار أو تبليغ أو كتاب أو مستند آخر أو تبليغه أو إرساله ("التحويل") من مكتب وطني أو منظمة حكومية دولية إلى مكتب آخر أو منظمة أخرى، جاز أن يباشر ذلك التحويل في شكل إلكتروني أو بوسائل إلكترونية إذا اتفق المرسِل والمرسَل إليه على ذلك.</w:t>
      </w:r>
    </w:p>
    <w:p w14:paraId="76F0B321" w14:textId="77777777" w:rsidR="00266A30" w:rsidRDefault="00266A30" w:rsidP="00266A30">
      <w:pPr>
        <w:pStyle w:val="Endofdocument-Annex"/>
        <w:rPr>
          <w:rStyle w:val="InsertedText0"/>
          <w:rFonts w:cstheme="minorBidi"/>
          <w:color w:val="auto"/>
          <w:u w:val="none"/>
          <w:rtl/>
          <w:lang w:eastAsia="en-US" w:bidi="ar-EG"/>
        </w:rPr>
      </w:pPr>
      <w:r>
        <w:rPr>
          <w:rStyle w:val="InsertedText0"/>
          <w:rFonts w:hint="cs"/>
          <w:color w:val="auto"/>
          <w:u w:val="none"/>
          <w:rtl/>
          <w:lang w:eastAsia="en-US"/>
        </w:rPr>
        <w:t>[يلي ذلك المرفق الثاني]</w:t>
      </w:r>
    </w:p>
    <w:p w14:paraId="2E8158A8" w14:textId="77777777" w:rsidR="001E5AC7" w:rsidRDefault="001E5AC7" w:rsidP="00266A30">
      <w:pPr>
        <w:pStyle w:val="Endofdocument-Annex"/>
        <w:rPr>
          <w:rStyle w:val="InsertedText0"/>
          <w:rFonts w:cstheme="minorBidi"/>
          <w:color w:val="auto"/>
          <w:u w:val="none"/>
          <w:rtl/>
          <w:lang w:eastAsia="en-US" w:bidi="ar-EG"/>
        </w:rPr>
      </w:pPr>
    </w:p>
    <w:p w14:paraId="5EF10096" w14:textId="5ABD62BA" w:rsidR="001E5AC7" w:rsidRPr="001E5AC7" w:rsidRDefault="001E5AC7" w:rsidP="00266A30">
      <w:pPr>
        <w:pStyle w:val="Endofdocument-Annex"/>
        <w:rPr>
          <w:rStyle w:val="InsertedText0"/>
          <w:rFonts w:cstheme="minorBidi"/>
          <w:color w:val="auto"/>
          <w:u w:val="none"/>
          <w:rtl/>
          <w:lang w:eastAsia="en-US" w:bidi="ar-EG"/>
        </w:rPr>
        <w:sectPr w:rsidR="001E5AC7" w:rsidRPr="001E5AC7" w:rsidSect="001E5AC7">
          <w:headerReference w:type="default" r:id="rId20"/>
          <w:endnotePr>
            <w:numFmt w:val="decimal"/>
          </w:endnotePr>
          <w:pgSz w:w="11907" w:h="16840" w:code="9"/>
          <w:pgMar w:top="567" w:right="1418" w:bottom="1418" w:left="1134" w:header="510" w:footer="1021" w:gutter="0"/>
          <w:pgNumType w:start="2"/>
          <w:cols w:space="720"/>
          <w:bidi/>
          <w:rtlGutter/>
          <w:docGrid w:linePitch="299"/>
        </w:sectPr>
      </w:pPr>
    </w:p>
    <w:p w14:paraId="3FE46A07" w14:textId="66978C5F" w:rsidR="00266A30" w:rsidRPr="00986F60" w:rsidRDefault="00266A30" w:rsidP="00266A30">
      <w:pPr>
        <w:pStyle w:val="Endofdocument-Annex"/>
        <w:rPr>
          <w:rStyle w:val="InsertedText0"/>
          <w:rFonts w:cstheme="minorHAnsi"/>
          <w:color w:val="auto"/>
          <w:u w:val="none"/>
          <w:rtl/>
          <w:lang w:eastAsia="en-US"/>
        </w:rPr>
      </w:pPr>
    </w:p>
    <w:p w14:paraId="42BBA1AC" w14:textId="034FCBA0" w:rsidR="00523562" w:rsidRPr="00523562" w:rsidRDefault="00523562" w:rsidP="00523562">
      <w:pPr>
        <w:keepNext/>
        <w:spacing w:after="220" w:line="340" w:lineRule="atLeast"/>
        <w:jc w:val="center"/>
        <w:rPr>
          <w:rFonts w:asciiTheme="minorHAnsi" w:eastAsia="Times New Roman" w:hAnsiTheme="minorHAnsi" w:cstheme="minorHAnsi"/>
          <w:b/>
          <w:bCs/>
          <w:sz w:val="28"/>
          <w:szCs w:val="28"/>
          <w:rtl/>
          <w:lang w:val="fr-CH" w:eastAsia="fr-CH" w:bidi="ar-EG"/>
        </w:rPr>
      </w:pPr>
      <w:r w:rsidRPr="00523562">
        <w:rPr>
          <w:rFonts w:asciiTheme="minorHAnsi" w:eastAsia="Times New Roman" w:hAnsiTheme="minorHAnsi" w:cstheme="minorHAnsi"/>
          <w:b/>
          <w:bCs/>
          <w:sz w:val="28"/>
          <w:szCs w:val="28"/>
          <w:rtl/>
          <w:lang w:val="fr-CH" w:eastAsia="fr-CH" w:bidi="ar-EG"/>
        </w:rPr>
        <w:t>التعديلات المُقترح إدخالها على التعليمات الإداري</w:t>
      </w:r>
      <w:r w:rsidRPr="00523562">
        <w:rPr>
          <w:rFonts w:asciiTheme="minorHAnsi" w:eastAsia="Times New Roman" w:hAnsiTheme="minorHAnsi" w:cstheme="minorHAnsi" w:hint="cs"/>
          <w:b/>
          <w:bCs/>
          <w:sz w:val="28"/>
          <w:szCs w:val="28"/>
          <w:rtl/>
          <w:lang w:val="fr-CH" w:eastAsia="fr-CH" w:bidi="ar-EG"/>
        </w:rPr>
        <w:t>ة</w:t>
      </w:r>
    </w:p>
    <w:p w14:paraId="7DE9D25D" w14:textId="77777777" w:rsidR="003E6240" w:rsidRPr="003E6240" w:rsidRDefault="003E6240" w:rsidP="003E6240">
      <w:pPr>
        <w:keepNext/>
        <w:keepLines/>
        <w:bidi w:val="0"/>
        <w:spacing w:before="240" w:after="240" w:line="360" w:lineRule="auto"/>
        <w:jc w:val="center"/>
        <w:rPr>
          <w:rFonts w:asciiTheme="minorHAnsi" w:eastAsia="Times New Roman" w:hAnsiTheme="minorHAnsi" w:cstheme="minorHAnsi"/>
          <w:b/>
          <w:noProof/>
          <w:snapToGrid w:val="0"/>
          <w:lang w:eastAsia="en-US"/>
        </w:rPr>
      </w:pPr>
      <w:bookmarkStart w:id="27" w:name="_Toc532119644"/>
      <w:bookmarkStart w:id="28" w:name="_Toc104211192"/>
      <w:r w:rsidRPr="003E6240">
        <w:rPr>
          <w:rFonts w:asciiTheme="minorHAnsi" w:eastAsia="Times New Roman" w:hAnsiTheme="minorHAnsi" w:cstheme="minorHAnsi"/>
          <w:b/>
          <w:noProof/>
          <w:snapToGrid w:val="0"/>
          <w:lang w:eastAsia="en-US"/>
        </w:rPr>
        <w:t xml:space="preserve">Section 703 </w:t>
      </w:r>
      <w:r w:rsidRPr="003E6240">
        <w:rPr>
          <w:rFonts w:asciiTheme="minorHAnsi" w:eastAsia="Times New Roman" w:hAnsiTheme="minorHAnsi" w:cstheme="minorHAnsi"/>
          <w:b/>
          <w:noProof/>
          <w:snapToGrid w:val="0"/>
          <w:lang w:eastAsia="en-US"/>
        </w:rPr>
        <w:br/>
        <w:t>Filing Requirements;  Basic Common Standard</w:t>
      </w:r>
      <w:bookmarkEnd w:id="27"/>
      <w:bookmarkEnd w:id="28"/>
    </w:p>
    <w:p w14:paraId="0E3840A9" w14:textId="491353F7" w:rsidR="003E6240" w:rsidRPr="003E6240" w:rsidRDefault="003E6240" w:rsidP="003E6240">
      <w:pPr>
        <w:tabs>
          <w:tab w:val="left" w:pos="454"/>
        </w:tabs>
        <w:bidi w:val="0"/>
        <w:spacing w:before="119" w:after="240" w:line="360" w:lineRule="auto"/>
        <w:rPr>
          <w:rFonts w:asciiTheme="minorHAnsi" w:eastAsia="Times New Roman" w:hAnsiTheme="minorHAnsi" w:cstheme="minorHAnsi"/>
          <w:noProof/>
          <w:snapToGrid w:val="0"/>
          <w:lang w:eastAsia="en-US"/>
        </w:rPr>
      </w:pPr>
      <w:r w:rsidRPr="003E6240">
        <w:rPr>
          <w:rFonts w:asciiTheme="minorHAnsi" w:eastAsia="Times New Roman" w:hAnsiTheme="minorHAnsi" w:cstheme="minorHAnsi"/>
          <w:noProof/>
          <w:snapToGrid w:val="0"/>
          <w:lang w:eastAsia="en-US"/>
        </w:rPr>
        <w:tab/>
        <w:t>(a) to (d)  [</w:t>
      </w:r>
      <w:r>
        <w:rPr>
          <w:rFonts w:asciiTheme="minorHAnsi" w:eastAsia="Times New Roman" w:hAnsiTheme="minorHAnsi" w:cstheme="minorHAnsi" w:hint="cs"/>
          <w:noProof/>
          <w:snapToGrid w:val="0"/>
          <w:rtl/>
          <w:lang w:eastAsia="en-US"/>
        </w:rPr>
        <w:t>بدون تغيير</w:t>
      </w:r>
      <w:r w:rsidRPr="003E6240">
        <w:rPr>
          <w:rFonts w:asciiTheme="minorHAnsi" w:eastAsia="Times New Roman" w:hAnsiTheme="minorHAnsi" w:cstheme="minorHAnsi"/>
          <w:noProof/>
          <w:snapToGrid w:val="0"/>
          <w:lang w:eastAsia="en-US"/>
        </w:rPr>
        <w:t>]</w:t>
      </w:r>
    </w:p>
    <w:p w14:paraId="1F154513" w14:textId="0D3C564D" w:rsidR="003E6240" w:rsidRPr="003E6240" w:rsidRDefault="003E6240" w:rsidP="003E6240">
      <w:pPr>
        <w:tabs>
          <w:tab w:val="left" w:pos="454"/>
        </w:tabs>
        <w:bidi w:val="0"/>
        <w:spacing w:before="119" w:after="240" w:line="360" w:lineRule="auto"/>
        <w:rPr>
          <w:rFonts w:asciiTheme="minorHAnsi" w:eastAsia="Times New Roman" w:hAnsiTheme="minorHAnsi" w:cstheme="minorHAnsi"/>
          <w:noProof/>
          <w:snapToGrid w:val="0"/>
          <w:lang w:eastAsia="en-US"/>
        </w:rPr>
      </w:pPr>
      <w:r w:rsidRPr="003E6240">
        <w:rPr>
          <w:rFonts w:asciiTheme="minorHAnsi" w:eastAsia="Times New Roman" w:hAnsiTheme="minorHAnsi" w:cstheme="minorHAnsi"/>
          <w:noProof/>
          <w:snapToGrid w:val="0"/>
          <w:lang w:eastAsia="en-US"/>
        </w:rPr>
        <w:tab/>
        <w:t>(e)  </w:t>
      </w:r>
      <w:bookmarkStart w:id="29" w:name="_703_e"/>
      <w:bookmarkEnd w:id="29"/>
      <w:r w:rsidRPr="003E6240">
        <w:rPr>
          <w:rFonts w:asciiTheme="minorHAnsi" w:eastAsia="Times New Roman" w:hAnsiTheme="minorHAnsi" w:cstheme="minorHAnsi"/>
          <w:noProof/>
          <w:snapToGrid w:val="0"/>
          <w:lang w:eastAsia="en-US"/>
        </w:rPr>
        <w:t>[</w:t>
      </w:r>
      <w:r w:rsidRPr="003E6240">
        <w:rPr>
          <w:rFonts w:asciiTheme="minorHAnsi" w:eastAsia="Times New Roman" w:hAnsiTheme="minorHAnsi" w:cstheme="minorHAnsi"/>
          <w:noProof/>
          <w:snapToGrid w:val="0"/>
          <w:rtl/>
          <w:lang w:eastAsia="en-US"/>
        </w:rPr>
        <w:t>بدون تغيير</w:t>
      </w:r>
      <w:r w:rsidRPr="003E6240">
        <w:rPr>
          <w:rFonts w:asciiTheme="minorHAnsi" w:eastAsia="Times New Roman" w:hAnsiTheme="minorHAnsi" w:cstheme="minorHAnsi"/>
          <w:noProof/>
          <w:snapToGrid w:val="0"/>
          <w:lang w:eastAsia="en-US"/>
        </w:rPr>
        <w:t>]  Any receiving Office may refuse to receive an international application submitted to it in electronic form if the application does not comply with paragraph (b), or may decide to receive the application.</w:t>
      </w:r>
    </w:p>
    <w:p w14:paraId="0E07ADCA" w14:textId="77777777" w:rsidR="003E6240" w:rsidRPr="003E6240" w:rsidRDefault="003E6240" w:rsidP="003E6240">
      <w:pPr>
        <w:tabs>
          <w:tab w:val="left" w:pos="454"/>
        </w:tabs>
        <w:bidi w:val="0"/>
        <w:spacing w:before="119" w:after="240" w:line="360" w:lineRule="auto"/>
        <w:rPr>
          <w:rFonts w:asciiTheme="minorHAnsi" w:eastAsia="Times New Roman" w:hAnsiTheme="minorHAnsi" w:cstheme="minorHAnsi"/>
          <w:noProof/>
          <w:snapToGrid w:val="0"/>
          <w:color w:val="0000FF"/>
          <w:u w:val="single"/>
          <w:lang w:eastAsia="en-US"/>
        </w:rPr>
      </w:pPr>
      <w:r w:rsidRPr="003E6240">
        <w:rPr>
          <w:rFonts w:asciiTheme="minorHAnsi" w:eastAsia="Times New Roman" w:hAnsiTheme="minorHAnsi" w:cstheme="minorHAnsi"/>
          <w:noProof/>
          <w:snapToGrid w:val="0"/>
          <w:lang w:eastAsia="en-US"/>
        </w:rPr>
        <w:tab/>
      </w:r>
      <w:r w:rsidRPr="003E6240">
        <w:rPr>
          <w:rFonts w:asciiTheme="minorHAnsi" w:eastAsia="Times New Roman" w:hAnsiTheme="minorHAnsi" w:cstheme="minorHAnsi"/>
          <w:noProof/>
          <w:snapToGrid w:val="0"/>
          <w:color w:val="0000FF"/>
          <w:u w:val="single"/>
          <w:lang w:eastAsia="en-US"/>
        </w:rPr>
        <w:t>(e-</w:t>
      </w:r>
      <w:r w:rsidRPr="003E6240">
        <w:rPr>
          <w:rFonts w:asciiTheme="minorHAnsi" w:eastAsia="Times New Roman" w:hAnsiTheme="minorHAnsi" w:cstheme="minorHAnsi"/>
          <w:i/>
          <w:noProof/>
          <w:snapToGrid w:val="0"/>
          <w:color w:val="0000FF"/>
          <w:u w:val="single"/>
          <w:lang w:eastAsia="en-US"/>
        </w:rPr>
        <w:t>bis</w:t>
      </w:r>
      <w:r w:rsidRPr="003E6240">
        <w:rPr>
          <w:rFonts w:asciiTheme="minorHAnsi" w:eastAsia="Times New Roman" w:hAnsiTheme="minorHAnsi" w:cstheme="minorHAnsi"/>
          <w:noProof/>
          <w:snapToGrid w:val="0"/>
          <w:color w:val="0000FF"/>
          <w:u w:val="single"/>
          <w:lang w:eastAsia="en-US"/>
        </w:rPr>
        <w:t>)  Any receiving Office that has made a notification in accordance with Rule 89</w:t>
      </w:r>
      <w:r w:rsidRPr="003E6240">
        <w:rPr>
          <w:rFonts w:asciiTheme="minorHAnsi" w:eastAsia="Times New Roman" w:hAnsiTheme="minorHAnsi" w:cstheme="minorHAnsi"/>
          <w:i/>
          <w:noProof/>
          <w:snapToGrid w:val="0"/>
          <w:color w:val="0000FF"/>
          <w:u w:val="single"/>
          <w:lang w:eastAsia="en-US"/>
        </w:rPr>
        <w:t>bis</w:t>
      </w:r>
      <w:r w:rsidRPr="003E6240">
        <w:rPr>
          <w:rFonts w:asciiTheme="minorHAnsi" w:eastAsia="Times New Roman" w:hAnsiTheme="minorHAnsi" w:cstheme="minorHAnsi"/>
          <w:noProof/>
          <w:snapToGrid w:val="0"/>
          <w:color w:val="0000FF"/>
          <w:u w:val="single"/>
          <w:lang w:eastAsia="en-US"/>
        </w:rPr>
        <w:t>.1(d</w:t>
      </w:r>
      <w:r w:rsidRPr="003E6240">
        <w:rPr>
          <w:rFonts w:asciiTheme="minorHAnsi" w:eastAsia="Times New Roman" w:hAnsiTheme="minorHAnsi" w:cstheme="minorHAnsi"/>
          <w:noProof/>
          <w:snapToGrid w:val="0"/>
          <w:color w:val="0000FF"/>
          <w:u w:val="single"/>
          <w:lang w:eastAsia="en-US"/>
        </w:rPr>
        <w:noBreakHyphen/>
      </w:r>
      <w:r w:rsidRPr="003E6240">
        <w:rPr>
          <w:rFonts w:asciiTheme="minorHAnsi" w:eastAsia="Times New Roman" w:hAnsiTheme="minorHAnsi" w:cstheme="minorHAnsi"/>
          <w:i/>
          <w:noProof/>
          <w:snapToGrid w:val="0"/>
          <w:color w:val="0000FF"/>
          <w:u w:val="single"/>
          <w:lang w:eastAsia="en-US"/>
        </w:rPr>
        <w:t>bis</w:t>
      </w:r>
      <w:r w:rsidRPr="003E6240">
        <w:rPr>
          <w:rFonts w:asciiTheme="minorHAnsi" w:eastAsia="Times New Roman" w:hAnsiTheme="minorHAnsi" w:cstheme="minorHAnsi"/>
          <w:noProof/>
          <w:snapToGrid w:val="0"/>
          <w:color w:val="0000FF"/>
          <w:u w:val="single"/>
          <w:lang w:eastAsia="en-US"/>
        </w:rPr>
        <w:t>) may refuse to receive an international application submitted to it on paper, or may decide to receive the application.</w:t>
      </w:r>
    </w:p>
    <w:p w14:paraId="57A2E796" w14:textId="5BD43220" w:rsidR="003E6240" w:rsidRPr="003E6240" w:rsidRDefault="003E6240" w:rsidP="003E6240">
      <w:pPr>
        <w:tabs>
          <w:tab w:val="left" w:pos="454"/>
        </w:tabs>
        <w:bidi w:val="0"/>
        <w:spacing w:before="119" w:after="240" w:line="360" w:lineRule="auto"/>
        <w:rPr>
          <w:rFonts w:asciiTheme="minorHAnsi" w:eastAsia="Times New Roman" w:hAnsiTheme="minorHAnsi" w:cstheme="minorHAnsi"/>
          <w:noProof/>
          <w:snapToGrid w:val="0"/>
          <w:lang w:eastAsia="en-US"/>
        </w:rPr>
      </w:pPr>
      <w:r w:rsidRPr="003E6240">
        <w:rPr>
          <w:rFonts w:asciiTheme="minorHAnsi" w:eastAsia="Times New Roman" w:hAnsiTheme="minorHAnsi" w:cstheme="minorHAnsi"/>
          <w:noProof/>
          <w:snapToGrid w:val="0"/>
          <w:lang w:eastAsia="en-US"/>
        </w:rPr>
        <w:tab/>
        <w:t>(f)  [</w:t>
      </w:r>
      <w:r w:rsidRPr="003E6240">
        <w:rPr>
          <w:rFonts w:asciiTheme="minorHAnsi" w:eastAsia="Times New Roman" w:hAnsiTheme="minorHAnsi" w:cstheme="minorHAnsi"/>
          <w:noProof/>
          <w:snapToGrid w:val="0"/>
          <w:rtl/>
          <w:lang w:eastAsia="en-US"/>
        </w:rPr>
        <w:t>بدون تغيير</w:t>
      </w:r>
      <w:r w:rsidRPr="003E6240">
        <w:rPr>
          <w:rFonts w:asciiTheme="minorHAnsi" w:eastAsia="Times New Roman" w:hAnsiTheme="minorHAnsi" w:cstheme="minorHAnsi"/>
          <w:noProof/>
          <w:snapToGrid w:val="0"/>
          <w:lang w:eastAsia="en-US"/>
        </w:rPr>
        <w:t>]</w:t>
      </w:r>
    </w:p>
    <w:p w14:paraId="648C5D48" w14:textId="77777777" w:rsidR="003E6240" w:rsidRDefault="003E6240" w:rsidP="003E6240">
      <w:pPr>
        <w:pStyle w:val="Endofdocument-Annex"/>
        <w:rPr>
          <w:rtl/>
          <w:lang w:bidi="ar-EG"/>
        </w:rPr>
      </w:pPr>
    </w:p>
    <w:p w14:paraId="661856E6" w14:textId="77F3976C" w:rsidR="00DD0D43" w:rsidRPr="00DD0D43" w:rsidRDefault="009F4A87" w:rsidP="003E6240">
      <w:pPr>
        <w:pStyle w:val="Endofdocument-Annex"/>
        <w:rPr>
          <w:rtl/>
          <w:lang w:eastAsia="en-US"/>
        </w:rPr>
      </w:pPr>
      <w:r>
        <w:rPr>
          <w:rFonts w:hint="cs"/>
          <w:rtl/>
          <w:lang w:bidi="ar-EG"/>
        </w:rPr>
        <w:t>[نهاية المرفق</w:t>
      </w:r>
      <w:r w:rsidR="00522CB0">
        <w:rPr>
          <w:rFonts w:hint="cs"/>
          <w:rtl/>
          <w:lang w:bidi="ar-EG"/>
        </w:rPr>
        <w:t xml:space="preserve"> الثاني والوثيقة</w:t>
      </w:r>
      <w:r w:rsidR="003E6240">
        <w:rPr>
          <w:rFonts w:hint="cs"/>
          <w:rtl/>
          <w:lang w:bidi="ar-EG"/>
        </w:rPr>
        <w:t>]</w:t>
      </w:r>
    </w:p>
    <w:sectPr w:rsidR="00DD0D43" w:rsidRPr="00DD0D43" w:rsidSect="00456C03">
      <w:headerReference w:type="first" r:id="rId2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8D749" w14:textId="77777777" w:rsidR="00E64C9A" w:rsidRDefault="00E64C9A">
      <w:r>
        <w:separator/>
      </w:r>
    </w:p>
  </w:endnote>
  <w:endnote w:type="continuationSeparator" w:id="0">
    <w:p w14:paraId="454D69A3" w14:textId="77777777" w:rsidR="00E64C9A" w:rsidRDefault="00E64C9A" w:rsidP="003B38C1">
      <w:r>
        <w:separator/>
      </w:r>
    </w:p>
    <w:p w14:paraId="45DA6A1B" w14:textId="77777777" w:rsidR="00E64C9A" w:rsidRPr="003B38C1" w:rsidRDefault="00E64C9A" w:rsidP="003B38C1">
      <w:pPr>
        <w:spacing w:after="60"/>
        <w:rPr>
          <w:sz w:val="17"/>
        </w:rPr>
      </w:pPr>
      <w:r>
        <w:rPr>
          <w:sz w:val="17"/>
        </w:rPr>
        <w:t>[Endnote continued from previous page]</w:t>
      </w:r>
    </w:p>
  </w:endnote>
  <w:endnote w:type="continuationNotice" w:id="1">
    <w:p w14:paraId="2164F8B6" w14:textId="77777777" w:rsidR="00E64C9A" w:rsidRPr="003B38C1" w:rsidRDefault="00E64C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69E24" w14:textId="77777777" w:rsidR="006370AA" w:rsidRDefault="00637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62FE" w14:textId="77777777" w:rsidR="006370AA" w:rsidRDefault="00637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7A24" w14:textId="77777777" w:rsidR="006370AA" w:rsidRDefault="00637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66E6A" w14:textId="77777777" w:rsidR="00E64C9A" w:rsidRDefault="00E64C9A">
      <w:r>
        <w:separator/>
      </w:r>
    </w:p>
  </w:footnote>
  <w:footnote w:type="continuationSeparator" w:id="0">
    <w:p w14:paraId="7759842E" w14:textId="77777777" w:rsidR="00E64C9A" w:rsidRDefault="00E64C9A" w:rsidP="008B60B2">
      <w:r>
        <w:separator/>
      </w:r>
    </w:p>
    <w:p w14:paraId="4030CC2D" w14:textId="77777777" w:rsidR="00E64C9A" w:rsidRPr="00ED77FB" w:rsidRDefault="00E64C9A" w:rsidP="008B60B2">
      <w:pPr>
        <w:spacing w:after="60"/>
        <w:rPr>
          <w:sz w:val="17"/>
          <w:szCs w:val="17"/>
        </w:rPr>
      </w:pPr>
      <w:r w:rsidRPr="00ED77FB">
        <w:rPr>
          <w:sz w:val="17"/>
          <w:szCs w:val="17"/>
        </w:rPr>
        <w:t>[Footnote continued from previous page]</w:t>
      </w:r>
    </w:p>
  </w:footnote>
  <w:footnote w:type="continuationNotice" w:id="1">
    <w:p w14:paraId="7A2A2D0E" w14:textId="77777777" w:rsidR="00E64C9A" w:rsidRPr="00ED77FB" w:rsidRDefault="00E64C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C0FC" w14:textId="77777777" w:rsidR="001E2BCD" w:rsidRDefault="001E2BCD" w:rsidP="001E2BCD">
    <w:pPr>
      <w:jc w:val="right"/>
      <w:rPr>
        <w:rtl/>
      </w:rPr>
    </w:pPr>
    <w:r>
      <w:t>WIPO/ACE/15/XX/AIM</w:t>
    </w:r>
  </w:p>
  <w:p w14:paraId="5B0B8A31" w14:textId="346C26A3" w:rsidR="001E2BCD" w:rsidRPr="00C50A61" w:rsidRDefault="001E2BCD" w:rsidP="001E2BCD">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053B42">
      <w:rPr>
        <w:rFonts w:cs="Arial"/>
        <w:noProof/>
        <w:lang w:bidi="ar-EG"/>
      </w:rPr>
      <w:t>3</w:t>
    </w:r>
    <w:r w:rsidRPr="00C50A61">
      <w:rPr>
        <w:rFonts w:cs="Arial"/>
      </w:rPr>
      <w:fldChar w:fldCharType="end"/>
    </w:r>
  </w:p>
  <w:p w14:paraId="64C1635F" w14:textId="77777777" w:rsidR="001E2BCD" w:rsidRPr="00C50A61" w:rsidRDefault="001E2BCD" w:rsidP="001E2BCD">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F0526" w14:textId="35D1927D" w:rsidR="001E5AC7" w:rsidRPr="00B87E98" w:rsidRDefault="001E5AC7" w:rsidP="001E5AC7">
    <w:pPr>
      <w:pStyle w:val="Header"/>
      <w:bidi w:val="0"/>
    </w:pPr>
    <w:r w:rsidRPr="008A4906">
      <w:t>PCT/WG/15/</w:t>
    </w:r>
    <w:r>
      <w:t>13</w:t>
    </w:r>
  </w:p>
  <w:p w14:paraId="6A455AB1" w14:textId="4A8269D6" w:rsidR="001E5AC7" w:rsidRPr="00B87E98" w:rsidRDefault="001E5AC7" w:rsidP="001E5AC7">
    <w:pPr>
      <w:pStyle w:val="Header"/>
      <w:bidi w:val="0"/>
    </w:pPr>
    <w:r w:rsidRPr="00B87E98">
      <w:fldChar w:fldCharType="begin"/>
    </w:r>
    <w:r w:rsidRPr="00B87E98">
      <w:instrText xml:space="preserve"> PAGE   \* MERGEFORMAT </w:instrText>
    </w:r>
    <w:r w:rsidRPr="00B87E98">
      <w:fldChar w:fldCharType="separate"/>
    </w:r>
    <w:r w:rsidR="00964DAC">
      <w:rPr>
        <w:noProof/>
      </w:rPr>
      <w:t>3</w:t>
    </w:r>
    <w:r w:rsidRPr="00B87E98">
      <w:rPr>
        <w:noProof/>
      </w:rPr>
      <w:fldChar w:fldCharType="end"/>
    </w:r>
  </w:p>
  <w:p w14:paraId="6DE57C15" w14:textId="77777777" w:rsidR="001E5AC7" w:rsidRDefault="001E5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3AE53" w14:textId="77777777" w:rsidR="006370AA" w:rsidRDefault="006370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65878201"/>
      <w:docPartObj>
        <w:docPartGallery w:val="Page Numbers (Top of Page)"/>
        <w:docPartUnique/>
      </w:docPartObj>
    </w:sdtPr>
    <w:sdtEndPr/>
    <w:sdtContent>
      <w:sdt>
        <w:sdtPr>
          <w:rPr>
            <w:rtl/>
          </w:rPr>
          <w:id w:val="382521253"/>
          <w:docPartObj>
            <w:docPartGallery w:val="Page Numbers (Top of Page)"/>
            <w:docPartUnique/>
          </w:docPartObj>
        </w:sdtPr>
        <w:sdtEndPr>
          <w:rPr>
            <w:noProof/>
          </w:rPr>
        </w:sdtEndPr>
        <w:sdtContent>
          <w:p w14:paraId="5A602FA0" w14:textId="7C5E643D" w:rsidR="001E2BCD" w:rsidRDefault="001E2BCD" w:rsidP="001E2BCD">
            <w:pPr>
              <w:pStyle w:val="Header"/>
              <w:jc w:val="right"/>
              <w:rPr>
                <w:rtl/>
              </w:rPr>
            </w:pPr>
            <w:r>
              <w:t>PCT/WG/15/</w:t>
            </w:r>
            <w:r w:rsidR="001E5AC7">
              <w:t>13</w:t>
            </w:r>
          </w:p>
          <w:p w14:paraId="3710005E" w14:textId="415521AB" w:rsidR="001E2BCD" w:rsidRPr="00964DAC" w:rsidRDefault="001E2BCD" w:rsidP="001E2BCD">
            <w:pPr>
              <w:pStyle w:val="Header"/>
              <w:jc w:val="right"/>
              <w:rPr>
                <w:lang w:val="en-GB"/>
              </w:rPr>
            </w:pPr>
            <w:r w:rsidRPr="00964DAC">
              <w:rPr>
                <w:lang w:val="en-GB"/>
              </w:rPr>
              <w:t>ANNEX</w:t>
            </w:r>
            <w:r w:rsidR="0046239E" w:rsidRPr="00964DAC">
              <w:rPr>
                <w:lang w:val="en-GB"/>
              </w:rPr>
              <w:t xml:space="preserve"> I</w:t>
            </w:r>
          </w:p>
          <w:p w14:paraId="7BEAD78F" w14:textId="5D3AC8DC" w:rsidR="001E2BCD" w:rsidRPr="00964DAC" w:rsidRDefault="001E2BCD" w:rsidP="001E2BCD">
            <w:pPr>
              <w:pStyle w:val="Header"/>
              <w:jc w:val="right"/>
              <w:rPr>
                <w:lang w:val="en-GB" w:bidi="ar-EG"/>
              </w:rPr>
            </w:pPr>
            <w:r>
              <w:rPr>
                <w:rFonts w:hint="cs"/>
                <w:rtl/>
                <w:lang w:val="fr-CH" w:bidi="ar-EG"/>
              </w:rPr>
              <w:t>المرفق</w:t>
            </w:r>
            <w:r w:rsidR="0046239E">
              <w:rPr>
                <w:rFonts w:cstheme="minorBidi" w:hint="cs"/>
                <w:rtl/>
                <w:lang w:val="fr-CH" w:bidi="ar-EG"/>
              </w:rPr>
              <w:t xml:space="preserve"> </w:t>
            </w:r>
            <w:r w:rsidR="0046239E" w:rsidRPr="0046239E">
              <w:rPr>
                <w:rFonts w:hint="cs"/>
                <w:rtl/>
                <w:lang w:val="fr-CH" w:bidi="ar-EG"/>
              </w:rPr>
              <w:t>الأول</w:t>
            </w:r>
          </w:p>
        </w:sdtContent>
      </w:sdt>
      <w:p w14:paraId="7B5C78BD" w14:textId="77777777" w:rsidR="001E2BCD" w:rsidRPr="00D52E01" w:rsidRDefault="00964DAC" w:rsidP="001E2BCD">
        <w:pPr>
          <w:pStyle w:val="Header"/>
          <w:rPr>
            <w:noProof/>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40643"/>
      <w:docPartObj>
        <w:docPartGallery w:val="Page Numbers (Top of Page)"/>
        <w:docPartUnique/>
      </w:docPartObj>
    </w:sdtPr>
    <w:sdtEndPr/>
    <w:sdtContent>
      <w:sdt>
        <w:sdtPr>
          <w:id w:val="554433117"/>
          <w:docPartObj>
            <w:docPartGallery w:val="Page Numbers (Top of Page)"/>
            <w:docPartUnique/>
          </w:docPartObj>
        </w:sdtPr>
        <w:sdtEndPr>
          <w:rPr>
            <w:noProof/>
          </w:rPr>
        </w:sdtEndPr>
        <w:sdtContent>
          <w:sdt>
            <w:sdtPr>
              <w:id w:val="-1622222414"/>
              <w:docPartObj>
                <w:docPartGallery w:val="Page Numbers (Top of Page)"/>
                <w:docPartUnique/>
              </w:docPartObj>
            </w:sdtPr>
            <w:sdtEndPr/>
            <w:sdtContent>
              <w:p w14:paraId="4F1CF010" w14:textId="4B2DA196" w:rsidR="001E5AC7" w:rsidRDefault="001E5AC7" w:rsidP="001E5AC7">
                <w:pPr>
                  <w:bidi w:val="0"/>
                  <w:rPr>
                    <w:caps/>
                  </w:rPr>
                </w:pPr>
                <w:r>
                  <w:rPr>
                    <w:caps/>
                  </w:rPr>
                  <w:t>PCT/WG/15/13</w:t>
                </w:r>
              </w:p>
              <w:p w14:paraId="24327918" w14:textId="4AB1B079" w:rsidR="001E5AC7" w:rsidRPr="001E5AC7" w:rsidRDefault="001E5AC7" w:rsidP="001E5AC7">
                <w:pPr>
                  <w:bidi w:val="0"/>
                  <w:rPr>
                    <w:caps/>
                    <w:rtl/>
                    <w:lang w:val="fr-FR" w:bidi="ar-EG"/>
                  </w:rPr>
                </w:pPr>
                <w:r>
                  <w:rPr>
                    <w:caps/>
                    <w:lang w:val="fr-CH" w:bidi="ar-EG"/>
                  </w:rPr>
                  <w:t>a</w:t>
                </w:r>
                <w:r>
                  <w:rPr>
                    <w:lang w:val="fr-CH" w:bidi="ar-EG"/>
                  </w:rPr>
                  <w:t>nnex</w:t>
                </w:r>
                <w:r>
                  <w:rPr>
                    <w:lang w:val="fr-FR" w:bidi="ar-EG"/>
                  </w:rPr>
                  <w:t xml:space="preserve"> I</w:t>
                </w:r>
              </w:p>
              <w:p w14:paraId="3F5C6682" w14:textId="4D367279" w:rsidR="001E5AC7" w:rsidRDefault="001E5AC7" w:rsidP="001E5AC7">
                <w:pPr>
                  <w:bidi w:val="0"/>
                </w:pPr>
                <w:r>
                  <w:fldChar w:fldCharType="begin"/>
                </w:r>
                <w:r>
                  <w:instrText xml:space="preserve"> PAGE  \* MERGEFORMAT </w:instrText>
                </w:r>
                <w:r>
                  <w:fldChar w:fldCharType="separate"/>
                </w:r>
                <w:r w:rsidR="00964DAC">
                  <w:rPr>
                    <w:noProof/>
                  </w:rPr>
                  <w:t>2</w:t>
                </w:r>
                <w:r>
                  <w:fldChar w:fldCharType="end"/>
                </w:r>
              </w:p>
              <w:p w14:paraId="7C5FB583" w14:textId="5C6B5E8E" w:rsidR="001E5AC7" w:rsidRPr="00D52E01" w:rsidRDefault="00964DAC" w:rsidP="001E5AC7">
                <w:pPr>
                  <w:pStyle w:val="Header"/>
                  <w:bidi w:val="0"/>
                </w:pPr>
              </w:p>
            </w:sdtContent>
          </w:sdt>
        </w:sdtContent>
      </w:sdt>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34782991"/>
      <w:docPartObj>
        <w:docPartGallery w:val="Page Numbers (Top of Page)"/>
        <w:docPartUnique/>
      </w:docPartObj>
    </w:sdtPr>
    <w:sdtEndPr/>
    <w:sdtContent>
      <w:sdt>
        <w:sdtPr>
          <w:rPr>
            <w:rtl/>
          </w:rPr>
          <w:id w:val="190109293"/>
          <w:docPartObj>
            <w:docPartGallery w:val="Page Numbers (Top of Page)"/>
            <w:docPartUnique/>
          </w:docPartObj>
        </w:sdtPr>
        <w:sdtEndPr>
          <w:rPr>
            <w:noProof/>
          </w:rPr>
        </w:sdtEndPr>
        <w:sdtContent>
          <w:p w14:paraId="469A6E06" w14:textId="7DAAF3D4" w:rsidR="001E5AC7" w:rsidRDefault="001E5AC7" w:rsidP="001E5AC7">
            <w:pPr>
              <w:pStyle w:val="Header"/>
              <w:jc w:val="right"/>
              <w:rPr>
                <w:rtl/>
              </w:rPr>
            </w:pPr>
            <w:r>
              <w:t>PCT/WG/15/13</w:t>
            </w:r>
          </w:p>
          <w:p w14:paraId="2D7BC89A" w14:textId="22423E8C" w:rsidR="001E5AC7" w:rsidRPr="001E5AC7" w:rsidRDefault="001E5AC7" w:rsidP="001E5AC7">
            <w:pPr>
              <w:pStyle w:val="Header"/>
              <w:jc w:val="right"/>
              <w:rPr>
                <w:rFonts w:cstheme="minorBidi"/>
                <w:rtl/>
                <w:lang w:val="fr-FR" w:bidi="ar-EG"/>
              </w:rPr>
            </w:pPr>
            <w:r>
              <w:rPr>
                <w:lang w:val="fr-FR"/>
              </w:rPr>
              <w:t>ANNEX II</w:t>
            </w:r>
          </w:p>
          <w:p w14:paraId="00CB8F6B" w14:textId="6D9A0996" w:rsidR="001E5AC7" w:rsidRPr="00D52E01" w:rsidRDefault="001E5AC7" w:rsidP="001E5AC7">
            <w:pPr>
              <w:pStyle w:val="Header"/>
              <w:jc w:val="right"/>
              <w:rPr>
                <w:lang w:val="fr-CH" w:bidi="ar-EG"/>
              </w:rPr>
            </w:pPr>
            <w:r>
              <w:rPr>
                <w:rFonts w:hint="cs"/>
                <w:rtl/>
                <w:lang w:val="fr-CH" w:bidi="ar-EG"/>
              </w:rPr>
              <w:t>المرفق</w:t>
            </w:r>
            <w:r>
              <w:rPr>
                <w:rFonts w:cstheme="minorBidi" w:hint="cs"/>
                <w:rtl/>
                <w:lang w:val="fr-CH" w:bidi="ar-EG"/>
              </w:rPr>
              <w:t xml:space="preserve"> </w:t>
            </w:r>
            <w:r>
              <w:rPr>
                <w:rFonts w:hint="cs"/>
                <w:rtl/>
                <w:lang w:val="fr-CH" w:bidi="ar-EG"/>
              </w:rPr>
              <w:t>الثاني</w:t>
            </w:r>
          </w:p>
        </w:sdtContent>
      </w:sdt>
      <w:p w14:paraId="76EFDCB4" w14:textId="53D863FC" w:rsidR="001E5AC7" w:rsidRDefault="00964DAC" w:rsidP="001E5AC7">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AB77D3"/>
    <w:multiLevelType w:val="hybridMultilevel"/>
    <w:tmpl w:val="E304B130"/>
    <w:lvl w:ilvl="0" w:tplc="FFFFFFFF">
      <w:start w:val="1"/>
      <w:numFmt w:val="decimal"/>
      <w:lvlText w:val="%1."/>
      <w:lvlJc w:val="left"/>
      <w:pPr>
        <w:ind w:left="720" w:hanging="360"/>
      </w:pPr>
      <w:rPr>
        <w:b w:val="0"/>
        <w:bCs w:val="0"/>
      </w:rPr>
    </w:lvl>
    <w:lvl w:ilvl="1" w:tplc="12905FA6">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4"/>
  </w:num>
  <w:num w:numId="2">
    <w:abstractNumId w:val="0"/>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5"/>
  </w:num>
  <w:num w:numId="14">
    <w:abstractNumId w:val="5"/>
  </w:num>
  <w:num w:numId="15">
    <w:abstractNumId w:val="5"/>
  </w:num>
  <w:num w:numId="16">
    <w:abstractNumId w:val="2"/>
  </w:num>
  <w:num w:numId="17">
    <w:abstractNumId w:val="5"/>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56"/>
    <w:rsid w:val="0000700C"/>
    <w:rsid w:val="00007857"/>
    <w:rsid w:val="00007C6E"/>
    <w:rsid w:val="000178E6"/>
    <w:rsid w:val="00023222"/>
    <w:rsid w:val="00030DF6"/>
    <w:rsid w:val="00032549"/>
    <w:rsid w:val="00032F23"/>
    <w:rsid w:val="00034D4E"/>
    <w:rsid w:val="00035A3C"/>
    <w:rsid w:val="00040504"/>
    <w:rsid w:val="0004058C"/>
    <w:rsid w:val="00043A9E"/>
    <w:rsid w:val="00043CAA"/>
    <w:rsid w:val="00043DFF"/>
    <w:rsid w:val="0004578E"/>
    <w:rsid w:val="00053B42"/>
    <w:rsid w:val="00053FF5"/>
    <w:rsid w:val="00055BCE"/>
    <w:rsid w:val="0005608F"/>
    <w:rsid w:val="00056259"/>
    <w:rsid w:val="00056816"/>
    <w:rsid w:val="0005790F"/>
    <w:rsid w:val="000644E4"/>
    <w:rsid w:val="00065C02"/>
    <w:rsid w:val="0006666D"/>
    <w:rsid w:val="000753DC"/>
    <w:rsid w:val="00075432"/>
    <w:rsid w:val="000757AF"/>
    <w:rsid w:val="0007713F"/>
    <w:rsid w:val="0009033A"/>
    <w:rsid w:val="0009057A"/>
    <w:rsid w:val="000968ED"/>
    <w:rsid w:val="000A3D97"/>
    <w:rsid w:val="000A5FC9"/>
    <w:rsid w:val="000A7F4C"/>
    <w:rsid w:val="000B6F42"/>
    <w:rsid w:val="000B7217"/>
    <w:rsid w:val="000C23B3"/>
    <w:rsid w:val="000C3CF9"/>
    <w:rsid w:val="000D2421"/>
    <w:rsid w:val="000D2AFB"/>
    <w:rsid w:val="000D2B6D"/>
    <w:rsid w:val="000D3992"/>
    <w:rsid w:val="000D3A01"/>
    <w:rsid w:val="000D4320"/>
    <w:rsid w:val="000D7E5E"/>
    <w:rsid w:val="000E03E3"/>
    <w:rsid w:val="000E2A1E"/>
    <w:rsid w:val="000E2BA2"/>
    <w:rsid w:val="000E4661"/>
    <w:rsid w:val="000E52A0"/>
    <w:rsid w:val="000E66FA"/>
    <w:rsid w:val="000F46FE"/>
    <w:rsid w:val="000F5E56"/>
    <w:rsid w:val="00100FB7"/>
    <w:rsid w:val="00103717"/>
    <w:rsid w:val="00103EE8"/>
    <w:rsid w:val="0010550D"/>
    <w:rsid w:val="00105555"/>
    <w:rsid w:val="00106768"/>
    <w:rsid w:val="00111FA9"/>
    <w:rsid w:val="00114911"/>
    <w:rsid w:val="0011663E"/>
    <w:rsid w:val="001207F1"/>
    <w:rsid w:val="00123FC8"/>
    <w:rsid w:val="001259DA"/>
    <w:rsid w:val="00127349"/>
    <w:rsid w:val="00130B92"/>
    <w:rsid w:val="001325BD"/>
    <w:rsid w:val="0013360A"/>
    <w:rsid w:val="00135BF5"/>
    <w:rsid w:val="001362EE"/>
    <w:rsid w:val="001368CD"/>
    <w:rsid w:val="001373E6"/>
    <w:rsid w:val="001406E1"/>
    <w:rsid w:val="001407ED"/>
    <w:rsid w:val="0014128A"/>
    <w:rsid w:val="00150797"/>
    <w:rsid w:val="00151E5F"/>
    <w:rsid w:val="00152116"/>
    <w:rsid w:val="00155D8A"/>
    <w:rsid w:val="00161C85"/>
    <w:rsid w:val="00162EFB"/>
    <w:rsid w:val="00163AD8"/>
    <w:rsid w:val="001647AE"/>
    <w:rsid w:val="001647D5"/>
    <w:rsid w:val="0016506C"/>
    <w:rsid w:val="00167832"/>
    <w:rsid w:val="00167C6D"/>
    <w:rsid w:val="001703A9"/>
    <w:rsid w:val="00174EA2"/>
    <w:rsid w:val="00180A83"/>
    <w:rsid w:val="001816DE"/>
    <w:rsid w:val="001832A6"/>
    <w:rsid w:val="0018352D"/>
    <w:rsid w:val="00184935"/>
    <w:rsid w:val="001857F9"/>
    <w:rsid w:val="0019234D"/>
    <w:rsid w:val="001934E6"/>
    <w:rsid w:val="0019441D"/>
    <w:rsid w:val="00194A3A"/>
    <w:rsid w:val="0019592A"/>
    <w:rsid w:val="00197FE5"/>
    <w:rsid w:val="001A2C0C"/>
    <w:rsid w:val="001A46A5"/>
    <w:rsid w:val="001A47DB"/>
    <w:rsid w:val="001B347F"/>
    <w:rsid w:val="001B464A"/>
    <w:rsid w:val="001B5366"/>
    <w:rsid w:val="001B5D70"/>
    <w:rsid w:val="001B717D"/>
    <w:rsid w:val="001C067A"/>
    <w:rsid w:val="001C2C87"/>
    <w:rsid w:val="001C4C83"/>
    <w:rsid w:val="001D2346"/>
    <w:rsid w:val="001D4107"/>
    <w:rsid w:val="001D5A53"/>
    <w:rsid w:val="001D6D44"/>
    <w:rsid w:val="001D7E4F"/>
    <w:rsid w:val="001E04F5"/>
    <w:rsid w:val="001E13C5"/>
    <w:rsid w:val="001E1DF8"/>
    <w:rsid w:val="001E212F"/>
    <w:rsid w:val="001E2BCD"/>
    <w:rsid w:val="001E3B25"/>
    <w:rsid w:val="001E5AC7"/>
    <w:rsid w:val="001F127A"/>
    <w:rsid w:val="001F3E35"/>
    <w:rsid w:val="00200468"/>
    <w:rsid w:val="00203D24"/>
    <w:rsid w:val="00206441"/>
    <w:rsid w:val="00210D5F"/>
    <w:rsid w:val="00211F04"/>
    <w:rsid w:val="0021217E"/>
    <w:rsid w:val="00215F8E"/>
    <w:rsid w:val="002161CA"/>
    <w:rsid w:val="00217A9F"/>
    <w:rsid w:val="00224F19"/>
    <w:rsid w:val="00226318"/>
    <w:rsid w:val="00227522"/>
    <w:rsid w:val="002326AB"/>
    <w:rsid w:val="002328D6"/>
    <w:rsid w:val="002330C2"/>
    <w:rsid w:val="00233757"/>
    <w:rsid w:val="002354F2"/>
    <w:rsid w:val="00243430"/>
    <w:rsid w:val="002470DF"/>
    <w:rsid w:val="00250149"/>
    <w:rsid w:val="00252AB3"/>
    <w:rsid w:val="00254598"/>
    <w:rsid w:val="00255965"/>
    <w:rsid w:val="002634C4"/>
    <w:rsid w:val="00264088"/>
    <w:rsid w:val="00264C68"/>
    <w:rsid w:val="002652D5"/>
    <w:rsid w:val="00266A30"/>
    <w:rsid w:val="00273BB7"/>
    <w:rsid w:val="0028188D"/>
    <w:rsid w:val="00285C30"/>
    <w:rsid w:val="00286E9B"/>
    <w:rsid w:val="002928D3"/>
    <w:rsid w:val="0029393F"/>
    <w:rsid w:val="002944B9"/>
    <w:rsid w:val="00295242"/>
    <w:rsid w:val="002A0937"/>
    <w:rsid w:val="002A63C9"/>
    <w:rsid w:val="002B251C"/>
    <w:rsid w:val="002B3C35"/>
    <w:rsid w:val="002C362A"/>
    <w:rsid w:val="002C392D"/>
    <w:rsid w:val="002E0886"/>
    <w:rsid w:val="002E16CA"/>
    <w:rsid w:val="002E17BB"/>
    <w:rsid w:val="002E5B2A"/>
    <w:rsid w:val="002E5F6A"/>
    <w:rsid w:val="002E71B2"/>
    <w:rsid w:val="002F0A4B"/>
    <w:rsid w:val="002F1FE6"/>
    <w:rsid w:val="002F4E68"/>
    <w:rsid w:val="00312E98"/>
    <w:rsid w:val="00312F7F"/>
    <w:rsid w:val="003147A9"/>
    <w:rsid w:val="003172BA"/>
    <w:rsid w:val="003209F7"/>
    <w:rsid w:val="003211B7"/>
    <w:rsid w:val="00321316"/>
    <w:rsid w:val="0032167E"/>
    <w:rsid w:val="00322A78"/>
    <w:rsid w:val="003233EE"/>
    <w:rsid w:val="00323E4E"/>
    <w:rsid w:val="003250B4"/>
    <w:rsid w:val="00326D37"/>
    <w:rsid w:val="003278DA"/>
    <w:rsid w:val="0033002A"/>
    <w:rsid w:val="0033153F"/>
    <w:rsid w:val="00333068"/>
    <w:rsid w:val="00333D2F"/>
    <w:rsid w:val="003359E1"/>
    <w:rsid w:val="00337B3D"/>
    <w:rsid w:val="00341209"/>
    <w:rsid w:val="00343748"/>
    <w:rsid w:val="0034378D"/>
    <w:rsid w:val="00347EAD"/>
    <w:rsid w:val="00350B93"/>
    <w:rsid w:val="00351F97"/>
    <w:rsid w:val="003527FF"/>
    <w:rsid w:val="003558FE"/>
    <w:rsid w:val="00356472"/>
    <w:rsid w:val="00361450"/>
    <w:rsid w:val="00362654"/>
    <w:rsid w:val="0036448C"/>
    <w:rsid w:val="003666BA"/>
    <w:rsid w:val="00366BEA"/>
    <w:rsid w:val="003673CF"/>
    <w:rsid w:val="00381A5E"/>
    <w:rsid w:val="003845C1"/>
    <w:rsid w:val="003849BF"/>
    <w:rsid w:val="00384B0D"/>
    <w:rsid w:val="00385754"/>
    <w:rsid w:val="00385A2C"/>
    <w:rsid w:val="00386A56"/>
    <w:rsid w:val="00393DC2"/>
    <w:rsid w:val="0039430D"/>
    <w:rsid w:val="003A2F3F"/>
    <w:rsid w:val="003A41F2"/>
    <w:rsid w:val="003A61FC"/>
    <w:rsid w:val="003A6F89"/>
    <w:rsid w:val="003A7C17"/>
    <w:rsid w:val="003B1260"/>
    <w:rsid w:val="003B139A"/>
    <w:rsid w:val="003B355C"/>
    <w:rsid w:val="003B37CF"/>
    <w:rsid w:val="003B38C1"/>
    <w:rsid w:val="003C1987"/>
    <w:rsid w:val="003C34E9"/>
    <w:rsid w:val="003D16BE"/>
    <w:rsid w:val="003D19F4"/>
    <w:rsid w:val="003D50EB"/>
    <w:rsid w:val="003D5F09"/>
    <w:rsid w:val="003E0095"/>
    <w:rsid w:val="003E5E18"/>
    <w:rsid w:val="003E6240"/>
    <w:rsid w:val="003F23F6"/>
    <w:rsid w:val="003F37A1"/>
    <w:rsid w:val="0040207C"/>
    <w:rsid w:val="00404DCB"/>
    <w:rsid w:val="00412687"/>
    <w:rsid w:val="00412ECF"/>
    <w:rsid w:val="00421BF1"/>
    <w:rsid w:val="0042263A"/>
    <w:rsid w:val="00423E3E"/>
    <w:rsid w:val="00427785"/>
    <w:rsid w:val="00427AF4"/>
    <w:rsid w:val="00433464"/>
    <w:rsid w:val="00435040"/>
    <w:rsid w:val="00436B46"/>
    <w:rsid w:val="00437EAA"/>
    <w:rsid w:val="00441226"/>
    <w:rsid w:val="004421C0"/>
    <w:rsid w:val="004468B5"/>
    <w:rsid w:val="00446C4B"/>
    <w:rsid w:val="00446DE7"/>
    <w:rsid w:val="00446ED4"/>
    <w:rsid w:val="0045246E"/>
    <w:rsid w:val="00452F5F"/>
    <w:rsid w:val="00456C03"/>
    <w:rsid w:val="00457FC4"/>
    <w:rsid w:val="00460956"/>
    <w:rsid w:val="004609F1"/>
    <w:rsid w:val="0046239E"/>
    <w:rsid w:val="004647DA"/>
    <w:rsid w:val="00466C00"/>
    <w:rsid w:val="00467128"/>
    <w:rsid w:val="004720F5"/>
    <w:rsid w:val="00474062"/>
    <w:rsid w:val="00475849"/>
    <w:rsid w:val="00477D6B"/>
    <w:rsid w:val="0048158F"/>
    <w:rsid w:val="004834F7"/>
    <w:rsid w:val="004836C5"/>
    <w:rsid w:val="004841BF"/>
    <w:rsid w:val="00491AFC"/>
    <w:rsid w:val="00496097"/>
    <w:rsid w:val="0049666B"/>
    <w:rsid w:val="004A0A9A"/>
    <w:rsid w:val="004A2386"/>
    <w:rsid w:val="004A675B"/>
    <w:rsid w:val="004A7418"/>
    <w:rsid w:val="004A7713"/>
    <w:rsid w:val="004A7764"/>
    <w:rsid w:val="004B4CF4"/>
    <w:rsid w:val="004B78BD"/>
    <w:rsid w:val="004B78FD"/>
    <w:rsid w:val="004C0C00"/>
    <w:rsid w:val="004C20EA"/>
    <w:rsid w:val="004C3666"/>
    <w:rsid w:val="004C4971"/>
    <w:rsid w:val="004C54B4"/>
    <w:rsid w:val="004C56EB"/>
    <w:rsid w:val="004D368F"/>
    <w:rsid w:val="004D615D"/>
    <w:rsid w:val="004D6542"/>
    <w:rsid w:val="004E267F"/>
    <w:rsid w:val="004E3309"/>
    <w:rsid w:val="004E5D9D"/>
    <w:rsid w:val="004E7942"/>
    <w:rsid w:val="004F13A2"/>
    <w:rsid w:val="004F4792"/>
    <w:rsid w:val="005004F9"/>
    <w:rsid w:val="005019FF"/>
    <w:rsid w:val="0050436C"/>
    <w:rsid w:val="00504C98"/>
    <w:rsid w:val="005063E6"/>
    <w:rsid w:val="0050744E"/>
    <w:rsid w:val="00511014"/>
    <w:rsid w:val="00513AA9"/>
    <w:rsid w:val="00522CB0"/>
    <w:rsid w:val="00523562"/>
    <w:rsid w:val="00524498"/>
    <w:rsid w:val="00526630"/>
    <w:rsid w:val="00527D1B"/>
    <w:rsid w:val="0053057A"/>
    <w:rsid w:val="00533749"/>
    <w:rsid w:val="0054060A"/>
    <w:rsid w:val="00541032"/>
    <w:rsid w:val="005455D1"/>
    <w:rsid w:val="00547AB6"/>
    <w:rsid w:val="005521D7"/>
    <w:rsid w:val="00555071"/>
    <w:rsid w:val="00556076"/>
    <w:rsid w:val="0055782B"/>
    <w:rsid w:val="00560A29"/>
    <w:rsid w:val="00563868"/>
    <w:rsid w:val="005672EE"/>
    <w:rsid w:val="00567696"/>
    <w:rsid w:val="0057016D"/>
    <w:rsid w:val="0057028E"/>
    <w:rsid w:val="00571FF8"/>
    <w:rsid w:val="0057297E"/>
    <w:rsid w:val="00573303"/>
    <w:rsid w:val="00575477"/>
    <w:rsid w:val="005757DA"/>
    <w:rsid w:val="00575FE1"/>
    <w:rsid w:val="005769B9"/>
    <w:rsid w:val="00576A8D"/>
    <w:rsid w:val="00577B15"/>
    <w:rsid w:val="00581B7E"/>
    <w:rsid w:val="00581FBF"/>
    <w:rsid w:val="00582583"/>
    <w:rsid w:val="005827D5"/>
    <w:rsid w:val="0058317E"/>
    <w:rsid w:val="00585D07"/>
    <w:rsid w:val="00587E8B"/>
    <w:rsid w:val="00592FCF"/>
    <w:rsid w:val="00596747"/>
    <w:rsid w:val="00597247"/>
    <w:rsid w:val="005A058F"/>
    <w:rsid w:val="005A0E2E"/>
    <w:rsid w:val="005A334A"/>
    <w:rsid w:val="005A70ED"/>
    <w:rsid w:val="005B1469"/>
    <w:rsid w:val="005B1720"/>
    <w:rsid w:val="005B203C"/>
    <w:rsid w:val="005B28E3"/>
    <w:rsid w:val="005B36F8"/>
    <w:rsid w:val="005B399C"/>
    <w:rsid w:val="005B6E7F"/>
    <w:rsid w:val="005B7D1B"/>
    <w:rsid w:val="005C471E"/>
    <w:rsid w:val="005C50C9"/>
    <w:rsid w:val="005C6649"/>
    <w:rsid w:val="005D3EEC"/>
    <w:rsid w:val="005D7145"/>
    <w:rsid w:val="005E1642"/>
    <w:rsid w:val="005E2DAA"/>
    <w:rsid w:val="005E4756"/>
    <w:rsid w:val="005E5346"/>
    <w:rsid w:val="005E58B4"/>
    <w:rsid w:val="005E5D3F"/>
    <w:rsid w:val="005E70AA"/>
    <w:rsid w:val="005E7B89"/>
    <w:rsid w:val="005F00F6"/>
    <w:rsid w:val="005F04E8"/>
    <w:rsid w:val="005F19B0"/>
    <w:rsid w:val="005F41D9"/>
    <w:rsid w:val="005F4253"/>
    <w:rsid w:val="00601320"/>
    <w:rsid w:val="0060163F"/>
    <w:rsid w:val="00604BE9"/>
    <w:rsid w:val="00605827"/>
    <w:rsid w:val="00612977"/>
    <w:rsid w:val="00614D44"/>
    <w:rsid w:val="006160D1"/>
    <w:rsid w:val="00616CB5"/>
    <w:rsid w:val="0062005C"/>
    <w:rsid w:val="006208EF"/>
    <w:rsid w:val="00621060"/>
    <w:rsid w:val="00624032"/>
    <w:rsid w:val="00630F0F"/>
    <w:rsid w:val="006310FA"/>
    <w:rsid w:val="00635D78"/>
    <w:rsid w:val="006370AA"/>
    <w:rsid w:val="006375AC"/>
    <w:rsid w:val="00637711"/>
    <w:rsid w:val="00640346"/>
    <w:rsid w:val="00641CB5"/>
    <w:rsid w:val="006433D2"/>
    <w:rsid w:val="00646050"/>
    <w:rsid w:val="00646820"/>
    <w:rsid w:val="00653EF1"/>
    <w:rsid w:val="0065749B"/>
    <w:rsid w:val="00660C7F"/>
    <w:rsid w:val="00665AA6"/>
    <w:rsid w:val="006660FE"/>
    <w:rsid w:val="006713CA"/>
    <w:rsid w:val="0067528E"/>
    <w:rsid w:val="00675C21"/>
    <w:rsid w:val="00676C5C"/>
    <w:rsid w:val="006774B2"/>
    <w:rsid w:val="00682CC1"/>
    <w:rsid w:val="00683381"/>
    <w:rsid w:val="006842DB"/>
    <w:rsid w:val="00684D47"/>
    <w:rsid w:val="006859B4"/>
    <w:rsid w:val="0069108C"/>
    <w:rsid w:val="00694600"/>
    <w:rsid w:val="006947A8"/>
    <w:rsid w:val="00697258"/>
    <w:rsid w:val="00697FD8"/>
    <w:rsid w:val="006A009F"/>
    <w:rsid w:val="006A03D5"/>
    <w:rsid w:val="006A0BA2"/>
    <w:rsid w:val="006A1A35"/>
    <w:rsid w:val="006A1DB7"/>
    <w:rsid w:val="006A3660"/>
    <w:rsid w:val="006A449D"/>
    <w:rsid w:val="006A500A"/>
    <w:rsid w:val="006B26D3"/>
    <w:rsid w:val="006B32F1"/>
    <w:rsid w:val="006B5C12"/>
    <w:rsid w:val="006B6E11"/>
    <w:rsid w:val="006C0B06"/>
    <w:rsid w:val="006C0D16"/>
    <w:rsid w:val="006C70DE"/>
    <w:rsid w:val="006C794C"/>
    <w:rsid w:val="006C7E33"/>
    <w:rsid w:val="006C7F9C"/>
    <w:rsid w:val="006D07BF"/>
    <w:rsid w:val="006D3316"/>
    <w:rsid w:val="006D6693"/>
    <w:rsid w:val="006D6795"/>
    <w:rsid w:val="006E0402"/>
    <w:rsid w:val="006F641A"/>
    <w:rsid w:val="006F6982"/>
    <w:rsid w:val="00702ED1"/>
    <w:rsid w:val="007050EB"/>
    <w:rsid w:val="00706766"/>
    <w:rsid w:val="00711ADC"/>
    <w:rsid w:val="00713AF2"/>
    <w:rsid w:val="00717FB7"/>
    <w:rsid w:val="00720EFD"/>
    <w:rsid w:val="007273AE"/>
    <w:rsid w:val="00727ADE"/>
    <w:rsid w:val="00734D8D"/>
    <w:rsid w:val="00742BE8"/>
    <w:rsid w:val="00750339"/>
    <w:rsid w:val="00751018"/>
    <w:rsid w:val="00760D0F"/>
    <w:rsid w:val="00760D46"/>
    <w:rsid w:val="00767C15"/>
    <w:rsid w:val="007728F8"/>
    <w:rsid w:val="007748C7"/>
    <w:rsid w:val="00777AB5"/>
    <w:rsid w:val="00777CC0"/>
    <w:rsid w:val="00783ED2"/>
    <w:rsid w:val="007854AF"/>
    <w:rsid w:val="007920D2"/>
    <w:rsid w:val="00792121"/>
    <w:rsid w:val="00792228"/>
    <w:rsid w:val="00792929"/>
    <w:rsid w:val="00792B3E"/>
    <w:rsid w:val="00793A7C"/>
    <w:rsid w:val="007A0519"/>
    <w:rsid w:val="007A2CA0"/>
    <w:rsid w:val="007A3454"/>
    <w:rsid w:val="007A358E"/>
    <w:rsid w:val="007A398A"/>
    <w:rsid w:val="007B01C1"/>
    <w:rsid w:val="007C2EED"/>
    <w:rsid w:val="007C4902"/>
    <w:rsid w:val="007D0E64"/>
    <w:rsid w:val="007D1613"/>
    <w:rsid w:val="007D2955"/>
    <w:rsid w:val="007D2E3F"/>
    <w:rsid w:val="007D777D"/>
    <w:rsid w:val="007E0A1C"/>
    <w:rsid w:val="007E13F0"/>
    <w:rsid w:val="007E4334"/>
    <w:rsid w:val="007E4C0E"/>
    <w:rsid w:val="007E6D77"/>
    <w:rsid w:val="007E786C"/>
    <w:rsid w:val="007E7E37"/>
    <w:rsid w:val="007F0E11"/>
    <w:rsid w:val="007F19D3"/>
    <w:rsid w:val="007F2EBF"/>
    <w:rsid w:val="007F53B4"/>
    <w:rsid w:val="007F5B74"/>
    <w:rsid w:val="007F5D5B"/>
    <w:rsid w:val="007F66C7"/>
    <w:rsid w:val="008025FA"/>
    <w:rsid w:val="00803C77"/>
    <w:rsid w:val="008129F7"/>
    <w:rsid w:val="008165CB"/>
    <w:rsid w:val="00816D68"/>
    <w:rsid w:val="0082225C"/>
    <w:rsid w:val="00822C36"/>
    <w:rsid w:val="00822DD1"/>
    <w:rsid w:val="0082361F"/>
    <w:rsid w:val="00823F17"/>
    <w:rsid w:val="00824CFF"/>
    <w:rsid w:val="00831D71"/>
    <w:rsid w:val="00843279"/>
    <w:rsid w:val="00855CDC"/>
    <w:rsid w:val="008652EC"/>
    <w:rsid w:val="00865CF0"/>
    <w:rsid w:val="0087112C"/>
    <w:rsid w:val="008715EB"/>
    <w:rsid w:val="00871CEA"/>
    <w:rsid w:val="00872DA6"/>
    <w:rsid w:val="00874A05"/>
    <w:rsid w:val="00874F2B"/>
    <w:rsid w:val="00875760"/>
    <w:rsid w:val="008838B0"/>
    <w:rsid w:val="00883B1F"/>
    <w:rsid w:val="008871A3"/>
    <w:rsid w:val="008908D2"/>
    <w:rsid w:val="008908EA"/>
    <w:rsid w:val="008955CF"/>
    <w:rsid w:val="008A134B"/>
    <w:rsid w:val="008A156C"/>
    <w:rsid w:val="008A5527"/>
    <w:rsid w:val="008A6234"/>
    <w:rsid w:val="008B0FA1"/>
    <w:rsid w:val="008B2CC1"/>
    <w:rsid w:val="008B3B24"/>
    <w:rsid w:val="008B60B2"/>
    <w:rsid w:val="008C01ED"/>
    <w:rsid w:val="008C0E60"/>
    <w:rsid w:val="008C55C4"/>
    <w:rsid w:val="008C6231"/>
    <w:rsid w:val="008C67C0"/>
    <w:rsid w:val="008C786C"/>
    <w:rsid w:val="008D06CF"/>
    <w:rsid w:val="008D2149"/>
    <w:rsid w:val="008D337E"/>
    <w:rsid w:val="008E3C41"/>
    <w:rsid w:val="008E3D65"/>
    <w:rsid w:val="008E5936"/>
    <w:rsid w:val="008E62F9"/>
    <w:rsid w:val="008E69F6"/>
    <w:rsid w:val="008F19FC"/>
    <w:rsid w:val="008F2452"/>
    <w:rsid w:val="009001D0"/>
    <w:rsid w:val="00900761"/>
    <w:rsid w:val="009028C3"/>
    <w:rsid w:val="00902B79"/>
    <w:rsid w:val="00903670"/>
    <w:rsid w:val="0090444E"/>
    <w:rsid w:val="0090731E"/>
    <w:rsid w:val="00913495"/>
    <w:rsid w:val="0091367D"/>
    <w:rsid w:val="0091378C"/>
    <w:rsid w:val="00913F06"/>
    <w:rsid w:val="00914A06"/>
    <w:rsid w:val="00916EE2"/>
    <w:rsid w:val="009216E1"/>
    <w:rsid w:val="0092765B"/>
    <w:rsid w:val="00927B0C"/>
    <w:rsid w:val="00932856"/>
    <w:rsid w:val="00934E11"/>
    <w:rsid w:val="00934F02"/>
    <w:rsid w:val="0093502F"/>
    <w:rsid w:val="00937F37"/>
    <w:rsid w:val="009413FC"/>
    <w:rsid w:val="009427A7"/>
    <w:rsid w:val="00963A4A"/>
    <w:rsid w:val="00964DAC"/>
    <w:rsid w:val="00966A22"/>
    <w:rsid w:val="0096722F"/>
    <w:rsid w:val="00967DC4"/>
    <w:rsid w:val="009706E3"/>
    <w:rsid w:val="00971340"/>
    <w:rsid w:val="009717F3"/>
    <w:rsid w:val="00971CF3"/>
    <w:rsid w:val="00973A08"/>
    <w:rsid w:val="009745A7"/>
    <w:rsid w:val="00980190"/>
    <w:rsid w:val="00980843"/>
    <w:rsid w:val="00982DF4"/>
    <w:rsid w:val="00985EF2"/>
    <w:rsid w:val="00986F60"/>
    <w:rsid w:val="00991EB0"/>
    <w:rsid w:val="0099202E"/>
    <w:rsid w:val="00992485"/>
    <w:rsid w:val="0099449E"/>
    <w:rsid w:val="009A11FC"/>
    <w:rsid w:val="009A1DB4"/>
    <w:rsid w:val="009A21C7"/>
    <w:rsid w:val="009B0855"/>
    <w:rsid w:val="009B125F"/>
    <w:rsid w:val="009B1A5B"/>
    <w:rsid w:val="009C37EE"/>
    <w:rsid w:val="009C507B"/>
    <w:rsid w:val="009D1283"/>
    <w:rsid w:val="009D1352"/>
    <w:rsid w:val="009D3ACB"/>
    <w:rsid w:val="009D4134"/>
    <w:rsid w:val="009D5F70"/>
    <w:rsid w:val="009E1721"/>
    <w:rsid w:val="009E19AD"/>
    <w:rsid w:val="009E2791"/>
    <w:rsid w:val="009E3F6F"/>
    <w:rsid w:val="009E46FF"/>
    <w:rsid w:val="009E4B58"/>
    <w:rsid w:val="009E70E1"/>
    <w:rsid w:val="009F0590"/>
    <w:rsid w:val="009F499F"/>
    <w:rsid w:val="009F4A87"/>
    <w:rsid w:val="009F7707"/>
    <w:rsid w:val="00A03F9D"/>
    <w:rsid w:val="00A11FFE"/>
    <w:rsid w:val="00A13920"/>
    <w:rsid w:val="00A15AFE"/>
    <w:rsid w:val="00A16584"/>
    <w:rsid w:val="00A20572"/>
    <w:rsid w:val="00A21856"/>
    <w:rsid w:val="00A21EAC"/>
    <w:rsid w:val="00A32E6B"/>
    <w:rsid w:val="00A335E1"/>
    <w:rsid w:val="00A37342"/>
    <w:rsid w:val="00A4044B"/>
    <w:rsid w:val="00A42DAF"/>
    <w:rsid w:val="00A42ED6"/>
    <w:rsid w:val="00A44639"/>
    <w:rsid w:val="00A451C0"/>
    <w:rsid w:val="00A45BD8"/>
    <w:rsid w:val="00A47EE1"/>
    <w:rsid w:val="00A662F7"/>
    <w:rsid w:val="00A74116"/>
    <w:rsid w:val="00A7474F"/>
    <w:rsid w:val="00A774E8"/>
    <w:rsid w:val="00A869B7"/>
    <w:rsid w:val="00A869F9"/>
    <w:rsid w:val="00A86DE6"/>
    <w:rsid w:val="00A87CFB"/>
    <w:rsid w:val="00A90F0A"/>
    <w:rsid w:val="00A92354"/>
    <w:rsid w:val="00A9518E"/>
    <w:rsid w:val="00AA0430"/>
    <w:rsid w:val="00AA22BB"/>
    <w:rsid w:val="00AA2CE8"/>
    <w:rsid w:val="00AA6D23"/>
    <w:rsid w:val="00AA7C07"/>
    <w:rsid w:val="00AB0882"/>
    <w:rsid w:val="00AB77B6"/>
    <w:rsid w:val="00AB7A65"/>
    <w:rsid w:val="00AB7E18"/>
    <w:rsid w:val="00AC205C"/>
    <w:rsid w:val="00AC3273"/>
    <w:rsid w:val="00AC5906"/>
    <w:rsid w:val="00AC7D80"/>
    <w:rsid w:val="00AD1F9A"/>
    <w:rsid w:val="00AD5395"/>
    <w:rsid w:val="00AD5D1B"/>
    <w:rsid w:val="00AE523A"/>
    <w:rsid w:val="00AF0A6B"/>
    <w:rsid w:val="00AF2C8B"/>
    <w:rsid w:val="00AF54A1"/>
    <w:rsid w:val="00B0128F"/>
    <w:rsid w:val="00B01878"/>
    <w:rsid w:val="00B040FC"/>
    <w:rsid w:val="00B05A69"/>
    <w:rsid w:val="00B06D1D"/>
    <w:rsid w:val="00B10EA2"/>
    <w:rsid w:val="00B147E3"/>
    <w:rsid w:val="00B15C21"/>
    <w:rsid w:val="00B219D6"/>
    <w:rsid w:val="00B2578A"/>
    <w:rsid w:val="00B26791"/>
    <w:rsid w:val="00B32107"/>
    <w:rsid w:val="00B3213A"/>
    <w:rsid w:val="00B336C7"/>
    <w:rsid w:val="00B35CB6"/>
    <w:rsid w:val="00B3624D"/>
    <w:rsid w:val="00B42CA9"/>
    <w:rsid w:val="00B42E90"/>
    <w:rsid w:val="00B43BD7"/>
    <w:rsid w:val="00B47F35"/>
    <w:rsid w:val="00B50246"/>
    <w:rsid w:val="00B51FF7"/>
    <w:rsid w:val="00B525E6"/>
    <w:rsid w:val="00B5347E"/>
    <w:rsid w:val="00B54132"/>
    <w:rsid w:val="00B5713C"/>
    <w:rsid w:val="00B57C7F"/>
    <w:rsid w:val="00B620F0"/>
    <w:rsid w:val="00B721CE"/>
    <w:rsid w:val="00B75281"/>
    <w:rsid w:val="00B864C9"/>
    <w:rsid w:val="00B90B8E"/>
    <w:rsid w:val="00B90C5F"/>
    <w:rsid w:val="00B92F1F"/>
    <w:rsid w:val="00B96297"/>
    <w:rsid w:val="00B9734B"/>
    <w:rsid w:val="00B97BE7"/>
    <w:rsid w:val="00BA0639"/>
    <w:rsid w:val="00BA30E2"/>
    <w:rsid w:val="00BA31E0"/>
    <w:rsid w:val="00BA6853"/>
    <w:rsid w:val="00BB1820"/>
    <w:rsid w:val="00BB185D"/>
    <w:rsid w:val="00BB7BAE"/>
    <w:rsid w:val="00BC3F88"/>
    <w:rsid w:val="00BD064A"/>
    <w:rsid w:val="00BD182C"/>
    <w:rsid w:val="00BD1F2A"/>
    <w:rsid w:val="00BD2FC5"/>
    <w:rsid w:val="00BD51DB"/>
    <w:rsid w:val="00BE1973"/>
    <w:rsid w:val="00BE24D3"/>
    <w:rsid w:val="00BE2A3F"/>
    <w:rsid w:val="00BE2FE9"/>
    <w:rsid w:val="00BE61A6"/>
    <w:rsid w:val="00BE7AC1"/>
    <w:rsid w:val="00BE7BFA"/>
    <w:rsid w:val="00BF2B9D"/>
    <w:rsid w:val="00BF4108"/>
    <w:rsid w:val="00BF5D8E"/>
    <w:rsid w:val="00BF7AAE"/>
    <w:rsid w:val="00C03ADA"/>
    <w:rsid w:val="00C11BFE"/>
    <w:rsid w:val="00C128D0"/>
    <w:rsid w:val="00C15A59"/>
    <w:rsid w:val="00C17A43"/>
    <w:rsid w:val="00C2373B"/>
    <w:rsid w:val="00C24D6F"/>
    <w:rsid w:val="00C26223"/>
    <w:rsid w:val="00C27773"/>
    <w:rsid w:val="00C27926"/>
    <w:rsid w:val="00C368CD"/>
    <w:rsid w:val="00C36CAC"/>
    <w:rsid w:val="00C37113"/>
    <w:rsid w:val="00C4055A"/>
    <w:rsid w:val="00C46728"/>
    <w:rsid w:val="00C46B08"/>
    <w:rsid w:val="00C4709B"/>
    <w:rsid w:val="00C5068F"/>
    <w:rsid w:val="00C54347"/>
    <w:rsid w:val="00C6062E"/>
    <w:rsid w:val="00C63425"/>
    <w:rsid w:val="00C63A98"/>
    <w:rsid w:val="00C677FC"/>
    <w:rsid w:val="00C738E4"/>
    <w:rsid w:val="00C7581D"/>
    <w:rsid w:val="00C82DFF"/>
    <w:rsid w:val="00C86802"/>
    <w:rsid w:val="00C86D74"/>
    <w:rsid w:val="00CA009F"/>
    <w:rsid w:val="00CA599F"/>
    <w:rsid w:val="00CB337A"/>
    <w:rsid w:val="00CB3DBA"/>
    <w:rsid w:val="00CB4E3C"/>
    <w:rsid w:val="00CC0812"/>
    <w:rsid w:val="00CC3E2D"/>
    <w:rsid w:val="00CC6BA7"/>
    <w:rsid w:val="00CC7237"/>
    <w:rsid w:val="00CD04F1"/>
    <w:rsid w:val="00CD15D3"/>
    <w:rsid w:val="00CD2853"/>
    <w:rsid w:val="00CD43E7"/>
    <w:rsid w:val="00CD55B3"/>
    <w:rsid w:val="00CD6CEC"/>
    <w:rsid w:val="00CD757C"/>
    <w:rsid w:val="00CE19F8"/>
    <w:rsid w:val="00CE46A4"/>
    <w:rsid w:val="00CE79F2"/>
    <w:rsid w:val="00CF1ECE"/>
    <w:rsid w:val="00CF290C"/>
    <w:rsid w:val="00CF681A"/>
    <w:rsid w:val="00D02C4D"/>
    <w:rsid w:val="00D03448"/>
    <w:rsid w:val="00D03F00"/>
    <w:rsid w:val="00D048CB"/>
    <w:rsid w:val="00D07C78"/>
    <w:rsid w:val="00D13F3F"/>
    <w:rsid w:val="00D21BD8"/>
    <w:rsid w:val="00D23DFC"/>
    <w:rsid w:val="00D2463F"/>
    <w:rsid w:val="00D301A4"/>
    <w:rsid w:val="00D311A3"/>
    <w:rsid w:val="00D36F7E"/>
    <w:rsid w:val="00D45252"/>
    <w:rsid w:val="00D470D3"/>
    <w:rsid w:val="00D47FD0"/>
    <w:rsid w:val="00D510C4"/>
    <w:rsid w:val="00D523A4"/>
    <w:rsid w:val="00D54F3E"/>
    <w:rsid w:val="00D55C9A"/>
    <w:rsid w:val="00D56AE0"/>
    <w:rsid w:val="00D5711F"/>
    <w:rsid w:val="00D57444"/>
    <w:rsid w:val="00D5757B"/>
    <w:rsid w:val="00D60B2C"/>
    <w:rsid w:val="00D61459"/>
    <w:rsid w:val="00D63FD0"/>
    <w:rsid w:val="00D66D6C"/>
    <w:rsid w:val="00D67CE7"/>
    <w:rsid w:val="00D67E5B"/>
    <w:rsid w:val="00D67EAE"/>
    <w:rsid w:val="00D70B8B"/>
    <w:rsid w:val="00D71B4D"/>
    <w:rsid w:val="00D72976"/>
    <w:rsid w:val="00D73715"/>
    <w:rsid w:val="00D74B15"/>
    <w:rsid w:val="00D74F2B"/>
    <w:rsid w:val="00D759AD"/>
    <w:rsid w:val="00D76B9F"/>
    <w:rsid w:val="00D76FA9"/>
    <w:rsid w:val="00D8090A"/>
    <w:rsid w:val="00D81076"/>
    <w:rsid w:val="00D90B96"/>
    <w:rsid w:val="00D93D55"/>
    <w:rsid w:val="00D95F04"/>
    <w:rsid w:val="00DA27BB"/>
    <w:rsid w:val="00DA4ACE"/>
    <w:rsid w:val="00DA5660"/>
    <w:rsid w:val="00DA5C6D"/>
    <w:rsid w:val="00DA65ED"/>
    <w:rsid w:val="00DB0B96"/>
    <w:rsid w:val="00DB2523"/>
    <w:rsid w:val="00DB5CD0"/>
    <w:rsid w:val="00DC12A1"/>
    <w:rsid w:val="00DC1545"/>
    <w:rsid w:val="00DC30B9"/>
    <w:rsid w:val="00DC5AD3"/>
    <w:rsid w:val="00DD0D43"/>
    <w:rsid w:val="00DD10DE"/>
    <w:rsid w:val="00DD3314"/>
    <w:rsid w:val="00DD7B7F"/>
    <w:rsid w:val="00DE3068"/>
    <w:rsid w:val="00DE751A"/>
    <w:rsid w:val="00DF1EFF"/>
    <w:rsid w:val="00DF222C"/>
    <w:rsid w:val="00DF3E28"/>
    <w:rsid w:val="00DF42EB"/>
    <w:rsid w:val="00DF49F1"/>
    <w:rsid w:val="00DF5AF1"/>
    <w:rsid w:val="00DF79D4"/>
    <w:rsid w:val="00E00765"/>
    <w:rsid w:val="00E07776"/>
    <w:rsid w:val="00E11AC5"/>
    <w:rsid w:val="00E11C69"/>
    <w:rsid w:val="00E15015"/>
    <w:rsid w:val="00E21C51"/>
    <w:rsid w:val="00E22024"/>
    <w:rsid w:val="00E23C54"/>
    <w:rsid w:val="00E276EC"/>
    <w:rsid w:val="00E30089"/>
    <w:rsid w:val="00E319DF"/>
    <w:rsid w:val="00E335FE"/>
    <w:rsid w:val="00E40BDA"/>
    <w:rsid w:val="00E438D3"/>
    <w:rsid w:val="00E44717"/>
    <w:rsid w:val="00E45024"/>
    <w:rsid w:val="00E45ACC"/>
    <w:rsid w:val="00E5486B"/>
    <w:rsid w:val="00E5592A"/>
    <w:rsid w:val="00E64C9A"/>
    <w:rsid w:val="00E65BAF"/>
    <w:rsid w:val="00E66CC5"/>
    <w:rsid w:val="00E73DF5"/>
    <w:rsid w:val="00E73F77"/>
    <w:rsid w:val="00E74279"/>
    <w:rsid w:val="00E773CB"/>
    <w:rsid w:val="00E821F2"/>
    <w:rsid w:val="00E829C7"/>
    <w:rsid w:val="00E84808"/>
    <w:rsid w:val="00E86180"/>
    <w:rsid w:val="00E91595"/>
    <w:rsid w:val="00E91B23"/>
    <w:rsid w:val="00E91D23"/>
    <w:rsid w:val="00E92883"/>
    <w:rsid w:val="00EA1EC6"/>
    <w:rsid w:val="00EA535A"/>
    <w:rsid w:val="00EA5976"/>
    <w:rsid w:val="00EA7D6E"/>
    <w:rsid w:val="00EB02B3"/>
    <w:rsid w:val="00EB0606"/>
    <w:rsid w:val="00EB2F76"/>
    <w:rsid w:val="00EB36B9"/>
    <w:rsid w:val="00EB5BE7"/>
    <w:rsid w:val="00EB7153"/>
    <w:rsid w:val="00EC4E49"/>
    <w:rsid w:val="00EC5051"/>
    <w:rsid w:val="00ED2814"/>
    <w:rsid w:val="00ED544C"/>
    <w:rsid w:val="00ED758E"/>
    <w:rsid w:val="00ED77FB"/>
    <w:rsid w:val="00EE26D5"/>
    <w:rsid w:val="00EE3323"/>
    <w:rsid w:val="00EE45FA"/>
    <w:rsid w:val="00EF11D0"/>
    <w:rsid w:val="00EF4037"/>
    <w:rsid w:val="00F043DE"/>
    <w:rsid w:val="00F153A1"/>
    <w:rsid w:val="00F15705"/>
    <w:rsid w:val="00F16376"/>
    <w:rsid w:val="00F20629"/>
    <w:rsid w:val="00F21905"/>
    <w:rsid w:val="00F21E83"/>
    <w:rsid w:val="00F228BE"/>
    <w:rsid w:val="00F24275"/>
    <w:rsid w:val="00F27E02"/>
    <w:rsid w:val="00F31218"/>
    <w:rsid w:val="00F34178"/>
    <w:rsid w:val="00F36A20"/>
    <w:rsid w:val="00F37508"/>
    <w:rsid w:val="00F40D2E"/>
    <w:rsid w:val="00F42D88"/>
    <w:rsid w:val="00F438D3"/>
    <w:rsid w:val="00F44A69"/>
    <w:rsid w:val="00F469B2"/>
    <w:rsid w:val="00F46D4F"/>
    <w:rsid w:val="00F53208"/>
    <w:rsid w:val="00F5537A"/>
    <w:rsid w:val="00F5792A"/>
    <w:rsid w:val="00F60041"/>
    <w:rsid w:val="00F60F6D"/>
    <w:rsid w:val="00F6352D"/>
    <w:rsid w:val="00F66152"/>
    <w:rsid w:val="00F7263B"/>
    <w:rsid w:val="00F74096"/>
    <w:rsid w:val="00F76CB4"/>
    <w:rsid w:val="00F77097"/>
    <w:rsid w:val="00F80E4F"/>
    <w:rsid w:val="00F81C14"/>
    <w:rsid w:val="00F9165B"/>
    <w:rsid w:val="00F929D5"/>
    <w:rsid w:val="00F93028"/>
    <w:rsid w:val="00F945FD"/>
    <w:rsid w:val="00FA0EFF"/>
    <w:rsid w:val="00FA792B"/>
    <w:rsid w:val="00FB0A4E"/>
    <w:rsid w:val="00FB2432"/>
    <w:rsid w:val="00FB28DA"/>
    <w:rsid w:val="00FB6786"/>
    <w:rsid w:val="00FB734F"/>
    <w:rsid w:val="00FB7620"/>
    <w:rsid w:val="00FC2474"/>
    <w:rsid w:val="00FC44FE"/>
    <w:rsid w:val="00FC482F"/>
    <w:rsid w:val="00FC7540"/>
    <w:rsid w:val="00FC7996"/>
    <w:rsid w:val="00FD19FE"/>
    <w:rsid w:val="00FD4D47"/>
    <w:rsid w:val="00FE0352"/>
    <w:rsid w:val="00FE186D"/>
    <w:rsid w:val="00FE25CE"/>
    <w:rsid w:val="00FE5D75"/>
    <w:rsid w:val="00FE6479"/>
    <w:rsid w:val="00FF0654"/>
    <w:rsid w:val="00FF1A35"/>
    <w:rsid w:val="00FF20BE"/>
    <w:rsid w:val="00FF3705"/>
    <w:rsid w:val="00FF3A84"/>
    <w:rsid w:val="00FF75F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022BA9"/>
  <w15:docId w15:val="{CBAFB9BF-BBDB-4D4B-BBAD-6B83726F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FootnoteReference">
    <w:name w:val="footnote reference"/>
    <w:basedOn w:val="DefaultParagraphFont"/>
    <w:uiPriority w:val="99"/>
    <w:unhideWhenUsed/>
    <w:rsid w:val="00FE0352"/>
    <w:rPr>
      <w:vertAlign w:val="superscript"/>
    </w:rPr>
  </w:style>
  <w:style w:type="paragraph" w:styleId="TOC1">
    <w:name w:val="toc 1"/>
    <w:basedOn w:val="Normal"/>
    <w:next w:val="Normal"/>
    <w:autoRedefine/>
    <w:uiPriority w:val="39"/>
    <w:unhideWhenUsed/>
    <w:rsid w:val="00F44A69"/>
    <w:pPr>
      <w:tabs>
        <w:tab w:val="right" w:leader="dot" w:pos="9345"/>
      </w:tabs>
      <w:spacing w:after="120"/>
    </w:pPr>
  </w:style>
  <w:style w:type="character" w:styleId="Hyperlink">
    <w:name w:val="Hyperlink"/>
    <w:basedOn w:val="DefaultParagraphFont"/>
    <w:uiPriority w:val="99"/>
    <w:unhideWhenUsed/>
    <w:rsid w:val="00ED2814"/>
    <w:rPr>
      <w:color w:val="0000FF" w:themeColor="hyperlink"/>
      <w:u w:val="single"/>
    </w:rPr>
  </w:style>
  <w:style w:type="character" w:customStyle="1" w:styleId="UnresolvedMention">
    <w:name w:val="Unresolved Mention"/>
    <w:basedOn w:val="DefaultParagraphFont"/>
    <w:uiPriority w:val="99"/>
    <w:semiHidden/>
    <w:unhideWhenUsed/>
    <w:rsid w:val="007F2EBF"/>
    <w:rPr>
      <w:color w:val="605E5C"/>
      <w:shd w:val="clear" w:color="auto" w:fill="E1DFDD"/>
    </w:rPr>
  </w:style>
  <w:style w:type="paragraph" w:styleId="TOCHeading">
    <w:name w:val="TOC Heading"/>
    <w:basedOn w:val="Heading1"/>
    <w:next w:val="Normal"/>
    <w:uiPriority w:val="39"/>
    <w:unhideWhenUsed/>
    <w:qFormat/>
    <w:rsid w:val="00F44A69"/>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val="fr-MA" w:eastAsia="fr-MA"/>
    </w:rPr>
  </w:style>
  <w:style w:type="paragraph" w:styleId="TOC2">
    <w:name w:val="toc 2"/>
    <w:basedOn w:val="Normal"/>
    <w:next w:val="Normal"/>
    <w:autoRedefine/>
    <w:uiPriority w:val="39"/>
    <w:unhideWhenUsed/>
    <w:rsid w:val="002E16CA"/>
    <w:pPr>
      <w:tabs>
        <w:tab w:val="left" w:pos="1133"/>
        <w:tab w:val="right" w:leader="dot" w:pos="9345"/>
      </w:tabs>
      <w:spacing w:after="100"/>
      <w:ind w:left="220"/>
    </w:pPr>
  </w:style>
  <w:style w:type="paragraph" w:styleId="BalloonText">
    <w:name w:val="Balloon Text"/>
    <w:basedOn w:val="Normal"/>
    <w:link w:val="BalloonTextChar"/>
    <w:semiHidden/>
    <w:unhideWhenUsed/>
    <w:rsid w:val="00456C03"/>
    <w:rPr>
      <w:rFonts w:ascii="Segoe UI" w:hAnsi="Segoe UI" w:cs="Segoe UI"/>
      <w:sz w:val="18"/>
      <w:szCs w:val="18"/>
    </w:rPr>
  </w:style>
  <w:style w:type="character" w:customStyle="1" w:styleId="BalloonTextChar">
    <w:name w:val="Balloon Text Char"/>
    <w:basedOn w:val="DefaultParagraphFont"/>
    <w:link w:val="BalloonText"/>
    <w:semiHidden/>
    <w:rsid w:val="00456C03"/>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9F4A87"/>
    <w:rPr>
      <w:rFonts w:ascii="Arial" w:eastAsia="SimSun" w:hAnsi="Arial" w:cs="Calibri"/>
      <w:sz w:val="22"/>
      <w:szCs w:val="22"/>
      <w:lang w:val="en-US" w:eastAsia="zh-CN"/>
    </w:rPr>
  </w:style>
  <w:style w:type="character" w:customStyle="1" w:styleId="Insertedtext">
    <w:name w:val="Inserted text"/>
    <w:basedOn w:val="DefaultParagraphFont"/>
    <w:uiPriority w:val="1"/>
    <w:qFormat/>
    <w:rsid w:val="009F4A87"/>
    <w:rPr>
      <w:color w:val="1F497D" w:themeColor="text2"/>
      <w:u w:val="single"/>
    </w:rPr>
  </w:style>
  <w:style w:type="paragraph" w:customStyle="1" w:styleId="Lega">
    <w:name w:val="Leg (a)"/>
    <w:basedOn w:val="Normal"/>
    <w:link w:val="LegaChar"/>
    <w:rsid w:val="00504C98"/>
    <w:pPr>
      <w:tabs>
        <w:tab w:val="left" w:pos="454"/>
      </w:tabs>
      <w:bidi w:val="0"/>
      <w:spacing w:before="119" w:after="240" w:line="360" w:lineRule="auto"/>
    </w:pPr>
    <w:rPr>
      <w:rFonts w:eastAsia="Times New Roman" w:cs="Times New Roman"/>
      <w:noProof/>
      <w:snapToGrid w:val="0"/>
      <w:szCs w:val="20"/>
      <w:lang w:eastAsia="en-US"/>
    </w:rPr>
  </w:style>
  <w:style w:type="character" w:customStyle="1" w:styleId="LegaChar">
    <w:name w:val="Leg (a) Char"/>
    <w:link w:val="Lega"/>
    <w:rsid w:val="00504C98"/>
    <w:rPr>
      <w:rFonts w:ascii="Arial" w:hAnsi="Arial"/>
      <w:noProof/>
      <w:snapToGrid w:val="0"/>
      <w:sz w:val="22"/>
      <w:lang w:val="en-US" w:eastAsia="en-US"/>
    </w:rPr>
  </w:style>
  <w:style w:type="character" w:customStyle="1" w:styleId="InsertedText0">
    <w:name w:val="Inserted Text"/>
    <w:basedOn w:val="DefaultParagraphFont"/>
    <w:uiPriority w:val="1"/>
    <w:qFormat/>
    <w:rsid w:val="00504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Desktop\SCP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01A8-EEF1-46C7-8FE1-27CBC90A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SCP_33_AR.dotx</Template>
  <TotalTime>1</TotalTime>
  <Pages>6</Pages>
  <Words>1924</Words>
  <Characters>10249</Characters>
  <Application>Microsoft Office Word</Application>
  <DocSecurity>0</DocSecurity>
  <Lines>158</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SCP/33/  / (Arabic)</vt:lpstr>
      <vt:lpstr>SCP/33/  / (Arabic)</vt:lpstr>
    </vt:vector>
  </TitlesOfParts>
  <Company>WIPO</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SCP/33/  / (Arabic)</dc:title>
  <dc:creator>Abdelhak Ben Mohamed</dc:creator>
  <cp:keywords>PUBLIC</cp:keywords>
  <cp:lastModifiedBy>SHOUSHA Sally</cp:lastModifiedBy>
  <cp:revision>3</cp:revision>
  <cp:lastPrinted>2022-09-15T14:31:00Z</cp:lastPrinted>
  <dcterms:created xsi:type="dcterms:W3CDTF">2022-09-16T09:34:00Z</dcterms:created>
  <dcterms:modified xsi:type="dcterms:W3CDTF">2022-09-16T09:38:00Z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