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C0118"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2A6D999D" wp14:editId="49AAE3F7">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A5B27B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71F2E18A" w14:textId="35E0A443" w:rsidR="008B2CC1" w:rsidRPr="002326AB" w:rsidRDefault="004E0043" w:rsidP="00250149">
      <w:pPr>
        <w:bidi w:val="0"/>
        <w:rPr>
          <w:rFonts w:ascii="Arial Black" w:hAnsi="Arial Black"/>
          <w:caps/>
          <w:sz w:val="15"/>
          <w:szCs w:val="15"/>
        </w:rPr>
      </w:pPr>
      <w:r>
        <w:rPr>
          <w:rFonts w:ascii="Arial Black" w:hAnsi="Arial Black"/>
          <w:caps/>
          <w:sz w:val="15"/>
          <w:szCs w:val="15"/>
        </w:rPr>
        <w:t>PCT</w:t>
      </w:r>
      <w:r w:rsidR="00250149">
        <w:rPr>
          <w:rFonts w:ascii="Arial Black" w:hAnsi="Arial Black"/>
          <w:caps/>
          <w:sz w:val="15"/>
          <w:szCs w:val="15"/>
        </w:rPr>
        <w:t>/</w:t>
      </w:r>
      <w:r>
        <w:rPr>
          <w:rFonts w:ascii="Arial Black" w:hAnsi="Arial Black"/>
          <w:caps/>
          <w:sz w:val="15"/>
          <w:szCs w:val="15"/>
        </w:rPr>
        <w:t>WG</w:t>
      </w:r>
      <w:r w:rsidR="00D90B96">
        <w:rPr>
          <w:rFonts w:ascii="Arial Black" w:hAnsi="Arial Black"/>
          <w:caps/>
          <w:sz w:val="15"/>
          <w:szCs w:val="15"/>
        </w:rPr>
        <w:t>/</w:t>
      </w:r>
      <w:bookmarkStart w:id="0" w:name="Code"/>
      <w:bookmarkEnd w:id="0"/>
      <w:r w:rsidR="002066F1">
        <w:rPr>
          <w:rFonts w:ascii="Arial Black" w:hAnsi="Arial Black"/>
          <w:caps/>
          <w:sz w:val="15"/>
          <w:szCs w:val="15"/>
        </w:rPr>
        <w:t>17</w:t>
      </w:r>
      <w:r>
        <w:rPr>
          <w:rFonts w:ascii="Arial Black" w:hAnsi="Arial Black"/>
          <w:caps/>
          <w:sz w:val="15"/>
          <w:szCs w:val="15"/>
        </w:rPr>
        <w:t>/</w:t>
      </w:r>
      <w:r w:rsidR="002066F1">
        <w:rPr>
          <w:rFonts w:ascii="Arial Black" w:hAnsi="Arial Black"/>
          <w:caps/>
          <w:sz w:val="15"/>
          <w:szCs w:val="15"/>
        </w:rPr>
        <w:t>17</w:t>
      </w:r>
    </w:p>
    <w:p w14:paraId="0DC35396" w14:textId="77777777" w:rsidR="008B2CC1" w:rsidRPr="00CC3E2D" w:rsidRDefault="00CC3E2D" w:rsidP="00CC3E2D">
      <w:pPr>
        <w:jc w:val="right"/>
        <w:rPr>
          <w:rFonts w:asciiTheme="minorHAnsi" w:hAnsiTheme="minorHAnsi" w:cstheme="minorHAnsi"/>
          <w:caps/>
          <w:sz w:val="15"/>
          <w:szCs w:val="15"/>
        </w:rPr>
      </w:pPr>
      <w:bookmarkStart w:id="1"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4063CC" w:rsidRPr="002066F1">
        <w:rPr>
          <w:rFonts w:asciiTheme="minorHAnsi" w:hAnsiTheme="minorHAnsi" w:cstheme="minorHAnsi" w:hint="cs"/>
          <w:b/>
          <w:bCs/>
          <w:caps/>
          <w:sz w:val="15"/>
          <w:szCs w:val="15"/>
          <w:rtl/>
        </w:rPr>
        <w:t>بالإنكليزية</w:t>
      </w:r>
    </w:p>
    <w:p w14:paraId="196A5D10" w14:textId="5EF11486" w:rsidR="008B2CC1" w:rsidRPr="00CC3E2D" w:rsidRDefault="00CC3E2D" w:rsidP="00CC3E2D">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0C6DA6">
        <w:rPr>
          <w:rFonts w:asciiTheme="minorHAnsi" w:hAnsiTheme="minorHAnsi" w:cstheme="minorHAnsi"/>
          <w:b/>
          <w:bCs/>
          <w:caps/>
          <w:sz w:val="15"/>
          <w:szCs w:val="15"/>
        </w:rPr>
        <w:t>7</w:t>
      </w:r>
      <w:r w:rsidR="004063CC">
        <w:rPr>
          <w:rFonts w:asciiTheme="minorHAnsi" w:hAnsiTheme="minorHAnsi" w:cstheme="minorHAnsi" w:hint="cs"/>
          <w:b/>
          <w:bCs/>
          <w:caps/>
          <w:sz w:val="15"/>
          <w:szCs w:val="15"/>
          <w:rtl/>
        </w:rPr>
        <w:t xml:space="preserve"> </w:t>
      </w:r>
      <w:r w:rsidR="000C6DA6">
        <w:rPr>
          <w:rFonts w:asciiTheme="minorHAnsi" w:hAnsiTheme="minorHAnsi" w:cstheme="minorHAnsi" w:hint="cs"/>
          <w:b/>
          <w:bCs/>
          <w:caps/>
          <w:sz w:val="15"/>
          <w:szCs w:val="15"/>
          <w:rtl/>
        </w:rPr>
        <w:t>فبراير</w:t>
      </w:r>
      <w:r w:rsidR="002066F1">
        <w:rPr>
          <w:rFonts w:asciiTheme="minorHAnsi" w:hAnsiTheme="minorHAnsi" w:cstheme="minorHAnsi" w:hint="cs"/>
          <w:b/>
          <w:bCs/>
          <w:caps/>
          <w:sz w:val="15"/>
          <w:szCs w:val="15"/>
          <w:rtl/>
        </w:rPr>
        <w:t xml:space="preserve"> 2024</w:t>
      </w:r>
    </w:p>
    <w:bookmarkEnd w:id="2"/>
    <w:p w14:paraId="2080F1CD" w14:textId="77777777" w:rsidR="008B2CC1" w:rsidRPr="00D67EAE" w:rsidRDefault="004E0043" w:rsidP="00250149">
      <w:pPr>
        <w:pStyle w:val="Heading1"/>
        <w:rPr>
          <w:rtl/>
        </w:rPr>
      </w:pPr>
      <w:r>
        <w:rPr>
          <w:rFonts w:hint="cs"/>
          <w:rtl/>
        </w:rPr>
        <w:t>الفريق العامل لمعاهدة التعاون بشأن البراءات</w:t>
      </w:r>
    </w:p>
    <w:p w14:paraId="0DC907CA" w14:textId="03F0E465" w:rsidR="00A90F0A" w:rsidRPr="00D67EAE" w:rsidRDefault="00D67EAE" w:rsidP="00B96EB2">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B96EB2">
        <w:rPr>
          <w:rFonts w:asciiTheme="minorHAnsi" w:hAnsiTheme="minorHAnsi" w:cstheme="minorHAnsi" w:hint="cs"/>
          <w:bCs/>
          <w:sz w:val="24"/>
          <w:szCs w:val="24"/>
          <w:rtl/>
        </w:rPr>
        <w:t>ال</w:t>
      </w:r>
      <w:r w:rsidR="002066F1">
        <w:rPr>
          <w:rFonts w:asciiTheme="minorHAnsi" w:hAnsiTheme="minorHAnsi" w:cstheme="minorHAnsi" w:hint="cs"/>
          <w:bCs/>
          <w:sz w:val="24"/>
          <w:szCs w:val="24"/>
          <w:rtl/>
        </w:rPr>
        <w:t>س</w:t>
      </w:r>
      <w:r w:rsidR="00B96EB2">
        <w:rPr>
          <w:rFonts w:asciiTheme="minorHAnsi" w:hAnsiTheme="minorHAnsi" w:cstheme="minorHAnsi" w:hint="cs"/>
          <w:bCs/>
          <w:sz w:val="24"/>
          <w:szCs w:val="24"/>
          <w:rtl/>
        </w:rPr>
        <w:t>ا</w:t>
      </w:r>
      <w:r w:rsidR="002066F1">
        <w:rPr>
          <w:rFonts w:asciiTheme="minorHAnsi" w:hAnsiTheme="minorHAnsi" w:cstheme="minorHAnsi" w:hint="cs"/>
          <w:bCs/>
          <w:sz w:val="24"/>
          <w:szCs w:val="24"/>
          <w:rtl/>
        </w:rPr>
        <w:t>بع</w:t>
      </w:r>
      <w:r w:rsidR="00B96EB2">
        <w:rPr>
          <w:rFonts w:asciiTheme="minorHAnsi" w:hAnsiTheme="minorHAnsi" w:cstheme="minorHAnsi" w:hint="cs"/>
          <w:bCs/>
          <w:sz w:val="24"/>
          <w:szCs w:val="24"/>
          <w:rtl/>
        </w:rPr>
        <w:t>ة</w:t>
      </w:r>
      <w:r w:rsidR="00250149">
        <w:rPr>
          <w:rFonts w:asciiTheme="minorHAnsi" w:hAnsiTheme="minorHAnsi" w:cstheme="minorHAnsi" w:hint="cs"/>
          <w:bCs/>
          <w:sz w:val="24"/>
          <w:szCs w:val="24"/>
          <w:rtl/>
        </w:rPr>
        <w:t xml:space="preserve"> </w:t>
      </w:r>
      <w:r w:rsidR="004E0043">
        <w:rPr>
          <w:rFonts w:asciiTheme="minorHAnsi" w:hAnsiTheme="minorHAnsi" w:cstheme="minorHAnsi" w:hint="cs"/>
          <w:bCs/>
          <w:sz w:val="24"/>
          <w:szCs w:val="24"/>
          <w:rtl/>
        </w:rPr>
        <w:t>عشرة</w:t>
      </w:r>
    </w:p>
    <w:p w14:paraId="743C7A57" w14:textId="51B790E2" w:rsidR="008B2CC1" w:rsidRPr="00D67EAE" w:rsidRDefault="00D67EAE" w:rsidP="00B96EB2">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2066F1">
        <w:rPr>
          <w:rFonts w:asciiTheme="minorHAnsi" w:hAnsiTheme="minorHAnsi" w:cstheme="minorHAnsi" w:hint="cs"/>
          <w:bCs/>
          <w:sz w:val="24"/>
          <w:szCs w:val="24"/>
          <w:rtl/>
        </w:rPr>
        <w:t xml:space="preserve">19 </w:t>
      </w:r>
      <w:r w:rsidRPr="00D67EAE">
        <w:rPr>
          <w:rFonts w:asciiTheme="minorHAnsi" w:hAnsiTheme="minorHAnsi" w:cstheme="minorHAnsi" w:hint="cs"/>
          <w:bCs/>
          <w:sz w:val="24"/>
          <w:szCs w:val="24"/>
          <w:rtl/>
        </w:rPr>
        <w:t xml:space="preserve">إلى </w:t>
      </w:r>
      <w:r w:rsidR="002066F1">
        <w:rPr>
          <w:rFonts w:asciiTheme="minorHAnsi" w:hAnsiTheme="minorHAnsi" w:cstheme="minorHAnsi" w:hint="cs"/>
          <w:bCs/>
          <w:sz w:val="24"/>
          <w:szCs w:val="24"/>
          <w:rtl/>
        </w:rPr>
        <w:t>21</w:t>
      </w:r>
      <w:r w:rsidRPr="00D67EAE">
        <w:rPr>
          <w:rFonts w:asciiTheme="minorHAnsi" w:hAnsiTheme="minorHAnsi" w:cstheme="minorHAnsi" w:hint="cs"/>
          <w:bCs/>
          <w:sz w:val="24"/>
          <w:szCs w:val="24"/>
          <w:rtl/>
        </w:rPr>
        <w:t xml:space="preserve"> </w:t>
      </w:r>
      <w:r w:rsidR="002066F1">
        <w:rPr>
          <w:rFonts w:asciiTheme="minorHAnsi" w:hAnsiTheme="minorHAnsi" w:cstheme="minorHAnsi" w:hint="cs"/>
          <w:bCs/>
          <w:sz w:val="24"/>
          <w:szCs w:val="24"/>
          <w:rtl/>
        </w:rPr>
        <w:t>فبراي</w:t>
      </w:r>
      <w:r w:rsidR="00B96EB2">
        <w:rPr>
          <w:rFonts w:asciiTheme="minorHAnsi" w:hAnsiTheme="minorHAnsi" w:cstheme="minorHAnsi" w:hint="cs"/>
          <w:bCs/>
          <w:sz w:val="24"/>
          <w:szCs w:val="24"/>
          <w:rtl/>
        </w:rPr>
        <w:t>ر</w:t>
      </w:r>
      <w:r w:rsidR="002066F1">
        <w:rPr>
          <w:rFonts w:asciiTheme="minorHAnsi" w:hAnsiTheme="minorHAnsi" w:cstheme="minorHAnsi" w:hint="cs"/>
          <w:bCs/>
          <w:sz w:val="24"/>
          <w:szCs w:val="24"/>
          <w:rtl/>
        </w:rPr>
        <w:t xml:space="preserve"> 2024</w:t>
      </w:r>
    </w:p>
    <w:p w14:paraId="4F2E5104" w14:textId="46B1FBBD" w:rsidR="008B2CC1" w:rsidRPr="00D67EAE" w:rsidRDefault="004063CC" w:rsidP="004063CC">
      <w:pPr>
        <w:spacing w:after="360"/>
        <w:outlineLvl w:val="0"/>
        <w:rPr>
          <w:rFonts w:asciiTheme="minorHAnsi" w:hAnsiTheme="minorHAnsi" w:cstheme="minorHAnsi"/>
          <w:caps/>
          <w:sz w:val="24"/>
        </w:rPr>
      </w:pPr>
      <w:bookmarkStart w:id="3" w:name="TitleOfDoc"/>
      <w:r w:rsidRPr="004063CC">
        <w:rPr>
          <w:rFonts w:asciiTheme="minorHAnsi" w:hAnsiTheme="minorHAnsi" w:cstheme="minorHAnsi"/>
          <w:caps/>
          <w:sz w:val="28"/>
          <w:szCs w:val="24"/>
          <w:rtl/>
        </w:rPr>
        <w:t>البحث والفحص التعاونيين في إطار معاهدة التعاون بشأن البراءات</w:t>
      </w:r>
      <w:r w:rsidRPr="004063CC">
        <w:rPr>
          <w:rFonts w:asciiTheme="minorHAnsi" w:hAnsiTheme="minorHAnsi" w:cstheme="minorHAnsi" w:hint="cs"/>
          <w:caps/>
          <w:sz w:val="28"/>
          <w:szCs w:val="24"/>
          <w:rtl/>
        </w:rPr>
        <w:t xml:space="preserve"> بين مكاتب الملكية الفكرية الخمسة</w:t>
      </w:r>
      <w:r w:rsidRPr="004063CC">
        <w:rPr>
          <w:rFonts w:asciiTheme="minorHAnsi" w:hAnsiTheme="minorHAnsi" w:cstheme="minorHAnsi"/>
          <w:caps/>
          <w:sz w:val="28"/>
          <w:szCs w:val="24"/>
          <w:rtl/>
        </w:rPr>
        <w:t xml:space="preserve">: تقرير </w:t>
      </w:r>
      <w:r w:rsidR="002066F1">
        <w:rPr>
          <w:rFonts w:asciiTheme="minorHAnsi" w:hAnsiTheme="minorHAnsi" w:cstheme="minorHAnsi" w:hint="cs"/>
          <w:caps/>
          <w:sz w:val="28"/>
          <w:szCs w:val="24"/>
          <w:rtl/>
        </w:rPr>
        <w:t>نهائي</w:t>
      </w:r>
    </w:p>
    <w:p w14:paraId="3EE6F892" w14:textId="77777777" w:rsidR="002928D3" w:rsidRDefault="004063CC" w:rsidP="004063CC">
      <w:pPr>
        <w:spacing w:after="1040"/>
        <w:rPr>
          <w:rFonts w:asciiTheme="minorHAnsi" w:hAnsiTheme="minorHAnsi" w:cstheme="minorHAnsi"/>
          <w:iCs/>
          <w:rtl/>
        </w:rPr>
      </w:pPr>
      <w:bookmarkStart w:id="4" w:name="Prepared"/>
      <w:bookmarkEnd w:id="3"/>
      <w:bookmarkEnd w:id="4"/>
      <w:r w:rsidRPr="004063CC">
        <w:rPr>
          <w:rFonts w:asciiTheme="minorHAnsi" w:hAnsiTheme="minorHAnsi" w:cstheme="minorHAnsi" w:hint="cs"/>
          <w:iCs/>
          <w:rtl/>
        </w:rPr>
        <w:t>وثيقة من إعداد المكتب الأوروبي للبراءات</w:t>
      </w:r>
    </w:p>
    <w:p w14:paraId="3DDAC504" w14:textId="77777777" w:rsidR="004063CC" w:rsidRPr="004063CC" w:rsidRDefault="004063CC" w:rsidP="004063CC">
      <w:pPr>
        <w:keepNext/>
        <w:spacing w:before="240" w:after="60"/>
        <w:outlineLvl w:val="0"/>
        <w:rPr>
          <w:b/>
          <w:bCs/>
          <w:caps/>
          <w:kern w:val="32"/>
        </w:rPr>
      </w:pPr>
      <w:r>
        <w:rPr>
          <w:rFonts w:hint="cs"/>
          <w:b/>
          <w:bCs/>
          <w:caps/>
          <w:kern w:val="32"/>
          <w:rtl/>
          <w:lang w:bidi="ar-EG"/>
        </w:rPr>
        <w:t>ملخص</w:t>
      </w:r>
    </w:p>
    <w:p w14:paraId="0CC50B57" w14:textId="389D3F9B" w:rsidR="004063CC" w:rsidRPr="004063CC" w:rsidRDefault="004063CC" w:rsidP="00866792">
      <w:pPr>
        <w:pStyle w:val="ONUMA"/>
        <w:rPr>
          <w:rtl/>
        </w:rPr>
      </w:pPr>
      <w:r w:rsidRPr="004063CC">
        <w:rPr>
          <w:rtl/>
        </w:rPr>
        <w:t>تعرض هذه الوثيقة تقريرا</w:t>
      </w:r>
      <w:r w:rsidRPr="004063CC">
        <w:rPr>
          <w:rFonts w:hint="cs"/>
          <w:rtl/>
        </w:rPr>
        <w:t>ً</w:t>
      </w:r>
      <w:r w:rsidRPr="004063CC">
        <w:rPr>
          <w:rtl/>
        </w:rPr>
        <w:t xml:space="preserve"> عن </w:t>
      </w:r>
      <w:r w:rsidR="002066F1">
        <w:rPr>
          <w:rFonts w:hint="cs"/>
          <w:rtl/>
        </w:rPr>
        <w:t xml:space="preserve">اختتام </w:t>
      </w:r>
      <w:r w:rsidRPr="004063CC">
        <w:rPr>
          <w:rtl/>
        </w:rPr>
        <w:t>تنفيذ المشروع الرائد الثالث بشأن البحث والفحص التعاونيين في إطار معاهدة التعاون بشأن البراءات ("البحث والفحص التعاونيان") بين مكاتب الملكية الفكرية الخمسة (</w:t>
      </w:r>
      <w:r w:rsidRPr="004063CC">
        <w:t>IP5</w:t>
      </w:r>
      <w:r w:rsidRPr="004063CC">
        <w:rPr>
          <w:rtl/>
        </w:rPr>
        <w:t>) (المكتب الأوروبي للبراءات (</w:t>
      </w:r>
      <w:r w:rsidRPr="004063CC">
        <w:t>EPO</w:t>
      </w:r>
      <w:r w:rsidRPr="004063CC">
        <w:rPr>
          <w:rtl/>
        </w:rPr>
        <w:t>) والمكتب الياباني للبراءات (</w:t>
      </w:r>
      <w:r w:rsidRPr="004063CC">
        <w:t>JPO</w:t>
      </w:r>
      <w:r w:rsidRPr="004063CC">
        <w:rPr>
          <w:rtl/>
        </w:rPr>
        <w:t>) والمكتب الكوري للملكية الفكرية (</w:t>
      </w:r>
      <w:r w:rsidRPr="004063CC">
        <w:t>KIPO</w:t>
      </w:r>
      <w:r w:rsidRPr="004063CC">
        <w:rPr>
          <w:rtl/>
        </w:rPr>
        <w:t>) والإدارة الوطنية الصينية للملكية الفكرية (</w:t>
      </w:r>
      <w:r w:rsidRPr="004063CC">
        <w:t>CNIPA</w:t>
      </w:r>
      <w:r w:rsidRPr="004063CC">
        <w:rPr>
          <w:rtl/>
        </w:rPr>
        <w:t xml:space="preserve">) ومكتب الولايات المتحدة للبراءات والعلامات التجارية </w:t>
      </w:r>
      <w:r w:rsidRPr="004063CC">
        <w:t>(USPTO)</w:t>
      </w:r>
      <w:r w:rsidRPr="004063CC">
        <w:rPr>
          <w:rtl/>
        </w:rPr>
        <w:t>).</w:t>
      </w:r>
    </w:p>
    <w:p w14:paraId="7E50B6C2" w14:textId="77777777" w:rsidR="004063CC" w:rsidRPr="004063CC" w:rsidRDefault="004063CC" w:rsidP="004063CC">
      <w:pPr>
        <w:keepNext/>
        <w:spacing w:before="240" w:after="60"/>
        <w:outlineLvl w:val="0"/>
        <w:rPr>
          <w:b/>
          <w:bCs/>
          <w:caps/>
          <w:kern w:val="32"/>
        </w:rPr>
      </w:pPr>
      <w:r w:rsidRPr="004063CC">
        <w:rPr>
          <w:rFonts w:hint="cs"/>
          <w:b/>
          <w:bCs/>
          <w:caps/>
          <w:kern w:val="32"/>
          <w:rtl/>
        </w:rPr>
        <w:t>معلومات أساسية</w:t>
      </w:r>
    </w:p>
    <w:p w14:paraId="79802C7B" w14:textId="77777777" w:rsidR="004063CC" w:rsidRPr="004063CC" w:rsidRDefault="004063CC" w:rsidP="004063CC">
      <w:pPr>
        <w:pStyle w:val="ONUMA"/>
        <w:rPr>
          <w:rtl/>
        </w:rPr>
      </w:pPr>
      <w:r w:rsidRPr="004063CC">
        <w:rPr>
          <w:rtl/>
        </w:rPr>
        <w:t>أيد الفريق العامل لمعاهدة التعاون بشأن البراءات، في دورته الثالثة التي عُقدت في يونيو 2010، مجموعة من التوصيات الرامية إلى تحسين عمل نظام معاهدة التعاون بشأن البراءات</w:t>
      </w:r>
      <w:r w:rsidR="00DC2E58">
        <w:rPr>
          <w:rFonts w:hint="cs"/>
          <w:rtl/>
        </w:rPr>
        <w:t xml:space="preserve"> (معاهدة البراءات)</w:t>
      </w:r>
      <w:r w:rsidRPr="004063CC">
        <w:rPr>
          <w:rtl/>
        </w:rPr>
        <w:t xml:space="preserve"> والمبيَّنة في الوثيقة </w:t>
      </w:r>
      <w:r w:rsidRPr="004063CC">
        <w:t>PCT/WG/4/3</w:t>
      </w:r>
      <w:r w:rsidRPr="004063CC">
        <w:rPr>
          <w:rtl/>
        </w:rPr>
        <w:t>. وأشير في التوصية الواردة في الفقرة 165(ب) إلى وضع آليات تجريبية يتعاون في إطارها الفاحصون في الإدارات الدولية من ذوي المهارات التكميلية على إعداد تقارير.</w:t>
      </w:r>
    </w:p>
    <w:p w14:paraId="45375C33" w14:textId="77777777" w:rsidR="004063CC" w:rsidRPr="004063CC" w:rsidRDefault="004063CC" w:rsidP="00E92F33">
      <w:pPr>
        <w:pStyle w:val="ONUMA"/>
      </w:pPr>
      <w:r w:rsidRPr="004063CC">
        <w:rPr>
          <w:rtl/>
        </w:rPr>
        <w:t xml:space="preserve">واستجابةً لتلك التوصية، استهل المكتب الكوري للملكية الفكرية ومكتب الولايات المتحدة الأمريكية للبراءات والعلامات التجارية والمكتب الأوروبي للبراءات، في 2010 و2012، مشروعين رائدين بشأن البحث والفحص التعاونيين في إطار معاهدة البراءات. وأسفر كلا المشروعين عامةً عن نتائج إيجابية للغاية من حيث الجودة والكفاءة بالنسبة إلى المكاتب المشاركة والمستخدمين الذين عولجت طلباتهم استناداً إلى النهج التعاوني (انظر الوثائق </w:t>
      </w:r>
      <w:r w:rsidRPr="004063CC">
        <w:t>PCT/MIA/18/7</w:t>
      </w:r>
      <w:r w:rsidRPr="004063CC">
        <w:rPr>
          <w:rtl/>
        </w:rPr>
        <w:t xml:space="preserve"> و</w:t>
      </w:r>
      <w:r w:rsidRPr="004063CC">
        <w:t>PCT/MIA/20/4</w:t>
      </w:r>
      <w:r w:rsidRPr="004063CC">
        <w:rPr>
          <w:rtl/>
        </w:rPr>
        <w:t xml:space="preserve"> و</w:t>
      </w:r>
      <w:r w:rsidRPr="004063CC">
        <w:t>PCT/MIA/24/3</w:t>
      </w:r>
      <w:r w:rsidRPr="004063CC">
        <w:rPr>
          <w:rtl/>
        </w:rPr>
        <w:t>).</w:t>
      </w:r>
    </w:p>
    <w:p w14:paraId="77D8F18E" w14:textId="77777777" w:rsidR="004063CC" w:rsidRPr="004063CC" w:rsidRDefault="004063CC" w:rsidP="004063CC">
      <w:pPr>
        <w:keepNext/>
        <w:spacing w:before="240" w:after="60"/>
        <w:outlineLvl w:val="0"/>
        <w:rPr>
          <w:b/>
          <w:bCs/>
          <w:caps/>
          <w:kern w:val="32"/>
          <w:rtl/>
        </w:rPr>
      </w:pPr>
      <w:r w:rsidRPr="004063CC">
        <w:rPr>
          <w:rFonts w:hint="cs"/>
          <w:b/>
          <w:bCs/>
          <w:caps/>
          <w:kern w:val="32"/>
          <w:rtl/>
        </w:rPr>
        <w:t>الإطار</w:t>
      </w:r>
    </w:p>
    <w:p w14:paraId="58B7DD67" w14:textId="5FBD2BDA" w:rsidR="004063CC" w:rsidRPr="004063CC" w:rsidRDefault="004063CC" w:rsidP="00E92F33">
      <w:pPr>
        <w:pStyle w:val="ONUMA"/>
        <w:rPr>
          <w:rtl/>
        </w:rPr>
      </w:pPr>
      <w:r w:rsidRPr="004063CC">
        <w:rPr>
          <w:rtl/>
        </w:rPr>
        <w:t xml:space="preserve">في 2 يونيو 2016، أيد </w:t>
      </w:r>
      <w:r w:rsidRPr="004063CC">
        <w:rPr>
          <w:rFonts w:hint="cs"/>
          <w:rtl/>
        </w:rPr>
        <w:t>رؤساء</w:t>
      </w:r>
      <w:r w:rsidRPr="004063CC">
        <w:rPr>
          <w:rtl/>
        </w:rPr>
        <w:t xml:space="preserve"> المكاتب الخمسة "إطار المكاتب الخمسة للتعاون بشأن </w:t>
      </w:r>
      <w:r w:rsidR="00E92F33">
        <w:rPr>
          <w:rFonts w:hint="cs"/>
          <w:rtl/>
        </w:rPr>
        <w:t>البحث والفحص</w:t>
      </w:r>
      <w:r w:rsidRPr="004063CC">
        <w:rPr>
          <w:rtl/>
        </w:rPr>
        <w:t xml:space="preserve"> التعاونيين في إطار معاهدة التعاون بشأن البراءات"، وهو عبارة عن وثيقة تحدّد المبادئ الأساسية والسمات الرئيسية للمشروع الرائد الثالث. وتولى الفريق </w:t>
      </w:r>
      <w:r w:rsidR="00E92F33">
        <w:rPr>
          <w:rFonts w:hint="cs"/>
          <w:rtl/>
        </w:rPr>
        <w:t xml:space="preserve">المعني بالمشروع </w:t>
      </w:r>
      <w:r w:rsidRPr="004063CC">
        <w:rPr>
          <w:rtl/>
        </w:rPr>
        <w:t>الرائد للبحث والفحص التعاونيين</w:t>
      </w:r>
      <w:r w:rsidR="00E92F33">
        <w:rPr>
          <w:rFonts w:hint="cs"/>
          <w:rtl/>
        </w:rPr>
        <w:t xml:space="preserve"> (الفريق المعني بالمشروع الرائد)</w:t>
      </w:r>
      <w:r w:rsidRPr="004063CC">
        <w:rPr>
          <w:rtl/>
        </w:rPr>
        <w:t>، الذي أنشئ على أساس تلك الوثيقة، مسؤولية وضع المشروع ورصد</w:t>
      </w:r>
      <w:r w:rsidRPr="004063CC">
        <w:rPr>
          <w:rFonts w:hint="cs"/>
          <w:rtl/>
        </w:rPr>
        <w:t>ه</w:t>
      </w:r>
      <w:r w:rsidRPr="004063CC">
        <w:rPr>
          <w:rtl/>
        </w:rPr>
        <w:t>.</w:t>
      </w:r>
    </w:p>
    <w:p w14:paraId="20B5AC56" w14:textId="0D98410C" w:rsidR="004063CC" w:rsidRPr="004063CC" w:rsidRDefault="004063CC" w:rsidP="00E92F33">
      <w:pPr>
        <w:pStyle w:val="ONUMA"/>
        <w:keepNext/>
        <w:rPr>
          <w:rtl/>
        </w:rPr>
      </w:pPr>
      <w:r w:rsidRPr="004063CC">
        <w:rPr>
          <w:rtl/>
        </w:rPr>
        <w:lastRenderedPageBreak/>
        <w:t>وتمثل</w:t>
      </w:r>
      <w:r w:rsidR="002066F1">
        <w:rPr>
          <w:rFonts w:hint="cs"/>
          <w:rtl/>
        </w:rPr>
        <w:t>ت</w:t>
      </w:r>
      <w:r w:rsidRPr="004063CC">
        <w:rPr>
          <w:rtl/>
        </w:rPr>
        <w:t xml:space="preserve"> السمات الرئيسية لهذا المشروع الرائد على وجه الخصوص فيما يلي:</w:t>
      </w:r>
    </w:p>
    <w:p w14:paraId="74A112A4" w14:textId="380C4C9B" w:rsidR="004063CC" w:rsidRPr="004063CC" w:rsidRDefault="00014EF8" w:rsidP="004063CC">
      <w:pPr>
        <w:numPr>
          <w:ilvl w:val="0"/>
          <w:numId w:val="9"/>
        </w:numPr>
        <w:spacing w:after="220"/>
        <w:ind w:left="850" w:hanging="284"/>
        <w:rPr>
          <w:rFonts w:eastAsia="Times New Roman"/>
          <w:rtl/>
          <w:lang w:eastAsia="en-US"/>
        </w:rPr>
      </w:pPr>
      <w:r>
        <w:rPr>
          <w:rFonts w:eastAsia="Times New Roman"/>
          <w:rtl/>
          <w:lang w:eastAsia="en-US"/>
        </w:rPr>
        <w:t xml:space="preserve">نهج موجه نحو مودع الطلب: </w:t>
      </w:r>
      <w:r w:rsidR="002066F1">
        <w:rPr>
          <w:rFonts w:eastAsia="Times New Roman" w:hint="cs"/>
          <w:rtl/>
          <w:lang w:eastAsia="en-US"/>
        </w:rPr>
        <w:t>ا</w:t>
      </w:r>
      <w:r>
        <w:rPr>
          <w:rFonts w:eastAsia="Times New Roman"/>
          <w:rtl/>
          <w:lang w:eastAsia="en-US"/>
        </w:rPr>
        <w:t xml:space="preserve">ختار المودعون الطلبات التي </w:t>
      </w:r>
      <w:r w:rsidR="004063CC" w:rsidRPr="004063CC">
        <w:rPr>
          <w:rFonts w:eastAsia="Times New Roman"/>
          <w:rtl/>
          <w:lang w:eastAsia="en-US"/>
        </w:rPr>
        <w:t>ع</w:t>
      </w:r>
      <w:r w:rsidR="002066F1">
        <w:rPr>
          <w:rFonts w:eastAsia="Times New Roman" w:hint="cs"/>
          <w:rtl/>
          <w:lang w:eastAsia="en-US"/>
        </w:rPr>
        <w:t>و</w:t>
      </w:r>
      <w:r w:rsidR="004063CC" w:rsidRPr="004063CC">
        <w:rPr>
          <w:rFonts w:eastAsia="Times New Roman"/>
          <w:rtl/>
          <w:lang w:eastAsia="en-US"/>
        </w:rPr>
        <w:t>لج</w:t>
      </w:r>
      <w:r w:rsidR="002066F1">
        <w:rPr>
          <w:rFonts w:eastAsia="Times New Roman" w:hint="cs"/>
          <w:rtl/>
          <w:lang w:eastAsia="en-US"/>
        </w:rPr>
        <w:t>ت</w:t>
      </w:r>
      <w:r w:rsidR="004063CC" w:rsidRPr="004063CC">
        <w:rPr>
          <w:rFonts w:eastAsia="Times New Roman"/>
          <w:rtl/>
          <w:lang w:eastAsia="en-US"/>
        </w:rPr>
        <w:t xml:space="preserve"> خلال هذا المشروع الرائد؛</w:t>
      </w:r>
    </w:p>
    <w:p w14:paraId="62550EA5" w14:textId="57080F62" w:rsidR="004063CC" w:rsidRPr="004063CC" w:rsidRDefault="00014EF8" w:rsidP="000E7677">
      <w:pPr>
        <w:numPr>
          <w:ilvl w:val="0"/>
          <w:numId w:val="9"/>
        </w:numPr>
        <w:spacing w:after="220"/>
        <w:ind w:left="850" w:hanging="284"/>
        <w:rPr>
          <w:rFonts w:eastAsia="Times New Roman"/>
          <w:rtl/>
          <w:lang w:eastAsia="en-US"/>
        </w:rPr>
      </w:pPr>
      <w:r>
        <w:rPr>
          <w:rFonts w:eastAsia="Times New Roman"/>
          <w:rtl/>
          <w:lang w:eastAsia="en-US"/>
        </w:rPr>
        <w:t xml:space="preserve">وتوزيع متوازن لعبء العمل: </w:t>
      </w:r>
      <w:r w:rsidR="004063CC" w:rsidRPr="004063CC">
        <w:rPr>
          <w:rFonts w:eastAsia="Times New Roman"/>
          <w:rtl/>
          <w:lang w:eastAsia="en-US"/>
        </w:rPr>
        <w:t>ساهم</w:t>
      </w:r>
      <w:r w:rsidR="002066F1">
        <w:rPr>
          <w:rFonts w:eastAsia="Times New Roman" w:hint="cs"/>
          <w:rtl/>
          <w:lang w:eastAsia="en-US"/>
        </w:rPr>
        <w:t>ت</w:t>
      </w:r>
      <w:r w:rsidR="004063CC" w:rsidRPr="004063CC">
        <w:rPr>
          <w:rFonts w:eastAsia="Times New Roman"/>
          <w:rtl/>
          <w:lang w:eastAsia="en-US"/>
        </w:rPr>
        <w:t xml:space="preserve"> ج</w:t>
      </w:r>
      <w:r>
        <w:rPr>
          <w:rFonts w:eastAsia="Times New Roman"/>
          <w:rtl/>
          <w:lang w:eastAsia="en-US"/>
        </w:rPr>
        <w:t xml:space="preserve">ميع الإدارات الدولية المتعاونة </w:t>
      </w:r>
      <w:r>
        <w:rPr>
          <w:rFonts w:eastAsia="Times New Roman" w:hint="cs"/>
          <w:rtl/>
          <w:lang w:eastAsia="en-US"/>
        </w:rPr>
        <w:t xml:space="preserve">في </w:t>
      </w:r>
      <w:r w:rsidR="004063CC" w:rsidRPr="004063CC">
        <w:rPr>
          <w:rFonts w:eastAsia="Times New Roman"/>
          <w:rtl/>
          <w:lang w:eastAsia="en-US"/>
        </w:rPr>
        <w:t>إنشاء كل منتج عمل بشأن البحث والفحص التعاونيين</w:t>
      </w:r>
      <w:r w:rsidR="004063CC" w:rsidRPr="004063CC">
        <w:rPr>
          <w:rFonts w:eastAsia="Times New Roman" w:hint="cs"/>
          <w:rtl/>
          <w:lang w:eastAsia="en-US"/>
        </w:rPr>
        <w:t>؛ و</w:t>
      </w:r>
      <w:r w:rsidR="004063CC" w:rsidRPr="004063CC">
        <w:rPr>
          <w:rFonts w:eastAsia="Times New Roman"/>
          <w:rtl/>
          <w:lang w:eastAsia="en-US"/>
        </w:rPr>
        <w:t xml:space="preserve">عالج كل مكتب على مدى سنتين نحو 100 طلب دولي بصفته "إدارة للبحث الدولي" ونحو 400 طلب دولي بصفته "إدارة </w:t>
      </w:r>
      <w:r w:rsidR="000E7677">
        <w:rPr>
          <w:rFonts w:eastAsia="Times New Roman" w:hint="cs"/>
          <w:rtl/>
          <w:lang w:eastAsia="en-US"/>
        </w:rPr>
        <w:t>قرينة</w:t>
      </w:r>
      <w:r w:rsidR="004063CC" w:rsidRPr="004063CC">
        <w:rPr>
          <w:rFonts w:eastAsia="Times New Roman"/>
          <w:rtl/>
          <w:lang w:eastAsia="en-US"/>
        </w:rPr>
        <w:t xml:space="preserve"> للبحث الدولي"؛</w:t>
      </w:r>
    </w:p>
    <w:p w14:paraId="741FAD86" w14:textId="50E75C3D" w:rsidR="004063CC" w:rsidRPr="004063CC" w:rsidRDefault="00014EF8" w:rsidP="00014EF8">
      <w:pPr>
        <w:numPr>
          <w:ilvl w:val="0"/>
          <w:numId w:val="9"/>
        </w:numPr>
        <w:spacing w:after="220"/>
        <w:ind w:left="850" w:hanging="284"/>
        <w:rPr>
          <w:rFonts w:eastAsia="Times New Roman"/>
          <w:rtl/>
          <w:lang w:eastAsia="en-US"/>
        </w:rPr>
      </w:pPr>
      <w:r>
        <w:rPr>
          <w:rFonts w:eastAsia="Times New Roman"/>
          <w:rtl/>
          <w:lang w:eastAsia="en-US"/>
        </w:rPr>
        <w:t>و</w:t>
      </w:r>
      <w:r w:rsidR="004063CC" w:rsidRPr="004063CC">
        <w:rPr>
          <w:rFonts w:eastAsia="Times New Roman"/>
          <w:rtl/>
          <w:lang w:eastAsia="en-US"/>
        </w:rPr>
        <w:t>طبق</w:t>
      </w:r>
      <w:r w:rsidR="002066F1">
        <w:rPr>
          <w:rFonts w:eastAsia="Times New Roman" w:hint="cs"/>
          <w:rtl/>
          <w:lang w:eastAsia="en-US"/>
        </w:rPr>
        <w:t>ت</w:t>
      </w:r>
      <w:r w:rsidR="004063CC" w:rsidRPr="004063CC">
        <w:rPr>
          <w:rFonts w:eastAsia="Times New Roman"/>
          <w:rtl/>
          <w:lang w:eastAsia="en-US"/>
        </w:rPr>
        <w:t xml:space="preserve"> جميع الإدارات الدولية المتعاونة مجموعة مش</w:t>
      </w:r>
      <w:r w:rsidR="00065BAB">
        <w:rPr>
          <w:rFonts w:eastAsia="Times New Roman"/>
          <w:rtl/>
          <w:lang w:eastAsia="en-US"/>
        </w:rPr>
        <w:t>تركة من معايير الجودة والتشغيل</w:t>
      </w:r>
      <w:r w:rsidR="004063CC" w:rsidRPr="004063CC">
        <w:rPr>
          <w:rFonts w:eastAsia="Times New Roman"/>
          <w:rtl/>
          <w:lang w:eastAsia="en-US"/>
        </w:rPr>
        <w:t xml:space="preserve"> عند معالجة الطلبات المودعة بناء على معاهدة البراءات؛</w:t>
      </w:r>
    </w:p>
    <w:p w14:paraId="7E50E8DC" w14:textId="66F45414" w:rsidR="004063CC" w:rsidRPr="004063CC" w:rsidRDefault="004063CC" w:rsidP="00014EF8">
      <w:pPr>
        <w:numPr>
          <w:ilvl w:val="0"/>
          <w:numId w:val="9"/>
        </w:numPr>
        <w:spacing w:after="220"/>
        <w:ind w:left="850" w:hanging="284"/>
        <w:rPr>
          <w:rFonts w:eastAsia="Times New Roman"/>
          <w:rtl/>
          <w:lang w:eastAsia="en-US"/>
        </w:rPr>
      </w:pPr>
      <w:r w:rsidRPr="004063CC">
        <w:rPr>
          <w:rFonts w:eastAsia="Times New Roman"/>
          <w:rtl/>
          <w:lang w:eastAsia="en-US"/>
        </w:rPr>
        <w:t>واستخدم</w:t>
      </w:r>
      <w:r w:rsidR="002066F1">
        <w:rPr>
          <w:rFonts w:eastAsia="Times New Roman" w:hint="cs"/>
          <w:rtl/>
          <w:lang w:eastAsia="en-US"/>
        </w:rPr>
        <w:t>ت</w:t>
      </w:r>
      <w:r w:rsidRPr="004063CC">
        <w:rPr>
          <w:rFonts w:eastAsia="Times New Roman"/>
          <w:rtl/>
          <w:lang w:eastAsia="en-US"/>
        </w:rPr>
        <w:t xml:space="preserve"> "أداة للتعاون"، </w:t>
      </w:r>
      <w:r w:rsidR="009B463F">
        <w:rPr>
          <w:rFonts w:eastAsia="Times New Roman" w:hint="cs"/>
          <w:rtl/>
          <w:lang w:eastAsia="en-US"/>
        </w:rPr>
        <w:t>وه</w:t>
      </w:r>
      <w:r w:rsidRPr="004063CC">
        <w:rPr>
          <w:rFonts w:eastAsia="Times New Roman"/>
          <w:rtl/>
          <w:lang w:eastAsia="en-US"/>
        </w:rPr>
        <w:t xml:space="preserve">ي </w:t>
      </w:r>
      <w:r w:rsidR="00014EF8">
        <w:rPr>
          <w:rFonts w:eastAsia="Times New Roman" w:hint="cs"/>
          <w:rtl/>
          <w:lang w:eastAsia="en-US"/>
        </w:rPr>
        <w:t>بنية</w:t>
      </w:r>
      <w:r w:rsidRPr="004063CC">
        <w:rPr>
          <w:rFonts w:eastAsia="Times New Roman"/>
          <w:rtl/>
          <w:lang w:eastAsia="en-US"/>
        </w:rPr>
        <w:t xml:space="preserve"> </w:t>
      </w:r>
      <w:r w:rsidR="00014EF8">
        <w:rPr>
          <w:rFonts w:eastAsia="Times New Roman" w:hint="cs"/>
          <w:rtl/>
          <w:lang w:eastAsia="en-US"/>
        </w:rPr>
        <w:t>معلوماتية أساسية</w:t>
      </w:r>
      <w:r w:rsidRPr="004063CC">
        <w:rPr>
          <w:rFonts w:eastAsia="Times New Roman"/>
          <w:rtl/>
          <w:lang w:eastAsia="en-US"/>
        </w:rPr>
        <w:t xml:space="preserve"> تتيح التبادل بين المكاتب </w:t>
      </w:r>
      <w:r w:rsidR="00014EF8">
        <w:rPr>
          <w:rFonts w:eastAsia="Times New Roman"/>
          <w:rtl/>
          <w:lang w:eastAsia="en-US"/>
        </w:rPr>
        <w:t>في بيئة آمنة وجمع</w:t>
      </w:r>
      <w:r w:rsidR="00014EF8">
        <w:rPr>
          <w:rFonts w:eastAsia="Times New Roman" w:hint="cs"/>
          <w:rtl/>
          <w:lang w:eastAsia="en-US"/>
        </w:rPr>
        <w:t xml:space="preserve"> </w:t>
      </w:r>
      <w:r w:rsidRPr="004063CC">
        <w:rPr>
          <w:rFonts w:eastAsia="Times New Roman"/>
          <w:rtl/>
          <w:lang w:eastAsia="en-US"/>
        </w:rPr>
        <w:t>لبيانات آليا</w:t>
      </w:r>
      <w:r w:rsidRPr="004063CC">
        <w:rPr>
          <w:rFonts w:eastAsia="Times New Roman" w:hint="cs"/>
          <w:rtl/>
          <w:lang w:eastAsia="en-US"/>
        </w:rPr>
        <w:t>ً</w:t>
      </w:r>
      <w:r w:rsidRPr="004063CC">
        <w:rPr>
          <w:rFonts w:eastAsia="Times New Roman"/>
          <w:rtl/>
          <w:lang w:eastAsia="en-US"/>
        </w:rPr>
        <w:t>؛</w:t>
      </w:r>
    </w:p>
    <w:p w14:paraId="01023171" w14:textId="47DA91E7" w:rsidR="004063CC" w:rsidRPr="004063CC" w:rsidRDefault="004063CC" w:rsidP="004063CC">
      <w:pPr>
        <w:numPr>
          <w:ilvl w:val="0"/>
          <w:numId w:val="9"/>
        </w:numPr>
        <w:spacing w:after="220"/>
        <w:ind w:left="850" w:hanging="284"/>
        <w:rPr>
          <w:rFonts w:eastAsia="Times New Roman"/>
          <w:rtl/>
          <w:lang w:eastAsia="en-US"/>
        </w:rPr>
      </w:pPr>
      <w:r w:rsidRPr="004063CC">
        <w:rPr>
          <w:rFonts w:eastAsia="Times New Roman"/>
          <w:rtl/>
          <w:lang w:eastAsia="en-US"/>
        </w:rPr>
        <w:t>و</w:t>
      </w:r>
      <w:r w:rsidR="009B463F">
        <w:rPr>
          <w:rFonts w:eastAsia="Times New Roman" w:hint="cs"/>
          <w:rtl/>
          <w:lang w:eastAsia="en-US"/>
        </w:rPr>
        <w:t>أ</w:t>
      </w:r>
      <w:r w:rsidRPr="004063CC">
        <w:rPr>
          <w:rFonts w:eastAsia="Times New Roman"/>
          <w:rtl/>
          <w:lang w:eastAsia="en-US"/>
        </w:rPr>
        <w:t>ت</w:t>
      </w:r>
      <w:r w:rsidR="009B463F">
        <w:rPr>
          <w:rFonts w:eastAsia="Times New Roman" w:hint="cs"/>
          <w:rtl/>
          <w:lang w:eastAsia="en-US"/>
        </w:rPr>
        <w:t>ي</w:t>
      </w:r>
      <w:r w:rsidRPr="004063CC">
        <w:rPr>
          <w:rFonts w:eastAsia="Times New Roman"/>
          <w:rtl/>
          <w:lang w:eastAsia="en-US"/>
        </w:rPr>
        <w:t>ح</w:t>
      </w:r>
      <w:r w:rsidR="009B463F">
        <w:rPr>
          <w:rFonts w:eastAsia="Times New Roman" w:hint="cs"/>
          <w:rtl/>
          <w:lang w:eastAsia="en-US"/>
        </w:rPr>
        <w:t>ت</w:t>
      </w:r>
      <w:r w:rsidRPr="004063CC">
        <w:rPr>
          <w:rFonts w:eastAsia="Times New Roman"/>
          <w:rtl/>
          <w:lang w:eastAsia="en-US"/>
        </w:rPr>
        <w:t xml:space="preserve"> الإمكانية للإدارات الدولية المتعاونة كي تقبل أيضا</w:t>
      </w:r>
      <w:r w:rsidRPr="004063CC">
        <w:rPr>
          <w:rFonts w:eastAsia="Times New Roman" w:hint="cs"/>
          <w:rtl/>
          <w:lang w:eastAsia="en-US"/>
        </w:rPr>
        <w:t>ً</w:t>
      </w:r>
      <w:r w:rsidRPr="004063CC">
        <w:rPr>
          <w:rFonts w:eastAsia="Times New Roman"/>
          <w:rtl/>
          <w:lang w:eastAsia="en-US"/>
        </w:rPr>
        <w:t>، في وقت من الأوقات أثناء المشروع الرائد، الطلبات المودعة بلغات غير الإنكليزية.</w:t>
      </w:r>
    </w:p>
    <w:p w14:paraId="4C2F76B8" w14:textId="77777777" w:rsidR="004063CC" w:rsidRPr="004063CC" w:rsidRDefault="00223D9D" w:rsidP="000E7677">
      <w:pPr>
        <w:pStyle w:val="ONUMA"/>
      </w:pPr>
      <w:r>
        <w:rPr>
          <w:rtl/>
        </w:rPr>
        <w:t xml:space="preserve">وفي المشروع الرائد، </w:t>
      </w:r>
      <w:r w:rsidR="000E7677">
        <w:rPr>
          <w:rFonts w:hint="cs"/>
          <w:rtl/>
        </w:rPr>
        <w:t>عكف</w:t>
      </w:r>
      <w:r>
        <w:rPr>
          <w:rtl/>
        </w:rPr>
        <w:t xml:space="preserve"> </w:t>
      </w:r>
      <w:r>
        <w:rPr>
          <w:rFonts w:hint="cs"/>
          <w:rtl/>
        </w:rPr>
        <w:t>ال</w:t>
      </w:r>
      <w:r>
        <w:rPr>
          <w:rtl/>
        </w:rPr>
        <w:t>فاحص</w:t>
      </w:r>
      <w:r w:rsidR="004063CC" w:rsidRPr="004063CC">
        <w:rPr>
          <w:rtl/>
        </w:rPr>
        <w:t xml:space="preserve"> من المكتب الذي يعمل بصفته إدارة </w:t>
      </w:r>
      <w:r>
        <w:rPr>
          <w:rFonts w:hint="cs"/>
          <w:rtl/>
        </w:rPr>
        <w:t>لل</w:t>
      </w:r>
      <w:r w:rsidR="004063CC" w:rsidRPr="004063CC">
        <w:rPr>
          <w:rtl/>
        </w:rPr>
        <w:t xml:space="preserve">بحث </w:t>
      </w:r>
      <w:r>
        <w:rPr>
          <w:rFonts w:hint="cs"/>
          <w:rtl/>
        </w:rPr>
        <w:t>ال</w:t>
      </w:r>
      <w:r w:rsidR="004063CC" w:rsidRPr="004063CC">
        <w:rPr>
          <w:rtl/>
        </w:rPr>
        <w:t xml:space="preserve">دولي </w:t>
      </w:r>
      <w:r>
        <w:rPr>
          <w:rFonts w:hint="cs"/>
          <w:rtl/>
        </w:rPr>
        <w:t xml:space="preserve">مختصة </w:t>
      </w:r>
      <w:r w:rsidR="004063CC" w:rsidRPr="004063CC">
        <w:rPr>
          <w:rtl/>
        </w:rPr>
        <w:t xml:space="preserve">بموجب القاعدة 35 من </w:t>
      </w:r>
      <w:r>
        <w:rPr>
          <w:rFonts w:hint="cs"/>
          <w:rtl/>
        </w:rPr>
        <w:t>اللائحة التنفيذية ل</w:t>
      </w:r>
      <w:r w:rsidR="004063CC" w:rsidRPr="004063CC">
        <w:rPr>
          <w:rtl/>
        </w:rPr>
        <w:t xml:space="preserve">معاهدة </w:t>
      </w:r>
      <w:r>
        <w:rPr>
          <w:rtl/>
        </w:rPr>
        <w:t>البراءات</w:t>
      </w:r>
      <w:r>
        <w:rPr>
          <w:rFonts w:hint="cs"/>
          <w:rtl/>
        </w:rPr>
        <w:t xml:space="preserve"> </w:t>
      </w:r>
      <w:r w:rsidR="000E7677">
        <w:rPr>
          <w:rFonts w:hint="cs"/>
          <w:rtl/>
        </w:rPr>
        <w:t>ببحث</w:t>
      </w:r>
      <w:r>
        <w:rPr>
          <w:rFonts w:hint="cs"/>
          <w:rtl/>
        </w:rPr>
        <w:t xml:space="preserve"> </w:t>
      </w:r>
      <w:r w:rsidR="004063CC" w:rsidRPr="004063CC">
        <w:rPr>
          <w:rtl/>
        </w:rPr>
        <w:t xml:space="preserve">طلب </w:t>
      </w:r>
      <w:r w:rsidR="004063CC" w:rsidRPr="004063CC">
        <w:rPr>
          <w:rFonts w:hint="cs"/>
          <w:rtl/>
        </w:rPr>
        <w:t xml:space="preserve">دولي </w:t>
      </w:r>
      <w:r>
        <w:rPr>
          <w:rtl/>
        </w:rPr>
        <w:t>معين</w:t>
      </w:r>
      <w:r>
        <w:rPr>
          <w:rFonts w:hint="cs"/>
          <w:rtl/>
        </w:rPr>
        <w:t xml:space="preserve"> (</w:t>
      </w:r>
      <w:r w:rsidR="004063CC" w:rsidRPr="004063CC">
        <w:rPr>
          <w:rtl/>
        </w:rPr>
        <w:t>"الفاحص الرئيسي"</w:t>
      </w:r>
      <w:r>
        <w:rPr>
          <w:rFonts w:hint="cs"/>
          <w:rtl/>
        </w:rPr>
        <w:t>)</w:t>
      </w:r>
      <w:r w:rsidR="000E7677">
        <w:rPr>
          <w:rFonts w:hint="cs"/>
          <w:rtl/>
        </w:rPr>
        <w:t>،</w:t>
      </w:r>
      <w:r w:rsidR="004063CC" w:rsidRPr="004063CC">
        <w:rPr>
          <w:rtl/>
        </w:rPr>
        <w:t xml:space="preserve"> </w:t>
      </w:r>
      <w:r w:rsidR="000E7677">
        <w:rPr>
          <w:rFonts w:hint="cs"/>
          <w:rtl/>
        </w:rPr>
        <w:t xml:space="preserve">على إجراء </w:t>
      </w:r>
      <w:r w:rsidR="004063CC" w:rsidRPr="004063CC">
        <w:rPr>
          <w:rtl/>
        </w:rPr>
        <w:t xml:space="preserve">البحث والفحص كما في حالة </w:t>
      </w:r>
      <w:r w:rsidR="000E7677">
        <w:rPr>
          <w:rtl/>
        </w:rPr>
        <w:t xml:space="preserve">أي طلب دولي آخر </w:t>
      </w:r>
      <w:r w:rsidR="007211D9">
        <w:rPr>
          <w:rFonts w:hint="cs"/>
          <w:rtl/>
        </w:rPr>
        <w:t>وإعداد</w:t>
      </w:r>
      <w:r w:rsidR="004063CC" w:rsidRPr="004063CC">
        <w:rPr>
          <w:rtl/>
        </w:rPr>
        <w:t xml:space="preserve"> تقرير بحث دولي مؤقت ورأي مكتوب. وأُحيلت بعد ذلك النتائج المؤقتة </w:t>
      </w:r>
      <w:r w:rsidR="000E7677">
        <w:rPr>
          <w:rFonts w:hint="cs"/>
          <w:rtl/>
        </w:rPr>
        <w:t>لذلك</w:t>
      </w:r>
      <w:r w:rsidR="004063CC" w:rsidRPr="004063CC">
        <w:rPr>
          <w:rtl/>
        </w:rPr>
        <w:t xml:space="preserve"> العمل إلى فاحصين أقران في المكاتب الأخرى المشاركة بصفتها إدارات للبحث الدولي. </w:t>
      </w:r>
      <w:r w:rsidR="004063CC" w:rsidRPr="004063CC">
        <w:rPr>
          <w:rFonts w:hint="cs"/>
          <w:rtl/>
        </w:rPr>
        <w:t>وقدم</w:t>
      </w:r>
      <w:r w:rsidR="004063CC" w:rsidRPr="004063CC">
        <w:rPr>
          <w:rtl/>
        </w:rPr>
        <w:t xml:space="preserve"> الفاحصون الأقران إسهاماتهم إلى الفاحص الرئيسي مع مراعاة ما جاء في تقرير البحث الدولي المؤقت والرأي المكتوب. </w:t>
      </w:r>
      <w:r w:rsidR="004063CC" w:rsidRPr="004063CC">
        <w:rPr>
          <w:rFonts w:hint="cs"/>
          <w:rtl/>
        </w:rPr>
        <w:t>وأعد</w:t>
      </w:r>
      <w:r w:rsidR="004063CC" w:rsidRPr="004063CC">
        <w:rPr>
          <w:rtl/>
        </w:rPr>
        <w:t xml:space="preserve"> الفاحص الرئيسي تقرير البحث الدولي والرأي المكتوب النهائيين بعد أخذ إسهامات الفاحصين الأقران بعين الاعتبار.</w:t>
      </w:r>
    </w:p>
    <w:p w14:paraId="53EA534D" w14:textId="757220B5" w:rsidR="004063CC" w:rsidRPr="004063CC" w:rsidRDefault="009B463F" w:rsidP="004063CC">
      <w:pPr>
        <w:keepNext/>
        <w:spacing w:before="240" w:after="60"/>
        <w:outlineLvl w:val="0"/>
        <w:rPr>
          <w:b/>
          <w:bCs/>
          <w:caps/>
          <w:kern w:val="32"/>
          <w:sz w:val="32"/>
          <w:szCs w:val="32"/>
          <w:rtl/>
        </w:rPr>
      </w:pPr>
      <w:r>
        <w:rPr>
          <w:rFonts w:hint="cs"/>
          <w:b/>
          <w:bCs/>
          <w:caps/>
          <w:kern w:val="32"/>
          <w:rtl/>
        </w:rPr>
        <w:t>نتائج المشروع الرائد</w:t>
      </w:r>
    </w:p>
    <w:p w14:paraId="5F8A89D6" w14:textId="62C2E513" w:rsidR="004063CC" w:rsidRPr="004063CC" w:rsidRDefault="004063CC" w:rsidP="004063CC">
      <w:pPr>
        <w:pStyle w:val="ONUMA"/>
      </w:pPr>
      <w:r w:rsidRPr="004063CC">
        <w:rPr>
          <w:rtl/>
        </w:rPr>
        <w:t>ق</w:t>
      </w:r>
      <w:r w:rsidR="0082795B">
        <w:rPr>
          <w:rFonts w:hint="cs"/>
          <w:rtl/>
        </w:rPr>
        <w:t>ُ</w:t>
      </w:r>
      <w:r w:rsidRPr="004063CC">
        <w:rPr>
          <w:rtl/>
        </w:rPr>
        <w:t>س</w:t>
      </w:r>
      <w:r w:rsidR="0082795B">
        <w:rPr>
          <w:rFonts w:hint="cs"/>
          <w:rtl/>
        </w:rPr>
        <w:t>ّ</w:t>
      </w:r>
      <w:r w:rsidRPr="004063CC">
        <w:rPr>
          <w:rtl/>
        </w:rPr>
        <w:t xml:space="preserve">م المشروع </w:t>
      </w:r>
      <w:r w:rsidRPr="004063CC">
        <w:rPr>
          <w:rFonts w:hint="cs"/>
          <w:rtl/>
        </w:rPr>
        <w:t>الرائد</w:t>
      </w:r>
      <w:r w:rsidRPr="004063CC">
        <w:rPr>
          <w:rtl/>
        </w:rPr>
        <w:t xml:space="preserve"> إلى </w:t>
      </w:r>
      <w:r w:rsidRPr="004063CC">
        <w:rPr>
          <w:rFonts w:hint="cs"/>
          <w:rtl/>
        </w:rPr>
        <w:t>ثلاث مراحل</w:t>
      </w:r>
      <w:r w:rsidRPr="004063CC">
        <w:rPr>
          <w:rtl/>
        </w:rPr>
        <w:t>: مرحلة تحضيرية ومرحلة تشغيلية</w:t>
      </w:r>
      <w:r w:rsidR="00514B7B">
        <w:rPr>
          <w:rFonts w:hint="cs"/>
          <w:rtl/>
        </w:rPr>
        <w:t xml:space="preserve"> ومرحلة </w:t>
      </w:r>
      <w:r w:rsidRPr="004063CC">
        <w:rPr>
          <w:rFonts w:hint="cs"/>
          <w:rtl/>
        </w:rPr>
        <w:t>تقييم</w:t>
      </w:r>
      <w:r w:rsidR="00D526A7">
        <w:rPr>
          <w:rFonts w:hint="cs"/>
          <w:rtl/>
        </w:rPr>
        <w:t>ية</w:t>
      </w:r>
      <w:r w:rsidRPr="004063CC">
        <w:rPr>
          <w:rtl/>
        </w:rPr>
        <w:t>.</w:t>
      </w:r>
    </w:p>
    <w:p w14:paraId="60D6C0EA" w14:textId="74D3798D" w:rsidR="00013F48" w:rsidRDefault="004063CC" w:rsidP="00013F48">
      <w:pPr>
        <w:pStyle w:val="ONUMA"/>
      </w:pPr>
      <w:r w:rsidRPr="004063CC">
        <w:rPr>
          <w:rtl/>
        </w:rPr>
        <w:t>وجر</w:t>
      </w:r>
      <w:r w:rsidRPr="004063CC">
        <w:rPr>
          <w:rFonts w:hint="cs"/>
          <w:rtl/>
        </w:rPr>
        <w:t>ى</w:t>
      </w:r>
      <w:r w:rsidRPr="004063CC">
        <w:rPr>
          <w:rtl/>
        </w:rPr>
        <w:t xml:space="preserve"> تنفيذ المرحلة التشغيلية </w:t>
      </w:r>
      <w:r w:rsidR="0082795B">
        <w:rPr>
          <w:rtl/>
        </w:rPr>
        <w:t>–</w:t>
      </w:r>
      <w:r w:rsidRPr="004063CC">
        <w:rPr>
          <w:rtl/>
        </w:rPr>
        <w:t xml:space="preserve"> المخصصة لمعالجة الطلبات في إطار النهج التعاوني </w:t>
      </w:r>
      <w:r w:rsidR="0082795B">
        <w:rPr>
          <w:rtl/>
        </w:rPr>
        <w:t>–</w:t>
      </w:r>
      <w:r w:rsidRPr="004063CC">
        <w:rPr>
          <w:rtl/>
        </w:rPr>
        <w:t xml:space="preserve"> بسلاسة من 1 يوليو 2018 إلى </w:t>
      </w:r>
      <w:r w:rsidRPr="004063CC">
        <w:rPr>
          <w:rFonts w:hint="cs"/>
          <w:rtl/>
        </w:rPr>
        <w:t>30</w:t>
      </w:r>
      <w:r w:rsidR="00514B7B">
        <w:rPr>
          <w:rFonts w:hint="eastAsia"/>
          <w:rtl/>
        </w:rPr>
        <w:t> </w:t>
      </w:r>
      <w:r w:rsidRPr="004063CC">
        <w:rPr>
          <w:rFonts w:hint="cs"/>
          <w:rtl/>
        </w:rPr>
        <w:t xml:space="preserve">يونيو </w:t>
      </w:r>
      <w:r w:rsidR="00514B7B">
        <w:rPr>
          <w:rtl/>
        </w:rPr>
        <w:t>2020</w:t>
      </w:r>
      <w:r w:rsidR="0082795B">
        <w:rPr>
          <w:rFonts w:hint="cs"/>
          <w:rtl/>
        </w:rPr>
        <w:t xml:space="preserve">. </w:t>
      </w:r>
      <w:r w:rsidRPr="004063CC">
        <w:rPr>
          <w:rFonts w:hint="cs"/>
          <w:rtl/>
        </w:rPr>
        <w:t xml:space="preserve">وتم قبول الطلبات بجميع اللغات </w:t>
      </w:r>
      <w:r w:rsidR="00013F48" w:rsidRPr="004063CC">
        <w:rPr>
          <w:rFonts w:hint="cs"/>
          <w:rtl/>
        </w:rPr>
        <w:t xml:space="preserve">الرسمية </w:t>
      </w:r>
      <w:r w:rsidRPr="004063CC">
        <w:rPr>
          <w:rFonts w:hint="cs"/>
          <w:rtl/>
        </w:rPr>
        <w:t xml:space="preserve">الست لإدارات البحث الدولي المشاركة، وعولجت بنجاح في المشروع الرائد. </w:t>
      </w:r>
      <w:r w:rsidR="00013F48">
        <w:rPr>
          <w:rFonts w:hint="cs"/>
          <w:rtl/>
        </w:rPr>
        <w:t>وقُبِل</w:t>
      </w:r>
      <w:r w:rsidRPr="004063CC">
        <w:rPr>
          <w:rFonts w:hint="cs"/>
          <w:rtl/>
        </w:rPr>
        <w:t xml:space="preserve"> ما مجموعه 468 طلباً في المشروع الرائد، وأُع</w:t>
      </w:r>
      <w:r w:rsidR="00013F48">
        <w:rPr>
          <w:rFonts w:hint="cs"/>
          <w:rtl/>
        </w:rPr>
        <w:t>ِدت تقارير بالعدد ذاته بأسلوب تعاوني.</w:t>
      </w:r>
    </w:p>
    <w:p w14:paraId="29B3B99C" w14:textId="77777777" w:rsidR="004063CC" w:rsidRPr="004063CC" w:rsidRDefault="004063CC" w:rsidP="00013F48">
      <w:pPr>
        <w:pStyle w:val="ONUMA"/>
      </w:pPr>
      <w:r w:rsidRPr="004063CC">
        <w:rPr>
          <w:rFonts w:hint="cs"/>
          <w:rtl/>
        </w:rPr>
        <w:t>ويرد في الجدول أدناه موجز النتائج التشغيلية النهائية للبحث والفحص التعاونيين:</w:t>
      </w:r>
    </w:p>
    <w:tbl>
      <w:tblPr>
        <w:tblStyle w:val="TableGrid"/>
        <w:bidiVisual/>
        <w:tblW w:w="9351" w:type="dxa"/>
        <w:tblLayout w:type="fixed"/>
        <w:tblCellMar>
          <w:left w:w="0" w:type="dxa"/>
          <w:right w:w="0" w:type="dxa"/>
        </w:tblCellMar>
        <w:tblLook w:val="04A0" w:firstRow="1" w:lastRow="0" w:firstColumn="1" w:lastColumn="0" w:noHBand="0" w:noVBand="1"/>
        <w:tblCaption w:val="Operational Results of the CS&amp;E Pilot Project"/>
        <w:tblDescription w:val="This table shows the number of applications accepted into the CS&amp;E Pilot, the number of reports established by each ISA, the receiving Offices where the applications were filed, and the languages and technological fields for these applications"/>
      </w:tblPr>
      <w:tblGrid>
        <w:gridCol w:w="983"/>
        <w:gridCol w:w="3119"/>
        <w:gridCol w:w="3118"/>
        <w:gridCol w:w="993"/>
        <w:gridCol w:w="1138"/>
      </w:tblGrid>
      <w:tr w:rsidR="004063CC" w:rsidRPr="004063CC" w14:paraId="257C8646" w14:textId="77777777" w:rsidTr="00D2165F">
        <w:trPr>
          <w:cantSplit/>
          <w:tblHeader/>
        </w:trPr>
        <w:tc>
          <w:tcPr>
            <w:tcW w:w="983" w:type="dxa"/>
            <w:vAlign w:val="center"/>
          </w:tcPr>
          <w:p w14:paraId="6EE45F06" w14:textId="77777777" w:rsidR="004063CC" w:rsidRPr="004063CC" w:rsidRDefault="004063CC" w:rsidP="004063CC">
            <w:pPr>
              <w:jc w:val="center"/>
              <w:rPr>
                <w:rFonts w:ascii="Calibri" w:hAnsi="Calibri"/>
                <w:bCs/>
                <w:sz w:val="20"/>
                <w:szCs w:val="20"/>
              </w:rPr>
            </w:pPr>
            <w:r w:rsidRPr="004063CC">
              <w:rPr>
                <w:rFonts w:ascii="Calibri" w:hAnsi="Calibri" w:hint="cs"/>
                <w:bCs/>
                <w:sz w:val="20"/>
                <w:szCs w:val="20"/>
                <w:rtl/>
              </w:rPr>
              <w:t>الطلبات المقبولة</w:t>
            </w:r>
          </w:p>
        </w:tc>
        <w:tc>
          <w:tcPr>
            <w:tcW w:w="3119" w:type="dxa"/>
            <w:vAlign w:val="center"/>
          </w:tcPr>
          <w:p w14:paraId="4A1E62B7" w14:textId="77777777" w:rsidR="004063CC" w:rsidRPr="004063CC" w:rsidRDefault="004063CC" w:rsidP="00013F48">
            <w:pPr>
              <w:jc w:val="center"/>
              <w:rPr>
                <w:rFonts w:ascii="Calibri" w:hAnsi="Calibri"/>
                <w:bCs/>
                <w:sz w:val="20"/>
                <w:szCs w:val="20"/>
              </w:rPr>
            </w:pPr>
            <w:r w:rsidRPr="004063CC">
              <w:rPr>
                <w:rFonts w:ascii="Calibri" w:hAnsi="Calibri" w:hint="cs"/>
                <w:bCs/>
                <w:sz w:val="20"/>
                <w:szCs w:val="20"/>
                <w:rtl/>
              </w:rPr>
              <w:t xml:space="preserve">تقارير البحث </w:t>
            </w:r>
            <w:r w:rsidR="00013F48">
              <w:rPr>
                <w:rFonts w:ascii="Calibri" w:hAnsi="Calibri" w:hint="cs"/>
                <w:bCs/>
                <w:sz w:val="20"/>
                <w:szCs w:val="20"/>
                <w:rtl/>
              </w:rPr>
              <w:t>المُعدة في إطار</w:t>
            </w:r>
            <w:r w:rsidRPr="004063CC">
              <w:rPr>
                <w:rFonts w:ascii="Calibri" w:hAnsi="Calibri" w:hint="cs"/>
                <w:bCs/>
                <w:sz w:val="20"/>
                <w:szCs w:val="20"/>
                <w:rtl/>
              </w:rPr>
              <w:t xml:space="preserve"> البحث والفحص التعاونيين بحسب إدارات البحث الدولية</w:t>
            </w:r>
          </w:p>
        </w:tc>
        <w:tc>
          <w:tcPr>
            <w:tcW w:w="3118" w:type="dxa"/>
          </w:tcPr>
          <w:p w14:paraId="0ABDD1F0" w14:textId="77777777" w:rsidR="004063CC" w:rsidRPr="004063CC" w:rsidRDefault="00013F48" w:rsidP="004063CC">
            <w:pPr>
              <w:jc w:val="center"/>
              <w:rPr>
                <w:rFonts w:ascii="Calibri" w:hAnsi="Calibri"/>
                <w:bCs/>
                <w:sz w:val="20"/>
                <w:szCs w:val="20"/>
              </w:rPr>
            </w:pPr>
            <w:r>
              <w:rPr>
                <w:rFonts w:ascii="Calibri" w:hAnsi="Calibri" w:hint="cs"/>
                <w:bCs/>
                <w:sz w:val="20"/>
                <w:szCs w:val="20"/>
                <w:rtl/>
              </w:rPr>
              <w:t xml:space="preserve">مكاتب </w:t>
            </w:r>
            <w:r w:rsidR="004063CC" w:rsidRPr="004063CC">
              <w:rPr>
                <w:rFonts w:ascii="Calibri" w:hAnsi="Calibri" w:hint="cs"/>
                <w:bCs/>
                <w:sz w:val="20"/>
                <w:szCs w:val="20"/>
                <w:rtl/>
              </w:rPr>
              <w:t>تسلم</w:t>
            </w:r>
            <w:r>
              <w:rPr>
                <w:rFonts w:ascii="Calibri" w:hAnsi="Calibri" w:hint="cs"/>
                <w:bCs/>
                <w:sz w:val="20"/>
                <w:szCs w:val="20"/>
                <w:rtl/>
              </w:rPr>
              <w:t xml:space="preserve"> الطلبات</w:t>
            </w:r>
          </w:p>
        </w:tc>
        <w:tc>
          <w:tcPr>
            <w:tcW w:w="993" w:type="dxa"/>
          </w:tcPr>
          <w:p w14:paraId="2F2B944B" w14:textId="77777777" w:rsidR="004063CC" w:rsidRPr="004063CC" w:rsidRDefault="004063CC" w:rsidP="004063CC">
            <w:pPr>
              <w:jc w:val="center"/>
              <w:rPr>
                <w:rFonts w:ascii="Calibri" w:hAnsi="Calibri"/>
                <w:bCs/>
                <w:sz w:val="20"/>
                <w:szCs w:val="20"/>
              </w:rPr>
            </w:pPr>
            <w:r w:rsidRPr="004063CC">
              <w:rPr>
                <w:rFonts w:ascii="Calibri" w:hAnsi="Calibri" w:hint="cs"/>
                <w:bCs/>
                <w:sz w:val="20"/>
                <w:szCs w:val="20"/>
                <w:rtl/>
              </w:rPr>
              <w:t>اللغات</w:t>
            </w:r>
          </w:p>
        </w:tc>
        <w:tc>
          <w:tcPr>
            <w:tcW w:w="1138" w:type="dxa"/>
          </w:tcPr>
          <w:p w14:paraId="35E4CC40" w14:textId="77777777" w:rsidR="004063CC" w:rsidRPr="004063CC" w:rsidRDefault="004063CC" w:rsidP="004063CC">
            <w:pPr>
              <w:jc w:val="center"/>
              <w:rPr>
                <w:rFonts w:ascii="Calibri" w:hAnsi="Calibri"/>
                <w:bCs/>
                <w:sz w:val="20"/>
                <w:szCs w:val="20"/>
              </w:rPr>
            </w:pPr>
            <w:r w:rsidRPr="004063CC">
              <w:rPr>
                <w:rFonts w:ascii="Calibri" w:hAnsi="Calibri" w:hint="cs"/>
                <w:bCs/>
                <w:sz w:val="20"/>
                <w:szCs w:val="20"/>
                <w:rtl/>
              </w:rPr>
              <w:t>المجالات التكنولوجية</w:t>
            </w:r>
          </w:p>
        </w:tc>
      </w:tr>
      <w:tr w:rsidR="004063CC" w:rsidRPr="004063CC" w14:paraId="1B1E4DF9" w14:textId="77777777" w:rsidTr="00D2165F">
        <w:trPr>
          <w:cantSplit/>
        </w:trPr>
        <w:tc>
          <w:tcPr>
            <w:tcW w:w="983" w:type="dxa"/>
            <w:vAlign w:val="center"/>
          </w:tcPr>
          <w:p w14:paraId="3537E8CC" w14:textId="77777777" w:rsidR="004063CC" w:rsidRPr="004063CC" w:rsidRDefault="004063CC" w:rsidP="004063CC">
            <w:pPr>
              <w:jc w:val="center"/>
              <w:rPr>
                <w:rFonts w:ascii="Calibri" w:hAnsi="Calibri"/>
                <w:sz w:val="16"/>
                <w:szCs w:val="16"/>
              </w:rPr>
            </w:pPr>
            <w:r w:rsidRPr="004063CC">
              <w:rPr>
                <w:rFonts w:ascii="Calibri" w:hAnsi="Calibri"/>
                <w:sz w:val="16"/>
                <w:szCs w:val="16"/>
              </w:rPr>
              <w:t>468</w:t>
            </w:r>
          </w:p>
        </w:tc>
        <w:tc>
          <w:tcPr>
            <w:tcW w:w="3119" w:type="dxa"/>
            <w:vAlign w:val="center"/>
          </w:tcPr>
          <w:p w14:paraId="3CEAAAE2" w14:textId="77777777" w:rsidR="004063CC" w:rsidRPr="004063CC" w:rsidRDefault="004063CC" w:rsidP="004063CC">
            <w:pPr>
              <w:jc w:val="center"/>
              <w:rPr>
                <w:rFonts w:ascii="Calibri" w:hAnsi="Calibri"/>
                <w:sz w:val="16"/>
                <w:szCs w:val="16"/>
              </w:rPr>
            </w:pPr>
            <w:r w:rsidRPr="004063CC">
              <w:rPr>
                <w:rFonts w:ascii="Calibri" w:hAnsi="Calibri" w:hint="cs"/>
                <w:sz w:val="16"/>
                <w:szCs w:val="16"/>
                <w:rtl/>
              </w:rPr>
              <w:t>الإدارة الوطنية الصينية للملكية الفكرية -</w:t>
            </w:r>
            <w:r w:rsidRPr="004063CC">
              <w:rPr>
                <w:rFonts w:ascii="Calibri" w:hAnsi="Calibri"/>
                <w:sz w:val="16"/>
                <w:szCs w:val="16"/>
              </w:rPr>
              <w:t xml:space="preserve"> 93 </w:t>
            </w:r>
          </w:p>
          <w:p w14:paraId="11AA729A" w14:textId="77777777" w:rsidR="004063CC" w:rsidRPr="004063CC" w:rsidRDefault="004063CC" w:rsidP="004063CC">
            <w:pPr>
              <w:jc w:val="center"/>
              <w:rPr>
                <w:rFonts w:ascii="Calibri" w:hAnsi="Calibri"/>
                <w:sz w:val="16"/>
                <w:szCs w:val="16"/>
              </w:rPr>
            </w:pPr>
            <w:r w:rsidRPr="004063CC">
              <w:rPr>
                <w:rFonts w:ascii="Calibri" w:hAnsi="Calibri" w:hint="cs"/>
                <w:sz w:val="16"/>
                <w:szCs w:val="16"/>
                <w:rtl/>
              </w:rPr>
              <w:t xml:space="preserve">المكتب الياباني للبراءات - </w:t>
            </w:r>
            <w:r w:rsidRPr="004063CC">
              <w:rPr>
                <w:rFonts w:ascii="Calibri" w:hAnsi="Calibri"/>
                <w:sz w:val="16"/>
                <w:szCs w:val="16"/>
              </w:rPr>
              <w:t>75</w:t>
            </w:r>
          </w:p>
          <w:p w14:paraId="52FB30E5" w14:textId="77777777" w:rsidR="004063CC" w:rsidRPr="004063CC" w:rsidRDefault="004063CC" w:rsidP="004063CC">
            <w:pPr>
              <w:jc w:val="center"/>
              <w:rPr>
                <w:rFonts w:ascii="Calibri" w:hAnsi="Calibri"/>
                <w:sz w:val="16"/>
                <w:szCs w:val="16"/>
              </w:rPr>
            </w:pPr>
            <w:r w:rsidRPr="004063CC">
              <w:rPr>
                <w:rFonts w:ascii="Calibri" w:hAnsi="Calibri" w:hint="cs"/>
                <w:sz w:val="16"/>
                <w:szCs w:val="16"/>
                <w:rtl/>
              </w:rPr>
              <w:t xml:space="preserve">المكتب الكوري للملكية الفكرية - </w:t>
            </w:r>
            <w:r w:rsidRPr="004063CC">
              <w:rPr>
                <w:rFonts w:ascii="Calibri" w:hAnsi="Calibri"/>
                <w:sz w:val="16"/>
                <w:szCs w:val="16"/>
              </w:rPr>
              <w:t>100</w:t>
            </w:r>
          </w:p>
          <w:p w14:paraId="098FAED1" w14:textId="77777777" w:rsidR="004063CC" w:rsidRPr="004063CC" w:rsidRDefault="004063CC" w:rsidP="004063CC">
            <w:pPr>
              <w:jc w:val="center"/>
              <w:rPr>
                <w:rFonts w:ascii="Calibri" w:hAnsi="Calibri"/>
                <w:sz w:val="16"/>
                <w:szCs w:val="16"/>
              </w:rPr>
            </w:pPr>
            <w:r w:rsidRPr="004063CC">
              <w:rPr>
                <w:rFonts w:ascii="Calibri" w:hAnsi="Calibri"/>
                <w:sz w:val="16"/>
                <w:szCs w:val="16"/>
                <w:rtl/>
              </w:rPr>
              <w:t>مكتب الولايات المتحدة للبراءات والعلامات التجارية</w:t>
            </w:r>
            <w:r w:rsidRPr="004063CC">
              <w:rPr>
                <w:rFonts w:ascii="Calibri" w:hAnsi="Calibri" w:hint="cs"/>
                <w:sz w:val="16"/>
                <w:szCs w:val="16"/>
                <w:rtl/>
              </w:rPr>
              <w:t xml:space="preserve"> - </w:t>
            </w:r>
            <w:r w:rsidRPr="004063CC">
              <w:rPr>
                <w:rFonts w:ascii="Calibri" w:hAnsi="Calibri"/>
                <w:sz w:val="16"/>
                <w:szCs w:val="16"/>
              </w:rPr>
              <w:t>100</w:t>
            </w:r>
          </w:p>
          <w:p w14:paraId="6832316F" w14:textId="77777777" w:rsidR="004063CC" w:rsidRPr="004063CC" w:rsidRDefault="004063CC" w:rsidP="004063CC">
            <w:pPr>
              <w:jc w:val="center"/>
              <w:rPr>
                <w:rFonts w:ascii="Calibri" w:hAnsi="Calibri"/>
                <w:sz w:val="16"/>
                <w:szCs w:val="16"/>
              </w:rPr>
            </w:pPr>
            <w:r w:rsidRPr="004063CC">
              <w:rPr>
                <w:rFonts w:ascii="Calibri" w:hAnsi="Calibri" w:hint="cs"/>
                <w:sz w:val="16"/>
                <w:szCs w:val="16"/>
                <w:rtl/>
              </w:rPr>
              <w:t xml:space="preserve">المكتب الأوروبي للبراءات - </w:t>
            </w:r>
            <w:r w:rsidRPr="004063CC">
              <w:rPr>
                <w:rFonts w:ascii="Calibri" w:hAnsi="Calibri"/>
                <w:sz w:val="16"/>
                <w:szCs w:val="16"/>
              </w:rPr>
              <w:t>100</w:t>
            </w:r>
          </w:p>
        </w:tc>
        <w:tc>
          <w:tcPr>
            <w:tcW w:w="3118" w:type="dxa"/>
            <w:vAlign w:val="center"/>
          </w:tcPr>
          <w:p w14:paraId="689F614A" w14:textId="77777777" w:rsidR="004063CC" w:rsidRPr="004063CC" w:rsidRDefault="004063CC" w:rsidP="004063CC">
            <w:pPr>
              <w:jc w:val="center"/>
              <w:rPr>
                <w:rFonts w:ascii="Calibri" w:hAnsi="Calibri"/>
                <w:sz w:val="16"/>
                <w:szCs w:val="16"/>
              </w:rPr>
            </w:pPr>
            <w:r w:rsidRPr="004063CC">
              <w:rPr>
                <w:rFonts w:ascii="Calibri" w:hAnsi="Calibri" w:hint="cs"/>
                <w:sz w:val="16"/>
                <w:szCs w:val="16"/>
                <w:rtl/>
              </w:rPr>
              <w:t xml:space="preserve">الإدارة الوطنية الصينية للملكية الفكرية - </w:t>
            </w:r>
            <w:r w:rsidRPr="004063CC">
              <w:rPr>
                <w:rFonts w:ascii="Calibri" w:hAnsi="Calibri"/>
                <w:sz w:val="16"/>
                <w:szCs w:val="16"/>
              </w:rPr>
              <w:t>92</w:t>
            </w:r>
          </w:p>
          <w:p w14:paraId="45643849" w14:textId="77777777" w:rsidR="004063CC" w:rsidRPr="004063CC" w:rsidRDefault="004063CC" w:rsidP="004063CC">
            <w:pPr>
              <w:jc w:val="center"/>
              <w:rPr>
                <w:rFonts w:ascii="Calibri" w:hAnsi="Calibri"/>
                <w:sz w:val="16"/>
                <w:szCs w:val="16"/>
              </w:rPr>
            </w:pPr>
            <w:r w:rsidRPr="004063CC">
              <w:rPr>
                <w:rFonts w:ascii="Calibri" w:hAnsi="Calibri" w:hint="cs"/>
                <w:sz w:val="16"/>
                <w:szCs w:val="16"/>
                <w:rtl/>
              </w:rPr>
              <w:t xml:space="preserve">المكتب الأوروبي للبراءات - </w:t>
            </w:r>
            <w:r w:rsidRPr="004063CC">
              <w:rPr>
                <w:rFonts w:ascii="Calibri" w:hAnsi="Calibri"/>
                <w:sz w:val="16"/>
                <w:szCs w:val="16"/>
              </w:rPr>
              <w:t>32</w:t>
            </w:r>
          </w:p>
          <w:p w14:paraId="30D031A5" w14:textId="77777777" w:rsidR="004063CC" w:rsidRPr="004063CC" w:rsidRDefault="004063CC" w:rsidP="004063CC">
            <w:pPr>
              <w:jc w:val="center"/>
              <w:rPr>
                <w:rFonts w:ascii="Calibri" w:hAnsi="Calibri"/>
                <w:sz w:val="16"/>
                <w:szCs w:val="16"/>
              </w:rPr>
            </w:pPr>
            <w:r w:rsidRPr="004063CC">
              <w:rPr>
                <w:rFonts w:ascii="Calibri" w:hAnsi="Calibri" w:hint="cs"/>
                <w:sz w:val="16"/>
                <w:szCs w:val="16"/>
                <w:rtl/>
              </w:rPr>
              <w:t xml:space="preserve">المكتب الدولي - </w:t>
            </w:r>
            <w:r w:rsidRPr="004063CC">
              <w:rPr>
                <w:rFonts w:ascii="Calibri" w:hAnsi="Calibri"/>
                <w:sz w:val="16"/>
                <w:szCs w:val="16"/>
              </w:rPr>
              <w:t>42</w:t>
            </w:r>
          </w:p>
          <w:p w14:paraId="3E0D5AB6" w14:textId="77777777" w:rsidR="004063CC" w:rsidRPr="004063CC" w:rsidRDefault="004063CC" w:rsidP="004063CC">
            <w:pPr>
              <w:jc w:val="center"/>
              <w:rPr>
                <w:rFonts w:ascii="Calibri" w:hAnsi="Calibri"/>
                <w:sz w:val="16"/>
                <w:szCs w:val="16"/>
              </w:rPr>
            </w:pPr>
            <w:r w:rsidRPr="004063CC">
              <w:rPr>
                <w:rFonts w:ascii="Calibri" w:hAnsi="Calibri" w:hint="cs"/>
                <w:sz w:val="16"/>
                <w:szCs w:val="16"/>
                <w:rtl/>
              </w:rPr>
              <w:t xml:space="preserve">المكتب الياباني للبراءات - </w:t>
            </w:r>
            <w:r w:rsidRPr="004063CC">
              <w:rPr>
                <w:rFonts w:ascii="Calibri" w:hAnsi="Calibri"/>
                <w:sz w:val="16"/>
                <w:szCs w:val="16"/>
              </w:rPr>
              <w:t>60</w:t>
            </w:r>
          </w:p>
          <w:p w14:paraId="215DD4CE" w14:textId="77777777" w:rsidR="004063CC" w:rsidRPr="004063CC" w:rsidRDefault="004063CC" w:rsidP="004063CC">
            <w:pPr>
              <w:jc w:val="center"/>
              <w:rPr>
                <w:rFonts w:ascii="Calibri" w:hAnsi="Calibri"/>
                <w:sz w:val="16"/>
                <w:szCs w:val="16"/>
              </w:rPr>
            </w:pPr>
            <w:r w:rsidRPr="004063CC">
              <w:rPr>
                <w:rFonts w:ascii="Calibri" w:hAnsi="Calibri" w:hint="cs"/>
                <w:sz w:val="16"/>
                <w:szCs w:val="16"/>
                <w:rtl/>
              </w:rPr>
              <w:t xml:space="preserve">المكتب الكوري للملكية الفكرية - </w:t>
            </w:r>
            <w:r w:rsidRPr="004063CC">
              <w:rPr>
                <w:rFonts w:ascii="Calibri" w:hAnsi="Calibri"/>
                <w:sz w:val="16"/>
                <w:szCs w:val="16"/>
              </w:rPr>
              <w:t>26</w:t>
            </w:r>
          </w:p>
          <w:p w14:paraId="27B9B0C3" w14:textId="77777777" w:rsidR="004063CC" w:rsidRPr="004063CC" w:rsidRDefault="004063CC" w:rsidP="004063CC">
            <w:pPr>
              <w:jc w:val="center"/>
              <w:rPr>
                <w:rFonts w:ascii="Calibri" w:hAnsi="Calibri"/>
                <w:sz w:val="16"/>
                <w:szCs w:val="16"/>
              </w:rPr>
            </w:pPr>
            <w:r w:rsidRPr="004063CC">
              <w:rPr>
                <w:rFonts w:ascii="Calibri" w:hAnsi="Calibri"/>
                <w:sz w:val="16"/>
                <w:szCs w:val="16"/>
                <w:rtl/>
              </w:rPr>
              <w:t xml:space="preserve">مكتب الولايات المتحدة للبراءات والعلامات </w:t>
            </w:r>
            <w:r w:rsidRPr="004063CC">
              <w:rPr>
                <w:rFonts w:ascii="Calibri" w:hAnsi="Calibri" w:hint="cs"/>
                <w:sz w:val="16"/>
                <w:szCs w:val="16"/>
                <w:rtl/>
              </w:rPr>
              <w:t xml:space="preserve">التجارية - </w:t>
            </w:r>
            <w:r w:rsidRPr="004063CC">
              <w:rPr>
                <w:rFonts w:ascii="Calibri" w:hAnsi="Calibri"/>
                <w:sz w:val="16"/>
                <w:szCs w:val="16"/>
              </w:rPr>
              <w:t>216</w:t>
            </w:r>
          </w:p>
        </w:tc>
        <w:tc>
          <w:tcPr>
            <w:tcW w:w="993" w:type="dxa"/>
            <w:vAlign w:val="center"/>
          </w:tcPr>
          <w:p w14:paraId="19BEFF16" w14:textId="77777777" w:rsidR="004063CC" w:rsidRPr="004063CC" w:rsidRDefault="004063CC" w:rsidP="004063CC">
            <w:pPr>
              <w:jc w:val="center"/>
              <w:rPr>
                <w:rFonts w:ascii="Calibri" w:hAnsi="Calibri"/>
                <w:sz w:val="16"/>
                <w:szCs w:val="16"/>
                <w:lang w:val="fr-CH"/>
              </w:rPr>
            </w:pPr>
            <w:r w:rsidRPr="004063CC">
              <w:rPr>
                <w:rFonts w:ascii="Calibri" w:hAnsi="Calibri" w:hint="cs"/>
                <w:sz w:val="16"/>
                <w:szCs w:val="16"/>
                <w:rtl/>
                <w:lang w:val="fr-CH"/>
              </w:rPr>
              <w:t xml:space="preserve">الألمانية - </w:t>
            </w:r>
            <w:r w:rsidRPr="004063CC">
              <w:rPr>
                <w:rFonts w:ascii="Calibri" w:hAnsi="Calibri"/>
                <w:sz w:val="16"/>
                <w:szCs w:val="16"/>
                <w:lang w:val="fr-CH"/>
              </w:rPr>
              <w:t>13</w:t>
            </w:r>
          </w:p>
          <w:p w14:paraId="4F4CA517" w14:textId="77777777" w:rsidR="004063CC" w:rsidRPr="004063CC" w:rsidRDefault="004063CC" w:rsidP="004063CC">
            <w:pPr>
              <w:jc w:val="center"/>
              <w:rPr>
                <w:rFonts w:ascii="Calibri" w:hAnsi="Calibri"/>
                <w:sz w:val="16"/>
                <w:szCs w:val="16"/>
                <w:lang w:val="fr-CH"/>
              </w:rPr>
            </w:pPr>
            <w:r w:rsidRPr="004063CC">
              <w:rPr>
                <w:rFonts w:ascii="Calibri" w:hAnsi="Calibri" w:hint="cs"/>
                <w:sz w:val="16"/>
                <w:szCs w:val="16"/>
                <w:rtl/>
                <w:lang w:val="fr-CH"/>
              </w:rPr>
              <w:t xml:space="preserve">الإنكليزية - </w:t>
            </w:r>
            <w:r w:rsidRPr="004063CC">
              <w:rPr>
                <w:rFonts w:ascii="Calibri" w:hAnsi="Calibri"/>
                <w:sz w:val="16"/>
                <w:szCs w:val="16"/>
                <w:lang w:val="fr-CH"/>
              </w:rPr>
              <w:t>413</w:t>
            </w:r>
          </w:p>
          <w:p w14:paraId="4A6642BD" w14:textId="77777777" w:rsidR="004063CC" w:rsidRPr="004063CC" w:rsidRDefault="004063CC" w:rsidP="004063CC">
            <w:pPr>
              <w:jc w:val="center"/>
              <w:rPr>
                <w:rFonts w:ascii="Calibri" w:hAnsi="Calibri"/>
                <w:sz w:val="16"/>
                <w:szCs w:val="16"/>
                <w:lang w:val="fr-CH"/>
              </w:rPr>
            </w:pPr>
            <w:r w:rsidRPr="004063CC">
              <w:rPr>
                <w:rFonts w:ascii="Calibri" w:hAnsi="Calibri" w:hint="cs"/>
                <w:sz w:val="16"/>
                <w:szCs w:val="16"/>
                <w:rtl/>
                <w:lang w:val="fr-CH"/>
              </w:rPr>
              <w:t xml:space="preserve">الفرنسية - </w:t>
            </w:r>
            <w:r w:rsidRPr="004063CC">
              <w:rPr>
                <w:rFonts w:ascii="Calibri" w:hAnsi="Calibri"/>
                <w:sz w:val="16"/>
                <w:szCs w:val="16"/>
                <w:lang w:val="fr-CH"/>
              </w:rPr>
              <w:t>2</w:t>
            </w:r>
          </w:p>
          <w:p w14:paraId="501B2F44" w14:textId="77777777" w:rsidR="004063CC" w:rsidRPr="004063CC" w:rsidRDefault="004063CC" w:rsidP="004063CC">
            <w:pPr>
              <w:jc w:val="center"/>
              <w:rPr>
                <w:rFonts w:ascii="Calibri" w:hAnsi="Calibri"/>
                <w:sz w:val="16"/>
                <w:szCs w:val="16"/>
                <w:lang w:val="fr-CH"/>
              </w:rPr>
            </w:pPr>
            <w:r w:rsidRPr="004063CC">
              <w:rPr>
                <w:rFonts w:ascii="Calibri" w:hAnsi="Calibri" w:hint="cs"/>
                <w:sz w:val="16"/>
                <w:szCs w:val="16"/>
                <w:rtl/>
                <w:lang w:val="fr-CH"/>
              </w:rPr>
              <w:t xml:space="preserve">اليابانية - </w:t>
            </w:r>
            <w:r w:rsidRPr="004063CC">
              <w:rPr>
                <w:rFonts w:ascii="Calibri" w:hAnsi="Calibri"/>
                <w:sz w:val="16"/>
                <w:szCs w:val="16"/>
                <w:lang w:val="fr-CH"/>
              </w:rPr>
              <w:t>20</w:t>
            </w:r>
          </w:p>
          <w:p w14:paraId="3DF11F0B" w14:textId="77777777" w:rsidR="004063CC" w:rsidRPr="004063CC" w:rsidRDefault="004063CC" w:rsidP="004063CC">
            <w:pPr>
              <w:jc w:val="center"/>
              <w:rPr>
                <w:rFonts w:ascii="Calibri" w:hAnsi="Calibri"/>
                <w:sz w:val="16"/>
                <w:szCs w:val="16"/>
                <w:lang w:val="fr-CH"/>
              </w:rPr>
            </w:pPr>
            <w:r w:rsidRPr="004063CC">
              <w:rPr>
                <w:rFonts w:ascii="Calibri" w:hAnsi="Calibri" w:hint="cs"/>
                <w:sz w:val="16"/>
                <w:szCs w:val="16"/>
                <w:rtl/>
                <w:lang w:val="fr-CH"/>
              </w:rPr>
              <w:t xml:space="preserve">الكورية - </w:t>
            </w:r>
            <w:r w:rsidRPr="004063CC">
              <w:rPr>
                <w:rFonts w:ascii="Calibri" w:hAnsi="Calibri"/>
                <w:sz w:val="16"/>
                <w:szCs w:val="16"/>
                <w:lang w:val="fr-CH"/>
              </w:rPr>
              <w:t>3</w:t>
            </w:r>
          </w:p>
          <w:p w14:paraId="6640AC94" w14:textId="77777777" w:rsidR="004063CC" w:rsidRPr="004063CC" w:rsidRDefault="004063CC" w:rsidP="004063CC">
            <w:pPr>
              <w:jc w:val="center"/>
              <w:rPr>
                <w:rFonts w:ascii="Calibri" w:hAnsi="Calibri"/>
                <w:sz w:val="16"/>
                <w:szCs w:val="16"/>
              </w:rPr>
            </w:pPr>
            <w:r w:rsidRPr="004063CC">
              <w:rPr>
                <w:rFonts w:ascii="Calibri" w:hAnsi="Calibri" w:hint="cs"/>
                <w:sz w:val="16"/>
                <w:szCs w:val="16"/>
                <w:rtl/>
              </w:rPr>
              <w:t xml:space="preserve">الصينية - </w:t>
            </w:r>
            <w:r w:rsidRPr="004063CC">
              <w:rPr>
                <w:rFonts w:ascii="Calibri" w:hAnsi="Calibri"/>
                <w:sz w:val="16"/>
                <w:szCs w:val="16"/>
              </w:rPr>
              <w:t>17</w:t>
            </w:r>
          </w:p>
        </w:tc>
        <w:tc>
          <w:tcPr>
            <w:tcW w:w="1138" w:type="dxa"/>
            <w:vAlign w:val="center"/>
          </w:tcPr>
          <w:p w14:paraId="5A29A3D3" w14:textId="77777777" w:rsidR="004063CC" w:rsidRPr="004063CC" w:rsidRDefault="004063CC" w:rsidP="004063CC">
            <w:pPr>
              <w:jc w:val="center"/>
              <w:rPr>
                <w:rFonts w:ascii="Calibri" w:hAnsi="Calibri"/>
                <w:sz w:val="16"/>
                <w:szCs w:val="16"/>
              </w:rPr>
            </w:pPr>
            <w:r w:rsidRPr="004063CC">
              <w:rPr>
                <w:rFonts w:ascii="Calibri" w:hAnsi="Calibri"/>
                <w:sz w:val="16"/>
                <w:szCs w:val="16"/>
              </w:rPr>
              <w:t>A – 87</w:t>
            </w:r>
          </w:p>
          <w:p w14:paraId="0A7EAB60" w14:textId="77777777" w:rsidR="004063CC" w:rsidRPr="004063CC" w:rsidRDefault="004063CC" w:rsidP="004063CC">
            <w:pPr>
              <w:jc w:val="center"/>
              <w:rPr>
                <w:rFonts w:ascii="Calibri" w:hAnsi="Calibri"/>
                <w:sz w:val="16"/>
                <w:szCs w:val="16"/>
              </w:rPr>
            </w:pPr>
            <w:r w:rsidRPr="004063CC">
              <w:rPr>
                <w:rFonts w:ascii="Calibri" w:hAnsi="Calibri"/>
                <w:sz w:val="16"/>
                <w:szCs w:val="16"/>
              </w:rPr>
              <w:t>B – 53</w:t>
            </w:r>
          </w:p>
          <w:p w14:paraId="38812D8F" w14:textId="77777777" w:rsidR="004063CC" w:rsidRPr="004063CC" w:rsidRDefault="004063CC" w:rsidP="004063CC">
            <w:pPr>
              <w:jc w:val="center"/>
              <w:rPr>
                <w:rFonts w:ascii="Calibri" w:hAnsi="Calibri"/>
                <w:sz w:val="16"/>
                <w:szCs w:val="16"/>
              </w:rPr>
            </w:pPr>
            <w:r w:rsidRPr="004063CC">
              <w:rPr>
                <w:rFonts w:ascii="Calibri" w:hAnsi="Calibri"/>
                <w:sz w:val="16"/>
                <w:szCs w:val="16"/>
              </w:rPr>
              <w:t>C – 62</w:t>
            </w:r>
          </w:p>
          <w:p w14:paraId="4EBD9CD1" w14:textId="77777777" w:rsidR="004063CC" w:rsidRPr="004063CC" w:rsidRDefault="004063CC" w:rsidP="004063CC">
            <w:pPr>
              <w:jc w:val="center"/>
              <w:rPr>
                <w:rFonts w:ascii="Calibri" w:hAnsi="Calibri"/>
                <w:sz w:val="16"/>
                <w:szCs w:val="16"/>
              </w:rPr>
            </w:pPr>
            <w:r w:rsidRPr="004063CC">
              <w:rPr>
                <w:rFonts w:ascii="Calibri" w:hAnsi="Calibri"/>
                <w:sz w:val="16"/>
                <w:szCs w:val="16"/>
              </w:rPr>
              <w:t>D – 6</w:t>
            </w:r>
          </w:p>
          <w:p w14:paraId="5B35DDE8" w14:textId="77777777" w:rsidR="004063CC" w:rsidRPr="004063CC" w:rsidRDefault="004063CC" w:rsidP="004063CC">
            <w:pPr>
              <w:jc w:val="center"/>
              <w:rPr>
                <w:rFonts w:ascii="Calibri" w:hAnsi="Calibri"/>
                <w:sz w:val="16"/>
                <w:szCs w:val="16"/>
              </w:rPr>
            </w:pPr>
            <w:r w:rsidRPr="004063CC">
              <w:rPr>
                <w:rFonts w:ascii="Calibri" w:hAnsi="Calibri"/>
                <w:sz w:val="16"/>
                <w:szCs w:val="16"/>
              </w:rPr>
              <w:t>E – 10</w:t>
            </w:r>
          </w:p>
          <w:p w14:paraId="3C8F0145" w14:textId="77777777" w:rsidR="004063CC" w:rsidRPr="004063CC" w:rsidRDefault="004063CC" w:rsidP="004063CC">
            <w:pPr>
              <w:jc w:val="center"/>
              <w:rPr>
                <w:rFonts w:ascii="Calibri" w:hAnsi="Calibri"/>
                <w:sz w:val="16"/>
                <w:szCs w:val="16"/>
              </w:rPr>
            </w:pPr>
            <w:r w:rsidRPr="004063CC">
              <w:rPr>
                <w:rFonts w:ascii="Calibri" w:hAnsi="Calibri"/>
                <w:sz w:val="16"/>
                <w:szCs w:val="16"/>
              </w:rPr>
              <w:t>F – 14</w:t>
            </w:r>
          </w:p>
          <w:p w14:paraId="553094CC" w14:textId="77777777" w:rsidR="004063CC" w:rsidRPr="004063CC" w:rsidRDefault="004063CC" w:rsidP="004063CC">
            <w:pPr>
              <w:jc w:val="center"/>
              <w:rPr>
                <w:rFonts w:ascii="Calibri" w:hAnsi="Calibri"/>
                <w:sz w:val="16"/>
                <w:szCs w:val="16"/>
              </w:rPr>
            </w:pPr>
            <w:r w:rsidRPr="004063CC">
              <w:rPr>
                <w:rFonts w:ascii="Calibri" w:hAnsi="Calibri"/>
                <w:sz w:val="16"/>
                <w:szCs w:val="16"/>
              </w:rPr>
              <w:t>G – 145</w:t>
            </w:r>
          </w:p>
          <w:p w14:paraId="43C9430E" w14:textId="77777777" w:rsidR="004063CC" w:rsidRPr="004063CC" w:rsidRDefault="004063CC" w:rsidP="004063CC">
            <w:pPr>
              <w:jc w:val="center"/>
              <w:rPr>
                <w:rFonts w:ascii="Calibri" w:hAnsi="Calibri"/>
                <w:sz w:val="16"/>
                <w:szCs w:val="16"/>
              </w:rPr>
            </w:pPr>
            <w:r w:rsidRPr="004063CC">
              <w:rPr>
                <w:rFonts w:ascii="Calibri" w:hAnsi="Calibri"/>
                <w:sz w:val="16"/>
                <w:szCs w:val="16"/>
              </w:rPr>
              <w:t>H – 91</w:t>
            </w:r>
          </w:p>
        </w:tc>
      </w:tr>
    </w:tbl>
    <w:p w14:paraId="74A213C8" w14:textId="77777777" w:rsidR="004063CC" w:rsidRPr="004063CC" w:rsidRDefault="004063CC" w:rsidP="004063CC">
      <w:pPr>
        <w:spacing w:after="220"/>
        <w:rPr>
          <w:rFonts w:eastAsia="Times New Roman"/>
          <w:lang w:eastAsia="en-US"/>
        </w:rPr>
      </w:pPr>
    </w:p>
    <w:p w14:paraId="08DDE70E" w14:textId="77777777" w:rsidR="00065BAB" w:rsidRDefault="004063CC" w:rsidP="007211D9">
      <w:pPr>
        <w:pStyle w:val="ONUMA"/>
      </w:pPr>
      <w:r w:rsidRPr="004063CC">
        <w:rPr>
          <w:rFonts w:hint="cs"/>
          <w:rtl/>
        </w:rPr>
        <w:t xml:space="preserve">وفي 1 يوليو 2020، دخل المشروع الرائد </w:t>
      </w:r>
      <w:r w:rsidR="00D526A7">
        <w:rPr>
          <w:rFonts w:hint="cs"/>
          <w:rtl/>
        </w:rPr>
        <w:t>ال</w:t>
      </w:r>
      <w:r w:rsidRPr="004063CC">
        <w:rPr>
          <w:rFonts w:hint="cs"/>
          <w:rtl/>
        </w:rPr>
        <w:t>مرحلة التقييم</w:t>
      </w:r>
      <w:r w:rsidR="00D526A7">
        <w:rPr>
          <w:rFonts w:hint="cs"/>
          <w:rtl/>
        </w:rPr>
        <w:t>ية</w:t>
      </w:r>
      <w:r w:rsidRPr="004063CC">
        <w:rPr>
          <w:rFonts w:hint="cs"/>
          <w:rtl/>
        </w:rPr>
        <w:t xml:space="preserve"> التي </w:t>
      </w:r>
      <w:r w:rsidR="00065BAB">
        <w:rPr>
          <w:rFonts w:hint="cs"/>
          <w:rtl/>
        </w:rPr>
        <w:t>تعكف</w:t>
      </w:r>
      <w:r w:rsidRPr="004063CC">
        <w:rPr>
          <w:rtl/>
        </w:rPr>
        <w:t xml:space="preserve"> خلاله</w:t>
      </w:r>
      <w:r w:rsidR="00065BAB">
        <w:rPr>
          <w:rtl/>
        </w:rPr>
        <w:t xml:space="preserve">ا مكاتب الملكية الفكرية الخمسة </w:t>
      </w:r>
      <w:r w:rsidR="00065BAB">
        <w:rPr>
          <w:rFonts w:hint="cs"/>
          <w:rtl/>
        </w:rPr>
        <w:t xml:space="preserve">على إجراء </w:t>
      </w:r>
      <w:r w:rsidRPr="004063CC">
        <w:rPr>
          <w:rtl/>
        </w:rPr>
        <w:t xml:space="preserve">تقييم </w:t>
      </w:r>
      <w:r w:rsidR="00065BAB">
        <w:rPr>
          <w:rFonts w:hint="cs"/>
          <w:rtl/>
        </w:rPr>
        <w:t xml:space="preserve">وإعداد تقارير بشأن النتائج المجمّعة أثناء المرحلة الوطنية، وعن </w:t>
      </w:r>
      <w:r w:rsidRPr="004063CC">
        <w:rPr>
          <w:rtl/>
        </w:rPr>
        <w:t xml:space="preserve">دخول الطلبات الدولية التي </w:t>
      </w:r>
      <w:r w:rsidR="00065BAB">
        <w:rPr>
          <w:rFonts w:hint="cs"/>
          <w:rtl/>
        </w:rPr>
        <w:t>عُولجت</w:t>
      </w:r>
      <w:r w:rsidRPr="004063CC">
        <w:rPr>
          <w:rtl/>
        </w:rPr>
        <w:t xml:space="preserve"> </w:t>
      </w:r>
      <w:r w:rsidRPr="004063CC">
        <w:rPr>
          <w:rFonts w:hint="cs"/>
          <w:rtl/>
        </w:rPr>
        <w:t>في سياق</w:t>
      </w:r>
      <w:r w:rsidRPr="004063CC">
        <w:rPr>
          <w:rtl/>
        </w:rPr>
        <w:t xml:space="preserve"> تعاوني في المراحل الوطن</w:t>
      </w:r>
      <w:r w:rsidR="00065BAB">
        <w:rPr>
          <w:rtl/>
        </w:rPr>
        <w:t>ية أو الإقليمية الخاصة بكل منها</w:t>
      </w:r>
      <w:r w:rsidR="00065BAB">
        <w:rPr>
          <w:rFonts w:hint="cs"/>
          <w:rtl/>
        </w:rPr>
        <w:t xml:space="preserve">، استناداً إلى </w:t>
      </w:r>
      <w:r w:rsidRPr="004063CC">
        <w:rPr>
          <w:rtl/>
        </w:rPr>
        <w:t xml:space="preserve">مجموعة متفق عليها </w:t>
      </w:r>
      <w:r w:rsidRPr="004063CC">
        <w:rPr>
          <w:rFonts w:hint="cs"/>
          <w:rtl/>
        </w:rPr>
        <w:t xml:space="preserve">من </w:t>
      </w:r>
      <w:r w:rsidRPr="004063CC">
        <w:rPr>
          <w:rtl/>
        </w:rPr>
        <w:t>مؤشرات الجودة والتشغيل.</w:t>
      </w:r>
      <w:r w:rsidR="00065BAB">
        <w:rPr>
          <w:rFonts w:hint="cs"/>
          <w:rtl/>
        </w:rPr>
        <w:t xml:space="preserve"> و</w:t>
      </w:r>
      <w:r w:rsidR="007211D9">
        <w:rPr>
          <w:rFonts w:hint="cs"/>
          <w:rtl/>
        </w:rPr>
        <w:t>حتى الآن، تشير البيانات المجمّعة أثناء المرحلة الدولية إلى ما يلي، بالمقارنة مع تقارير البحث الدولي المُعدة من قبل إدارة البحث الدولي الرئيسية:</w:t>
      </w:r>
    </w:p>
    <w:p w14:paraId="43F5C041" w14:textId="50167281" w:rsidR="007211D9" w:rsidRDefault="007211D9" w:rsidP="007211D9">
      <w:pPr>
        <w:pStyle w:val="ONUMA"/>
        <w:keepNext/>
        <w:numPr>
          <w:ilvl w:val="0"/>
          <w:numId w:val="20"/>
        </w:numPr>
      </w:pPr>
      <w:r>
        <w:rPr>
          <w:rFonts w:hint="cs"/>
          <w:rtl/>
        </w:rPr>
        <w:t>70</w:t>
      </w:r>
      <w:r w:rsidR="0082795B">
        <w:rPr>
          <w:rFonts w:hint="cs"/>
          <w:rtl/>
        </w:rPr>
        <w:t xml:space="preserve"> في المئة </w:t>
      </w:r>
      <w:r>
        <w:rPr>
          <w:rFonts w:hint="cs"/>
          <w:rtl/>
        </w:rPr>
        <w:t>من تقارير البحث الدولي النهائية المُعدة بأسلوب تعاوني من قبل مكاتب الملكية الفكرية الخمسة تضمنت استشهادات جديدة؛</w:t>
      </w:r>
    </w:p>
    <w:p w14:paraId="45DD51FC" w14:textId="54374B32" w:rsidR="007211D9" w:rsidRDefault="007211D9" w:rsidP="00C369A7">
      <w:pPr>
        <w:pStyle w:val="ONUMA"/>
        <w:numPr>
          <w:ilvl w:val="0"/>
          <w:numId w:val="20"/>
        </w:numPr>
      </w:pPr>
      <w:r>
        <w:rPr>
          <w:rFonts w:hint="cs"/>
          <w:rtl/>
        </w:rPr>
        <w:t>53</w:t>
      </w:r>
      <w:r w:rsidR="0082795B">
        <w:rPr>
          <w:rFonts w:hint="cs"/>
          <w:rtl/>
        </w:rPr>
        <w:t xml:space="preserve"> في المئة </w:t>
      </w:r>
      <w:r w:rsidRPr="007211D9">
        <w:rPr>
          <w:rFonts w:hint="cs"/>
          <w:rtl/>
        </w:rPr>
        <w:t xml:space="preserve">من تقارير البحث الدولي النهائية تضمنت استشهادات </w:t>
      </w:r>
      <w:r>
        <w:rPr>
          <w:rFonts w:hint="cs"/>
          <w:rtl/>
        </w:rPr>
        <w:t>إضافية</w:t>
      </w:r>
      <w:r w:rsidR="00C369A7">
        <w:rPr>
          <w:rFonts w:hint="cs"/>
          <w:rtl/>
        </w:rPr>
        <w:t xml:space="preserve"> من النوع</w:t>
      </w:r>
      <w:r>
        <w:rPr>
          <w:rFonts w:hint="cs"/>
          <w:rtl/>
        </w:rPr>
        <w:t xml:space="preserve"> </w:t>
      </w:r>
      <w:r w:rsidR="00C369A7" w:rsidRPr="00C369A7">
        <w:t>XYE</w:t>
      </w:r>
      <w:r w:rsidR="00C369A7">
        <w:rPr>
          <w:rFonts w:hint="cs"/>
          <w:rtl/>
        </w:rPr>
        <w:t>؛</w:t>
      </w:r>
    </w:p>
    <w:p w14:paraId="569EF841" w14:textId="77777777" w:rsidR="00C369A7" w:rsidRDefault="00C369A7" w:rsidP="00C369A7">
      <w:pPr>
        <w:pStyle w:val="ONUMA"/>
        <w:numPr>
          <w:ilvl w:val="0"/>
          <w:numId w:val="20"/>
        </w:numPr>
      </w:pPr>
      <w:r>
        <w:rPr>
          <w:rFonts w:hint="cs"/>
          <w:rtl/>
        </w:rPr>
        <w:t>ارتفع عدد الاستشهادات، في المتوسط، من 6.1 إلى 8.1 في تقارير البحث الدولي النهائية؛</w:t>
      </w:r>
    </w:p>
    <w:p w14:paraId="2BA6A8EF" w14:textId="4CF747D8" w:rsidR="00C369A7" w:rsidRDefault="00C369A7" w:rsidP="00C369A7">
      <w:pPr>
        <w:pStyle w:val="ONUMA"/>
        <w:numPr>
          <w:ilvl w:val="0"/>
          <w:numId w:val="20"/>
        </w:numPr>
      </w:pPr>
      <w:r>
        <w:rPr>
          <w:rFonts w:hint="cs"/>
          <w:rtl/>
        </w:rPr>
        <w:lastRenderedPageBreak/>
        <w:t xml:space="preserve">في حين لم تتضمن 12.8 </w:t>
      </w:r>
      <w:r w:rsidR="0082795B">
        <w:rPr>
          <w:rFonts w:hint="cs"/>
          <w:rtl/>
        </w:rPr>
        <w:t>في ا</w:t>
      </w:r>
      <w:r>
        <w:rPr>
          <w:rFonts w:hint="cs"/>
          <w:rtl/>
        </w:rPr>
        <w:t xml:space="preserve">لمئة من تقارير البحث الدولي المؤقتة سوى استشهادات من النوع </w:t>
      </w:r>
      <w:r>
        <w:t>A</w:t>
      </w:r>
      <w:r>
        <w:rPr>
          <w:rFonts w:hint="cs"/>
          <w:rtl/>
        </w:rPr>
        <w:t>، تراجعت تلك النسبة بما يعادل 4 بالمائة في تقارير البحث الدولي النهائية.</w:t>
      </w:r>
    </w:p>
    <w:p w14:paraId="5CDAF676" w14:textId="5AE97EE4" w:rsidR="00434B79" w:rsidRDefault="004063CC" w:rsidP="00974C6B">
      <w:pPr>
        <w:pStyle w:val="ONUMA"/>
      </w:pPr>
      <w:r w:rsidRPr="004063CC">
        <w:rPr>
          <w:rFonts w:hint="cs"/>
          <w:rtl/>
        </w:rPr>
        <w:t xml:space="preserve">وفي عام 2021، </w:t>
      </w:r>
      <w:r w:rsidR="00434B79">
        <w:rPr>
          <w:rFonts w:hint="cs"/>
          <w:rtl/>
        </w:rPr>
        <w:t>استقصى</w:t>
      </w:r>
      <w:r w:rsidRPr="004063CC">
        <w:rPr>
          <w:rFonts w:hint="cs"/>
          <w:rtl/>
        </w:rPr>
        <w:t xml:space="preserve"> المكتب الدولي المشاركين </w:t>
      </w:r>
      <w:r w:rsidR="00434B79">
        <w:rPr>
          <w:rFonts w:hint="cs"/>
          <w:rtl/>
        </w:rPr>
        <w:t>في المشروع الرائد</w:t>
      </w:r>
      <w:r w:rsidRPr="004063CC">
        <w:rPr>
          <w:rFonts w:hint="cs"/>
          <w:rtl/>
        </w:rPr>
        <w:t xml:space="preserve"> باستخدام استبيان متفق عليه من قبل مكاتب الملكية الفكرية الخمسة. </w:t>
      </w:r>
      <w:r w:rsidR="0082795B">
        <w:rPr>
          <w:rFonts w:hint="cs"/>
          <w:rtl/>
        </w:rPr>
        <w:t>ويمكن للمكاتب المشاركة كذلك جمع ال</w:t>
      </w:r>
      <w:r w:rsidR="0082795B" w:rsidRPr="004063CC">
        <w:rPr>
          <w:rFonts w:hint="cs"/>
          <w:rtl/>
        </w:rPr>
        <w:t>مزيد من التعليقات</w:t>
      </w:r>
      <w:r w:rsidR="0082795B">
        <w:rPr>
          <w:rFonts w:hint="cs"/>
          <w:rtl/>
        </w:rPr>
        <w:t xml:space="preserve"> من المشاركين في المشروع الرائد ومجموعات المستخدمين.</w:t>
      </w:r>
    </w:p>
    <w:p w14:paraId="1D79B9F4" w14:textId="6B7D1224" w:rsidR="0082795B" w:rsidRPr="0082795B" w:rsidRDefault="001A6023" w:rsidP="0082795B">
      <w:pPr>
        <w:pStyle w:val="ONUMA"/>
        <w:rPr>
          <w:rtl/>
        </w:rPr>
      </w:pPr>
      <w:r>
        <w:rPr>
          <w:rFonts w:hint="cs"/>
          <w:rtl/>
        </w:rPr>
        <w:t xml:space="preserve">وكان </w:t>
      </w:r>
      <w:r w:rsidR="004063CC" w:rsidRPr="004063CC">
        <w:rPr>
          <w:rtl/>
        </w:rPr>
        <w:t xml:space="preserve">إطار </w:t>
      </w:r>
      <w:r w:rsidR="004063CC" w:rsidRPr="004063CC">
        <w:rPr>
          <w:rFonts w:hint="cs"/>
          <w:rtl/>
        </w:rPr>
        <w:t>المكاتب الخمسة</w:t>
      </w:r>
      <w:r w:rsidR="004063CC" w:rsidRPr="004063CC">
        <w:rPr>
          <w:rtl/>
        </w:rPr>
        <w:t xml:space="preserve"> </w:t>
      </w:r>
      <w:r w:rsidR="004063CC" w:rsidRPr="004063CC">
        <w:rPr>
          <w:rFonts w:hint="cs"/>
          <w:rtl/>
        </w:rPr>
        <w:t>ل</w:t>
      </w:r>
      <w:r w:rsidR="004063CC" w:rsidRPr="004063CC">
        <w:rPr>
          <w:rtl/>
        </w:rPr>
        <w:t>لتعاون بشأن</w:t>
      </w:r>
      <w:r w:rsidR="004063CC" w:rsidRPr="004063CC">
        <w:rPr>
          <w:rFonts w:hint="cs"/>
          <w:rtl/>
        </w:rPr>
        <w:t xml:space="preserve"> </w:t>
      </w:r>
      <w:r w:rsidR="00E92F33">
        <w:rPr>
          <w:rFonts w:hint="cs"/>
          <w:rtl/>
        </w:rPr>
        <w:t>البحث والفحص</w:t>
      </w:r>
      <w:r w:rsidR="004063CC" w:rsidRPr="004063CC">
        <w:rPr>
          <w:rFonts w:hint="cs"/>
          <w:rtl/>
        </w:rPr>
        <w:t xml:space="preserve"> التعاونيين</w:t>
      </w:r>
      <w:r w:rsidR="004063CC" w:rsidRPr="004063CC">
        <w:rPr>
          <w:rtl/>
        </w:rPr>
        <w:t xml:space="preserve"> </w:t>
      </w:r>
      <w:r w:rsidR="004D7C9A">
        <w:rPr>
          <w:rFonts w:hint="cs"/>
          <w:rtl/>
        </w:rPr>
        <w:t>بناء على</w:t>
      </w:r>
      <w:r w:rsidR="004063CC" w:rsidRPr="004063CC">
        <w:rPr>
          <w:rFonts w:hint="cs"/>
          <w:rtl/>
        </w:rPr>
        <w:t xml:space="preserve"> </w:t>
      </w:r>
      <w:r w:rsidR="004063CC" w:rsidRPr="004063CC">
        <w:rPr>
          <w:rtl/>
        </w:rPr>
        <w:t>معاهدة البراءا</w:t>
      </w:r>
      <w:r w:rsidR="004063CC" w:rsidRPr="004063CC">
        <w:rPr>
          <w:rFonts w:hint="cs"/>
          <w:rtl/>
        </w:rPr>
        <w:t>ت</w:t>
      </w:r>
      <w:r>
        <w:rPr>
          <w:rFonts w:hint="cs"/>
          <w:rtl/>
        </w:rPr>
        <w:t xml:space="preserve"> يتوخى، مبدئياً، أن المشروع الرائد سيدوم فترة لا تتجاوز </w:t>
      </w:r>
      <w:r w:rsidR="004063CC" w:rsidRPr="004063CC">
        <w:rPr>
          <w:rtl/>
        </w:rPr>
        <w:t xml:space="preserve">خمس </w:t>
      </w:r>
      <w:r w:rsidR="004063CC" w:rsidRPr="004063CC">
        <w:rPr>
          <w:rFonts w:hint="cs"/>
          <w:rtl/>
        </w:rPr>
        <w:t>سنوات،</w:t>
      </w:r>
      <w:r w:rsidR="004063CC" w:rsidRPr="004063CC">
        <w:rPr>
          <w:rtl/>
        </w:rPr>
        <w:t xml:space="preserve"> </w:t>
      </w:r>
      <w:r>
        <w:rPr>
          <w:rFonts w:hint="cs"/>
          <w:rtl/>
        </w:rPr>
        <w:t xml:space="preserve">مما يعني انتهاء </w:t>
      </w:r>
      <w:r w:rsidR="00D526A7">
        <w:rPr>
          <w:rFonts w:hint="cs"/>
          <w:rtl/>
        </w:rPr>
        <w:t>المرحلة التقييمية</w:t>
      </w:r>
      <w:r>
        <w:rPr>
          <w:rFonts w:hint="cs"/>
          <w:rtl/>
        </w:rPr>
        <w:t xml:space="preserve"> في يونيو 2021. وقرّر رؤساء المكاتب الخمسة، في عام</w:t>
      </w:r>
      <w:r w:rsidR="00D526A7">
        <w:rPr>
          <w:rFonts w:hint="eastAsia"/>
          <w:rtl/>
        </w:rPr>
        <w:t> </w:t>
      </w:r>
      <w:r>
        <w:rPr>
          <w:rFonts w:hint="cs"/>
          <w:rtl/>
        </w:rPr>
        <w:t xml:space="preserve">2020، تمديداً </w:t>
      </w:r>
      <w:r w:rsidR="0082795B">
        <w:rPr>
          <w:rFonts w:hint="cs"/>
          <w:rtl/>
        </w:rPr>
        <w:t>أ</w:t>
      </w:r>
      <w:r>
        <w:rPr>
          <w:rFonts w:hint="cs"/>
          <w:rtl/>
        </w:rPr>
        <w:t xml:space="preserve">ولياً </w:t>
      </w:r>
      <w:r w:rsidR="00D526A7">
        <w:rPr>
          <w:rFonts w:hint="cs"/>
          <w:rtl/>
        </w:rPr>
        <w:t>للمرحلة التقييمية</w:t>
      </w:r>
      <w:r>
        <w:rPr>
          <w:rFonts w:hint="cs"/>
          <w:rtl/>
        </w:rPr>
        <w:t xml:space="preserve"> </w:t>
      </w:r>
      <w:r w:rsidR="0082795B" w:rsidRPr="0082795B">
        <w:rPr>
          <w:rtl/>
        </w:rPr>
        <w:t>لمدة عام واحد</w:t>
      </w:r>
      <w:r w:rsidR="0082795B">
        <w:rPr>
          <w:rFonts w:hint="cs"/>
          <w:rtl/>
        </w:rPr>
        <w:t>.</w:t>
      </w:r>
    </w:p>
    <w:p w14:paraId="260FE222" w14:textId="5B2BD29D" w:rsidR="003A3973" w:rsidRDefault="001A6023" w:rsidP="00D526A7">
      <w:pPr>
        <w:pStyle w:val="ONUMA"/>
      </w:pPr>
      <w:r>
        <w:rPr>
          <w:rFonts w:hint="cs"/>
          <w:rtl/>
        </w:rPr>
        <w:t xml:space="preserve">ولكنّ </w:t>
      </w:r>
      <w:r w:rsidR="0082795B">
        <w:rPr>
          <w:rFonts w:hint="cs"/>
          <w:rtl/>
        </w:rPr>
        <w:t xml:space="preserve">ام تخضع </w:t>
      </w:r>
      <w:r w:rsidR="003A3973">
        <w:rPr>
          <w:rFonts w:hint="cs"/>
          <w:rtl/>
        </w:rPr>
        <w:t>مع</w:t>
      </w:r>
      <w:r>
        <w:rPr>
          <w:rFonts w:hint="cs"/>
          <w:rtl/>
        </w:rPr>
        <w:t xml:space="preserve">ظم ملفات البحث والفحص التعاونيين </w:t>
      </w:r>
      <w:r w:rsidR="004D7C9A">
        <w:rPr>
          <w:rFonts w:hint="cs"/>
          <w:rtl/>
        </w:rPr>
        <w:t xml:space="preserve">لكامل الإجراءات في المكاتب الخمسة بحلول يونيو 2022 لأن غالبية الطلبات كانت </w:t>
      </w:r>
      <w:r w:rsidR="00D461A7">
        <w:rPr>
          <w:rFonts w:hint="cs"/>
          <w:rtl/>
        </w:rPr>
        <w:t>ب</w:t>
      </w:r>
      <w:r w:rsidR="004D7C9A">
        <w:rPr>
          <w:rFonts w:hint="cs"/>
          <w:rtl/>
        </w:rPr>
        <w:t>صدد دخول المراحل الوطنية/الإقليمية خلال عام 2021</w:t>
      </w:r>
      <w:r w:rsidR="004063CC" w:rsidRPr="004063CC">
        <w:rPr>
          <w:rFonts w:hint="cs"/>
          <w:rtl/>
        </w:rPr>
        <w:t>.</w:t>
      </w:r>
      <w:r w:rsidR="004D7C9A">
        <w:rPr>
          <w:rFonts w:hint="cs"/>
          <w:rtl/>
        </w:rPr>
        <w:t xml:space="preserve"> ولذلك السبب</w:t>
      </w:r>
      <w:r w:rsidR="003A3973">
        <w:rPr>
          <w:rFonts w:hint="cs"/>
          <w:rtl/>
        </w:rPr>
        <w:t>،</w:t>
      </w:r>
      <w:r w:rsidR="004D7C9A">
        <w:rPr>
          <w:rFonts w:hint="cs"/>
          <w:rtl/>
        </w:rPr>
        <w:t xml:space="preserve"> </w:t>
      </w:r>
      <w:r w:rsidR="003A3973">
        <w:rPr>
          <w:rFonts w:hint="cs"/>
          <w:rtl/>
        </w:rPr>
        <w:t xml:space="preserve">جرى </w:t>
      </w:r>
      <w:r w:rsidR="004D7C9A">
        <w:rPr>
          <w:rFonts w:hint="cs"/>
          <w:rtl/>
        </w:rPr>
        <w:t>تمديد فترة المشروع الرائد بسنة إضافية</w:t>
      </w:r>
      <w:r w:rsidR="003A3973">
        <w:rPr>
          <w:rFonts w:hint="cs"/>
          <w:rtl/>
        </w:rPr>
        <w:t xml:space="preserve"> حتى يونيو 2023 بناء على توصية من الفريق المعني بالمشروع الرائد في ال</w:t>
      </w:r>
      <w:r w:rsidR="003A3973" w:rsidRPr="004063CC">
        <w:rPr>
          <w:rtl/>
        </w:rPr>
        <w:t xml:space="preserve">مكاتب الخمسة </w:t>
      </w:r>
      <w:r w:rsidR="003A3973" w:rsidRPr="003A3973">
        <w:rPr>
          <w:rtl/>
        </w:rPr>
        <w:t>في دورته العاشرة في نوفمبر</w:t>
      </w:r>
      <w:r w:rsidR="003A3973">
        <w:rPr>
          <w:rFonts w:hint="cs"/>
          <w:rtl/>
        </w:rPr>
        <w:t> </w:t>
      </w:r>
      <w:r w:rsidR="003A3973" w:rsidRPr="003A3973">
        <w:rPr>
          <w:rtl/>
        </w:rPr>
        <w:t>2021</w:t>
      </w:r>
      <w:r w:rsidR="003A3973">
        <w:rPr>
          <w:rFonts w:hint="cs"/>
          <w:rtl/>
        </w:rPr>
        <w:t>.</w:t>
      </w:r>
    </w:p>
    <w:p w14:paraId="3B3BC6E6" w14:textId="62834805" w:rsidR="003A3973" w:rsidRDefault="003A3973" w:rsidP="003A3973">
      <w:pPr>
        <w:keepNext/>
        <w:spacing w:before="240" w:after="60"/>
        <w:outlineLvl w:val="0"/>
        <w:rPr>
          <w:b/>
          <w:bCs/>
          <w:caps/>
          <w:kern w:val="32"/>
          <w:rtl/>
        </w:rPr>
      </w:pPr>
      <w:r w:rsidRPr="003A3973">
        <w:rPr>
          <w:b/>
          <w:bCs/>
          <w:caps/>
          <w:kern w:val="32"/>
          <w:rtl/>
        </w:rPr>
        <w:t>اختتام المشروع الر</w:t>
      </w:r>
      <w:r>
        <w:rPr>
          <w:rFonts w:hint="cs"/>
          <w:b/>
          <w:bCs/>
          <w:caps/>
          <w:kern w:val="32"/>
          <w:rtl/>
        </w:rPr>
        <w:t>ائد</w:t>
      </w:r>
    </w:p>
    <w:p w14:paraId="480816CF" w14:textId="516AC21B" w:rsidR="003A3973" w:rsidRDefault="003A3973" w:rsidP="003A3973">
      <w:pPr>
        <w:pStyle w:val="ONUMA"/>
      </w:pPr>
      <w:r w:rsidRPr="003A3973">
        <w:rPr>
          <w:rtl/>
        </w:rPr>
        <w:t>اختتم المشروع ال</w:t>
      </w:r>
      <w:r>
        <w:rPr>
          <w:rFonts w:hint="cs"/>
          <w:rtl/>
        </w:rPr>
        <w:t xml:space="preserve">رائد </w:t>
      </w:r>
      <w:r w:rsidRPr="003A3973">
        <w:rPr>
          <w:rtl/>
        </w:rPr>
        <w:t xml:space="preserve">في يونيو 2023 بتقديم تقرير تقييم نهائي إلى رؤساء </w:t>
      </w:r>
      <w:r>
        <w:rPr>
          <w:rFonts w:hint="cs"/>
          <w:rtl/>
        </w:rPr>
        <w:t>ال</w:t>
      </w:r>
      <w:r w:rsidRPr="003A3973">
        <w:rPr>
          <w:rtl/>
        </w:rPr>
        <w:t>مكاتب</w:t>
      </w:r>
      <w:r>
        <w:rPr>
          <w:rFonts w:hint="cs"/>
          <w:rtl/>
        </w:rPr>
        <w:t xml:space="preserve"> الخمسة، </w:t>
      </w:r>
      <w:r w:rsidRPr="003A3973">
        <w:rPr>
          <w:rtl/>
        </w:rPr>
        <w:t>وخلص تقييم شامل للمشروع ال</w:t>
      </w:r>
      <w:r>
        <w:rPr>
          <w:rFonts w:hint="cs"/>
          <w:rtl/>
        </w:rPr>
        <w:t xml:space="preserve">رائد </w:t>
      </w:r>
      <w:r w:rsidRPr="003A3973">
        <w:rPr>
          <w:rtl/>
        </w:rPr>
        <w:t xml:space="preserve">إلى أن </w:t>
      </w:r>
      <w:r w:rsidRPr="004063CC">
        <w:rPr>
          <w:rtl/>
        </w:rPr>
        <w:t xml:space="preserve">النهج </w:t>
      </w:r>
      <w:r w:rsidRPr="003A3973">
        <w:rPr>
          <w:rtl/>
        </w:rPr>
        <w:t xml:space="preserve">يثري منتجات عمل المكاتب المشاركة، </w:t>
      </w:r>
      <w:r w:rsidR="00DB220D">
        <w:rPr>
          <w:rFonts w:hint="cs"/>
          <w:rtl/>
        </w:rPr>
        <w:t>إلا أ</w:t>
      </w:r>
      <w:r w:rsidRPr="003A3973">
        <w:rPr>
          <w:rtl/>
        </w:rPr>
        <w:t>ن البحث والفحص التعاونيين لن ينفذا في إطار معاهدة البراءات في الوقت الحالي وفي شكله الحالي.  ولم يت</w:t>
      </w:r>
      <w:r w:rsidR="00DB220D">
        <w:rPr>
          <w:rFonts w:hint="cs"/>
          <w:rtl/>
        </w:rPr>
        <w:t xml:space="preserve">حقق </w:t>
      </w:r>
      <w:r w:rsidRPr="003A3973">
        <w:rPr>
          <w:rtl/>
        </w:rPr>
        <w:t>توافق في الآراء بشأن طريقة تحديد مبلغ رسوم البحث التعاوني وكانت هناك عقبات في المعالجة التشغيلية لطلبات البراءات هذه، خاصة في حالات عدم وحد</w:t>
      </w:r>
      <w:r w:rsidR="00DB220D">
        <w:rPr>
          <w:rFonts w:hint="cs"/>
          <w:rtl/>
        </w:rPr>
        <w:t>ة الاختراع.</w:t>
      </w:r>
    </w:p>
    <w:p w14:paraId="50097A6B" w14:textId="4C3E3D4A" w:rsidR="00DB220D" w:rsidRDefault="00DB220D" w:rsidP="00DB220D">
      <w:pPr>
        <w:pStyle w:val="ONUMA"/>
      </w:pPr>
      <w:r w:rsidRPr="00DB220D">
        <w:rPr>
          <w:rtl/>
        </w:rPr>
        <w:t xml:space="preserve">وأشار رؤساء </w:t>
      </w:r>
      <w:r>
        <w:rPr>
          <w:rFonts w:hint="cs"/>
          <w:rtl/>
        </w:rPr>
        <w:t>ال</w:t>
      </w:r>
      <w:r w:rsidRPr="00DB220D">
        <w:rPr>
          <w:rtl/>
        </w:rPr>
        <w:t>مكاتب</w:t>
      </w:r>
      <w:r>
        <w:rPr>
          <w:rFonts w:hint="cs"/>
          <w:rtl/>
        </w:rPr>
        <w:t xml:space="preserve"> الخمسة </w:t>
      </w:r>
      <w:r w:rsidRPr="00DB220D">
        <w:rPr>
          <w:rtl/>
        </w:rPr>
        <w:t>إلى أن هذا المشروع الر</w:t>
      </w:r>
      <w:r>
        <w:rPr>
          <w:rFonts w:hint="cs"/>
          <w:rtl/>
        </w:rPr>
        <w:t xml:space="preserve">ائد </w:t>
      </w:r>
      <w:r w:rsidRPr="00DB220D">
        <w:rPr>
          <w:rtl/>
        </w:rPr>
        <w:t>قد مك</w:t>
      </w:r>
      <w:r>
        <w:rPr>
          <w:rFonts w:hint="cs"/>
          <w:rtl/>
        </w:rPr>
        <w:t>ّ</w:t>
      </w:r>
      <w:r w:rsidRPr="00DB220D">
        <w:rPr>
          <w:rtl/>
        </w:rPr>
        <w:t xml:space="preserve">ن من </w:t>
      </w:r>
      <w:r>
        <w:rPr>
          <w:rFonts w:hint="cs"/>
          <w:rtl/>
        </w:rPr>
        <w:t xml:space="preserve">تحقيق </w:t>
      </w:r>
      <w:r w:rsidRPr="00DB220D">
        <w:rPr>
          <w:rtl/>
        </w:rPr>
        <w:t xml:space="preserve">فهم أفضل لممارساتهم وقدم رؤى مفيدة </w:t>
      </w:r>
      <w:r>
        <w:rPr>
          <w:rFonts w:hint="cs"/>
          <w:rtl/>
        </w:rPr>
        <w:t xml:space="preserve">بشأن </w:t>
      </w:r>
      <w:r w:rsidRPr="00DB220D">
        <w:rPr>
          <w:rtl/>
        </w:rPr>
        <w:t xml:space="preserve">تقاسم العمل. </w:t>
      </w:r>
      <w:r>
        <w:rPr>
          <w:rFonts w:hint="cs"/>
          <w:rtl/>
        </w:rPr>
        <w:t>و</w:t>
      </w:r>
      <w:r w:rsidRPr="00DB220D">
        <w:rPr>
          <w:rtl/>
        </w:rPr>
        <w:t xml:space="preserve">شكروا المكتب الدولي للويبو على دعمه التشغيلي للمشروع الرائد وعلى مساهماته فيما يتعلق بجمع البيانات وإجراء </w:t>
      </w:r>
      <w:r>
        <w:rPr>
          <w:rFonts w:hint="cs"/>
          <w:rtl/>
        </w:rPr>
        <w:t xml:space="preserve">استبيان </w:t>
      </w:r>
      <w:r w:rsidRPr="00DB220D">
        <w:rPr>
          <w:rtl/>
        </w:rPr>
        <w:t xml:space="preserve">موجه إلى المشاركين </w:t>
      </w:r>
      <w:r>
        <w:rPr>
          <w:rFonts w:hint="cs"/>
          <w:rtl/>
        </w:rPr>
        <w:t>في المشروع الرائد.</w:t>
      </w:r>
    </w:p>
    <w:p w14:paraId="3F95AD6A" w14:textId="7A00378B" w:rsidR="00DB220D" w:rsidRPr="00DB220D" w:rsidRDefault="00DB220D" w:rsidP="00DB220D">
      <w:pPr>
        <w:pStyle w:val="ONUMA"/>
      </w:pPr>
      <w:r w:rsidRPr="00DB220D">
        <w:rPr>
          <w:rtl/>
        </w:rPr>
        <w:t xml:space="preserve">ولذلك، قررت </w:t>
      </w:r>
      <w:r>
        <w:rPr>
          <w:rFonts w:hint="cs"/>
          <w:rtl/>
        </w:rPr>
        <w:t>ال</w:t>
      </w:r>
      <w:r w:rsidRPr="00DB220D">
        <w:rPr>
          <w:rtl/>
        </w:rPr>
        <w:t>مكاتب</w:t>
      </w:r>
      <w:r>
        <w:rPr>
          <w:rFonts w:hint="cs"/>
          <w:rtl/>
        </w:rPr>
        <w:t xml:space="preserve"> الخمسة </w:t>
      </w:r>
      <w:r w:rsidRPr="00DB220D">
        <w:rPr>
          <w:rtl/>
        </w:rPr>
        <w:t>استكمال رصد طلبات البراءات الر</w:t>
      </w:r>
      <w:r>
        <w:rPr>
          <w:rFonts w:hint="cs"/>
          <w:rtl/>
        </w:rPr>
        <w:t>ائد</w:t>
      </w:r>
      <w:r w:rsidRPr="00DB220D">
        <w:rPr>
          <w:rtl/>
        </w:rPr>
        <w:t>ة في المرحل</w:t>
      </w:r>
      <w:r>
        <w:rPr>
          <w:rFonts w:hint="cs"/>
          <w:rtl/>
        </w:rPr>
        <w:t>ة</w:t>
      </w:r>
      <w:r w:rsidRPr="00DB220D">
        <w:rPr>
          <w:rtl/>
        </w:rPr>
        <w:t xml:space="preserve"> الوطنية </w:t>
      </w:r>
      <w:r>
        <w:rPr>
          <w:rFonts w:hint="cs"/>
          <w:rtl/>
        </w:rPr>
        <w:t>أ</w:t>
      </w:r>
      <w:r w:rsidRPr="00DB220D">
        <w:rPr>
          <w:rtl/>
        </w:rPr>
        <w:t>و</w:t>
      </w:r>
      <w:r>
        <w:rPr>
          <w:rFonts w:hint="cs"/>
          <w:rtl/>
        </w:rPr>
        <w:t xml:space="preserve"> </w:t>
      </w:r>
      <w:r w:rsidRPr="00DB220D">
        <w:rPr>
          <w:rtl/>
        </w:rPr>
        <w:t>الإقليمية المعنية، واستكشاف كيفية توظيف المعارف والخبرات المكتسبة من المشروع الر</w:t>
      </w:r>
      <w:r w:rsidR="00F1629C">
        <w:rPr>
          <w:rFonts w:hint="cs"/>
          <w:rtl/>
        </w:rPr>
        <w:t xml:space="preserve">ائد </w:t>
      </w:r>
      <w:r w:rsidRPr="00DB220D">
        <w:rPr>
          <w:rtl/>
        </w:rPr>
        <w:t>لصالح المستخدمين والمكاتب</w:t>
      </w:r>
      <w:r w:rsidR="00F1629C">
        <w:rPr>
          <w:rFonts w:hint="cs"/>
          <w:rtl/>
        </w:rPr>
        <w:t>.</w:t>
      </w:r>
    </w:p>
    <w:p w14:paraId="5A858B93" w14:textId="4C6ACC1F" w:rsidR="003A3973" w:rsidRPr="003A3973" w:rsidRDefault="00F1629C" w:rsidP="00F1629C">
      <w:pPr>
        <w:pStyle w:val="ONUMA"/>
      </w:pPr>
      <w:r w:rsidRPr="00F1629C">
        <w:rPr>
          <w:rtl/>
        </w:rPr>
        <w:t>وعرض التقرير النهائي للمشروع الر</w:t>
      </w:r>
      <w:r>
        <w:rPr>
          <w:rFonts w:hint="cs"/>
          <w:rtl/>
        </w:rPr>
        <w:t xml:space="preserve">ائد </w:t>
      </w:r>
      <w:r w:rsidRPr="00F1629C">
        <w:rPr>
          <w:rtl/>
        </w:rPr>
        <w:t>أيضا</w:t>
      </w:r>
      <w:r>
        <w:rPr>
          <w:rFonts w:hint="cs"/>
          <w:rtl/>
        </w:rPr>
        <w:t>ً</w:t>
      </w:r>
      <w:r w:rsidRPr="00F1629C">
        <w:rPr>
          <w:rtl/>
        </w:rPr>
        <w:t xml:space="preserve"> في الدورة الثلاثين لاجتماع الإدارات الدولية العاملة في ظل معاهدة التعاون بشأن البراءات الذي عقد في نوفمبر 2023</w:t>
      </w:r>
      <w:r>
        <w:rPr>
          <w:rFonts w:hint="cs"/>
          <w:rtl/>
        </w:rPr>
        <w:t xml:space="preserve"> (</w:t>
      </w:r>
      <w:r w:rsidRPr="00F1629C">
        <w:rPr>
          <w:rtl/>
        </w:rPr>
        <w:t>انظر</w:t>
      </w:r>
      <w:r>
        <w:rPr>
          <w:rFonts w:hint="cs"/>
          <w:rtl/>
        </w:rPr>
        <w:t>(ي)</w:t>
      </w:r>
      <w:r w:rsidRPr="00F1629C">
        <w:rPr>
          <w:rtl/>
        </w:rPr>
        <w:t xml:space="preserve"> الوثيقة</w:t>
      </w:r>
      <w:r>
        <w:rPr>
          <w:rFonts w:hint="cs"/>
          <w:rtl/>
        </w:rPr>
        <w:t> </w:t>
      </w:r>
      <w:r w:rsidRPr="00F1629C">
        <w:t>PCT/MIA/30/3</w:t>
      </w:r>
      <w:r>
        <w:rPr>
          <w:rFonts w:hint="cs"/>
          <w:rtl/>
        </w:rPr>
        <w:t xml:space="preserve"> </w:t>
      </w:r>
      <w:r w:rsidRPr="00F1629C">
        <w:rPr>
          <w:rtl/>
        </w:rPr>
        <w:t>والفقرات من 32 إلى 34 من مرفق الوثيقة</w:t>
      </w:r>
      <w:r>
        <w:rPr>
          <w:rFonts w:hint="cs"/>
          <w:rtl/>
        </w:rPr>
        <w:t> </w:t>
      </w:r>
      <w:r w:rsidRPr="00F1629C">
        <w:t>PCT/WG/17/2</w:t>
      </w:r>
      <w:r>
        <w:rPr>
          <w:rFonts w:hint="cs"/>
          <w:rtl/>
        </w:rPr>
        <w:t>).</w:t>
      </w:r>
    </w:p>
    <w:p w14:paraId="499CD689" w14:textId="77777777" w:rsidR="004063CC" w:rsidRPr="004063CC" w:rsidRDefault="004063CC" w:rsidP="004063CC">
      <w:pPr>
        <w:pStyle w:val="ONUMA"/>
        <w:ind w:left="5534"/>
        <w:rPr>
          <w:i/>
          <w:iCs/>
        </w:rPr>
      </w:pPr>
      <w:r w:rsidRPr="004063CC">
        <w:rPr>
          <w:i/>
          <w:iCs/>
          <w:rtl/>
        </w:rPr>
        <w:t>إن الفريق العامل مدعوٌ إلى الإحاطة علم</w:t>
      </w:r>
      <w:r w:rsidR="00684A70">
        <w:rPr>
          <w:rFonts w:hint="cs"/>
          <w:i/>
          <w:iCs/>
          <w:rtl/>
        </w:rPr>
        <w:t>اً</w:t>
      </w:r>
      <w:r w:rsidRPr="004063CC">
        <w:rPr>
          <w:i/>
          <w:iCs/>
          <w:rtl/>
        </w:rPr>
        <w:t xml:space="preserve"> بمضمون هذه الوثيقة.</w:t>
      </w:r>
    </w:p>
    <w:p w14:paraId="20DF1D23" w14:textId="77777777" w:rsidR="004063CC" w:rsidRPr="004063CC" w:rsidRDefault="004063CC" w:rsidP="004063CC">
      <w:pPr>
        <w:ind w:left="5534"/>
      </w:pPr>
      <w:r w:rsidRPr="004063CC">
        <w:rPr>
          <w:rFonts w:hint="cs"/>
          <w:rtl/>
        </w:rPr>
        <w:t>[نهاية الوثيقة]</w:t>
      </w:r>
    </w:p>
    <w:sectPr w:rsidR="004063CC" w:rsidRPr="004063CC"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E6B39" w14:textId="77777777" w:rsidR="005D18E4" w:rsidRDefault="005D18E4">
      <w:r>
        <w:separator/>
      </w:r>
    </w:p>
  </w:endnote>
  <w:endnote w:type="continuationSeparator" w:id="0">
    <w:p w14:paraId="4E7CF71E" w14:textId="77777777" w:rsidR="005D18E4" w:rsidRDefault="005D18E4" w:rsidP="003B38C1">
      <w:r>
        <w:separator/>
      </w:r>
    </w:p>
    <w:p w14:paraId="2B211C22" w14:textId="77777777" w:rsidR="005D18E4" w:rsidRPr="003B38C1" w:rsidRDefault="005D18E4" w:rsidP="003B38C1">
      <w:pPr>
        <w:spacing w:after="60"/>
        <w:rPr>
          <w:sz w:val="17"/>
        </w:rPr>
      </w:pPr>
      <w:r>
        <w:rPr>
          <w:sz w:val="17"/>
        </w:rPr>
        <w:t>[Endnote continued from previous page]</w:t>
      </w:r>
    </w:p>
  </w:endnote>
  <w:endnote w:type="continuationNotice" w:id="1">
    <w:p w14:paraId="4830E906" w14:textId="77777777" w:rsidR="005D18E4" w:rsidRPr="003B38C1" w:rsidRDefault="005D18E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379D" w14:textId="77777777" w:rsidR="00F1629C" w:rsidRDefault="00F162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EEC4D" w14:textId="6CDCF750" w:rsidR="00F1629C" w:rsidRDefault="00F162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77560" w14:textId="0B202FF8" w:rsidR="00F1629C" w:rsidRDefault="00F16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9BD3D" w14:textId="77777777" w:rsidR="005D18E4" w:rsidRDefault="005D18E4">
      <w:r>
        <w:separator/>
      </w:r>
    </w:p>
  </w:footnote>
  <w:footnote w:type="continuationSeparator" w:id="0">
    <w:p w14:paraId="51794187" w14:textId="77777777" w:rsidR="005D18E4" w:rsidRDefault="005D18E4" w:rsidP="008B60B2">
      <w:r>
        <w:separator/>
      </w:r>
    </w:p>
    <w:p w14:paraId="33D3C909" w14:textId="77777777" w:rsidR="005D18E4" w:rsidRPr="00ED77FB" w:rsidRDefault="005D18E4" w:rsidP="008B60B2">
      <w:pPr>
        <w:spacing w:after="60"/>
        <w:rPr>
          <w:sz w:val="17"/>
          <w:szCs w:val="17"/>
        </w:rPr>
      </w:pPr>
      <w:r w:rsidRPr="00ED77FB">
        <w:rPr>
          <w:sz w:val="17"/>
          <w:szCs w:val="17"/>
        </w:rPr>
        <w:t>[Footnote continued from previous page]</w:t>
      </w:r>
    </w:p>
  </w:footnote>
  <w:footnote w:type="continuationNotice" w:id="1">
    <w:p w14:paraId="0DFAE18A" w14:textId="77777777" w:rsidR="005D18E4" w:rsidRPr="00ED77FB" w:rsidRDefault="005D18E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6929" w14:textId="77777777" w:rsidR="00F1629C" w:rsidRDefault="00F162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FEE35" w14:textId="68D4BEA8" w:rsidR="00D07C78" w:rsidRPr="002326AB" w:rsidRDefault="004E0043" w:rsidP="004063CC">
    <w:pPr>
      <w:bidi w:val="0"/>
      <w:rPr>
        <w:caps/>
      </w:rPr>
    </w:pPr>
    <w:r>
      <w:rPr>
        <w:caps/>
      </w:rPr>
      <w:t>PCT</w:t>
    </w:r>
    <w:r w:rsidR="00250149">
      <w:rPr>
        <w:caps/>
      </w:rPr>
      <w:t>/</w:t>
    </w:r>
    <w:r>
      <w:rPr>
        <w:caps/>
      </w:rPr>
      <w:t>WG</w:t>
    </w:r>
    <w:r w:rsidR="00250149">
      <w:rPr>
        <w:caps/>
      </w:rPr>
      <w:t>/</w:t>
    </w:r>
    <w:r w:rsidR="002066F1">
      <w:rPr>
        <w:caps/>
      </w:rPr>
      <w:t>17</w:t>
    </w:r>
    <w:r>
      <w:rPr>
        <w:caps/>
      </w:rPr>
      <w:t>/</w:t>
    </w:r>
    <w:r w:rsidR="002066F1">
      <w:rPr>
        <w:caps/>
      </w:rPr>
      <w:t>17</w:t>
    </w:r>
  </w:p>
  <w:p w14:paraId="237251F4" w14:textId="77777777" w:rsidR="00D07C78" w:rsidRDefault="00D07C78" w:rsidP="00210D5F">
    <w:pPr>
      <w:bidi w:val="0"/>
    </w:pPr>
    <w:r>
      <w:fldChar w:fldCharType="begin"/>
    </w:r>
    <w:r>
      <w:instrText xml:space="preserve"> PAGE  \* MERGEFORMAT </w:instrText>
    </w:r>
    <w:r>
      <w:fldChar w:fldCharType="separate"/>
    </w:r>
    <w:r w:rsidR="007C128B">
      <w:rPr>
        <w:noProof/>
      </w:rPr>
      <w:t>3</w:t>
    </w:r>
    <w:r>
      <w:fldChar w:fldCharType="end"/>
    </w:r>
  </w:p>
  <w:p w14:paraId="73BECA4A" w14:textId="77777777" w:rsidR="00D07C78" w:rsidRDefault="00D07C78" w:rsidP="00210D5F">
    <w:pPr>
      <w:bidi w:val="0"/>
    </w:pPr>
  </w:p>
  <w:p w14:paraId="7963721D" w14:textId="77777777"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F6DD1" w14:textId="77777777" w:rsidR="00F1629C" w:rsidRDefault="00F16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822C72"/>
    <w:multiLevelType w:val="hybridMultilevel"/>
    <w:tmpl w:val="7852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9" w15:restartNumberingAfterBreak="0">
    <w:nsid w:val="5C85359C"/>
    <w:multiLevelType w:val="multilevel"/>
    <w:tmpl w:val="A1828410"/>
    <w:lvl w:ilvl="0">
      <w:start w:val="1"/>
      <w:numFmt w:val="bullet"/>
      <w:lvlText w:val=""/>
      <w:lvlJc w:val="left"/>
      <w:pPr>
        <w:ind w:left="0" w:firstLine="0"/>
      </w:pPr>
      <w:rPr>
        <w:rFonts w:ascii="Symbol" w:hAnsi="Symbol"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493305387">
    <w:abstractNumId w:val="2"/>
  </w:num>
  <w:num w:numId="2" w16cid:durableId="464740636">
    <w:abstractNumId w:val="6"/>
  </w:num>
  <w:num w:numId="3" w16cid:durableId="873419607">
    <w:abstractNumId w:val="0"/>
  </w:num>
  <w:num w:numId="4" w16cid:durableId="1440369978">
    <w:abstractNumId w:val="7"/>
  </w:num>
  <w:num w:numId="5" w16cid:durableId="1870099581">
    <w:abstractNumId w:val="1"/>
  </w:num>
  <w:num w:numId="6" w16cid:durableId="1477065371">
    <w:abstractNumId w:val="3"/>
  </w:num>
  <w:num w:numId="7" w16cid:durableId="284820139">
    <w:abstractNumId w:val="8"/>
  </w:num>
  <w:num w:numId="8" w16cid:durableId="194076630">
    <w:abstractNumId w:val="5"/>
  </w:num>
  <w:num w:numId="9" w16cid:durableId="1352144839">
    <w:abstractNumId w:val="9"/>
  </w:num>
  <w:num w:numId="10" w16cid:durableId="1807115553">
    <w:abstractNumId w:val="8"/>
  </w:num>
  <w:num w:numId="11" w16cid:durableId="1185708400">
    <w:abstractNumId w:val="8"/>
  </w:num>
  <w:num w:numId="12" w16cid:durableId="1635910753">
    <w:abstractNumId w:val="8"/>
  </w:num>
  <w:num w:numId="13" w16cid:durableId="1120026048">
    <w:abstractNumId w:val="8"/>
  </w:num>
  <w:num w:numId="14" w16cid:durableId="2001421105">
    <w:abstractNumId w:val="8"/>
  </w:num>
  <w:num w:numId="15" w16cid:durableId="653069880">
    <w:abstractNumId w:val="8"/>
  </w:num>
  <w:num w:numId="16" w16cid:durableId="1242830428">
    <w:abstractNumId w:val="8"/>
  </w:num>
  <w:num w:numId="17" w16cid:durableId="2058159437">
    <w:abstractNumId w:val="8"/>
  </w:num>
  <w:num w:numId="18" w16cid:durableId="1512574149">
    <w:abstractNumId w:val="8"/>
  </w:num>
  <w:num w:numId="19" w16cid:durableId="1194809694">
    <w:abstractNumId w:val="8"/>
  </w:num>
  <w:num w:numId="20" w16cid:durableId="19529329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9E6"/>
    <w:rsid w:val="00013F48"/>
    <w:rsid w:val="00014EF8"/>
    <w:rsid w:val="00031D0C"/>
    <w:rsid w:val="00043CAA"/>
    <w:rsid w:val="00056816"/>
    <w:rsid w:val="00060379"/>
    <w:rsid w:val="00065BAB"/>
    <w:rsid w:val="00075432"/>
    <w:rsid w:val="000968ED"/>
    <w:rsid w:val="000A3D97"/>
    <w:rsid w:val="000C6DA6"/>
    <w:rsid w:val="000E7677"/>
    <w:rsid w:val="000F5E56"/>
    <w:rsid w:val="001362EE"/>
    <w:rsid w:val="001406E1"/>
    <w:rsid w:val="00155D8A"/>
    <w:rsid w:val="001647D5"/>
    <w:rsid w:val="00167832"/>
    <w:rsid w:val="001832A6"/>
    <w:rsid w:val="0019592A"/>
    <w:rsid w:val="001A6023"/>
    <w:rsid w:val="001D4107"/>
    <w:rsid w:val="001F50BF"/>
    <w:rsid w:val="00203D24"/>
    <w:rsid w:val="002066F1"/>
    <w:rsid w:val="00210D5F"/>
    <w:rsid w:val="0021217E"/>
    <w:rsid w:val="00223D9D"/>
    <w:rsid w:val="002326AB"/>
    <w:rsid w:val="00243430"/>
    <w:rsid w:val="00250149"/>
    <w:rsid w:val="002634C4"/>
    <w:rsid w:val="002906BF"/>
    <w:rsid w:val="002928D3"/>
    <w:rsid w:val="002C516E"/>
    <w:rsid w:val="002F1FE6"/>
    <w:rsid w:val="002F4E68"/>
    <w:rsid w:val="00312F7F"/>
    <w:rsid w:val="00334F6E"/>
    <w:rsid w:val="00361450"/>
    <w:rsid w:val="003673CF"/>
    <w:rsid w:val="003845C1"/>
    <w:rsid w:val="003A3973"/>
    <w:rsid w:val="003A6F89"/>
    <w:rsid w:val="003B355C"/>
    <w:rsid w:val="003B38C1"/>
    <w:rsid w:val="003B460D"/>
    <w:rsid w:val="003C2A9F"/>
    <w:rsid w:val="003C34E9"/>
    <w:rsid w:val="004063CC"/>
    <w:rsid w:val="00423E3E"/>
    <w:rsid w:val="00427AF4"/>
    <w:rsid w:val="00434B79"/>
    <w:rsid w:val="0045246E"/>
    <w:rsid w:val="004647DA"/>
    <w:rsid w:val="00474062"/>
    <w:rsid w:val="00477D6B"/>
    <w:rsid w:val="0048708D"/>
    <w:rsid w:val="004D7C9A"/>
    <w:rsid w:val="004E0043"/>
    <w:rsid w:val="005019FF"/>
    <w:rsid w:val="005049E6"/>
    <w:rsid w:val="00514B7B"/>
    <w:rsid w:val="0053057A"/>
    <w:rsid w:val="00556076"/>
    <w:rsid w:val="00560A29"/>
    <w:rsid w:val="005C6649"/>
    <w:rsid w:val="005D18E4"/>
    <w:rsid w:val="005E7B89"/>
    <w:rsid w:val="005F1E68"/>
    <w:rsid w:val="00605827"/>
    <w:rsid w:val="006354F1"/>
    <w:rsid w:val="00646050"/>
    <w:rsid w:val="006713CA"/>
    <w:rsid w:val="00676C5C"/>
    <w:rsid w:val="00684A70"/>
    <w:rsid w:val="006B5C12"/>
    <w:rsid w:val="00720EFD"/>
    <w:rsid w:val="007211D9"/>
    <w:rsid w:val="007854AF"/>
    <w:rsid w:val="00793A7C"/>
    <w:rsid w:val="007A398A"/>
    <w:rsid w:val="007C128B"/>
    <w:rsid w:val="007C4902"/>
    <w:rsid w:val="007D1613"/>
    <w:rsid w:val="007E4C0E"/>
    <w:rsid w:val="0082795B"/>
    <w:rsid w:val="00866792"/>
    <w:rsid w:val="00872D95"/>
    <w:rsid w:val="008A134B"/>
    <w:rsid w:val="008B2CC1"/>
    <w:rsid w:val="008B60B2"/>
    <w:rsid w:val="0090731E"/>
    <w:rsid w:val="00916EE2"/>
    <w:rsid w:val="00966A22"/>
    <w:rsid w:val="0096722F"/>
    <w:rsid w:val="00974C6B"/>
    <w:rsid w:val="00980843"/>
    <w:rsid w:val="009B0855"/>
    <w:rsid w:val="009B463F"/>
    <w:rsid w:val="009E1721"/>
    <w:rsid w:val="009E2791"/>
    <w:rsid w:val="009E3F6F"/>
    <w:rsid w:val="009F499F"/>
    <w:rsid w:val="00A37342"/>
    <w:rsid w:val="00A42DAF"/>
    <w:rsid w:val="00A45BD8"/>
    <w:rsid w:val="00A869B7"/>
    <w:rsid w:val="00A90F0A"/>
    <w:rsid w:val="00AC205C"/>
    <w:rsid w:val="00AF0A6B"/>
    <w:rsid w:val="00AF3DCE"/>
    <w:rsid w:val="00B05A69"/>
    <w:rsid w:val="00B42CA9"/>
    <w:rsid w:val="00B51FF7"/>
    <w:rsid w:val="00B75281"/>
    <w:rsid w:val="00B92F1F"/>
    <w:rsid w:val="00B96EB2"/>
    <w:rsid w:val="00B9734B"/>
    <w:rsid w:val="00BA30E2"/>
    <w:rsid w:val="00BC76C1"/>
    <w:rsid w:val="00C11BFE"/>
    <w:rsid w:val="00C369A7"/>
    <w:rsid w:val="00C5068F"/>
    <w:rsid w:val="00C86D74"/>
    <w:rsid w:val="00CA08A9"/>
    <w:rsid w:val="00CB3DBA"/>
    <w:rsid w:val="00CC3E2D"/>
    <w:rsid w:val="00CD04F1"/>
    <w:rsid w:val="00CE19F8"/>
    <w:rsid w:val="00CF681A"/>
    <w:rsid w:val="00D07C78"/>
    <w:rsid w:val="00D45252"/>
    <w:rsid w:val="00D461A7"/>
    <w:rsid w:val="00D526A7"/>
    <w:rsid w:val="00D60B2C"/>
    <w:rsid w:val="00D67EAE"/>
    <w:rsid w:val="00D71B4D"/>
    <w:rsid w:val="00D90B96"/>
    <w:rsid w:val="00D93D55"/>
    <w:rsid w:val="00DB220D"/>
    <w:rsid w:val="00DC2E58"/>
    <w:rsid w:val="00DD7B7F"/>
    <w:rsid w:val="00E15015"/>
    <w:rsid w:val="00E319DF"/>
    <w:rsid w:val="00E335FE"/>
    <w:rsid w:val="00E66CC5"/>
    <w:rsid w:val="00E92F33"/>
    <w:rsid w:val="00EA7D6E"/>
    <w:rsid w:val="00EB2F76"/>
    <w:rsid w:val="00EC2557"/>
    <w:rsid w:val="00EC4E49"/>
    <w:rsid w:val="00ED77FB"/>
    <w:rsid w:val="00EE45FA"/>
    <w:rsid w:val="00F043DE"/>
    <w:rsid w:val="00F1629C"/>
    <w:rsid w:val="00F419F3"/>
    <w:rsid w:val="00F66152"/>
    <w:rsid w:val="00F76CB4"/>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5B083"/>
  <w15:docId w15:val="{95060F98-E981-4683-9DDC-F549402AB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table" w:styleId="TableGrid">
    <w:name w:val="Table Grid"/>
    <w:basedOn w:val="TableNormal"/>
    <w:uiPriority w:val="59"/>
    <w:rsid w:val="004063CC"/>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15B66-F39F-4681-B753-B9835736C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1197</Words>
  <Characters>6331</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PCT/WG/15 /8 (Arabic)</vt:lpstr>
    </vt:vector>
  </TitlesOfParts>
  <Company>WIPO</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 /17</dc:title>
  <dc:creator>MERZOUK Fawzi</dc:creator>
  <cp:keywords>PUBLIC</cp:keywords>
  <cp:lastModifiedBy>MARLOW Thomas</cp:lastModifiedBy>
  <cp:revision>3</cp:revision>
  <cp:lastPrinted>2024-02-08T09:48:00Z</cp:lastPrinted>
  <dcterms:created xsi:type="dcterms:W3CDTF">2024-02-08T11:03:00Z</dcterms:created>
  <dcterms:modified xsi:type="dcterms:W3CDTF">2024-02-08T11:03:00Z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2024-01-31T10:24:00Z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5b9f3856-9be9-4998-8e0d-621e927e8b8a</vt:lpwstr>
  </property>
  <property fmtid="{D5CDD505-2E9C-101B-9397-08002B2CF9AE}" pid="13" name="MSIP_Label_20773ee6-353b-4fb9-a59d-0b94c8c67bea_ContentBits">
    <vt:lpwstr>0</vt:lpwstr>
  </property>
</Properties>
</file>