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3C5F9D">
            <w:pPr>
              <w:pStyle w:val="DocumentCodeAR"/>
              <w:bidi/>
              <w:rPr>
                <w:rtl/>
              </w:rPr>
            </w:pPr>
            <w:r>
              <w:t>PCT</w:t>
            </w:r>
            <w:r w:rsidR="00772E46">
              <w:t>/</w:t>
            </w:r>
            <w:r w:rsidR="00C742C5">
              <w:t>WG</w:t>
            </w:r>
            <w:r w:rsidR="00100F97">
              <w:t>/</w:t>
            </w:r>
            <w:r w:rsidR="005C64F7">
              <w:t>8</w:t>
            </w:r>
            <w:r w:rsidR="004E7CDB">
              <w:t>/</w:t>
            </w:r>
            <w:r w:rsidR="003C5F9D">
              <w:t>20</w:t>
            </w:r>
          </w:p>
        </w:tc>
      </w:tr>
      <w:tr w:rsidR="001667B6" w:rsidTr="00BF164F">
        <w:tc>
          <w:tcPr>
            <w:tcW w:w="9571" w:type="dxa"/>
            <w:gridSpan w:val="3"/>
          </w:tcPr>
          <w:p w:rsidR="001667B6" w:rsidRPr="00B6101C" w:rsidRDefault="00B6101C" w:rsidP="004E7CDB">
            <w:pPr>
              <w:pStyle w:val="DocumentLanguageAR"/>
              <w:bidi/>
              <w:rPr>
                <w:rtl/>
              </w:rPr>
            </w:pPr>
            <w:r w:rsidRPr="00B6101C">
              <w:rPr>
                <w:rFonts w:hint="cs"/>
                <w:rtl/>
              </w:rPr>
              <w:t xml:space="preserve">الأصل: </w:t>
            </w:r>
            <w:r w:rsidR="004E7CDB">
              <w:rPr>
                <w:rFonts w:hint="cs"/>
                <w:rtl/>
              </w:rPr>
              <w:t>بالإنكليزية</w:t>
            </w:r>
          </w:p>
        </w:tc>
      </w:tr>
      <w:tr w:rsidR="001667B6" w:rsidTr="00BF164F">
        <w:tc>
          <w:tcPr>
            <w:tcW w:w="9571" w:type="dxa"/>
            <w:gridSpan w:val="3"/>
          </w:tcPr>
          <w:p w:rsidR="001667B6" w:rsidRPr="00B6101C" w:rsidRDefault="00B6101C" w:rsidP="00EB2DFF">
            <w:pPr>
              <w:pStyle w:val="DocumentDateAR"/>
              <w:bidi/>
              <w:rPr>
                <w:rtl/>
              </w:rPr>
            </w:pPr>
            <w:r w:rsidRPr="00B6101C">
              <w:rPr>
                <w:rFonts w:hint="cs"/>
                <w:rtl/>
              </w:rPr>
              <w:t xml:space="preserve">التاريخ: </w:t>
            </w:r>
            <w:r w:rsidR="00EB2DFF">
              <w:t>5</w:t>
            </w:r>
            <w:r w:rsidRPr="00B6101C">
              <w:rPr>
                <w:rFonts w:hint="cs"/>
                <w:rtl/>
              </w:rPr>
              <w:t xml:space="preserve"> </w:t>
            </w:r>
            <w:r w:rsidR="00EB2DFF">
              <w:rPr>
                <w:rFonts w:hint="cs"/>
                <w:rtl/>
              </w:rPr>
              <w:t>مايو</w:t>
            </w:r>
            <w:r w:rsidRPr="00B6101C">
              <w:rPr>
                <w:rFonts w:hint="cs"/>
                <w:rtl/>
              </w:rPr>
              <w:t xml:space="preserve">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C64F7">
      <w:pPr>
        <w:pStyle w:val="MeetingSessionAR"/>
        <w:bidi/>
        <w:rPr>
          <w:rFonts w:ascii="Cambria Math" w:hAnsi="Cambria Math"/>
          <w:rtl/>
        </w:rPr>
      </w:pPr>
      <w:r w:rsidRPr="00783D11">
        <w:rPr>
          <w:rFonts w:ascii="Cambria Math" w:hAnsi="Cambria Math"/>
          <w:rtl/>
        </w:rPr>
        <w:t xml:space="preserve">الدورة </w:t>
      </w:r>
      <w:r w:rsidR="005C64F7">
        <w:rPr>
          <w:rFonts w:ascii="Cambria Math" w:hAnsi="Cambria Math" w:hint="cs"/>
          <w:rtl/>
        </w:rPr>
        <w:t>الثامنة</w:t>
      </w:r>
    </w:p>
    <w:p w:rsidR="00D61541" w:rsidRPr="00D61541" w:rsidRDefault="00D61541" w:rsidP="005C64F7">
      <w:pPr>
        <w:pStyle w:val="MeetingDatesAR"/>
        <w:bidi/>
        <w:rPr>
          <w:rtl/>
        </w:rPr>
      </w:pPr>
      <w:r w:rsidRPr="00D61541">
        <w:rPr>
          <w:rFonts w:hint="cs"/>
          <w:rtl/>
        </w:rPr>
        <w:t xml:space="preserve">جنيف، من </w:t>
      </w:r>
      <w:r w:rsidR="005C64F7">
        <w:rPr>
          <w:rFonts w:hint="cs"/>
          <w:rtl/>
        </w:rPr>
        <w:t>26</w:t>
      </w:r>
      <w:r w:rsidR="00C742C5">
        <w:rPr>
          <w:rFonts w:hint="cs"/>
          <w:rtl/>
        </w:rPr>
        <w:t xml:space="preserve"> إلى </w:t>
      </w:r>
      <w:r w:rsidR="005C64F7">
        <w:rPr>
          <w:rFonts w:hint="cs"/>
          <w:rtl/>
        </w:rPr>
        <w:t>29</w:t>
      </w:r>
      <w:r w:rsidR="00C742C5">
        <w:rPr>
          <w:rFonts w:hint="cs"/>
          <w:rtl/>
        </w:rPr>
        <w:t xml:space="preserve"> </w:t>
      </w:r>
      <w:r w:rsidR="005C64F7">
        <w:rPr>
          <w:rFonts w:hint="cs"/>
          <w:rtl/>
        </w:rPr>
        <w:t>مايو</w:t>
      </w:r>
      <w:r w:rsidR="00C742C5">
        <w:rPr>
          <w:rFonts w:hint="cs"/>
          <w:rtl/>
        </w:rPr>
        <w:t xml:space="preserve"> </w:t>
      </w:r>
      <w:r w:rsidR="005C6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A4545" w:rsidP="00FB7EC9">
      <w:pPr>
        <w:pStyle w:val="DocumentTitleAR"/>
        <w:bidi/>
        <w:rPr>
          <w:rtl/>
        </w:rPr>
      </w:pPr>
      <w:r w:rsidRPr="005A4545">
        <w:rPr>
          <w:rtl/>
        </w:rPr>
        <w:t>الخدمات الشبكية لمعاهدة التعاون بشأن البراءات</w:t>
      </w:r>
    </w:p>
    <w:p w:rsidR="00D61541" w:rsidRPr="00D61541" w:rsidRDefault="00445A80"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Pr="00A57861" w:rsidRDefault="00A57861" w:rsidP="00A57861">
      <w:pPr>
        <w:pStyle w:val="NormalParaAR"/>
        <w:keepNext/>
        <w:rPr>
          <w:b/>
          <w:bCs/>
          <w:sz w:val="40"/>
          <w:szCs w:val="40"/>
        </w:rPr>
      </w:pPr>
      <w:r w:rsidRPr="00A57861">
        <w:rPr>
          <w:rFonts w:hint="cs"/>
          <w:b/>
          <w:bCs/>
          <w:sz w:val="40"/>
          <w:szCs w:val="40"/>
          <w:rtl/>
        </w:rPr>
        <w:t>ملخص</w:t>
      </w:r>
    </w:p>
    <w:p w:rsidR="00D45098" w:rsidRDefault="00D45098" w:rsidP="00496BF0">
      <w:pPr>
        <w:pStyle w:val="NumberedParaAR"/>
        <w:rPr>
          <w:rtl/>
        </w:rPr>
      </w:pPr>
      <w:r>
        <w:rPr>
          <w:rtl/>
        </w:rPr>
        <w:t>استُكملت في 16 أبريل 2015 المرحلة التجريبية للنظام الإلكتروني لمعاهدة التعاون بشأن البراءات (</w:t>
      </w:r>
      <w:proofErr w:type="spellStart"/>
      <w:r>
        <w:t>ePCT</w:t>
      </w:r>
      <w:proofErr w:type="spellEnd"/>
      <w:r>
        <w:rPr>
          <w:rtl/>
        </w:rPr>
        <w:t xml:space="preserve">)، والتي كانت واجهة الاستخدام متاحة خلالها باللغة الإنكليزية فقط، حيث تمخضت عن نشر </w:t>
      </w:r>
      <w:r w:rsidR="00496BF0">
        <w:rPr>
          <w:rFonts w:hint="cs"/>
          <w:rtl/>
        </w:rPr>
        <w:t>نسخة</w:t>
      </w:r>
      <w:r>
        <w:rPr>
          <w:rtl/>
        </w:rPr>
        <w:t xml:space="preserve"> متعدد</w:t>
      </w:r>
      <w:r w:rsidR="00496BF0">
        <w:rPr>
          <w:rFonts w:hint="cs"/>
          <w:rtl/>
        </w:rPr>
        <w:t>ة</w:t>
      </w:r>
      <w:r w:rsidR="00496BF0">
        <w:rPr>
          <w:rtl/>
        </w:rPr>
        <w:t xml:space="preserve"> اللغات </w:t>
      </w:r>
      <w:r w:rsidR="00496BF0">
        <w:rPr>
          <w:rFonts w:hint="cs"/>
          <w:rtl/>
        </w:rPr>
        <w:t>ت</w:t>
      </w:r>
      <w:r>
        <w:rPr>
          <w:rtl/>
        </w:rPr>
        <w:t xml:space="preserve">تيح واجهة التعامل ومعظم الوظائف </w:t>
      </w:r>
      <w:r w:rsidR="00496BF0">
        <w:rPr>
          <w:rtl/>
        </w:rPr>
        <w:t xml:space="preserve">التقنية بلغات النشر العشر جميعا. ويتيح </w:t>
      </w:r>
      <w:r>
        <w:rPr>
          <w:rtl/>
        </w:rPr>
        <w:t>نظام</w:t>
      </w:r>
      <w:r w:rsidR="00496BF0">
        <w:rPr>
          <w:rFonts w:hint="cs"/>
          <w:rtl/>
        </w:rPr>
        <w:t> </w:t>
      </w:r>
      <w:proofErr w:type="spellStart"/>
      <w:r>
        <w:t>ePCT</w:t>
      </w:r>
      <w:proofErr w:type="spellEnd"/>
      <w:r>
        <w:rPr>
          <w:rtl/>
        </w:rPr>
        <w:t xml:space="preserve"> الآن </w:t>
      </w:r>
      <w:r w:rsidR="00496BF0">
        <w:rPr>
          <w:rFonts w:hint="cs"/>
          <w:rtl/>
        </w:rPr>
        <w:t xml:space="preserve">إمكانية </w:t>
      </w:r>
      <w:r>
        <w:rPr>
          <w:rtl/>
        </w:rPr>
        <w:t>ال</w:t>
      </w:r>
      <w:r w:rsidR="00496BF0">
        <w:rPr>
          <w:rtl/>
        </w:rPr>
        <w:t>إيداع الإلكتروني لستة عشر مكتبا</w:t>
      </w:r>
      <w:r>
        <w:rPr>
          <w:rtl/>
        </w:rPr>
        <w:t xml:space="preserve"> من مكاتب تسلم الطلبات (وسيلحق بها المزيد من المكاتب ف</w:t>
      </w:r>
      <w:r w:rsidR="00496BF0">
        <w:rPr>
          <w:rtl/>
        </w:rPr>
        <w:t>ي مختلف مراحل الاختبار) و</w:t>
      </w:r>
      <w:r w:rsidR="00496BF0">
        <w:rPr>
          <w:rFonts w:hint="cs"/>
          <w:rtl/>
        </w:rPr>
        <w:t>يدعم عددا</w:t>
      </w:r>
      <w:r>
        <w:rPr>
          <w:rtl/>
        </w:rPr>
        <w:t xml:space="preserve"> متزايد</w:t>
      </w:r>
      <w:r w:rsidR="00496BF0">
        <w:rPr>
          <w:rFonts w:hint="cs"/>
          <w:rtl/>
        </w:rPr>
        <w:t>ا</w:t>
      </w:r>
      <w:r w:rsidR="00496BF0">
        <w:rPr>
          <w:rtl/>
        </w:rPr>
        <w:t xml:space="preserve"> من وظائف المكاتب، خاصة </w:t>
      </w:r>
      <w:r w:rsidR="00496BF0">
        <w:rPr>
          <w:rFonts w:hint="cs"/>
          <w:rtl/>
        </w:rPr>
        <w:t>لفائدة م</w:t>
      </w:r>
      <w:r>
        <w:rPr>
          <w:rtl/>
        </w:rPr>
        <w:t>كاتب تسلم الطلبات.</w:t>
      </w:r>
    </w:p>
    <w:p w:rsidR="00D45098" w:rsidRDefault="00D45098" w:rsidP="00C33FE8">
      <w:pPr>
        <w:pStyle w:val="NumberedParaAR"/>
        <w:rPr>
          <w:rtl/>
        </w:rPr>
      </w:pPr>
      <w:r>
        <w:rPr>
          <w:rtl/>
        </w:rPr>
        <w:t xml:space="preserve">ويهيئ </w:t>
      </w:r>
      <w:r w:rsidR="00496BF0">
        <w:rPr>
          <w:rtl/>
        </w:rPr>
        <w:t>نظام</w:t>
      </w:r>
      <w:r w:rsidR="00496BF0">
        <w:rPr>
          <w:rFonts w:hint="cs"/>
          <w:rtl/>
        </w:rPr>
        <w:t> </w:t>
      </w:r>
      <w:proofErr w:type="spellStart"/>
      <w:r w:rsidR="00496BF0">
        <w:t>ePCT</w:t>
      </w:r>
      <w:proofErr w:type="spellEnd"/>
      <w:r w:rsidR="00496BF0">
        <w:rPr>
          <w:rFonts w:hint="cs"/>
          <w:rtl/>
        </w:rPr>
        <w:t xml:space="preserve">، هو </w:t>
      </w:r>
      <w:r>
        <w:rPr>
          <w:rtl/>
        </w:rPr>
        <w:t>والتطورات التي شهدتها خدمات إلكترونية أخرى يستضيفها المكتب الدولي</w:t>
      </w:r>
      <w:r w:rsidR="00496BF0">
        <w:rPr>
          <w:rFonts w:hint="cs"/>
          <w:rtl/>
        </w:rPr>
        <w:t>،</w:t>
      </w:r>
      <w:r>
        <w:rPr>
          <w:rtl/>
        </w:rPr>
        <w:t xml:space="preserve"> فرصة لإضفاء تحسينات معتبرة على الخدمات المقدمة إلى مودعي الطلبات بموجب معاهدة التعاون بشأن البراءات من جميع الد</w:t>
      </w:r>
      <w:r w:rsidR="00496BF0">
        <w:rPr>
          <w:rtl/>
        </w:rPr>
        <w:t xml:space="preserve">ول المتعاقدة.  ويتطلب </w:t>
      </w:r>
      <w:r w:rsidR="00496BF0">
        <w:rPr>
          <w:rFonts w:hint="cs"/>
          <w:rtl/>
        </w:rPr>
        <w:t>ذلك</w:t>
      </w:r>
      <w:r w:rsidR="00496BF0">
        <w:rPr>
          <w:rtl/>
        </w:rPr>
        <w:t xml:space="preserve"> مزيدا</w:t>
      </w:r>
      <w:r>
        <w:rPr>
          <w:rtl/>
        </w:rPr>
        <w:t xml:space="preserve"> من المشاركة من جانب المكاتب الوطنية، لكن دون أن يقتضي بالضرورة زيادة معتبرة في التكاليف، بل إن فرص التوفير سانحة للكثير من المكاتب من حيث </w:t>
      </w:r>
      <w:r w:rsidR="00C33FE8">
        <w:rPr>
          <w:rFonts w:hint="cs"/>
          <w:rtl/>
        </w:rPr>
        <w:t>فترة</w:t>
      </w:r>
      <w:r>
        <w:rPr>
          <w:rtl/>
        </w:rPr>
        <w:t xml:space="preserve"> المعالجة وتكاليف المراسلات الب</w:t>
      </w:r>
      <w:r w:rsidR="00D06F29">
        <w:rPr>
          <w:rtl/>
        </w:rPr>
        <w:t xml:space="preserve">ريدية ومدى الاحتياج إلى دعم محلي </w:t>
      </w:r>
      <w:r w:rsidR="00D06F29">
        <w:rPr>
          <w:rFonts w:hint="cs"/>
          <w:rtl/>
        </w:rPr>
        <w:t xml:space="preserve">من قبل </w:t>
      </w:r>
      <w:r>
        <w:rPr>
          <w:rtl/>
        </w:rPr>
        <w:t>أنظمة تكنولوجيا المعلومات.</w:t>
      </w:r>
    </w:p>
    <w:p w:rsidR="005C64F7" w:rsidRDefault="00D06F29" w:rsidP="00D06F29">
      <w:pPr>
        <w:pStyle w:val="NumberedParaAR"/>
      </w:pPr>
      <w:r>
        <w:rPr>
          <w:rtl/>
        </w:rPr>
        <w:t>ويضع المكتب الدولي عددا</w:t>
      </w:r>
      <w:r w:rsidR="00D45098">
        <w:rPr>
          <w:rtl/>
        </w:rPr>
        <w:t xml:space="preserve"> من المجالات </w:t>
      </w:r>
      <w:r>
        <w:rPr>
          <w:rFonts w:hint="cs"/>
          <w:rtl/>
        </w:rPr>
        <w:t>ضمن</w:t>
      </w:r>
      <w:r>
        <w:rPr>
          <w:rtl/>
        </w:rPr>
        <w:t xml:space="preserve"> أولويات أعماله </w:t>
      </w:r>
      <w:r>
        <w:rPr>
          <w:rFonts w:hint="cs"/>
          <w:rtl/>
        </w:rPr>
        <w:t xml:space="preserve">خلال </w:t>
      </w:r>
      <w:r w:rsidR="00D45098">
        <w:rPr>
          <w:rtl/>
        </w:rPr>
        <w:t xml:space="preserve">عامي 2015 و2016، </w:t>
      </w:r>
      <w:r>
        <w:rPr>
          <w:rFonts w:hint="cs"/>
          <w:rtl/>
        </w:rPr>
        <w:t>و</w:t>
      </w:r>
      <w:r>
        <w:rPr>
          <w:rtl/>
        </w:rPr>
        <w:t xml:space="preserve">يتعلق </w:t>
      </w:r>
      <w:r w:rsidR="00D45098">
        <w:rPr>
          <w:rtl/>
        </w:rPr>
        <w:t xml:space="preserve">ذلك </w:t>
      </w:r>
      <w:r>
        <w:rPr>
          <w:rFonts w:hint="cs"/>
          <w:rtl/>
        </w:rPr>
        <w:t xml:space="preserve">أيضا </w:t>
      </w:r>
      <w:r w:rsidR="00D45098">
        <w:rPr>
          <w:rtl/>
        </w:rPr>
        <w:t>بمكاتب تسلم الطلبات والإدارات الدولية، وتشمل تلك المجالات ما يلي:</w:t>
      </w:r>
    </w:p>
    <w:p w:rsidR="00D45098" w:rsidRDefault="00D45098" w:rsidP="00D06F29">
      <w:pPr>
        <w:pStyle w:val="NumberedParaAR"/>
        <w:numPr>
          <w:ilvl w:val="0"/>
          <w:numId w:val="32"/>
        </w:numPr>
        <w:rPr>
          <w:rtl/>
        </w:rPr>
      </w:pPr>
      <w:r>
        <w:rPr>
          <w:rtl/>
        </w:rPr>
        <w:t>تمك</w:t>
      </w:r>
      <w:r w:rsidR="00D06F29">
        <w:rPr>
          <w:rFonts w:hint="cs"/>
          <w:rtl/>
        </w:rPr>
        <w:t>ّ</w:t>
      </w:r>
      <w:r>
        <w:rPr>
          <w:rtl/>
        </w:rPr>
        <w:t xml:space="preserve">ن عدد أكبر من مكاتب تسلم الطلبات من تلقي الطلبات الدولية التي تعد وتودع باستخدام </w:t>
      </w:r>
      <w:r w:rsidR="00D06F29">
        <w:rPr>
          <w:rtl/>
        </w:rPr>
        <w:t>نظام</w:t>
      </w:r>
      <w:r w:rsidR="00D06F29">
        <w:rPr>
          <w:rFonts w:hint="cs"/>
          <w:rtl/>
        </w:rPr>
        <w:t> </w:t>
      </w:r>
      <w:proofErr w:type="spellStart"/>
      <w:r w:rsidR="00D06F29">
        <w:t>ePCT</w:t>
      </w:r>
      <w:proofErr w:type="spellEnd"/>
      <w:r>
        <w:rPr>
          <w:rtl/>
        </w:rPr>
        <w:t>؛</w:t>
      </w:r>
    </w:p>
    <w:p w:rsidR="00D45098" w:rsidRDefault="00D45098" w:rsidP="00D06F29">
      <w:pPr>
        <w:pStyle w:val="NumberedParaAR"/>
        <w:numPr>
          <w:ilvl w:val="0"/>
          <w:numId w:val="32"/>
        </w:numPr>
        <w:rPr>
          <w:rtl/>
        </w:rPr>
      </w:pPr>
      <w:r>
        <w:rPr>
          <w:rtl/>
        </w:rPr>
        <w:lastRenderedPageBreak/>
        <w:t xml:space="preserve">وقبول مكاتب تسلم الطلبات والإدارات الدولية الوثائق المقدمة بعد الإيداع التي يرفعها المودع باستخدام </w:t>
      </w:r>
      <w:r w:rsidR="00D06F29">
        <w:rPr>
          <w:rtl/>
        </w:rPr>
        <w:t>نظام</w:t>
      </w:r>
      <w:r w:rsidR="00D06F29">
        <w:rPr>
          <w:rFonts w:hint="cs"/>
          <w:rtl/>
        </w:rPr>
        <w:t> </w:t>
      </w:r>
      <w:proofErr w:type="spellStart"/>
      <w:r w:rsidR="00D06F29">
        <w:t>ePCT</w:t>
      </w:r>
      <w:proofErr w:type="spellEnd"/>
      <w:r>
        <w:rPr>
          <w:rtl/>
        </w:rPr>
        <w:t>؛</w:t>
      </w:r>
    </w:p>
    <w:p w:rsidR="00D45098" w:rsidRDefault="00D45098" w:rsidP="00D06F29">
      <w:pPr>
        <w:pStyle w:val="NumberedParaAR"/>
        <w:numPr>
          <w:ilvl w:val="0"/>
          <w:numId w:val="32"/>
        </w:numPr>
        <w:rPr>
          <w:rtl/>
        </w:rPr>
      </w:pPr>
      <w:r>
        <w:rPr>
          <w:rtl/>
        </w:rPr>
        <w:t>ومو</w:t>
      </w:r>
      <w:r w:rsidR="00D06F29">
        <w:rPr>
          <w:rtl/>
        </w:rPr>
        <w:t>افاة مكاتب تسلم الطلبات وال</w:t>
      </w:r>
      <w:r w:rsidR="00D06F29">
        <w:rPr>
          <w:rFonts w:hint="cs"/>
          <w:rtl/>
        </w:rPr>
        <w:t>إدارات</w:t>
      </w:r>
      <w:r>
        <w:rPr>
          <w:rtl/>
        </w:rPr>
        <w:t xml:space="preserve"> الدولية المكتبَ الدولي بوثائق إضافية لإتاحتها للمودعين من خلال </w:t>
      </w:r>
      <w:r w:rsidR="00D06F29">
        <w:rPr>
          <w:rtl/>
        </w:rPr>
        <w:t>نظام</w:t>
      </w:r>
      <w:r w:rsidR="00D06F29">
        <w:rPr>
          <w:rFonts w:hint="cs"/>
          <w:rtl/>
        </w:rPr>
        <w:t> </w:t>
      </w:r>
      <w:proofErr w:type="spellStart"/>
      <w:r w:rsidR="00D06F29">
        <w:t>ePCT</w:t>
      </w:r>
      <w:proofErr w:type="spellEnd"/>
      <w:r>
        <w:rPr>
          <w:rtl/>
        </w:rPr>
        <w:t>؛</w:t>
      </w:r>
    </w:p>
    <w:p w:rsidR="00D45098" w:rsidRDefault="00D45098" w:rsidP="00D06F29">
      <w:pPr>
        <w:pStyle w:val="NumberedParaAR"/>
        <w:numPr>
          <w:ilvl w:val="0"/>
          <w:numId w:val="32"/>
        </w:numPr>
        <w:rPr>
          <w:rtl/>
        </w:rPr>
      </w:pPr>
      <w:r>
        <w:rPr>
          <w:rtl/>
        </w:rPr>
        <w:t xml:space="preserve">وتهيئة </w:t>
      </w:r>
      <w:r w:rsidR="00D06F29">
        <w:rPr>
          <w:rFonts w:hint="cs"/>
          <w:rtl/>
        </w:rPr>
        <w:t>الإدارات</w:t>
      </w:r>
      <w:r>
        <w:rPr>
          <w:rtl/>
        </w:rPr>
        <w:t xml:space="preserve"> الدولية المجال لتلقي نسخ البحث من مكاتب أخرى باعتبارها مكتب</w:t>
      </w:r>
      <w:r w:rsidR="00D06F29">
        <w:rPr>
          <w:rFonts w:hint="cs"/>
          <w:rtl/>
        </w:rPr>
        <w:t>ا</w:t>
      </w:r>
      <w:r>
        <w:rPr>
          <w:rtl/>
        </w:rPr>
        <w:t xml:space="preserve"> </w:t>
      </w:r>
      <w:r w:rsidR="00D06F29">
        <w:rPr>
          <w:rFonts w:hint="cs"/>
          <w:rtl/>
        </w:rPr>
        <w:t>ل</w:t>
      </w:r>
      <w:r w:rsidR="00D06F29">
        <w:rPr>
          <w:rtl/>
        </w:rPr>
        <w:t xml:space="preserve">تسلم الطلبات عبر </w:t>
      </w:r>
      <w:r>
        <w:rPr>
          <w:rtl/>
        </w:rPr>
        <w:t xml:space="preserve">أنظمة </w:t>
      </w:r>
      <w:r w:rsidR="00D06F29">
        <w:rPr>
          <w:rFonts w:hint="cs"/>
          <w:rtl/>
        </w:rPr>
        <w:t>ال</w:t>
      </w:r>
      <w:r w:rsidR="00D06F29">
        <w:rPr>
          <w:rtl/>
        </w:rPr>
        <w:t xml:space="preserve">مكتب الدولي </w:t>
      </w:r>
      <w:r>
        <w:rPr>
          <w:rtl/>
        </w:rPr>
        <w:t>الإلكترونية باستخدام خدمة نُسخ البحث الإلكترونية (</w:t>
      </w:r>
      <w:proofErr w:type="spellStart"/>
      <w:r>
        <w:t>eSearchCopy</w:t>
      </w:r>
      <w:proofErr w:type="spellEnd"/>
      <w:r>
        <w:rPr>
          <w:rtl/>
        </w:rPr>
        <w:t>)؛</w:t>
      </w:r>
    </w:p>
    <w:p w:rsidR="00D45098" w:rsidRDefault="00D45098" w:rsidP="00D06F29">
      <w:pPr>
        <w:pStyle w:val="NumberedParaAR"/>
        <w:numPr>
          <w:ilvl w:val="0"/>
          <w:numId w:val="32"/>
        </w:numPr>
        <w:rPr>
          <w:rtl/>
        </w:rPr>
      </w:pPr>
      <w:r>
        <w:rPr>
          <w:rtl/>
        </w:rPr>
        <w:t>والتحو</w:t>
      </w:r>
      <w:r w:rsidR="00D06F29">
        <w:rPr>
          <w:rFonts w:hint="cs"/>
          <w:rtl/>
        </w:rPr>
        <w:t>ّ</w:t>
      </w:r>
      <w:r>
        <w:rPr>
          <w:rtl/>
        </w:rPr>
        <w:t>ل نحو تبادل ال</w:t>
      </w:r>
      <w:r w:rsidR="00D06F29">
        <w:rPr>
          <w:rtl/>
        </w:rPr>
        <w:t>بيانات القابلة للاستخدام مباشرة بدلا</w:t>
      </w:r>
      <w:r w:rsidR="00D06F29">
        <w:rPr>
          <w:rFonts w:hint="cs"/>
          <w:rtl/>
        </w:rPr>
        <w:t xml:space="preserve"> </w:t>
      </w:r>
      <w:r>
        <w:rPr>
          <w:rtl/>
        </w:rPr>
        <w:t xml:space="preserve">من النماذج القائمة على الصور، خاصة في حالات تقارير البحث الدولي والمعلومات المتعلقة بمعلومات </w:t>
      </w:r>
      <w:r w:rsidR="00D06F29">
        <w:rPr>
          <w:rFonts w:hint="cs"/>
          <w:rtl/>
        </w:rPr>
        <w:t>الوضع</w:t>
      </w:r>
      <w:r>
        <w:rPr>
          <w:rtl/>
        </w:rPr>
        <w:t xml:space="preserve"> </w:t>
      </w:r>
      <w:r w:rsidR="00D06F29">
        <w:rPr>
          <w:rFonts w:hint="cs"/>
          <w:rtl/>
        </w:rPr>
        <w:t>ال</w:t>
      </w:r>
      <w:r>
        <w:rPr>
          <w:rtl/>
        </w:rPr>
        <w:t>مهمة، مثل تلقي نسخة البحث؛</w:t>
      </w:r>
    </w:p>
    <w:p w:rsidR="00D45098" w:rsidRDefault="00D45098" w:rsidP="005111C1">
      <w:pPr>
        <w:pStyle w:val="NumberedParaAR"/>
        <w:numPr>
          <w:ilvl w:val="0"/>
          <w:numId w:val="32"/>
        </w:numPr>
      </w:pPr>
      <w:r>
        <w:rPr>
          <w:rtl/>
        </w:rPr>
        <w:t>وتبيُّن فرص تحسين كفاءة نظام معاهدة التعاون بشأن البراءات بأكمله أو ف</w:t>
      </w:r>
      <w:r w:rsidR="005111C1">
        <w:rPr>
          <w:rtl/>
        </w:rPr>
        <w:t xml:space="preserve">وائده عن طريق تمكين تفاعلات </w:t>
      </w:r>
      <w:r w:rsidR="005111C1">
        <w:rPr>
          <w:rFonts w:hint="cs"/>
          <w:rtl/>
        </w:rPr>
        <w:t xml:space="preserve">مناسبة التوقيت تقريبا </w:t>
      </w:r>
      <w:r>
        <w:rPr>
          <w:rtl/>
        </w:rPr>
        <w:t>فيما بين المكاتب أو بين المودعين والمكاتب باستخدام خدمات الويب.</w:t>
      </w:r>
    </w:p>
    <w:p w:rsidR="00926C65" w:rsidRPr="00926C65" w:rsidRDefault="005111C1" w:rsidP="00926C65">
      <w:pPr>
        <w:pStyle w:val="NormalParaAR"/>
        <w:keepNext/>
        <w:rPr>
          <w:b/>
          <w:bCs/>
          <w:sz w:val="40"/>
          <w:szCs w:val="40"/>
          <w:rtl/>
        </w:rPr>
      </w:pPr>
      <w:r>
        <w:rPr>
          <w:rFonts w:hint="cs"/>
          <w:b/>
          <w:bCs/>
          <w:sz w:val="40"/>
          <w:szCs w:val="40"/>
          <w:rtl/>
        </w:rPr>
        <w:t>معلومات</w:t>
      </w:r>
      <w:r w:rsidR="003A2BE9">
        <w:rPr>
          <w:rFonts w:hint="cs"/>
          <w:b/>
          <w:bCs/>
          <w:sz w:val="40"/>
          <w:szCs w:val="40"/>
          <w:rtl/>
        </w:rPr>
        <w:t xml:space="preserve"> عام</w:t>
      </w:r>
      <w:r>
        <w:rPr>
          <w:rFonts w:hint="cs"/>
          <w:b/>
          <w:bCs/>
          <w:sz w:val="40"/>
          <w:szCs w:val="40"/>
          <w:rtl/>
        </w:rPr>
        <w:t>ة</w:t>
      </w:r>
    </w:p>
    <w:p w:rsidR="003A2BE9" w:rsidRDefault="003A2BE9" w:rsidP="00470B27">
      <w:pPr>
        <w:pStyle w:val="NumberedParaAR"/>
        <w:rPr>
          <w:rtl/>
        </w:rPr>
      </w:pPr>
      <w:r>
        <w:rPr>
          <w:rtl/>
        </w:rPr>
        <w:t>ظل</w:t>
      </w:r>
      <w:r w:rsidR="005111C1">
        <w:rPr>
          <w:rFonts w:hint="cs"/>
          <w:rtl/>
        </w:rPr>
        <w:t>ّ</w:t>
      </w:r>
      <w:r w:rsidR="005111C1">
        <w:rPr>
          <w:rtl/>
        </w:rPr>
        <w:t xml:space="preserve"> المكتب الدولي</w:t>
      </w:r>
      <w:r w:rsidR="005111C1">
        <w:rPr>
          <w:rFonts w:hint="cs"/>
          <w:rtl/>
        </w:rPr>
        <w:t>، طيلة أعوام عديدة،</w:t>
      </w:r>
      <w:r>
        <w:rPr>
          <w:rtl/>
        </w:rPr>
        <w:t xml:space="preserve"> يدعم مجموعة متنوعة من الخدمات الإلكترونية التي تساعد في أداء مهامه ومهام مكاتب تسلم الطلبات وإدارات البحث الدولي وإدارات الفحص التمهيدي الدولي ("الإدارات الدولية") والمكاتب المعيَّنة والمكاتب المنتخبة ("المكاتب المعيَّنة").  وقد حققت </w:t>
      </w:r>
      <w:r w:rsidR="005111C1">
        <w:rPr>
          <w:rFonts w:hint="cs"/>
          <w:rtl/>
        </w:rPr>
        <w:t>تلك</w:t>
      </w:r>
      <w:r w:rsidR="005111C1">
        <w:rPr>
          <w:rtl/>
        </w:rPr>
        <w:t xml:space="preserve"> الخدمات نجاحا بالغا</w:t>
      </w:r>
      <w:r>
        <w:rPr>
          <w:rtl/>
        </w:rPr>
        <w:t xml:space="preserve"> في مجملها، حيث بلغت نسبة الطلبات الدولية المودعة التي وردت </w:t>
      </w:r>
      <w:r w:rsidR="005111C1">
        <w:rPr>
          <w:rtl/>
        </w:rPr>
        <w:t xml:space="preserve">خلال </w:t>
      </w:r>
      <w:r w:rsidR="005111C1">
        <w:rPr>
          <w:rFonts w:hint="cs"/>
          <w:rtl/>
        </w:rPr>
        <w:t>ال</w:t>
      </w:r>
      <w:r w:rsidR="005111C1">
        <w:rPr>
          <w:rtl/>
        </w:rPr>
        <w:t xml:space="preserve">أشهر الستة الأخيرة بنسق إلكتروني كامل 92 </w:t>
      </w:r>
      <w:r w:rsidR="005111C1">
        <w:rPr>
          <w:rFonts w:hint="cs"/>
          <w:rtl/>
        </w:rPr>
        <w:t>ب</w:t>
      </w:r>
      <w:r>
        <w:rPr>
          <w:rtl/>
        </w:rPr>
        <w:t>المائة</w:t>
      </w:r>
      <w:r w:rsidR="005111C1">
        <w:rPr>
          <w:rFonts w:hint="cs"/>
          <w:rtl/>
        </w:rPr>
        <w:t xml:space="preserve"> تقريبا</w:t>
      </w:r>
      <w:r>
        <w:rPr>
          <w:rtl/>
        </w:rPr>
        <w:t>، وأرسلت الغالبية العظمى من الوثائق المتبادلة بين المكتب الدولي والمكاتب الوطنية على اختلاف مستوى أعمالها المتعلقة بمعاهدة التعا</w:t>
      </w:r>
      <w:r w:rsidR="005111C1">
        <w:rPr>
          <w:rtl/>
        </w:rPr>
        <w:t>ون بشأن البراءات بنسق إلكتروني</w:t>
      </w:r>
      <w:r w:rsidR="005111C1">
        <w:rPr>
          <w:rFonts w:hint="cs"/>
          <w:rtl/>
        </w:rPr>
        <w:t>. ومكّن ذلك</w:t>
      </w:r>
      <w:r w:rsidR="005111C1">
        <w:rPr>
          <w:rtl/>
        </w:rPr>
        <w:t xml:space="preserve"> </w:t>
      </w:r>
      <w:r w:rsidR="005111C1">
        <w:rPr>
          <w:rFonts w:hint="cs"/>
          <w:rtl/>
        </w:rPr>
        <w:t xml:space="preserve">من </w:t>
      </w:r>
      <w:r>
        <w:rPr>
          <w:rtl/>
        </w:rPr>
        <w:t xml:space="preserve">تحقيق أوجه كفاءة معتبرة في تكاليف المراسلات البريدية وما </w:t>
      </w:r>
      <w:r w:rsidR="005111C1">
        <w:rPr>
          <w:rtl/>
        </w:rPr>
        <w:t>يقترن ب</w:t>
      </w:r>
      <w:r w:rsidR="00470B27">
        <w:rPr>
          <w:rtl/>
        </w:rPr>
        <w:t>ها من حالات تأخير و</w:t>
      </w:r>
      <w:r w:rsidR="00470B27">
        <w:rPr>
          <w:rFonts w:hint="cs"/>
          <w:rtl/>
        </w:rPr>
        <w:t>ضمان ال</w:t>
      </w:r>
      <w:r>
        <w:rPr>
          <w:rtl/>
        </w:rPr>
        <w:t>سرعة و</w:t>
      </w:r>
      <w:r w:rsidR="00470B27">
        <w:rPr>
          <w:rFonts w:hint="cs"/>
          <w:rtl/>
        </w:rPr>
        <w:t>ال</w:t>
      </w:r>
      <w:r>
        <w:rPr>
          <w:rtl/>
        </w:rPr>
        <w:t xml:space="preserve">دقة </w:t>
      </w:r>
      <w:r w:rsidR="00470B27">
        <w:rPr>
          <w:rFonts w:hint="cs"/>
          <w:rtl/>
        </w:rPr>
        <w:t xml:space="preserve">في تحديد العمل الذي ينبغي إنجازه في </w:t>
      </w:r>
      <w:r>
        <w:rPr>
          <w:rtl/>
        </w:rPr>
        <w:t xml:space="preserve">ملف الطلب الدولي </w:t>
      </w:r>
      <w:r w:rsidR="00470B27">
        <w:rPr>
          <w:rFonts w:hint="cs"/>
          <w:rtl/>
        </w:rPr>
        <w:t>المناسب</w:t>
      </w:r>
      <w:r>
        <w:rPr>
          <w:rtl/>
        </w:rPr>
        <w:t xml:space="preserve"> والموظفين </w:t>
      </w:r>
      <w:r w:rsidR="00470B27">
        <w:rPr>
          <w:rFonts w:hint="cs"/>
          <w:rtl/>
        </w:rPr>
        <w:t>المناسبين</w:t>
      </w:r>
      <w:r w:rsidR="00470B27">
        <w:rPr>
          <w:rtl/>
        </w:rPr>
        <w:t xml:space="preserve"> </w:t>
      </w:r>
      <w:r w:rsidR="00470B27">
        <w:rPr>
          <w:rFonts w:hint="cs"/>
          <w:rtl/>
        </w:rPr>
        <w:t>ل</w:t>
      </w:r>
      <w:r w:rsidR="00470B27">
        <w:rPr>
          <w:rtl/>
        </w:rPr>
        <w:t xml:space="preserve">لتعامل مع نوع </w:t>
      </w:r>
      <w:r w:rsidR="00470B27">
        <w:rPr>
          <w:rFonts w:hint="cs"/>
          <w:rtl/>
        </w:rPr>
        <w:t>معيّن من ال</w:t>
      </w:r>
      <w:r w:rsidR="00470B27">
        <w:rPr>
          <w:rtl/>
        </w:rPr>
        <w:t>وث</w:t>
      </w:r>
      <w:r w:rsidR="00470B27">
        <w:rPr>
          <w:rFonts w:hint="cs"/>
          <w:rtl/>
        </w:rPr>
        <w:t>ائق</w:t>
      </w:r>
      <w:r>
        <w:rPr>
          <w:rtl/>
        </w:rPr>
        <w:t>.</w:t>
      </w:r>
    </w:p>
    <w:p w:rsidR="003A2BE9" w:rsidRDefault="003A2BE9" w:rsidP="00ED1816">
      <w:pPr>
        <w:pStyle w:val="NumberedParaAR"/>
        <w:rPr>
          <w:rtl/>
        </w:rPr>
      </w:pPr>
      <w:r>
        <w:rPr>
          <w:rtl/>
        </w:rPr>
        <w:t xml:space="preserve">غير أن توقعات المستخدمين والتحديات التي تواجهها المكاتب والإمكانات التقنية تختلف مع </w:t>
      </w:r>
      <w:r w:rsidR="00FC4E13">
        <w:rPr>
          <w:rFonts w:hint="cs"/>
          <w:rtl/>
        </w:rPr>
        <w:t xml:space="preserve">مرور </w:t>
      </w:r>
      <w:r w:rsidR="00FC4E13">
        <w:rPr>
          <w:rtl/>
        </w:rPr>
        <w:t xml:space="preserve">الوقت. </w:t>
      </w:r>
      <w:r>
        <w:rPr>
          <w:rtl/>
        </w:rPr>
        <w:t xml:space="preserve">وتوجد رغبة </w:t>
      </w:r>
      <w:r w:rsidR="00FC4E13">
        <w:rPr>
          <w:rFonts w:hint="cs"/>
          <w:rtl/>
        </w:rPr>
        <w:t>مطردة</w:t>
      </w:r>
      <w:r>
        <w:rPr>
          <w:rtl/>
        </w:rPr>
        <w:t xml:space="preserve"> في الحصول على معلومات أعلى جودة فيما يتعلق بالطلبات الدولية، وذلك من جانب المودعين الراغبين في </w:t>
      </w:r>
      <w:r w:rsidR="00FC4E13">
        <w:rPr>
          <w:rFonts w:hint="cs"/>
          <w:rtl/>
        </w:rPr>
        <w:t>إدارة</w:t>
      </w:r>
      <w:r>
        <w:rPr>
          <w:rtl/>
        </w:rPr>
        <w:t xml:space="preserve"> طلباتهم بفعالية ومن جانب الأطراف الأخرى الراغبة في رصد ال</w:t>
      </w:r>
      <w:r w:rsidR="00FC4E13">
        <w:rPr>
          <w:rtl/>
        </w:rPr>
        <w:t>تطور التكنولوجي ورصد منافسيه</w:t>
      </w:r>
      <w:r w:rsidR="00FC4E13">
        <w:rPr>
          <w:rFonts w:hint="cs"/>
          <w:rtl/>
        </w:rPr>
        <w:t>ا</w:t>
      </w:r>
      <w:r w:rsidR="00FC4E13">
        <w:rPr>
          <w:rtl/>
        </w:rPr>
        <w:t>. و</w:t>
      </w:r>
      <w:r w:rsidR="00FC4E13">
        <w:rPr>
          <w:rFonts w:hint="cs"/>
          <w:rtl/>
        </w:rPr>
        <w:t xml:space="preserve">هناك تزايد مطرد أيضا في </w:t>
      </w:r>
      <w:r>
        <w:rPr>
          <w:rtl/>
        </w:rPr>
        <w:t>تنوع الطلبات الدولية</w:t>
      </w:r>
      <w:r w:rsidR="00FC4E13">
        <w:rPr>
          <w:rFonts w:hint="cs"/>
          <w:rtl/>
        </w:rPr>
        <w:t>،</w:t>
      </w:r>
      <w:r>
        <w:rPr>
          <w:rtl/>
        </w:rPr>
        <w:t xml:space="preserve"> سواء من حيث المصدر الجغرافي أو من حيث اللغات المست</w:t>
      </w:r>
      <w:r w:rsidR="00FC4E13">
        <w:rPr>
          <w:rtl/>
        </w:rPr>
        <w:t xml:space="preserve">خدمة في الإيداع والبحث والنشر. </w:t>
      </w:r>
      <w:r>
        <w:rPr>
          <w:rtl/>
        </w:rPr>
        <w:t xml:space="preserve">وتتلقى عدة إدارات نسبة معتبرة من عملها من مكاتب </w:t>
      </w:r>
      <w:r w:rsidR="00FC4E13">
        <w:rPr>
          <w:rFonts w:hint="cs"/>
          <w:rtl/>
        </w:rPr>
        <w:t>ل</w:t>
      </w:r>
      <w:r>
        <w:rPr>
          <w:rtl/>
        </w:rPr>
        <w:t xml:space="preserve">تسلم </w:t>
      </w:r>
      <w:r w:rsidR="00FC4E13">
        <w:rPr>
          <w:rFonts w:hint="cs"/>
          <w:rtl/>
        </w:rPr>
        <w:t>ال</w:t>
      </w:r>
      <w:r>
        <w:rPr>
          <w:rtl/>
        </w:rPr>
        <w:t xml:space="preserve">طلبات موجودة في مناطق جغرافية تختلف </w:t>
      </w:r>
      <w:r w:rsidR="00FC4E13">
        <w:rPr>
          <w:rFonts w:hint="cs"/>
          <w:rtl/>
        </w:rPr>
        <w:t xml:space="preserve">كثيرا </w:t>
      </w:r>
      <w:r>
        <w:rPr>
          <w:rtl/>
        </w:rPr>
        <w:t>فيما بينها</w:t>
      </w:r>
      <w:r w:rsidR="00FC4E13">
        <w:rPr>
          <w:rtl/>
        </w:rPr>
        <w:t xml:space="preserve">. </w:t>
      </w:r>
      <w:r>
        <w:rPr>
          <w:rtl/>
        </w:rPr>
        <w:t>وقد نف</w:t>
      </w:r>
      <w:r w:rsidR="00FC4E13">
        <w:rPr>
          <w:rFonts w:hint="cs"/>
          <w:rtl/>
        </w:rPr>
        <w:t>ّ</w:t>
      </w:r>
      <w:r w:rsidR="00ED1816">
        <w:rPr>
          <w:rtl/>
        </w:rPr>
        <w:t xml:space="preserve">ذت مكاتب مختلفة خدمات </w:t>
      </w:r>
      <w:r>
        <w:rPr>
          <w:rtl/>
        </w:rPr>
        <w:t xml:space="preserve">إلكترونية في </w:t>
      </w:r>
      <w:r w:rsidR="00FC4E13">
        <w:rPr>
          <w:rFonts w:hint="cs"/>
          <w:rtl/>
        </w:rPr>
        <w:t>مراحل</w:t>
      </w:r>
      <w:r>
        <w:rPr>
          <w:rtl/>
        </w:rPr>
        <w:t xml:space="preserve"> مختلفة، حسب التكنولوجيا المتاحة </w:t>
      </w:r>
      <w:r w:rsidR="00ED1816">
        <w:rPr>
          <w:rFonts w:hint="cs"/>
          <w:rtl/>
        </w:rPr>
        <w:t>حينها</w:t>
      </w:r>
      <w:r w:rsidR="00ED1816">
        <w:rPr>
          <w:rtl/>
        </w:rPr>
        <w:t>. وت</w:t>
      </w:r>
      <w:r w:rsidR="00ED1816">
        <w:rPr>
          <w:rFonts w:hint="cs"/>
          <w:rtl/>
        </w:rPr>
        <w:t xml:space="preserve">طرح </w:t>
      </w:r>
      <w:r w:rsidR="00ED1816">
        <w:rPr>
          <w:rtl/>
        </w:rPr>
        <w:t>صيانة أنظمة متعددة بشكل متواز عبئا</w:t>
      </w:r>
      <w:r>
        <w:rPr>
          <w:rtl/>
        </w:rPr>
        <w:t xml:space="preserve"> متزايد التعقيد، مما يحد من القدرة على تطوير خدمات جديدة </w:t>
      </w:r>
      <w:r w:rsidR="00ED1816">
        <w:rPr>
          <w:rFonts w:hint="cs"/>
          <w:rtl/>
        </w:rPr>
        <w:t>لل</w:t>
      </w:r>
      <w:r w:rsidR="00ED1816">
        <w:rPr>
          <w:rtl/>
        </w:rPr>
        <w:t>وفاء بالتوقعات ب</w:t>
      </w:r>
      <w:r w:rsidR="00ED1816">
        <w:rPr>
          <w:rFonts w:hint="cs"/>
          <w:rtl/>
        </w:rPr>
        <w:t>مزيد من ال</w:t>
      </w:r>
      <w:r>
        <w:rPr>
          <w:rtl/>
        </w:rPr>
        <w:t>فعالية.</w:t>
      </w:r>
    </w:p>
    <w:p w:rsidR="003A2BE9" w:rsidRDefault="00ED1816" w:rsidP="003A2BE9">
      <w:pPr>
        <w:pStyle w:val="NumberedParaAR"/>
        <w:rPr>
          <w:rtl/>
        </w:rPr>
      </w:pPr>
      <w:r>
        <w:rPr>
          <w:rtl/>
        </w:rPr>
        <w:t>و</w:t>
      </w:r>
      <w:r>
        <w:rPr>
          <w:rFonts w:hint="cs"/>
          <w:rtl/>
        </w:rPr>
        <w:t xml:space="preserve">في حين </w:t>
      </w:r>
      <w:r w:rsidR="003A2BE9">
        <w:rPr>
          <w:rtl/>
        </w:rPr>
        <w:t>يرغب المكتب الد</w:t>
      </w:r>
      <w:r>
        <w:rPr>
          <w:rtl/>
        </w:rPr>
        <w:t>ولي في تحسين خدماته الشبكية، ف</w:t>
      </w:r>
      <w:r>
        <w:rPr>
          <w:rFonts w:hint="cs"/>
          <w:rtl/>
        </w:rPr>
        <w:t>إنه</w:t>
      </w:r>
      <w:r w:rsidR="003A2BE9">
        <w:rPr>
          <w:rtl/>
        </w:rPr>
        <w:t xml:space="preserve"> يرغب كذلك في توحيدها وفي دع</w:t>
      </w:r>
      <w:r>
        <w:rPr>
          <w:rtl/>
        </w:rPr>
        <w:t>م اعتماد المكاتب الوطنية ل</w:t>
      </w:r>
      <w:r>
        <w:rPr>
          <w:rFonts w:hint="cs"/>
          <w:rtl/>
        </w:rPr>
        <w:t>تكنولوجيات جديدة</w:t>
      </w:r>
      <w:r>
        <w:rPr>
          <w:rtl/>
        </w:rPr>
        <w:t>، مما يتيح للمكاتب أن تعمل معا بفعالية أك</w:t>
      </w:r>
      <w:r>
        <w:rPr>
          <w:rFonts w:hint="cs"/>
          <w:rtl/>
        </w:rPr>
        <w:t>ب</w:t>
      </w:r>
      <w:r w:rsidR="003A2BE9">
        <w:rPr>
          <w:rtl/>
        </w:rPr>
        <w:t>ر لزيادة المنفعة التي يعود بها نظام معاهدة التعاون بشأن البراءات ككل على المودعين والمكاتب والأطراف الأخرى على حد سواء.</w:t>
      </w:r>
    </w:p>
    <w:p w:rsidR="005C4E31" w:rsidRDefault="003A2BE9" w:rsidP="00ED1816">
      <w:pPr>
        <w:pStyle w:val="NumberedParaAR"/>
      </w:pPr>
      <w:r>
        <w:rPr>
          <w:rtl/>
        </w:rPr>
        <w:t xml:space="preserve">وقد اتُخذت بعض الخطوات المهمة، مثل القرار </w:t>
      </w:r>
      <w:r w:rsidR="00ED1816">
        <w:rPr>
          <w:rFonts w:hint="cs"/>
          <w:rtl/>
        </w:rPr>
        <w:t>بوقف</w:t>
      </w:r>
      <w:r>
        <w:rPr>
          <w:rtl/>
        </w:rPr>
        <w:t xml:space="preserve"> الإيداع عبر نظام</w:t>
      </w:r>
      <w:r w:rsidR="00ED1816">
        <w:rPr>
          <w:rFonts w:hint="cs"/>
          <w:rtl/>
        </w:rPr>
        <w:t> </w:t>
      </w:r>
      <w:r>
        <w:t>PCT-EASY</w:t>
      </w:r>
      <w:r w:rsidR="00ED1816">
        <w:rPr>
          <w:rtl/>
        </w:rPr>
        <w:t xml:space="preserve"> اعتبارا من شهر يولي</w:t>
      </w:r>
      <w:r w:rsidR="00ED1816">
        <w:rPr>
          <w:rFonts w:hint="cs"/>
          <w:rtl/>
        </w:rPr>
        <w:t>و </w:t>
      </w:r>
      <w:r>
        <w:rPr>
          <w:rtl/>
        </w:rPr>
        <w:t>2015 والتركيز على تشجيع إتاحة الإيداع الإلكتروني الكامل واستخدام</w:t>
      </w:r>
      <w:r w:rsidR="00ED1816">
        <w:rPr>
          <w:rtl/>
        </w:rPr>
        <w:t xml:space="preserve">ه لدى مكاتب تسلم الطلبات كافة. </w:t>
      </w:r>
      <w:r>
        <w:rPr>
          <w:rtl/>
        </w:rPr>
        <w:t>ويواصل المكتب الدولي تطوير</w:t>
      </w:r>
      <w:r w:rsidR="00ED1816">
        <w:rPr>
          <w:rtl/>
        </w:rPr>
        <w:t xml:space="preserve"> الخدمات التي يقدمها بشكل مباشر</w:t>
      </w:r>
      <w:r w:rsidR="00ED1816">
        <w:rPr>
          <w:rFonts w:hint="cs"/>
          <w:rtl/>
        </w:rPr>
        <w:t>.</w:t>
      </w:r>
      <w:r>
        <w:rPr>
          <w:rtl/>
        </w:rPr>
        <w:t xml:space="preserve"> غير أن إدخال أهم التحسينات الإضافية على النظام يتطلب مشاركة من المكاتب الوطنية، إما باستخدام الخدمات القائمة على برامج التصفح مباشرة أو بتحسين أنظمة تكنولوجيا المعلومات المحلية لديها بحيث </w:t>
      </w:r>
      <w:r>
        <w:rPr>
          <w:rtl/>
        </w:rPr>
        <w:lastRenderedPageBreak/>
        <w:t xml:space="preserve">تحقق الانتفاع الأمثل من الخدمات الجديدة المقدمة، سواء كان ذلك لصالحها هي أو لصالح المودعين الذين يتعاملون معها باعتبارها مكاتب </w:t>
      </w:r>
      <w:r w:rsidR="00ED1816">
        <w:rPr>
          <w:rFonts w:hint="cs"/>
          <w:rtl/>
        </w:rPr>
        <w:t>ل</w:t>
      </w:r>
      <w:r>
        <w:rPr>
          <w:rtl/>
        </w:rPr>
        <w:t>تسلم طلبات أو إدارات دولية.</w:t>
      </w:r>
    </w:p>
    <w:p w:rsidR="00317E9D" w:rsidRDefault="00DC261E" w:rsidP="00317E9D">
      <w:pPr>
        <w:pStyle w:val="NormalParaAR"/>
        <w:keepNext/>
        <w:rPr>
          <w:b/>
          <w:bCs/>
          <w:sz w:val="40"/>
          <w:szCs w:val="40"/>
          <w:rtl/>
        </w:rPr>
      </w:pPr>
      <w:r>
        <w:rPr>
          <w:rFonts w:hint="cs"/>
          <w:b/>
          <w:bCs/>
          <w:sz w:val="40"/>
          <w:szCs w:val="40"/>
          <w:rtl/>
        </w:rPr>
        <w:t>وضع الخدمات</w:t>
      </w:r>
    </w:p>
    <w:p w:rsidR="009C6EDA" w:rsidRPr="009C6EDA" w:rsidRDefault="009C6EDA" w:rsidP="009C6EDA">
      <w:pPr>
        <w:pStyle w:val="NormalParaAR"/>
        <w:keepNext/>
        <w:rPr>
          <w:rtl/>
        </w:rPr>
      </w:pPr>
      <w:r w:rsidRPr="009C6EDA">
        <w:rPr>
          <w:rtl/>
        </w:rPr>
        <w:t>النظام الإلكتروني لمعاهدة التعاون بشأن البراءات (</w:t>
      </w:r>
      <w:proofErr w:type="spellStart"/>
      <w:r>
        <w:t>ePCT</w:t>
      </w:r>
      <w:proofErr w:type="spellEnd"/>
      <w:r w:rsidRPr="009C6EDA">
        <w:rPr>
          <w:rtl/>
        </w:rPr>
        <w:t>)</w:t>
      </w:r>
    </w:p>
    <w:p w:rsidR="009C6EDA" w:rsidRDefault="00ED1816" w:rsidP="00ED1816">
      <w:pPr>
        <w:pStyle w:val="NumberedParaAR"/>
        <w:tabs>
          <w:tab w:val="clear" w:pos="567"/>
          <w:tab w:val="num" w:pos="1"/>
        </w:tabs>
      </w:pPr>
      <w:r>
        <w:rPr>
          <w:rtl/>
        </w:rPr>
        <w:t xml:space="preserve">يتيح </w:t>
      </w:r>
      <w:r w:rsidR="009C6EDA">
        <w:rPr>
          <w:rtl/>
        </w:rPr>
        <w:t>نظام</w:t>
      </w:r>
      <w:r>
        <w:rPr>
          <w:rFonts w:hint="cs"/>
          <w:rtl/>
        </w:rPr>
        <w:t> </w:t>
      </w:r>
      <w:proofErr w:type="spellStart"/>
      <w:r w:rsidR="009C6EDA">
        <w:t>ePCT</w:t>
      </w:r>
      <w:proofErr w:type="spellEnd"/>
      <w:r w:rsidR="009C6EDA">
        <w:rPr>
          <w:rtl/>
        </w:rPr>
        <w:t xml:space="preserve"> مجموعة متنوعة من الخدمات للمودعين والمكاتب من خلال واجهة</w:t>
      </w:r>
      <w:r>
        <w:rPr>
          <w:rtl/>
        </w:rPr>
        <w:t xml:space="preserve"> تعامل قائمة على برامج التصفح. </w:t>
      </w:r>
      <w:r w:rsidR="009C6EDA">
        <w:rPr>
          <w:rtl/>
        </w:rPr>
        <w:t>وقد أتيحت واجهة التعامل منذ 16 أبريل 2015 بلغات النشر العشر</w:t>
      </w:r>
      <w:r>
        <w:rPr>
          <w:rtl/>
        </w:rPr>
        <w:t xml:space="preserve"> جميعا</w:t>
      </w:r>
      <w:r w:rsidR="009C6EDA">
        <w:rPr>
          <w:rtl/>
        </w:rPr>
        <w:t xml:space="preserve">، مما سهَّل نفاذ المودعين والمكاتب في </w:t>
      </w:r>
      <w:r w:rsidR="00E420F6">
        <w:rPr>
          <w:rtl/>
        </w:rPr>
        <w:t xml:space="preserve">أرجاء العالم كافة إلى </w:t>
      </w:r>
      <w:r w:rsidR="00E420F6">
        <w:rPr>
          <w:rFonts w:hint="cs"/>
          <w:rtl/>
        </w:rPr>
        <w:t>ال</w:t>
      </w:r>
      <w:r w:rsidR="00E420F6">
        <w:rPr>
          <w:rtl/>
        </w:rPr>
        <w:t xml:space="preserve">وظائف </w:t>
      </w:r>
      <w:r w:rsidR="00E420F6">
        <w:rPr>
          <w:rFonts w:hint="cs"/>
          <w:rtl/>
        </w:rPr>
        <w:t>الخاصة ب</w:t>
      </w:r>
      <w:r w:rsidR="009C6EDA">
        <w:rPr>
          <w:rtl/>
        </w:rPr>
        <w:t>إيداع المرحلة ا</w:t>
      </w:r>
      <w:r w:rsidR="00E420F6">
        <w:rPr>
          <w:rtl/>
        </w:rPr>
        <w:t>لدولية من الطلبات المقدمة ب</w:t>
      </w:r>
      <w:r w:rsidR="00E420F6">
        <w:rPr>
          <w:rFonts w:hint="cs"/>
          <w:rtl/>
        </w:rPr>
        <w:t>ناء على</w:t>
      </w:r>
      <w:r w:rsidR="009C6EDA">
        <w:rPr>
          <w:rtl/>
        </w:rPr>
        <w:t xml:space="preserve"> معاهدة التعاو</w:t>
      </w:r>
      <w:r w:rsidR="00E420F6">
        <w:rPr>
          <w:rtl/>
        </w:rPr>
        <w:t>ن بشأن البراءات</w:t>
      </w:r>
      <w:r w:rsidR="00E420F6">
        <w:rPr>
          <w:rFonts w:hint="cs"/>
          <w:rtl/>
        </w:rPr>
        <w:t>،</w:t>
      </w:r>
      <w:r w:rsidR="00E420F6">
        <w:rPr>
          <w:rtl/>
        </w:rPr>
        <w:t xml:space="preserve"> ورصدها وم</w:t>
      </w:r>
      <w:r w:rsidR="00E420F6">
        <w:rPr>
          <w:rFonts w:hint="cs"/>
          <w:rtl/>
        </w:rPr>
        <w:t>عالجتها</w:t>
      </w:r>
      <w:r w:rsidR="009C6EDA">
        <w:rPr>
          <w:rtl/>
        </w:rPr>
        <w:t>.</w:t>
      </w:r>
    </w:p>
    <w:p w:rsidR="00FD7E4B" w:rsidRDefault="00E420F6" w:rsidP="00E420F6">
      <w:pPr>
        <w:pStyle w:val="NumberedParaAR"/>
        <w:tabs>
          <w:tab w:val="clear" w:pos="567"/>
          <w:tab w:val="num" w:pos="1"/>
        </w:tabs>
      </w:pPr>
      <w:r>
        <w:rPr>
          <w:rFonts w:hint="cs"/>
          <w:rtl/>
        </w:rPr>
        <w:t xml:space="preserve">وفي </w:t>
      </w:r>
      <w:r>
        <w:rPr>
          <w:rtl/>
        </w:rPr>
        <w:t xml:space="preserve">وقت </w:t>
      </w:r>
      <w:r>
        <w:rPr>
          <w:rFonts w:hint="cs"/>
          <w:rtl/>
        </w:rPr>
        <w:t>إعداد</w:t>
      </w:r>
      <w:r>
        <w:rPr>
          <w:rtl/>
        </w:rPr>
        <w:t xml:space="preserve"> هذه الوثيقة</w:t>
      </w:r>
      <w:r>
        <w:rPr>
          <w:rFonts w:hint="cs"/>
          <w:rtl/>
        </w:rPr>
        <w:t xml:space="preserve">، </w:t>
      </w:r>
      <w:r w:rsidR="009C6EDA">
        <w:rPr>
          <w:rtl/>
        </w:rPr>
        <w:t>بلغ عدد مكاتب تسلم الطلبات التي تتيح لها وحدة الإيداع في نظام</w:t>
      </w:r>
      <w:r>
        <w:rPr>
          <w:rFonts w:hint="cs"/>
          <w:rtl/>
        </w:rPr>
        <w:t> </w:t>
      </w:r>
      <w:proofErr w:type="spellStart"/>
      <w:r w:rsidR="009C6EDA">
        <w:t>ePCT</w:t>
      </w:r>
      <w:proofErr w:type="spellEnd"/>
      <w:r w:rsidR="009C6EDA">
        <w:rPr>
          <w:rtl/>
        </w:rPr>
        <w:t xml:space="preserve"> إمكانية إعداد الط</w:t>
      </w:r>
      <w:r>
        <w:rPr>
          <w:rtl/>
        </w:rPr>
        <w:t xml:space="preserve">لبات الدولية وتقديمها 16 مكتبا، </w:t>
      </w:r>
      <w:r>
        <w:rPr>
          <w:rFonts w:hint="cs"/>
          <w:rtl/>
        </w:rPr>
        <w:t xml:space="preserve">بينما توجد </w:t>
      </w:r>
      <w:r w:rsidR="009C6EDA">
        <w:rPr>
          <w:rtl/>
        </w:rPr>
        <w:t xml:space="preserve">مكاتب أخرى </w:t>
      </w:r>
      <w:r>
        <w:rPr>
          <w:rFonts w:hint="cs"/>
          <w:rtl/>
        </w:rPr>
        <w:t xml:space="preserve">في </w:t>
      </w:r>
      <w:r>
        <w:rPr>
          <w:rtl/>
        </w:rPr>
        <w:t xml:space="preserve">مراحل مختلفة من الاختبار. </w:t>
      </w:r>
      <w:r w:rsidR="009C6EDA">
        <w:rPr>
          <w:rtl/>
        </w:rPr>
        <w:t>وتنتفع عشرة من تلك المكاتب باستضافة المكتب الدولي لخادم الإيداع الإلكتروني الذي تستخدمه، مما يسمح لها بإتاحة إيداع إلكتروني كام</w:t>
      </w:r>
      <w:r>
        <w:rPr>
          <w:rtl/>
        </w:rPr>
        <w:t xml:space="preserve">ل من خلال </w:t>
      </w:r>
      <w:r w:rsidR="009C6EDA">
        <w:rPr>
          <w:rtl/>
        </w:rPr>
        <w:t>نظام</w:t>
      </w:r>
      <w:r>
        <w:rPr>
          <w:rFonts w:hint="cs"/>
          <w:rtl/>
        </w:rPr>
        <w:t> </w:t>
      </w:r>
      <w:proofErr w:type="spellStart"/>
      <w:r w:rsidR="009C6EDA">
        <w:t>ePCT</w:t>
      </w:r>
      <w:proofErr w:type="spellEnd"/>
      <w:r w:rsidR="009C6EDA">
        <w:rPr>
          <w:rtl/>
        </w:rPr>
        <w:t xml:space="preserve">، بعدما كانت إمكاناتها في السابق مقتصرة على إتاحة الإيداع </w:t>
      </w:r>
      <w:r>
        <w:rPr>
          <w:rFonts w:hint="cs"/>
          <w:rtl/>
        </w:rPr>
        <w:t>من خلال</w:t>
      </w:r>
      <w:r w:rsidR="009C6EDA">
        <w:rPr>
          <w:rtl/>
        </w:rPr>
        <w:t xml:space="preserve"> وسائط مادي</w:t>
      </w:r>
      <w:r>
        <w:rPr>
          <w:rtl/>
        </w:rPr>
        <w:t>ة، إما عن طريق تنزيل حزمة يدويا</w:t>
      </w:r>
      <w:r w:rsidR="009C6EDA">
        <w:rPr>
          <w:rtl/>
        </w:rPr>
        <w:t xml:space="preserve"> ثم إعادة </w:t>
      </w:r>
      <w:r>
        <w:rPr>
          <w:rFonts w:hint="cs"/>
          <w:rtl/>
        </w:rPr>
        <w:t>تحميلها</w:t>
      </w:r>
      <w:r>
        <w:rPr>
          <w:rtl/>
        </w:rPr>
        <w:t xml:space="preserve"> إلى خادم منفصل، </w:t>
      </w:r>
      <w:r>
        <w:rPr>
          <w:rFonts w:hint="cs"/>
          <w:rtl/>
        </w:rPr>
        <w:t xml:space="preserve">أو </w:t>
      </w:r>
      <w:r w:rsidR="009C6EDA">
        <w:rPr>
          <w:rtl/>
        </w:rPr>
        <w:t>على ورق أو على ورق وقرص مرن من أقراص</w:t>
      </w:r>
      <w:r>
        <w:rPr>
          <w:rFonts w:hint="cs"/>
          <w:rtl/>
        </w:rPr>
        <w:t> </w:t>
      </w:r>
      <w:r w:rsidR="009C6EDA">
        <w:t>PCT-EASY</w:t>
      </w:r>
      <w:r w:rsidR="009C6EDA">
        <w:rPr>
          <w:rtl/>
        </w:rPr>
        <w:t xml:space="preserve"> فقط.  وبلغ عدد المكاتب الوطنية أو الإقليمية العاملة بصفة مكتب </w:t>
      </w:r>
      <w:r>
        <w:rPr>
          <w:rFonts w:hint="cs"/>
          <w:rtl/>
        </w:rPr>
        <w:t>ل</w:t>
      </w:r>
      <w:r w:rsidR="009C6EDA">
        <w:rPr>
          <w:rtl/>
        </w:rPr>
        <w:t xml:space="preserve">تسلم طلبات أو إدارة دولية أو مكتب معيِّن </w:t>
      </w:r>
      <w:r>
        <w:rPr>
          <w:rFonts w:hint="cs"/>
          <w:rtl/>
        </w:rPr>
        <w:t>ممن</w:t>
      </w:r>
      <w:r>
        <w:rPr>
          <w:rtl/>
        </w:rPr>
        <w:t xml:space="preserve"> تتمتع بإمكانية النفاذ إلى </w:t>
      </w:r>
      <w:r w:rsidR="009C6EDA">
        <w:rPr>
          <w:rtl/>
        </w:rPr>
        <w:t>نظام</w:t>
      </w:r>
      <w:r>
        <w:rPr>
          <w:rFonts w:hint="cs"/>
          <w:rtl/>
        </w:rPr>
        <w:t> </w:t>
      </w:r>
      <w:proofErr w:type="spellStart"/>
      <w:r w:rsidR="009C6EDA">
        <w:t>ePCT</w:t>
      </w:r>
      <w:proofErr w:type="spellEnd"/>
      <w:r>
        <w:rPr>
          <w:rtl/>
        </w:rPr>
        <w:t xml:space="preserve"> خمسين مكتبا</w:t>
      </w:r>
      <w:r w:rsidR="009C6EDA">
        <w:rPr>
          <w:rtl/>
        </w:rPr>
        <w:t xml:space="preserve"> تنوعت استخدا</w:t>
      </w:r>
      <w:r>
        <w:rPr>
          <w:rtl/>
        </w:rPr>
        <w:t xml:space="preserve">ماتها له بين المعالجة الأساسية </w:t>
      </w:r>
      <w:r>
        <w:rPr>
          <w:rFonts w:hint="cs"/>
          <w:rtl/>
        </w:rPr>
        <w:t xml:space="preserve">أو </w:t>
      </w:r>
      <w:r w:rsidR="009C6EDA">
        <w:rPr>
          <w:rtl/>
        </w:rPr>
        <w:t>الدعم أو مجرد تقييم إمكاناته.</w:t>
      </w:r>
    </w:p>
    <w:p w:rsidR="009C6EDA" w:rsidRDefault="007721DA" w:rsidP="00E420F6">
      <w:pPr>
        <w:pStyle w:val="NormalParaAR"/>
        <w:keepNext/>
      </w:pPr>
      <w:r w:rsidRPr="007721DA">
        <w:rPr>
          <w:rtl/>
        </w:rPr>
        <w:t>خدمة نُسخ البحث الإلكترونية (</w:t>
      </w:r>
      <w:proofErr w:type="spellStart"/>
      <w:r w:rsidR="00A72C66">
        <w:t>e</w:t>
      </w:r>
      <w:r w:rsidRPr="007721DA">
        <w:t>SEARCHCOPY</w:t>
      </w:r>
      <w:proofErr w:type="spellEnd"/>
      <w:r w:rsidRPr="007721DA">
        <w:rPr>
          <w:rtl/>
        </w:rPr>
        <w:t>)</w:t>
      </w:r>
    </w:p>
    <w:p w:rsidR="00A72C66" w:rsidRDefault="00E420F6" w:rsidP="00E420F6">
      <w:pPr>
        <w:pStyle w:val="NumberedParaAR"/>
        <w:tabs>
          <w:tab w:val="clear" w:pos="567"/>
          <w:tab w:val="num" w:pos="1"/>
        </w:tabs>
      </w:pPr>
      <w:r>
        <w:rPr>
          <w:rFonts w:hint="cs"/>
          <w:rtl/>
        </w:rPr>
        <w:t xml:space="preserve">دخلت </w:t>
      </w:r>
      <w:r w:rsidR="00A72C66" w:rsidRPr="00A72C66">
        <w:rPr>
          <w:rtl/>
        </w:rPr>
        <w:t>خدمة ن</w:t>
      </w:r>
      <w:r w:rsidR="00B75740">
        <w:rPr>
          <w:rFonts w:hint="cs"/>
          <w:rtl/>
        </w:rPr>
        <w:t>ُ</w:t>
      </w:r>
      <w:r w:rsidR="00A72C66" w:rsidRPr="00A72C66">
        <w:rPr>
          <w:rtl/>
        </w:rPr>
        <w:t>سخ البحث الإلكترونية (</w:t>
      </w:r>
      <w:proofErr w:type="spellStart"/>
      <w:r w:rsidR="00A72C66" w:rsidRPr="00A72C66">
        <w:t>eSearchCopy</w:t>
      </w:r>
      <w:proofErr w:type="spellEnd"/>
      <w:r w:rsidR="00A72C66" w:rsidRPr="00A72C66">
        <w:rPr>
          <w:rtl/>
        </w:rPr>
        <w:t xml:space="preserve">) </w:t>
      </w:r>
      <w:r>
        <w:rPr>
          <w:rFonts w:hint="cs"/>
          <w:rtl/>
        </w:rPr>
        <w:t>طور التشغيل</w:t>
      </w:r>
      <w:r>
        <w:rPr>
          <w:rtl/>
        </w:rPr>
        <w:t xml:space="preserve"> </w:t>
      </w:r>
      <w:r>
        <w:rPr>
          <w:rFonts w:hint="cs"/>
          <w:rtl/>
        </w:rPr>
        <w:t>بالنسبة إلى عدد صغير</w:t>
      </w:r>
      <w:r w:rsidR="00A72C66" w:rsidRPr="00A72C66">
        <w:rPr>
          <w:rtl/>
        </w:rPr>
        <w:t xml:space="preserve"> من أزواج مكاتب تسلم الطلبات والإدارات الدولية، وهي كالتالي:</w:t>
      </w:r>
    </w:p>
    <w:p w:rsidR="00463C80" w:rsidRDefault="00463C80" w:rsidP="00023AAF">
      <w:pPr>
        <w:pStyle w:val="NumberedParaAR"/>
        <w:numPr>
          <w:ilvl w:val="0"/>
          <w:numId w:val="0"/>
        </w:numPr>
        <w:bidi w:val="0"/>
        <w:ind w:left="567"/>
      </w:pPr>
      <w:r>
        <w:t>RO/SG</w:t>
      </w:r>
      <w:r>
        <w:rPr>
          <w:rtl/>
        </w:rPr>
        <w:tab/>
      </w:r>
      <w:r>
        <w:rPr>
          <w:rFonts w:ascii="Times New Roman" w:hAnsi="Times New Roman" w:cs="Times New Roman" w:hint="cs"/>
          <w:rtl/>
        </w:rPr>
        <w:t>→</w:t>
      </w:r>
      <w:r>
        <w:rPr>
          <w:rtl/>
        </w:rPr>
        <w:tab/>
      </w:r>
      <w:r>
        <w:t>ISA/AT</w:t>
      </w:r>
    </w:p>
    <w:p w:rsidR="00463C80" w:rsidRDefault="00463C80" w:rsidP="00023AAF">
      <w:pPr>
        <w:pStyle w:val="NumberedParaAR"/>
        <w:numPr>
          <w:ilvl w:val="0"/>
          <w:numId w:val="0"/>
        </w:numPr>
        <w:bidi w:val="0"/>
        <w:ind w:left="567"/>
      </w:pPr>
      <w:r>
        <w:t>RO/MY, RO/NZ, RO/PH, RO/SG</w:t>
      </w:r>
      <w:r>
        <w:rPr>
          <w:rtl/>
        </w:rPr>
        <w:tab/>
      </w:r>
      <w:r>
        <w:rPr>
          <w:rFonts w:ascii="Times New Roman" w:hAnsi="Times New Roman" w:cs="Times New Roman" w:hint="cs"/>
          <w:rtl/>
        </w:rPr>
        <w:t>→</w:t>
      </w:r>
      <w:r>
        <w:rPr>
          <w:rtl/>
        </w:rPr>
        <w:tab/>
      </w:r>
      <w:r>
        <w:t>ISA/AU</w:t>
      </w:r>
    </w:p>
    <w:p w:rsidR="00463C80" w:rsidRDefault="00463C80" w:rsidP="00023AAF">
      <w:pPr>
        <w:pStyle w:val="NumberedParaAR"/>
        <w:numPr>
          <w:ilvl w:val="0"/>
          <w:numId w:val="0"/>
        </w:numPr>
        <w:bidi w:val="0"/>
        <w:ind w:left="567"/>
      </w:pPr>
      <w:r>
        <w:t>RO/US</w:t>
      </w:r>
      <w:r>
        <w:rPr>
          <w:rtl/>
        </w:rPr>
        <w:tab/>
      </w:r>
      <w:r>
        <w:rPr>
          <w:rFonts w:ascii="Times New Roman" w:hAnsi="Times New Roman" w:cs="Times New Roman" w:hint="cs"/>
          <w:rtl/>
        </w:rPr>
        <w:t>→</w:t>
      </w:r>
      <w:r>
        <w:rPr>
          <w:rtl/>
        </w:rPr>
        <w:tab/>
      </w:r>
      <w:r>
        <w:t>ISA/IL</w:t>
      </w:r>
    </w:p>
    <w:p w:rsidR="00463C80" w:rsidRDefault="00463C80" w:rsidP="00023AAF">
      <w:pPr>
        <w:pStyle w:val="NumberedParaAR"/>
        <w:numPr>
          <w:ilvl w:val="0"/>
          <w:numId w:val="0"/>
        </w:numPr>
        <w:bidi w:val="0"/>
        <w:ind w:left="567"/>
      </w:pPr>
      <w:r>
        <w:t>RO/MY, RO/PH, RO/SG</w:t>
      </w:r>
      <w:r>
        <w:rPr>
          <w:rtl/>
        </w:rPr>
        <w:tab/>
      </w:r>
      <w:r>
        <w:rPr>
          <w:rFonts w:ascii="Times New Roman" w:hAnsi="Times New Roman" w:cs="Times New Roman" w:hint="cs"/>
          <w:rtl/>
        </w:rPr>
        <w:t>→</w:t>
      </w:r>
      <w:r>
        <w:rPr>
          <w:rtl/>
        </w:rPr>
        <w:tab/>
      </w:r>
      <w:r>
        <w:t>ISA/JP</w:t>
      </w:r>
    </w:p>
    <w:p w:rsidR="00463C80" w:rsidRPr="00496BF0" w:rsidRDefault="00463C80" w:rsidP="00023AAF">
      <w:pPr>
        <w:pStyle w:val="NumberedParaAR"/>
        <w:numPr>
          <w:ilvl w:val="0"/>
          <w:numId w:val="0"/>
        </w:numPr>
        <w:bidi w:val="0"/>
        <w:ind w:left="567"/>
        <w:rPr>
          <w:lang w:val="fr-CH"/>
        </w:rPr>
      </w:pPr>
      <w:r w:rsidRPr="00496BF0">
        <w:rPr>
          <w:lang w:val="fr-CH"/>
        </w:rPr>
        <w:t>RO/EA</w:t>
      </w:r>
      <w:r>
        <w:rPr>
          <w:rtl/>
        </w:rPr>
        <w:tab/>
      </w:r>
      <w:r>
        <w:rPr>
          <w:rFonts w:ascii="Times New Roman" w:hAnsi="Times New Roman" w:cs="Times New Roman" w:hint="cs"/>
          <w:rtl/>
        </w:rPr>
        <w:t>→</w:t>
      </w:r>
      <w:r>
        <w:rPr>
          <w:rtl/>
        </w:rPr>
        <w:tab/>
      </w:r>
      <w:r w:rsidRPr="00496BF0">
        <w:rPr>
          <w:lang w:val="fr-CH"/>
        </w:rPr>
        <w:t>ISA/RU</w:t>
      </w:r>
    </w:p>
    <w:p w:rsidR="00463C80" w:rsidRPr="00496BF0" w:rsidRDefault="00463C80" w:rsidP="00023AAF">
      <w:pPr>
        <w:pStyle w:val="NumberedParaAR"/>
        <w:numPr>
          <w:ilvl w:val="0"/>
          <w:numId w:val="0"/>
        </w:numPr>
        <w:bidi w:val="0"/>
        <w:ind w:left="567"/>
        <w:rPr>
          <w:lang w:val="fr-CH"/>
        </w:rPr>
      </w:pPr>
      <w:r w:rsidRPr="00496BF0">
        <w:rPr>
          <w:lang w:val="fr-CH"/>
        </w:rPr>
        <w:t>RO/FI</w:t>
      </w:r>
      <w:r>
        <w:rPr>
          <w:rtl/>
        </w:rPr>
        <w:tab/>
      </w:r>
      <w:r>
        <w:rPr>
          <w:rFonts w:ascii="Times New Roman" w:hAnsi="Times New Roman" w:cs="Times New Roman" w:hint="cs"/>
          <w:rtl/>
        </w:rPr>
        <w:t>→</w:t>
      </w:r>
      <w:r>
        <w:rPr>
          <w:rtl/>
        </w:rPr>
        <w:tab/>
      </w:r>
      <w:r w:rsidRPr="00496BF0">
        <w:rPr>
          <w:lang w:val="fr-CH"/>
        </w:rPr>
        <w:t>ISA/SE</w:t>
      </w:r>
    </w:p>
    <w:p w:rsidR="00215F02" w:rsidRDefault="00463C80" w:rsidP="00B85280">
      <w:pPr>
        <w:pStyle w:val="NumberedParaAR"/>
        <w:tabs>
          <w:tab w:val="clear" w:pos="567"/>
        </w:tabs>
      </w:pPr>
      <w:r>
        <w:rPr>
          <w:rtl/>
        </w:rPr>
        <w:t xml:space="preserve">وتغطي </w:t>
      </w:r>
      <w:r w:rsidR="00023AAF">
        <w:rPr>
          <w:rFonts w:hint="cs"/>
          <w:rtl/>
        </w:rPr>
        <w:t>تلك</w:t>
      </w:r>
      <w:r>
        <w:rPr>
          <w:rtl/>
        </w:rPr>
        <w:t xml:space="preserve"> الأزواج مختلف الاستخدامات الرئيسية المتوقعة للخدمة، حيث تنقل ن</w:t>
      </w:r>
      <w:r w:rsidR="00023AAF">
        <w:rPr>
          <w:rFonts w:hint="cs"/>
          <w:rtl/>
        </w:rPr>
        <w:t>ُ</w:t>
      </w:r>
      <w:r>
        <w:rPr>
          <w:rtl/>
        </w:rPr>
        <w:t>سخ السجلات مجمعةً عن طريق خدمة تبادل الوثائق الإلكتروني</w:t>
      </w:r>
      <w:r w:rsidR="00023AAF">
        <w:rPr>
          <w:rFonts w:hint="cs"/>
          <w:rtl/>
        </w:rPr>
        <w:t xml:space="preserve"> (</w:t>
      </w:r>
      <w:r w:rsidR="00023AAF">
        <w:t>PCT-EDI</w:t>
      </w:r>
      <w:r w:rsidR="00023AAF">
        <w:rPr>
          <w:rFonts w:hint="cs"/>
          <w:rtl/>
        </w:rPr>
        <w:t>)</w:t>
      </w:r>
      <w:r w:rsidR="004755FC">
        <w:rPr>
          <w:rStyle w:val="FootnoteReference"/>
        </w:rPr>
        <w:footnoteReference w:id="1"/>
      </w:r>
      <w:r>
        <w:rPr>
          <w:rtl/>
        </w:rPr>
        <w:t xml:space="preserve"> ومفرقةً من خلال عمليات </w:t>
      </w:r>
      <w:r w:rsidR="00023AAF">
        <w:rPr>
          <w:rFonts w:hint="cs"/>
          <w:rtl/>
        </w:rPr>
        <w:t>التحميل</w:t>
      </w:r>
      <w:r>
        <w:rPr>
          <w:rtl/>
        </w:rPr>
        <w:t xml:space="preserve"> باستخدام نظام</w:t>
      </w:r>
      <w:r w:rsidR="00B85280">
        <w:rPr>
          <w:rFonts w:hint="cs"/>
          <w:rtl/>
        </w:rPr>
        <w:t> </w:t>
      </w:r>
      <w:proofErr w:type="spellStart"/>
      <w:r>
        <w:t>ePCT</w:t>
      </w:r>
      <w:proofErr w:type="spellEnd"/>
      <w:r>
        <w:rPr>
          <w:rtl/>
        </w:rPr>
        <w:t xml:space="preserve">، مع تأكيد سداد رسوم البحث إما عن طريق تسليم قوائم تشمل طلبات دولية متعددة، </w:t>
      </w:r>
      <w:r w:rsidR="00B85280">
        <w:rPr>
          <w:rFonts w:hint="cs"/>
          <w:rtl/>
        </w:rPr>
        <w:t>أو عن</w:t>
      </w:r>
      <w:r>
        <w:rPr>
          <w:rtl/>
        </w:rPr>
        <w:t xml:space="preserve"> طريق تحديد خانة الاختيار ذات الصلة ضمن نظام</w:t>
      </w:r>
      <w:r w:rsidR="00B85280">
        <w:rPr>
          <w:rFonts w:hint="cs"/>
          <w:rtl/>
        </w:rPr>
        <w:t> </w:t>
      </w:r>
      <w:proofErr w:type="spellStart"/>
      <w:r>
        <w:t>ePCT</w:t>
      </w:r>
      <w:proofErr w:type="spellEnd"/>
      <w:r>
        <w:rPr>
          <w:rtl/>
        </w:rPr>
        <w:t>، مما يتيح ا</w:t>
      </w:r>
      <w:r w:rsidR="00B85280">
        <w:rPr>
          <w:rtl/>
        </w:rPr>
        <w:t>لتحقق من معظم الوظائف الرئيسية.</w:t>
      </w:r>
    </w:p>
    <w:p w:rsidR="00463C80" w:rsidRDefault="00463C80" w:rsidP="009B3156">
      <w:pPr>
        <w:pStyle w:val="NumberedParaAR"/>
        <w:tabs>
          <w:tab w:val="clear" w:pos="567"/>
        </w:tabs>
        <w:rPr>
          <w:rtl/>
        </w:rPr>
      </w:pPr>
      <w:r>
        <w:rPr>
          <w:rtl/>
        </w:rPr>
        <w:t>والتجهيزات جارية م</w:t>
      </w:r>
      <w:r w:rsidR="00B85280">
        <w:rPr>
          <w:rtl/>
        </w:rPr>
        <w:t xml:space="preserve">ن أجل إضافة المزيد من الأزواج. </w:t>
      </w:r>
      <w:r>
        <w:rPr>
          <w:rtl/>
        </w:rPr>
        <w:t xml:space="preserve">ويلاحَظ بشكل خاص في هذا الصدد </w:t>
      </w:r>
      <w:r w:rsidR="00B85280">
        <w:rPr>
          <w:rFonts w:hint="cs"/>
          <w:rtl/>
        </w:rPr>
        <w:t>بدء</w:t>
      </w:r>
      <w:r w:rsidR="00B85280">
        <w:rPr>
          <w:rtl/>
        </w:rPr>
        <w:t xml:space="preserve"> </w:t>
      </w:r>
      <w:r w:rsidR="00B85280">
        <w:rPr>
          <w:rFonts w:hint="cs"/>
          <w:rtl/>
        </w:rPr>
        <w:t>مشروع</w:t>
      </w:r>
      <w:r w:rsidR="00B85280">
        <w:rPr>
          <w:rtl/>
        </w:rPr>
        <w:t xml:space="preserve"> تجر</w:t>
      </w:r>
      <w:r w:rsidR="00B85280">
        <w:rPr>
          <w:rFonts w:hint="cs"/>
          <w:rtl/>
        </w:rPr>
        <w:t>يبي</w:t>
      </w:r>
      <w:r>
        <w:rPr>
          <w:rtl/>
        </w:rPr>
        <w:t xml:space="preserve"> </w:t>
      </w:r>
      <w:r w:rsidR="00B85280">
        <w:rPr>
          <w:rFonts w:hint="cs"/>
          <w:rtl/>
        </w:rPr>
        <w:t>على صعيد إدارة البحث الدولي/المكتب الأوروبي للبراءات (</w:t>
      </w:r>
      <w:r w:rsidR="00B85280">
        <w:t>ISA/EP</w:t>
      </w:r>
      <w:r w:rsidR="00B85280">
        <w:rPr>
          <w:rFonts w:hint="cs"/>
          <w:rtl/>
        </w:rPr>
        <w:t xml:space="preserve">) </w:t>
      </w:r>
      <w:r>
        <w:rPr>
          <w:rtl/>
        </w:rPr>
        <w:t xml:space="preserve">بثلاثة مكاتب </w:t>
      </w:r>
      <w:r w:rsidR="00B85280">
        <w:rPr>
          <w:rFonts w:hint="cs"/>
          <w:rtl/>
        </w:rPr>
        <w:t>لتسلم</w:t>
      </w:r>
      <w:r>
        <w:rPr>
          <w:rtl/>
        </w:rPr>
        <w:t xml:space="preserve"> </w:t>
      </w:r>
      <w:r w:rsidR="00B85280">
        <w:rPr>
          <w:rFonts w:hint="cs"/>
          <w:rtl/>
        </w:rPr>
        <w:t>ال</w:t>
      </w:r>
      <w:r>
        <w:rPr>
          <w:rtl/>
        </w:rPr>
        <w:t xml:space="preserve">طلبات </w:t>
      </w:r>
      <w:r w:rsidR="00B85280">
        <w:rPr>
          <w:rtl/>
        </w:rPr>
        <w:t>فقط</w:t>
      </w:r>
      <w:r w:rsidR="00B85280">
        <w:rPr>
          <w:rFonts w:hint="cs"/>
          <w:rtl/>
        </w:rPr>
        <w:t xml:space="preserve"> في المرحلة الأولى</w:t>
      </w:r>
      <w:r>
        <w:rPr>
          <w:rtl/>
        </w:rPr>
        <w:t xml:space="preserve">، غير أن </w:t>
      </w:r>
      <w:r w:rsidR="009B3156">
        <w:rPr>
          <w:rtl/>
        </w:rPr>
        <w:t>نجاحه</w:t>
      </w:r>
      <w:r w:rsidR="009B3156">
        <w:rPr>
          <w:rFonts w:hint="cs"/>
          <w:rtl/>
        </w:rPr>
        <w:t xml:space="preserve"> </w:t>
      </w:r>
      <w:r>
        <w:rPr>
          <w:rtl/>
        </w:rPr>
        <w:t>يكون له دلالة خا</w:t>
      </w:r>
      <w:r w:rsidR="009B3156">
        <w:rPr>
          <w:rtl/>
        </w:rPr>
        <w:t>صة لأن المكتب الأوروبي للبراءا</w:t>
      </w:r>
      <w:r w:rsidR="009B3156">
        <w:rPr>
          <w:rFonts w:hint="cs"/>
          <w:rtl/>
        </w:rPr>
        <w:t xml:space="preserve">ت يعمل بصفة </w:t>
      </w:r>
      <w:r w:rsidR="009B3156">
        <w:rPr>
          <w:rtl/>
        </w:rPr>
        <w:t xml:space="preserve">إدارة </w:t>
      </w:r>
      <w:r w:rsidR="009B3156">
        <w:rPr>
          <w:rFonts w:hint="cs"/>
          <w:rtl/>
        </w:rPr>
        <w:t>لل</w:t>
      </w:r>
      <w:r>
        <w:rPr>
          <w:rtl/>
        </w:rPr>
        <w:t>بحث الدولي بالنسبة إلى 105</w:t>
      </w:r>
      <w:r w:rsidR="009B3156">
        <w:rPr>
          <w:rFonts w:hint="cs"/>
          <w:rtl/>
        </w:rPr>
        <w:t> </w:t>
      </w:r>
      <w:r w:rsidR="009B3156">
        <w:rPr>
          <w:rtl/>
        </w:rPr>
        <w:t>مك</w:t>
      </w:r>
      <w:r w:rsidR="009B3156">
        <w:rPr>
          <w:rFonts w:hint="cs"/>
          <w:rtl/>
        </w:rPr>
        <w:t>اتب ل</w:t>
      </w:r>
      <w:r>
        <w:rPr>
          <w:rtl/>
        </w:rPr>
        <w:t xml:space="preserve">تسلم طلبات منتشرة في </w:t>
      </w:r>
      <w:r w:rsidR="009B3156">
        <w:rPr>
          <w:rFonts w:hint="cs"/>
          <w:rtl/>
        </w:rPr>
        <w:t xml:space="preserve">شتى </w:t>
      </w:r>
      <w:r>
        <w:rPr>
          <w:rtl/>
        </w:rPr>
        <w:t xml:space="preserve">أرجاء </w:t>
      </w:r>
      <w:r w:rsidR="009B3156">
        <w:rPr>
          <w:rFonts w:hint="cs"/>
          <w:rtl/>
        </w:rPr>
        <w:t>العالم</w:t>
      </w:r>
      <w:r>
        <w:rPr>
          <w:rtl/>
        </w:rPr>
        <w:t>.</w:t>
      </w:r>
    </w:p>
    <w:p w:rsidR="00CD0420" w:rsidRPr="00CD0420" w:rsidRDefault="00215F02" w:rsidP="009B3156">
      <w:pPr>
        <w:pStyle w:val="NormalParaAR"/>
        <w:keepNext/>
        <w:rPr>
          <w:b/>
          <w:bCs/>
          <w:sz w:val="40"/>
          <w:szCs w:val="40"/>
          <w:rtl/>
        </w:rPr>
      </w:pPr>
      <w:r w:rsidRPr="00215F02">
        <w:rPr>
          <w:b/>
          <w:bCs/>
          <w:sz w:val="40"/>
          <w:szCs w:val="40"/>
          <w:rtl/>
        </w:rPr>
        <w:t xml:space="preserve">أولويات </w:t>
      </w:r>
      <w:r w:rsidR="009B3156">
        <w:rPr>
          <w:rFonts w:hint="cs"/>
          <w:b/>
          <w:bCs/>
          <w:sz w:val="40"/>
          <w:szCs w:val="40"/>
          <w:rtl/>
        </w:rPr>
        <w:t>العمل</w:t>
      </w:r>
    </w:p>
    <w:p w:rsidR="00CD0420" w:rsidRDefault="00C275CA" w:rsidP="00C275CA">
      <w:pPr>
        <w:pStyle w:val="NumberedParaAR"/>
      </w:pPr>
      <w:r w:rsidRPr="00C275CA">
        <w:rPr>
          <w:rtl/>
        </w:rPr>
        <w:t>سيواصل المكتب الدولي تحسين جودة الأدوات الشبكية المتاحة للمودعين والمكاتب ونطاقها وسهولة استخدامها، لكن أعظم الفوائد المنشودة في السنوات القادمة</w:t>
      </w:r>
      <w:r w:rsidR="009B3156">
        <w:rPr>
          <w:rtl/>
        </w:rPr>
        <w:t xml:space="preserve"> تتطلب مشاركة المكاتب الوطنية. </w:t>
      </w:r>
      <w:r w:rsidRPr="00C275CA">
        <w:rPr>
          <w:rtl/>
        </w:rPr>
        <w:t>ويتيح عدد من مجالات العم</w:t>
      </w:r>
      <w:r w:rsidR="009B3156">
        <w:rPr>
          <w:rtl/>
        </w:rPr>
        <w:t>ل، على النحو الموضح أدناه، فرصا</w:t>
      </w:r>
      <w:r w:rsidRPr="00C275CA">
        <w:rPr>
          <w:rtl/>
        </w:rPr>
        <w:t xml:space="preserve"> لتحقيق منافع معينة للمودعين أو للمكاتب أو لجودة معلومات البراءات المتاحة من النظام ككل.</w:t>
      </w:r>
    </w:p>
    <w:p w:rsidR="00C275CA" w:rsidRPr="00662B86" w:rsidRDefault="00C275CA" w:rsidP="009B3156">
      <w:pPr>
        <w:pStyle w:val="NumberedParaAR"/>
        <w:keepNext/>
        <w:numPr>
          <w:ilvl w:val="0"/>
          <w:numId w:val="0"/>
        </w:numPr>
        <w:rPr>
          <w:sz w:val="40"/>
          <w:szCs w:val="40"/>
        </w:rPr>
      </w:pPr>
      <w:r w:rsidRPr="00662B86">
        <w:rPr>
          <w:sz w:val="40"/>
          <w:szCs w:val="40"/>
          <w:rtl/>
        </w:rPr>
        <w:t>الإيداع باستخدام نظام</w:t>
      </w:r>
      <w:r w:rsidR="009B3156">
        <w:rPr>
          <w:rFonts w:hint="cs"/>
          <w:sz w:val="40"/>
          <w:szCs w:val="40"/>
          <w:rtl/>
        </w:rPr>
        <w:t> </w:t>
      </w:r>
      <w:proofErr w:type="spellStart"/>
      <w:r w:rsidRPr="00662B86">
        <w:rPr>
          <w:sz w:val="40"/>
          <w:szCs w:val="40"/>
        </w:rPr>
        <w:t>ePCT</w:t>
      </w:r>
      <w:proofErr w:type="spellEnd"/>
    </w:p>
    <w:p w:rsidR="00771903" w:rsidRDefault="00771903" w:rsidP="009B3156">
      <w:pPr>
        <w:pStyle w:val="NumberedParaAR"/>
        <w:rPr>
          <w:rtl/>
        </w:rPr>
      </w:pPr>
      <w:r>
        <w:rPr>
          <w:rtl/>
        </w:rPr>
        <w:t xml:space="preserve">يدعو المكتب الدولي مكاتب تسلم الطلبات التي لم تشرع بعد </w:t>
      </w:r>
      <w:r w:rsidR="009B3156">
        <w:rPr>
          <w:rtl/>
        </w:rPr>
        <w:t>في تسلم طلبات الإيداع إلكترونيا</w:t>
      </w:r>
      <w:r w:rsidR="009B3156">
        <w:rPr>
          <w:rFonts w:hint="cs"/>
          <w:rtl/>
        </w:rPr>
        <w:t>،</w:t>
      </w:r>
      <w:r>
        <w:rPr>
          <w:rtl/>
        </w:rPr>
        <w:t xml:space="preserve"> أو </w:t>
      </w:r>
      <w:r w:rsidR="009B3156">
        <w:rPr>
          <w:rFonts w:hint="cs"/>
          <w:rtl/>
        </w:rPr>
        <w:t xml:space="preserve">في </w:t>
      </w:r>
      <w:r>
        <w:rPr>
          <w:rtl/>
        </w:rPr>
        <w:t>العمل على تحقيق ذلك</w:t>
      </w:r>
      <w:r w:rsidR="009B3156">
        <w:rPr>
          <w:rFonts w:hint="cs"/>
          <w:rtl/>
        </w:rPr>
        <w:t>،</w:t>
      </w:r>
      <w:r>
        <w:rPr>
          <w:rtl/>
        </w:rPr>
        <w:t xml:space="preserve"> أن </w:t>
      </w:r>
      <w:r w:rsidR="009B3156">
        <w:rPr>
          <w:rFonts w:hint="cs"/>
          <w:rtl/>
        </w:rPr>
        <w:t>تتعاون</w:t>
      </w:r>
      <w:r>
        <w:rPr>
          <w:rtl/>
        </w:rPr>
        <w:t xml:space="preserve"> مع المكتب الدولي على فتح تلك الخدمة في مكاتبها، على أن يستضيفها ا</w:t>
      </w:r>
      <w:r w:rsidR="009B3156">
        <w:rPr>
          <w:rtl/>
        </w:rPr>
        <w:t xml:space="preserve">لمكتب الدولي إن كانت تفضل ذلك. </w:t>
      </w:r>
      <w:r>
        <w:rPr>
          <w:rtl/>
        </w:rPr>
        <w:t xml:space="preserve">وبينما تتاح لأي مودع إمكانية استخدام الإيداع الشبكي عن </w:t>
      </w:r>
      <w:r w:rsidR="009B3156">
        <w:rPr>
          <w:rtl/>
        </w:rPr>
        <w:t>طريق اختيار المكتب الدولي مكتبا</w:t>
      </w:r>
      <w:r>
        <w:rPr>
          <w:rtl/>
        </w:rPr>
        <w:t xml:space="preserve"> لتسلم طلبه، فلم يعد تقديم الخدمات الشبكية يتطلب استثماراً معتبراً م</w:t>
      </w:r>
      <w:r w:rsidR="009B3156">
        <w:rPr>
          <w:rtl/>
        </w:rPr>
        <w:t xml:space="preserve">ن قِبل أي مكتب يرغب في </w:t>
      </w:r>
      <w:r w:rsidR="009B3156">
        <w:rPr>
          <w:rFonts w:hint="cs"/>
          <w:rtl/>
        </w:rPr>
        <w:t xml:space="preserve">العمل بصفة </w:t>
      </w:r>
      <w:r>
        <w:rPr>
          <w:rtl/>
        </w:rPr>
        <w:t xml:space="preserve">مكتب </w:t>
      </w:r>
      <w:r w:rsidR="009B3156">
        <w:rPr>
          <w:rFonts w:hint="cs"/>
          <w:rtl/>
        </w:rPr>
        <w:t>ل</w:t>
      </w:r>
      <w:r>
        <w:rPr>
          <w:rtl/>
        </w:rPr>
        <w:t xml:space="preserve">تسلم الطلبات بالنسبة إلى مودعي </w:t>
      </w:r>
      <w:r w:rsidR="009B3156">
        <w:rPr>
          <w:rFonts w:hint="cs"/>
          <w:rtl/>
        </w:rPr>
        <w:t>بلده</w:t>
      </w:r>
      <w:r>
        <w:rPr>
          <w:rtl/>
        </w:rPr>
        <w:t>.</w:t>
      </w:r>
    </w:p>
    <w:p w:rsidR="00771903" w:rsidRDefault="00771903" w:rsidP="00447FEA">
      <w:pPr>
        <w:pStyle w:val="NumberedParaAR"/>
        <w:rPr>
          <w:rtl/>
        </w:rPr>
      </w:pPr>
      <w:r>
        <w:rPr>
          <w:rtl/>
        </w:rPr>
        <w:t>وقد وافقت ج</w:t>
      </w:r>
      <w:r w:rsidR="009B3156">
        <w:rPr>
          <w:rtl/>
        </w:rPr>
        <w:t xml:space="preserve">معية اتحاد المعاهدة على إسقاط </w:t>
      </w:r>
      <w:r w:rsidR="009B3156">
        <w:rPr>
          <w:rFonts w:hint="cs"/>
          <w:rtl/>
        </w:rPr>
        <w:t xml:space="preserve">المبالغ المخصومة من رسوم </w:t>
      </w:r>
      <w:r>
        <w:rPr>
          <w:rtl/>
        </w:rPr>
        <w:t>الإيداع باستخدام خدمة</w:t>
      </w:r>
      <w:r w:rsidR="009B3156">
        <w:rPr>
          <w:rFonts w:hint="cs"/>
          <w:rtl/>
        </w:rPr>
        <w:t> </w:t>
      </w:r>
      <w:r>
        <w:t>PCT-EASY</w:t>
      </w:r>
      <w:r w:rsidR="009B3156">
        <w:rPr>
          <w:rtl/>
        </w:rPr>
        <w:t xml:space="preserve"> اعتبارا</w:t>
      </w:r>
      <w:r>
        <w:rPr>
          <w:rtl/>
        </w:rPr>
        <w:t xml:space="preserve"> من 1 يوليه 2015، مستندة في ذلك</w:t>
      </w:r>
      <w:r w:rsidR="009B3156">
        <w:rPr>
          <w:rtl/>
        </w:rPr>
        <w:t xml:space="preserve"> أساساً إلى قلة استخدامها حاليا</w:t>
      </w:r>
      <w:r>
        <w:rPr>
          <w:rtl/>
        </w:rPr>
        <w:t xml:space="preserve"> لدى معظم الم</w:t>
      </w:r>
      <w:r w:rsidR="009B3156">
        <w:rPr>
          <w:rtl/>
        </w:rPr>
        <w:t>كاتب التي تتيح الإيداع الشبكي. وعلاوة</w:t>
      </w:r>
      <w:r>
        <w:rPr>
          <w:rtl/>
        </w:rPr>
        <w:t xml:space="preserve"> على ذلك، عرض المكتب الدولي أن يستضيف خدمات الإيداع الشبكية، مما يسمح لمكاتب تسلم الطلبات </w:t>
      </w:r>
      <w:r w:rsidR="009B3156">
        <w:rPr>
          <w:rFonts w:hint="cs"/>
          <w:rtl/>
        </w:rPr>
        <w:t>ب</w:t>
      </w:r>
      <w:r>
        <w:rPr>
          <w:rtl/>
        </w:rPr>
        <w:t>تقديم خدمة أكثر فعالية للمودعين وللمكاتب الوطنية التي تستخدم الوثائق والبي</w:t>
      </w:r>
      <w:r w:rsidR="009B3156">
        <w:rPr>
          <w:rtl/>
        </w:rPr>
        <w:t xml:space="preserve">انات المقدمة ضمن طلبٍ ما </w:t>
      </w:r>
      <w:r>
        <w:rPr>
          <w:rtl/>
        </w:rPr>
        <w:t>(انظر الفقرات</w:t>
      </w:r>
      <w:r w:rsidR="009B3156">
        <w:rPr>
          <w:rFonts w:hint="cs"/>
          <w:rtl/>
        </w:rPr>
        <w:t xml:space="preserve"> من</w:t>
      </w:r>
      <w:r>
        <w:rPr>
          <w:rtl/>
        </w:rPr>
        <w:t xml:space="preserve"> 2</w:t>
      </w:r>
      <w:r w:rsidR="009B3156">
        <w:rPr>
          <w:rFonts w:hint="cs"/>
          <w:rtl/>
        </w:rPr>
        <w:t> </w:t>
      </w:r>
      <w:r>
        <w:rPr>
          <w:rtl/>
        </w:rPr>
        <w:t>إلى 6 من الوثيقة</w:t>
      </w:r>
      <w:r w:rsidR="009B3156">
        <w:rPr>
          <w:rFonts w:hint="cs"/>
          <w:rtl/>
        </w:rPr>
        <w:t> </w:t>
      </w:r>
      <w:r>
        <w:t>PCT/WG/7/15</w:t>
      </w:r>
      <w:r>
        <w:rPr>
          <w:rtl/>
        </w:rPr>
        <w:t xml:space="preserve"> والفقرتين</w:t>
      </w:r>
      <w:r w:rsidR="00447FEA">
        <w:rPr>
          <w:rFonts w:hint="cs"/>
          <w:rtl/>
        </w:rPr>
        <w:t> </w:t>
      </w:r>
      <w:r>
        <w:rPr>
          <w:rtl/>
        </w:rPr>
        <w:t>16 و17</w:t>
      </w:r>
      <w:r w:rsidR="00447FEA">
        <w:rPr>
          <w:rFonts w:hint="cs"/>
          <w:rtl/>
        </w:rPr>
        <w:t> </w:t>
      </w:r>
      <w:r>
        <w:rPr>
          <w:rtl/>
        </w:rPr>
        <w:t xml:space="preserve">من الوثيقة </w:t>
      </w:r>
      <w:r>
        <w:t>PCT/A/46/3</w:t>
      </w:r>
      <w:r>
        <w:rPr>
          <w:rtl/>
        </w:rPr>
        <w:t>).</w:t>
      </w:r>
    </w:p>
    <w:p w:rsidR="00771903" w:rsidRDefault="00771903" w:rsidP="00447FEA">
      <w:pPr>
        <w:pStyle w:val="NumberedParaAR"/>
        <w:rPr>
          <w:rtl/>
        </w:rPr>
      </w:pPr>
      <w:r>
        <w:rPr>
          <w:rtl/>
        </w:rPr>
        <w:t>ويسمح الإيداع باستخدام نظام</w:t>
      </w:r>
      <w:r w:rsidR="00447FEA">
        <w:rPr>
          <w:rFonts w:hint="cs"/>
          <w:rtl/>
        </w:rPr>
        <w:t> </w:t>
      </w:r>
      <w:proofErr w:type="spellStart"/>
      <w:r>
        <w:t>ePCT</w:t>
      </w:r>
      <w:proofErr w:type="spellEnd"/>
      <w:r>
        <w:rPr>
          <w:rtl/>
        </w:rPr>
        <w:t xml:space="preserve"> للمودعين إعداد الطلبات الدولية وإيداعها إما على خادم يستضيفه بشكل مباشر مكتب تسلم طلبات أو على خادم </w:t>
      </w:r>
      <w:r w:rsidR="00447FEA">
        <w:rPr>
          <w:rtl/>
        </w:rPr>
        <w:t>آخر يستضيفه المكتب الدولي نيابة</w:t>
      </w:r>
      <w:r>
        <w:rPr>
          <w:rtl/>
        </w:rPr>
        <w:t xml:space="preserve"> عن مكتب تسلم الطلبات، وذلك باستخدام نفس أنساق الملفات وبروتوكولات الإيداع التي مازال الكثير من مكاتب تسلم الطلبا</w:t>
      </w:r>
      <w:r w:rsidR="00447FEA">
        <w:rPr>
          <w:rtl/>
        </w:rPr>
        <w:t>ت يستخدمها بنجاح منذ بضع سنوات.</w:t>
      </w:r>
      <w:r>
        <w:rPr>
          <w:rtl/>
        </w:rPr>
        <w:t xml:space="preserve"> وفي حالة استضافة المكتب الدولي للخادم، يمكن لمكتب تسلم الطلبات المعني معالجة الطلبات الدولية المودعة من خلال واجهة تعامل نظام</w:t>
      </w:r>
      <w:r w:rsidR="00447FEA">
        <w:rPr>
          <w:rFonts w:hint="cs"/>
          <w:rtl/>
        </w:rPr>
        <w:t> </w:t>
      </w:r>
      <w:proofErr w:type="spellStart"/>
      <w:r>
        <w:t>ePCT</w:t>
      </w:r>
      <w:proofErr w:type="spellEnd"/>
      <w:r>
        <w:rPr>
          <w:rtl/>
        </w:rPr>
        <w:t xml:space="preserve"> القائمة على برامج التصفح والمخصصة للمكاتب، كما يمكن</w:t>
      </w:r>
      <w:r w:rsidR="00447FEA">
        <w:rPr>
          <w:rFonts w:hint="cs"/>
          <w:rtl/>
        </w:rPr>
        <w:t>ه</w:t>
      </w:r>
      <w:r>
        <w:rPr>
          <w:rtl/>
        </w:rPr>
        <w:t xml:space="preserve"> جلبها باستخدام خدمة</w:t>
      </w:r>
      <w:r w:rsidR="00447FEA">
        <w:rPr>
          <w:rFonts w:hint="cs"/>
          <w:rtl/>
        </w:rPr>
        <w:t> </w:t>
      </w:r>
      <w:r>
        <w:t>PCT-EDI</w:t>
      </w:r>
      <w:r w:rsidR="00447FEA">
        <w:rPr>
          <w:rtl/>
        </w:rPr>
        <w:t xml:space="preserve"> لمعالجتها في نظام محلي.</w:t>
      </w:r>
      <w:r>
        <w:rPr>
          <w:rtl/>
        </w:rPr>
        <w:t xml:space="preserve"> وبالتالي، ينبغي أن يتمكن أي مكتب </w:t>
      </w:r>
      <w:r w:rsidR="00447FEA">
        <w:rPr>
          <w:rFonts w:hint="cs"/>
          <w:rtl/>
        </w:rPr>
        <w:t>ل</w:t>
      </w:r>
      <w:r>
        <w:rPr>
          <w:rtl/>
        </w:rPr>
        <w:t>تسلم طلبات الآن من إتاحة نظام إيداع شبكي قابل للنفاذ أو</w:t>
      </w:r>
      <w:r w:rsidR="00447FEA">
        <w:rPr>
          <w:rFonts w:hint="cs"/>
          <w:rtl/>
        </w:rPr>
        <w:t xml:space="preserve"> إتاحة </w:t>
      </w:r>
      <w:r w:rsidR="00447FEA">
        <w:rPr>
          <w:rtl/>
        </w:rPr>
        <w:t>نفاذ</w:t>
      </w:r>
      <w:r>
        <w:rPr>
          <w:rtl/>
        </w:rPr>
        <w:t xml:space="preserve"> غير مقيد إلى نظامه القائم للإيداع من نظام </w:t>
      </w:r>
      <w:proofErr w:type="spellStart"/>
      <w:r>
        <w:t>ePCT</w:t>
      </w:r>
      <w:proofErr w:type="spellEnd"/>
      <w:r>
        <w:rPr>
          <w:rtl/>
        </w:rPr>
        <w:t xml:space="preserve"> دون تكبد أي تكلفة إضافية من أجل تطوير بنية تحتية محلية لتكنولوجيا المعلومات وصيانتها.</w:t>
      </w:r>
    </w:p>
    <w:p w:rsidR="00DB68A7" w:rsidRDefault="00771903" w:rsidP="00DF2CB6">
      <w:pPr>
        <w:pStyle w:val="NumberedParaAR"/>
      </w:pPr>
      <w:r>
        <w:rPr>
          <w:rtl/>
        </w:rPr>
        <w:t>وللإيداع بنظام</w:t>
      </w:r>
      <w:r w:rsidR="00447FEA">
        <w:rPr>
          <w:rFonts w:hint="cs"/>
          <w:rtl/>
        </w:rPr>
        <w:t> </w:t>
      </w:r>
      <w:proofErr w:type="spellStart"/>
      <w:r>
        <w:t>ePCT</w:t>
      </w:r>
      <w:proofErr w:type="spellEnd"/>
      <w:r>
        <w:rPr>
          <w:rtl/>
        </w:rPr>
        <w:t xml:space="preserve"> عدة منافع يتميز بها عن برمجيات الإيداع الإلكتروني السابقة من حيث عدم إلزامه المودع بتثبيت أي برمجيات خاصة، والتحديث المتواصل للبيانا</w:t>
      </w:r>
      <w:r w:rsidR="00447FEA">
        <w:rPr>
          <w:rtl/>
        </w:rPr>
        <w:t xml:space="preserve">ت والخدمات المرجعية </w:t>
      </w:r>
      <w:r w:rsidR="00447FEA">
        <w:rPr>
          <w:rFonts w:hint="cs"/>
          <w:rtl/>
        </w:rPr>
        <w:t>بالنسبة لج</w:t>
      </w:r>
      <w:r w:rsidR="00447FEA">
        <w:rPr>
          <w:rtl/>
        </w:rPr>
        <w:t xml:space="preserve">ميع المستخدمين للتأكد من </w:t>
      </w:r>
      <w:r w:rsidR="00447FEA">
        <w:rPr>
          <w:rFonts w:hint="cs"/>
          <w:rtl/>
        </w:rPr>
        <w:t>ال</w:t>
      </w:r>
      <w:r>
        <w:rPr>
          <w:rtl/>
        </w:rPr>
        <w:t>امتثال لمتطلب</w:t>
      </w:r>
      <w:r w:rsidR="00447FEA">
        <w:rPr>
          <w:rtl/>
        </w:rPr>
        <w:t>ات معاهدة التعاون بشأن البراءات</w:t>
      </w:r>
      <w:r>
        <w:rPr>
          <w:rtl/>
        </w:rPr>
        <w:t>، وقدرة النظام على إتاحة عمليات الفحص والمعاينة التي تنفذها الأنظمة الفعلية ال</w:t>
      </w:r>
      <w:r w:rsidR="00447FEA">
        <w:rPr>
          <w:rtl/>
        </w:rPr>
        <w:t>مستخدمة في المكتب الدولي</w:t>
      </w:r>
      <w:r w:rsidR="00DF2CB6">
        <w:rPr>
          <w:rtl/>
        </w:rPr>
        <w:t xml:space="preserve"> لمعالجة أعماله، مما يكفل تجن</w:t>
      </w:r>
      <w:r>
        <w:rPr>
          <w:rtl/>
        </w:rPr>
        <w:t xml:space="preserve">ب </w:t>
      </w:r>
      <w:r w:rsidR="00DF2CB6">
        <w:rPr>
          <w:rFonts w:hint="cs"/>
          <w:rtl/>
        </w:rPr>
        <w:t xml:space="preserve">أن يتفاجأ </w:t>
      </w:r>
      <w:r>
        <w:rPr>
          <w:rtl/>
        </w:rPr>
        <w:t xml:space="preserve">المودع بوجود أوجه تضارب في مرحلة لاحقة. </w:t>
      </w:r>
      <w:r w:rsidR="00DF2CB6">
        <w:rPr>
          <w:rtl/>
        </w:rPr>
        <w:t xml:space="preserve">وسيسمح اتساع نطاق توافر </w:t>
      </w:r>
      <w:r>
        <w:rPr>
          <w:rtl/>
        </w:rPr>
        <w:t>نظام</w:t>
      </w:r>
      <w:r w:rsidR="00DF2CB6">
        <w:rPr>
          <w:rFonts w:hint="cs"/>
          <w:rtl/>
        </w:rPr>
        <w:t> </w:t>
      </w:r>
      <w:proofErr w:type="spellStart"/>
      <w:r>
        <w:t>ePCT</w:t>
      </w:r>
      <w:proofErr w:type="spellEnd"/>
      <w:r>
        <w:rPr>
          <w:rtl/>
        </w:rPr>
        <w:t xml:space="preserve"> وتقبله بالتوقف عن استخدام </w:t>
      </w:r>
      <w:r w:rsidR="00DF2CB6">
        <w:rPr>
          <w:rFonts w:hint="cs"/>
          <w:rtl/>
        </w:rPr>
        <w:t>برنامج </w:t>
      </w:r>
      <w:r>
        <w:t>PCT-SAFE</w:t>
      </w:r>
      <w:r>
        <w:rPr>
          <w:rtl/>
        </w:rPr>
        <w:t xml:space="preserve"> في نهاية المطاف، وبالتالي تحرير الموارد المستخدمة لصيانة </w:t>
      </w:r>
      <w:r w:rsidR="00DF2CB6">
        <w:rPr>
          <w:rFonts w:hint="cs"/>
          <w:rtl/>
        </w:rPr>
        <w:t>ذلك البرنامج</w:t>
      </w:r>
      <w:r>
        <w:rPr>
          <w:rtl/>
        </w:rPr>
        <w:t xml:space="preserve"> </w:t>
      </w:r>
      <w:r w:rsidR="00DF2CB6">
        <w:rPr>
          <w:rtl/>
        </w:rPr>
        <w:t>و</w:t>
      </w:r>
      <w:r>
        <w:rPr>
          <w:rtl/>
        </w:rPr>
        <w:t>توظيفها في موضع آخر.</w:t>
      </w:r>
    </w:p>
    <w:p w:rsidR="008E4D14" w:rsidRPr="00662B86" w:rsidRDefault="00771903" w:rsidP="00E2603C">
      <w:pPr>
        <w:pStyle w:val="NormalParaAR"/>
        <w:keepNext/>
        <w:rPr>
          <w:sz w:val="40"/>
          <w:szCs w:val="40"/>
          <w:rtl/>
        </w:rPr>
      </w:pPr>
      <w:r w:rsidRPr="00662B86">
        <w:rPr>
          <w:sz w:val="40"/>
          <w:szCs w:val="40"/>
          <w:rtl/>
        </w:rPr>
        <w:t>الإرسال الإلكتروني للو</w:t>
      </w:r>
      <w:r w:rsidR="00DF2CB6">
        <w:rPr>
          <w:sz w:val="40"/>
          <w:szCs w:val="40"/>
          <w:rtl/>
        </w:rPr>
        <w:t>ثائق التي يودعها المودعون لاحقا</w:t>
      </w:r>
    </w:p>
    <w:p w:rsidR="00771903" w:rsidRDefault="00DF2CB6" w:rsidP="008D2E82">
      <w:pPr>
        <w:pStyle w:val="NumberedParaAR"/>
        <w:rPr>
          <w:rtl/>
        </w:rPr>
      </w:pPr>
      <w:r>
        <w:rPr>
          <w:rtl/>
        </w:rPr>
        <w:t>يتيح</w:t>
      </w:r>
      <w:r>
        <w:rPr>
          <w:rFonts w:hint="cs"/>
          <w:rtl/>
        </w:rPr>
        <w:t xml:space="preserve"> </w:t>
      </w:r>
      <w:r w:rsidR="00771903">
        <w:rPr>
          <w:rtl/>
        </w:rPr>
        <w:t>نظام</w:t>
      </w:r>
      <w:r>
        <w:rPr>
          <w:rFonts w:hint="cs"/>
          <w:rtl/>
        </w:rPr>
        <w:t> </w:t>
      </w:r>
      <w:proofErr w:type="spellStart"/>
      <w:r w:rsidR="00771903">
        <w:t>ePCT</w:t>
      </w:r>
      <w:proofErr w:type="spellEnd"/>
      <w:r w:rsidR="00771903">
        <w:rPr>
          <w:rtl/>
        </w:rPr>
        <w:t xml:space="preserve"> إمكانية </w:t>
      </w:r>
      <w:r w:rsidR="008D2E82">
        <w:rPr>
          <w:rFonts w:hint="cs"/>
          <w:rtl/>
        </w:rPr>
        <w:t>تحميل</w:t>
      </w:r>
      <w:r w:rsidR="00771903">
        <w:rPr>
          <w:rtl/>
        </w:rPr>
        <w:t xml:space="preserve"> الوثائق </w:t>
      </w:r>
      <w:r w:rsidR="008D2E82">
        <w:rPr>
          <w:rFonts w:hint="cs"/>
          <w:rtl/>
        </w:rPr>
        <w:t>ليس</w:t>
      </w:r>
      <w:r w:rsidR="00771903">
        <w:rPr>
          <w:rtl/>
        </w:rPr>
        <w:t xml:space="preserve"> </w:t>
      </w:r>
      <w:r w:rsidR="008D2E82">
        <w:rPr>
          <w:rFonts w:hint="cs"/>
          <w:rtl/>
        </w:rPr>
        <w:t xml:space="preserve">لإرسالها </w:t>
      </w:r>
      <w:r w:rsidR="00771903">
        <w:rPr>
          <w:rtl/>
        </w:rPr>
        <w:t xml:space="preserve">إلى المكتب الدولي فحسب، بل كذلك إلى مكاتب تسلم الطلبات والإدارات الدولية المستعدة لتلقيها من </w:t>
      </w:r>
      <w:r w:rsidR="008D2E82">
        <w:rPr>
          <w:rFonts w:hint="cs"/>
          <w:rtl/>
        </w:rPr>
        <w:t>ذلك</w:t>
      </w:r>
      <w:r w:rsidR="008D2E82">
        <w:rPr>
          <w:rtl/>
        </w:rPr>
        <w:t xml:space="preserve"> المصدر. و</w:t>
      </w:r>
      <w:r w:rsidR="008D2E82">
        <w:rPr>
          <w:rFonts w:hint="cs"/>
          <w:rtl/>
        </w:rPr>
        <w:t xml:space="preserve">حسب </w:t>
      </w:r>
      <w:r w:rsidR="00771903">
        <w:rPr>
          <w:rtl/>
        </w:rPr>
        <w:t xml:space="preserve">الاحتياجات المحلية </w:t>
      </w:r>
      <w:r w:rsidR="008D2E82">
        <w:rPr>
          <w:rtl/>
        </w:rPr>
        <w:t xml:space="preserve">من حيث </w:t>
      </w:r>
      <w:proofErr w:type="spellStart"/>
      <w:r w:rsidR="008D2E82">
        <w:rPr>
          <w:rtl/>
        </w:rPr>
        <w:t>الأتمتة</w:t>
      </w:r>
      <w:proofErr w:type="spellEnd"/>
      <w:r w:rsidR="008D2E82">
        <w:rPr>
          <w:rtl/>
        </w:rPr>
        <w:t xml:space="preserve">، </w:t>
      </w:r>
      <w:r w:rsidR="00771903">
        <w:rPr>
          <w:rtl/>
        </w:rPr>
        <w:t xml:space="preserve">قد يرغب </w:t>
      </w:r>
      <w:r w:rsidR="008D2E82">
        <w:rPr>
          <w:rFonts w:hint="cs"/>
          <w:rtl/>
        </w:rPr>
        <w:t xml:space="preserve">المكتب المعني </w:t>
      </w:r>
      <w:r w:rsidR="00771903">
        <w:rPr>
          <w:rtl/>
        </w:rPr>
        <w:t>في تلقي الوثائق بالإرسال المجمع من خلال خدمة</w:t>
      </w:r>
      <w:r w:rsidR="008D2E82">
        <w:rPr>
          <w:rFonts w:hint="cs"/>
          <w:rtl/>
        </w:rPr>
        <w:t> </w:t>
      </w:r>
      <w:r w:rsidR="00771903">
        <w:t>PCT-EDI</w:t>
      </w:r>
      <w:r w:rsidR="00771903">
        <w:rPr>
          <w:rtl/>
        </w:rPr>
        <w:t xml:space="preserve"> أو بتلقي إخطار بتوافر وثيقة جديدة للاطلاع والتنزيل في خدمة</w:t>
      </w:r>
      <w:r w:rsidR="008D2E82">
        <w:rPr>
          <w:rFonts w:hint="cs"/>
          <w:rtl/>
        </w:rPr>
        <w:t> </w:t>
      </w:r>
      <w:proofErr w:type="spellStart"/>
      <w:r w:rsidR="00771903">
        <w:t>ePCT</w:t>
      </w:r>
      <w:proofErr w:type="spellEnd"/>
      <w:r w:rsidR="00771903">
        <w:rPr>
          <w:rtl/>
        </w:rPr>
        <w:t xml:space="preserve"> </w:t>
      </w:r>
      <w:r w:rsidR="008D2E82">
        <w:rPr>
          <w:rFonts w:hint="cs"/>
          <w:rtl/>
        </w:rPr>
        <w:t xml:space="preserve">المتاحة </w:t>
      </w:r>
      <w:r w:rsidR="00771903">
        <w:rPr>
          <w:rtl/>
        </w:rPr>
        <w:t>للمكاتب والقائمة على برامج التصفح.</w:t>
      </w:r>
    </w:p>
    <w:p w:rsidR="00601909" w:rsidRDefault="00771903" w:rsidP="008D2E82">
      <w:pPr>
        <w:pStyle w:val="NumberedParaAR"/>
      </w:pPr>
      <w:r>
        <w:rPr>
          <w:rtl/>
        </w:rPr>
        <w:t>ومن شأن السماح بتشغيل هذه الخدمة لمكاتب تسلم الطلبات والإدارات الدولية كافة أن يعز</w:t>
      </w:r>
      <w:r w:rsidR="008D2E82">
        <w:rPr>
          <w:rFonts w:hint="cs"/>
          <w:rtl/>
        </w:rPr>
        <w:t>ّ</w:t>
      </w:r>
      <w:r w:rsidR="008D2E82">
        <w:rPr>
          <w:rtl/>
        </w:rPr>
        <w:t>ز كفاءة النظام تعزيزا عظيما، خاصة بالنسبة ل</w:t>
      </w:r>
      <w:r>
        <w:rPr>
          <w:rtl/>
        </w:rPr>
        <w:t xml:space="preserve">لمودعين الذين يراسلون إدارة </w:t>
      </w:r>
      <w:r w:rsidR="008D2E82">
        <w:rPr>
          <w:rtl/>
        </w:rPr>
        <w:t>دولية في بلد مختلف</w:t>
      </w:r>
      <w:r>
        <w:rPr>
          <w:rtl/>
        </w:rPr>
        <w:t xml:space="preserve">، حيث </w:t>
      </w:r>
      <w:r w:rsidR="008D2E82">
        <w:rPr>
          <w:rFonts w:hint="cs"/>
          <w:rtl/>
        </w:rPr>
        <w:t>يمكن</w:t>
      </w:r>
      <w:r>
        <w:rPr>
          <w:rtl/>
        </w:rPr>
        <w:t xml:space="preserve"> </w:t>
      </w:r>
      <w:r w:rsidR="008D2E82">
        <w:rPr>
          <w:rFonts w:hint="cs"/>
          <w:rtl/>
        </w:rPr>
        <w:t xml:space="preserve">تسجيل حالات </w:t>
      </w:r>
      <w:r w:rsidR="008D2E82">
        <w:rPr>
          <w:rtl/>
        </w:rPr>
        <w:t>تأخ</w:t>
      </w:r>
      <w:r>
        <w:rPr>
          <w:rtl/>
        </w:rPr>
        <w:t xml:space="preserve">ر </w:t>
      </w:r>
      <w:r w:rsidR="008D2E82">
        <w:rPr>
          <w:rFonts w:hint="cs"/>
          <w:rtl/>
        </w:rPr>
        <w:t xml:space="preserve">كبير في المراسلات </w:t>
      </w:r>
      <w:r>
        <w:rPr>
          <w:rtl/>
        </w:rPr>
        <w:t xml:space="preserve">البريدية.  وتغنم المكاتب ميزة تلقي الوثائق جاهزة في نسق إلكتروني وموسومة برقم الطلب </w:t>
      </w:r>
      <w:r w:rsidR="008D2E82">
        <w:rPr>
          <w:rFonts w:hint="cs"/>
          <w:rtl/>
        </w:rPr>
        <w:t xml:space="preserve">الدولي </w:t>
      </w:r>
      <w:r>
        <w:rPr>
          <w:rtl/>
        </w:rPr>
        <w:t>ونوع الوثيقة، مما يقل</w:t>
      </w:r>
      <w:r w:rsidR="008D2E82">
        <w:rPr>
          <w:rFonts w:hint="cs"/>
          <w:rtl/>
        </w:rPr>
        <w:t>ّ</w:t>
      </w:r>
      <w:r>
        <w:rPr>
          <w:rtl/>
        </w:rPr>
        <w:t>ل من كم العمل اللازم لجلب البريد الوارد وتوجيهه بشكل صحيح.</w:t>
      </w:r>
    </w:p>
    <w:p w:rsidR="00601909" w:rsidRPr="00662B86" w:rsidRDefault="004755FC" w:rsidP="00601909">
      <w:pPr>
        <w:pStyle w:val="NormalParaAR"/>
        <w:keepNext/>
        <w:rPr>
          <w:sz w:val="40"/>
          <w:szCs w:val="40"/>
          <w:rtl/>
        </w:rPr>
      </w:pPr>
      <w:r w:rsidRPr="00662B86">
        <w:rPr>
          <w:sz w:val="40"/>
          <w:szCs w:val="40"/>
          <w:rtl/>
        </w:rPr>
        <w:t>إرسال الأنواع الإضافية من الوثائق إلى المكتب الدولي</w:t>
      </w:r>
    </w:p>
    <w:p w:rsidR="004755FC" w:rsidRDefault="004755FC" w:rsidP="00A62255">
      <w:pPr>
        <w:pStyle w:val="NumberedParaAR"/>
        <w:rPr>
          <w:rtl/>
        </w:rPr>
      </w:pPr>
      <w:r>
        <w:rPr>
          <w:rtl/>
        </w:rPr>
        <w:t>ت</w:t>
      </w:r>
      <w:r w:rsidR="00A62255">
        <w:rPr>
          <w:rFonts w:hint="cs"/>
          <w:rtl/>
        </w:rPr>
        <w:t>ُ</w:t>
      </w:r>
      <w:r>
        <w:rPr>
          <w:rtl/>
        </w:rPr>
        <w:t xml:space="preserve">نسخ مكاتب تسلم الطلبات والإدارات الدولية في الوقت الراهن معظم الوثائق التي </w:t>
      </w:r>
      <w:r w:rsidR="00A62255">
        <w:rPr>
          <w:rFonts w:hint="cs"/>
          <w:rtl/>
        </w:rPr>
        <w:t>تبلور</w:t>
      </w:r>
      <w:r>
        <w:rPr>
          <w:rtl/>
        </w:rPr>
        <w:t xml:space="preserve"> النتيجة النهائية لعملية ما أجريت لدى المكتب المعني أو الإدارة المعنية ل</w:t>
      </w:r>
      <w:r w:rsidR="00A62255">
        <w:rPr>
          <w:rFonts w:hint="cs"/>
          <w:rtl/>
        </w:rPr>
        <w:t>فائدة ا</w:t>
      </w:r>
      <w:r>
        <w:rPr>
          <w:rtl/>
        </w:rPr>
        <w:t xml:space="preserve">لمكتب الدولي.  </w:t>
      </w:r>
      <w:r w:rsidR="00A62255">
        <w:rPr>
          <w:rtl/>
        </w:rPr>
        <w:t>وتكون هذه الوثائق متاحة ل</w:t>
      </w:r>
      <w:r>
        <w:rPr>
          <w:rtl/>
        </w:rPr>
        <w:t>لمودعين في ملف</w:t>
      </w:r>
      <w:r w:rsidR="00A62255">
        <w:rPr>
          <w:rFonts w:hint="cs"/>
          <w:rtl/>
        </w:rPr>
        <w:t> </w:t>
      </w:r>
      <w:proofErr w:type="spellStart"/>
      <w:r>
        <w:t>ePCT</w:t>
      </w:r>
      <w:proofErr w:type="spellEnd"/>
      <w:r>
        <w:rPr>
          <w:rtl/>
        </w:rPr>
        <w:t xml:space="preserve">، كما </w:t>
      </w:r>
      <w:r w:rsidR="00A62255">
        <w:rPr>
          <w:rFonts w:hint="cs"/>
          <w:rtl/>
        </w:rPr>
        <w:t>تتاح</w:t>
      </w:r>
      <w:r>
        <w:rPr>
          <w:rtl/>
        </w:rPr>
        <w:t xml:space="preserve"> معظم تلك الوثائق في</w:t>
      </w:r>
      <w:r w:rsidR="00A62255">
        <w:rPr>
          <w:rFonts w:hint="cs"/>
          <w:rtl/>
        </w:rPr>
        <w:t xml:space="preserve"> ركن البراءات (</w:t>
      </w:r>
      <w:r w:rsidR="00A62255">
        <w:t>PATENTSCOPE</w:t>
      </w:r>
      <w:r w:rsidR="00A62255">
        <w:rPr>
          <w:rFonts w:hint="cs"/>
          <w:rtl/>
        </w:rPr>
        <w:t>)</w:t>
      </w:r>
      <w:r w:rsidR="00A62255">
        <w:rPr>
          <w:rtl/>
        </w:rPr>
        <w:t xml:space="preserve">. </w:t>
      </w:r>
      <w:r>
        <w:rPr>
          <w:rtl/>
        </w:rPr>
        <w:t>غير أن الكثير من المراسلات المرحلية لا ي</w:t>
      </w:r>
      <w:r w:rsidR="00A62255">
        <w:rPr>
          <w:rFonts w:hint="cs"/>
          <w:rtl/>
        </w:rPr>
        <w:t>ُ</w:t>
      </w:r>
      <w:r>
        <w:rPr>
          <w:rtl/>
        </w:rPr>
        <w:t xml:space="preserve">نسخ </w:t>
      </w:r>
      <w:r w:rsidR="00A62255">
        <w:rPr>
          <w:rFonts w:hint="cs"/>
          <w:rtl/>
        </w:rPr>
        <w:t>لفائدة</w:t>
      </w:r>
      <w:r>
        <w:rPr>
          <w:rtl/>
        </w:rPr>
        <w:t xml:space="preserve"> المكتب الدولي ولا يُرسل إلى المو</w:t>
      </w:r>
      <w:r w:rsidR="00A62255">
        <w:rPr>
          <w:rtl/>
        </w:rPr>
        <w:t>دع إلا عن طريق البريد التقليدي.</w:t>
      </w:r>
      <w:r>
        <w:rPr>
          <w:rtl/>
        </w:rPr>
        <w:t xml:space="preserve"> ومن شأن حالات التأخر في التسليم أن تسبب صعوبات معت</w:t>
      </w:r>
      <w:r w:rsidR="00A62255">
        <w:rPr>
          <w:rtl/>
        </w:rPr>
        <w:t>برة للمودعين في الالتزام بال</w:t>
      </w:r>
      <w:r w:rsidR="00A62255">
        <w:rPr>
          <w:rFonts w:hint="cs"/>
          <w:rtl/>
        </w:rPr>
        <w:t>مُهل</w:t>
      </w:r>
      <w:r>
        <w:rPr>
          <w:rtl/>
        </w:rPr>
        <w:t xml:space="preserve"> الزمنية المحد</w:t>
      </w:r>
      <w:r w:rsidR="00A62255">
        <w:rPr>
          <w:rFonts w:hint="cs"/>
          <w:rtl/>
        </w:rPr>
        <w:t>ّ</w:t>
      </w:r>
      <w:r>
        <w:rPr>
          <w:rtl/>
        </w:rPr>
        <w:t xml:space="preserve">دة، </w:t>
      </w:r>
      <w:r w:rsidR="00A62255">
        <w:rPr>
          <w:rtl/>
        </w:rPr>
        <w:t xml:space="preserve">مما يؤدي بدوره إلى حالات تأخر </w:t>
      </w:r>
      <w:r w:rsidR="00A62255">
        <w:rPr>
          <w:rFonts w:hint="cs"/>
          <w:rtl/>
        </w:rPr>
        <w:t>لل</w:t>
      </w:r>
      <w:r>
        <w:rPr>
          <w:rtl/>
        </w:rPr>
        <w:t xml:space="preserve">مكاتب ويصعِّب استكمال العمليات ذات الصلة في </w:t>
      </w:r>
      <w:r w:rsidR="00A62255">
        <w:rPr>
          <w:rFonts w:hint="cs"/>
          <w:rtl/>
        </w:rPr>
        <w:t>الوقت المحدّد</w:t>
      </w:r>
      <w:r>
        <w:rPr>
          <w:rtl/>
        </w:rPr>
        <w:t>.</w:t>
      </w:r>
    </w:p>
    <w:p w:rsidR="004755FC" w:rsidRDefault="004755FC" w:rsidP="00A62255">
      <w:pPr>
        <w:pStyle w:val="NumberedParaAR"/>
        <w:rPr>
          <w:rtl/>
        </w:rPr>
      </w:pPr>
      <w:r>
        <w:rPr>
          <w:rtl/>
        </w:rPr>
        <w:t xml:space="preserve">وفي حالة إدارة المكاتب الوطنية </w:t>
      </w:r>
      <w:r w:rsidR="00A62255">
        <w:rPr>
          <w:rFonts w:hint="cs"/>
          <w:rtl/>
        </w:rPr>
        <w:t>ل</w:t>
      </w:r>
      <w:r>
        <w:rPr>
          <w:rtl/>
        </w:rPr>
        <w:t>مراسلاتها باستخدام نظام</w:t>
      </w:r>
      <w:r w:rsidR="00A62255">
        <w:rPr>
          <w:rFonts w:hint="cs"/>
          <w:rtl/>
        </w:rPr>
        <w:t> </w:t>
      </w:r>
      <w:proofErr w:type="spellStart"/>
      <w:r>
        <w:t>ePCT</w:t>
      </w:r>
      <w:proofErr w:type="spellEnd"/>
      <w:r>
        <w:rPr>
          <w:rtl/>
        </w:rPr>
        <w:t xml:space="preserve">، فقد تكون </w:t>
      </w:r>
      <w:r w:rsidR="00A62255">
        <w:rPr>
          <w:rFonts w:hint="cs"/>
          <w:rtl/>
        </w:rPr>
        <w:t>تلك</w:t>
      </w:r>
      <w:r>
        <w:rPr>
          <w:rtl/>
        </w:rPr>
        <w:t xml:space="preserve"> الوثائق متاحة </w:t>
      </w:r>
      <w:r w:rsidR="00A62255">
        <w:rPr>
          <w:rtl/>
        </w:rPr>
        <w:t xml:space="preserve">للمودع </w:t>
      </w:r>
      <w:r>
        <w:rPr>
          <w:rtl/>
        </w:rPr>
        <w:t>بالفعل من خلال</w:t>
      </w:r>
      <w:r w:rsidR="00A62255">
        <w:rPr>
          <w:rFonts w:hint="cs"/>
          <w:rtl/>
        </w:rPr>
        <w:t xml:space="preserve"> نظام </w:t>
      </w:r>
      <w:proofErr w:type="spellStart"/>
      <w:r>
        <w:t>ePCT</w:t>
      </w:r>
      <w:proofErr w:type="spellEnd"/>
      <w:r>
        <w:rPr>
          <w:rtl/>
        </w:rPr>
        <w:t>، حتى ولو لم تُرسل بشكل رسمي إلى ال</w:t>
      </w:r>
      <w:r w:rsidR="00A62255">
        <w:rPr>
          <w:rtl/>
        </w:rPr>
        <w:t xml:space="preserve">مكتب الدولي. </w:t>
      </w:r>
      <w:r>
        <w:rPr>
          <w:rtl/>
        </w:rPr>
        <w:t xml:space="preserve">ومع ذلك فسيكون من المرغوب </w:t>
      </w:r>
      <w:r w:rsidR="00A62255">
        <w:rPr>
          <w:rFonts w:hint="cs"/>
          <w:rtl/>
        </w:rPr>
        <w:t xml:space="preserve">فيه </w:t>
      </w:r>
      <w:r w:rsidR="00A62255">
        <w:rPr>
          <w:rtl/>
        </w:rPr>
        <w:t xml:space="preserve">بشكل </w:t>
      </w:r>
      <w:r w:rsidR="00A62255">
        <w:rPr>
          <w:rFonts w:hint="cs"/>
          <w:rtl/>
        </w:rPr>
        <w:t>عام</w:t>
      </w:r>
      <w:r w:rsidR="00A62255">
        <w:rPr>
          <w:rtl/>
        </w:rPr>
        <w:t xml:space="preserve"> أن ترسل المكاتب </w:t>
      </w:r>
      <w:r w:rsidR="00A62255">
        <w:rPr>
          <w:rFonts w:hint="cs"/>
          <w:rtl/>
        </w:rPr>
        <w:t>عددا أكبر</w:t>
      </w:r>
      <w:r>
        <w:rPr>
          <w:rtl/>
        </w:rPr>
        <w:t xml:space="preserve"> من الوثائق إلى المكتب الدول</w:t>
      </w:r>
      <w:r w:rsidR="00A62255">
        <w:rPr>
          <w:rtl/>
        </w:rPr>
        <w:t>ي على نحو يسمح بإتاحتها تلقائيا</w:t>
      </w:r>
      <w:r>
        <w:rPr>
          <w:rtl/>
        </w:rPr>
        <w:t xml:space="preserve"> من خلال نظام</w:t>
      </w:r>
      <w:r w:rsidR="00A62255">
        <w:rPr>
          <w:rFonts w:hint="cs"/>
          <w:rtl/>
        </w:rPr>
        <w:t> </w:t>
      </w:r>
      <w:proofErr w:type="spellStart"/>
      <w:r>
        <w:t>ePCT</w:t>
      </w:r>
      <w:proofErr w:type="spellEnd"/>
      <w:r>
        <w:rPr>
          <w:rtl/>
        </w:rPr>
        <w:t xml:space="preserve"> دونما تدخل يدوي من قِبل المكتب الدولي.</w:t>
      </w:r>
    </w:p>
    <w:p w:rsidR="00DE67B3" w:rsidRDefault="00A62255" w:rsidP="004755FC">
      <w:pPr>
        <w:pStyle w:val="NumberedParaAR"/>
      </w:pPr>
      <w:r>
        <w:rPr>
          <w:rtl/>
        </w:rPr>
        <w:t>و</w:t>
      </w:r>
      <w:r>
        <w:rPr>
          <w:rFonts w:hint="cs"/>
          <w:rtl/>
        </w:rPr>
        <w:t xml:space="preserve">فيما يلي بعض </w:t>
      </w:r>
      <w:r w:rsidR="004755FC">
        <w:rPr>
          <w:rtl/>
        </w:rPr>
        <w:t xml:space="preserve">المواد المرشحة </w:t>
      </w:r>
      <w:r>
        <w:rPr>
          <w:rFonts w:hint="cs"/>
          <w:rtl/>
        </w:rPr>
        <w:t xml:space="preserve">التي تكتسي أهمية خاصة </w:t>
      </w:r>
      <w:r>
        <w:rPr>
          <w:rtl/>
        </w:rPr>
        <w:t>لهذا النوع من المعالجة</w:t>
      </w:r>
      <w:r w:rsidR="004755FC">
        <w:rPr>
          <w:rtl/>
        </w:rPr>
        <w:t>:</w:t>
      </w:r>
    </w:p>
    <w:p w:rsidR="001F4E3C" w:rsidRDefault="001F4E3C" w:rsidP="001F4E3C">
      <w:pPr>
        <w:pStyle w:val="NumberedParaAR"/>
        <w:numPr>
          <w:ilvl w:val="0"/>
          <w:numId w:val="34"/>
        </w:numPr>
        <w:tabs>
          <w:tab w:val="clear" w:pos="567"/>
          <w:tab w:val="num" w:pos="1134"/>
        </w:tabs>
        <w:ind w:left="567"/>
      </w:pPr>
      <w:r>
        <w:rPr>
          <w:rtl/>
        </w:rPr>
        <w:t>الآراء المكتوبة لإدارة الفحص التمهيدي الدولي (</w:t>
      </w:r>
      <w:r>
        <w:t>PCT/IPEA/408</w:t>
      </w:r>
      <w:r>
        <w:rPr>
          <w:rtl/>
        </w:rPr>
        <w:t>)؛</w:t>
      </w:r>
    </w:p>
    <w:p w:rsidR="001F4E3C" w:rsidRDefault="001F4E3C" w:rsidP="001F4E3C">
      <w:pPr>
        <w:pStyle w:val="NumberedParaAR"/>
        <w:numPr>
          <w:ilvl w:val="0"/>
          <w:numId w:val="34"/>
        </w:numPr>
        <w:ind w:left="567"/>
      </w:pPr>
      <w:r>
        <w:rPr>
          <w:rtl/>
        </w:rPr>
        <w:t>والدعوات لسداد رسوم إضافية نظراً لانعدام وحدة الاختراع (</w:t>
      </w:r>
      <w:r>
        <w:t>PCT/ISA/206</w:t>
      </w:r>
      <w:r>
        <w:rPr>
          <w:rtl/>
        </w:rPr>
        <w:t xml:space="preserve"> أو </w:t>
      </w:r>
      <w:r>
        <w:t>PCT/IPEA/405</w:t>
      </w:r>
      <w:r>
        <w:rPr>
          <w:rtl/>
        </w:rPr>
        <w:t xml:space="preserve">)؛ </w:t>
      </w:r>
    </w:p>
    <w:p w:rsidR="001F4E3C" w:rsidRDefault="001F4E3C" w:rsidP="00D032BF">
      <w:pPr>
        <w:pStyle w:val="NumberedParaAR"/>
        <w:numPr>
          <w:ilvl w:val="0"/>
          <w:numId w:val="34"/>
        </w:numPr>
        <w:ind w:left="567"/>
      </w:pPr>
      <w:r>
        <w:rPr>
          <w:rtl/>
        </w:rPr>
        <w:t>والوثائق المستشهد بها في معرض ا</w:t>
      </w:r>
      <w:r w:rsidR="00D032BF">
        <w:rPr>
          <w:rtl/>
        </w:rPr>
        <w:t>لبحث الدولي أو الفحص التمهيدي (</w:t>
      </w:r>
      <w:r>
        <w:rPr>
          <w:rtl/>
        </w:rPr>
        <w:t xml:space="preserve">لا تتاح هذه </w:t>
      </w:r>
      <w:r w:rsidR="00D032BF">
        <w:rPr>
          <w:rFonts w:hint="cs"/>
          <w:rtl/>
        </w:rPr>
        <w:t>الوثائق في ركن البراءات (</w:t>
      </w:r>
      <w:r w:rsidR="00D032BF">
        <w:t>PATENTSCOPE</w:t>
      </w:r>
      <w:r w:rsidR="00D032BF">
        <w:rPr>
          <w:rFonts w:hint="cs"/>
          <w:rtl/>
        </w:rPr>
        <w:t>) و</w:t>
      </w:r>
      <w:r w:rsidR="00D032BF">
        <w:rPr>
          <w:rtl/>
        </w:rPr>
        <w:t>لكن</w:t>
      </w:r>
      <w:r>
        <w:rPr>
          <w:rtl/>
        </w:rPr>
        <w:t xml:space="preserve"> تتاح </w:t>
      </w:r>
      <w:r w:rsidR="00D032BF">
        <w:rPr>
          <w:rtl/>
        </w:rPr>
        <w:t>بسه</w:t>
      </w:r>
      <w:r w:rsidR="00D032BF">
        <w:rPr>
          <w:rFonts w:hint="cs"/>
          <w:rtl/>
        </w:rPr>
        <w:t xml:space="preserve">ولة </w:t>
      </w:r>
      <w:r w:rsidR="00D032BF">
        <w:rPr>
          <w:rtl/>
        </w:rPr>
        <w:t>للمودع أو المكتب المعيَّن وفقا</w:t>
      </w:r>
      <w:r>
        <w:rPr>
          <w:rtl/>
        </w:rPr>
        <w:t xml:space="preserve"> للمادة 20(3) دون تكبيد الإدارة الدولية أي أعمال أو تكاليف بريدية إضافية)؛</w:t>
      </w:r>
    </w:p>
    <w:p w:rsidR="001F4E3C" w:rsidRDefault="001F4E3C" w:rsidP="001F4E3C">
      <w:pPr>
        <w:pStyle w:val="NumberedParaAR"/>
        <w:numPr>
          <w:ilvl w:val="0"/>
          <w:numId w:val="34"/>
        </w:numPr>
        <w:ind w:left="567"/>
      </w:pPr>
      <w:r>
        <w:rPr>
          <w:rtl/>
        </w:rPr>
        <w:t>والدعوات الأخرى لسداد رسوم أو طلب تصويب أو تقديم وثائق أو تصحيح عيوب أو تحديد إدارة دولية مختصة.</w:t>
      </w:r>
    </w:p>
    <w:p w:rsidR="00C6215B" w:rsidRPr="00DD281F" w:rsidRDefault="001F4E3C" w:rsidP="001F4E3C">
      <w:pPr>
        <w:pStyle w:val="NormalParaAR"/>
        <w:keepNext/>
        <w:rPr>
          <w:sz w:val="40"/>
          <w:szCs w:val="40"/>
        </w:rPr>
      </w:pPr>
      <w:r w:rsidRPr="00DD281F">
        <w:rPr>
          <w:sz w:val="40"/>
          <w:szCs w:val="40"/>
          <w:rtl/>
        </w:rPr>
        <w:t>خدمة نُسخ البحث الإلكترونية (</w:t>
      </w:r>
      <w:proofErr w:type="spellStart"/>
      <w:r w:rsidRPr="00DD281F">
        <w:rPr>
          <w:sz w:val="40"/>
          <w:szCs w:val="40"/>
        </w:rPr>
        <w:t>eSEARCHCOPY</w:t>
      </w:r>
      <w:proofErr w:type="spellEnd"/>
      <w:r w:rsidRPr="00DD281F">
        <w:rPr>
          <w:sz w:val="40"/>
          <w:szCs w:val="40"/>
          <w:rtl/>
        </w:rPr>
        <w:t>)</w:t>
      </w:r>
    </w:p>
    <w:p w:rsidR="00FA4946" w:rsidRDefault="001F4E3C" w:rsidP="001F4E3C">
      <w:pPr>
        <w:pStyle w:val="NumberedParaAR"/>
      </w:pPr>
      <w:r w:rsidRPr="001F4E3C">
        <w:rPr>
          <w:rtl/>
        </w:rPr>
        <w:t>تتمتع معظم إدارات البحث الدولية بالاختصاص بالتصرف حيال الطلبات المودعة لدى ع</w:t>
      </w:r>
      <w:r w:rsidR="00D032BF">
        <w:rPr>
          <w:rtl/>
        </w:rPr>
        <w:t>دة مكاتب تسلم طلبات أخرى علاوة</w:t>
      </w:r>
      <w:r w:rsidR="00D032BF">
        <w:rPr>
          <w:rFonts w:hint="cs"/>
          <w:rtl/>
        </w:rPr>
        <w:t xml:space="preserve"> </w:t>
      </w:r>
      <w:r w:rsidRPr="001F4E3C">
        <w:rPr>
          <w:rtl/>
        </w:rPr>
        <w:t xml:space="preserve">على الطلبات المودعة لدى تلك الإدارات بصفتها مكاتب </w:t>
      </w:r>
      <w:r w:rsidR="00D032BF">
        <w:rPr>
          <w:rFonts w:hint="cs"/>
          <w:rtl/>
        </w:rPr>
        <w:t>ل</w:t>
      </w:r>
      <w:r w:rsidRPr="001F4E3C">
        <w:rPr>
          <w:rtl/>
        </w:rPr>
        <w:t>تسلم طلبات على النحو المبين في الجدول التالي.</w:t>
      </w:r>
    </w:p>
    <w:tbl>
      <w:tblPr>
        <w:tblStyle w:val="TableGrid"/>
        <w:bidiVisual/>
        <w:tblW w:w="9727" w:type="dxa"/>
        <w:tblLayout w:type="fixed"/>
        <w:tblLook w:val="04A0" w:firstRow="1" w:lastRow="0" w:firstColumn="1" w:lastColumn="0" w:noHBand="0" w:noVBand="1"/>
      </w:tblPr>
      <w:tblGrid>
        <w:gridCol w:w="1653"/>
        <w:gridCol w:w="435"/>
        <w:gridCol w:w="435"/>
        <w:gridCol w:w="436"/>
        <w:gridCol w:w="435"/>
        <w:gridCol w:w="436"/>
        <w:gridCol w:w="435"/>
        <w:gridCol w:w="436"/>
        <w:gridCol w:w="671"/>
        <w:gridCol w:w="436"/>
        <w:gridCol w:w="435"/>
        <w:gridCol w:w="435"/>
        <w:gridCol w:w="436"/>
        <w:gridCol w:w="435"/>
        <w:gridCol w:w="436"/>
        <w:gridCol w:w="435"/>
        <w:gridCol w:w="436"/>
        <w:gridCol w:w="435"/>
        <w:gridCol w:w="436"/>
      </w:tblGrid>
      <w:tr w:rsidR="000B7143" w:rsidRPr="000B7143" w:rsidTr="00DD281F">
        <w:trPr>
          <w:trHeight w:val="300"/>
        </w:trPr>
        <w:tc>
          <w:tcPr>
            <w:tcW w:w="1653" w:type="dxa"/>
            <w:vAlign w:val="center"/>
          </w:tcPr>
          <w:p w:rsidR="000B7143" w:rsidRPr="000B7143" w:rsidRDefault="00D032BF" w:rsidP="000B7143">
            <w:pPr>
              <w:pStyle w:val="NumberedParaAR"/>
              <w:numPr>
                <w:ilvl w:val="0"/>
                <w:numId w:val="0"/>
              </w:numPr>
            </w:pPr>
            <w:r w:rsidRPr="00D032BF">
              <w:rPr>
                <w:rFonts w:hint="cs"/>
                <w:rtl/>
              </w:rPr>
              <w:t>إدارة البحث الدولي</w:t>
            </w:r>
          </w:p>
        </w:tc>
        <w:tc>
          <w:tcPr>
            <w:tcW w:w="435" w:type="dxa"/>
            <w:noWrap/>
            <w:tcMar>
              <w:left w:w="57" w:type="dxa"/>
              <w:right w:w="57" w:type="dxa"/>
            </w:tcMar>
            <w:vAlign w:val="center"/>
            <w:hideMark/>
          </w:tcPr>
          <w:p w:rsidR="000B7143" w:rsidRPr="00DD281F" w:rsidRDefault="000B7143" w:rsidP="000B7143">
            <w:pPr>
              <w:pStyle w:val="NumberedParaAR"/>
              <w:numPr>
                <w:ilvl w:val="0"/>
                <w:numId w:val="0"/>
              </w:numPr>
              <w:rPr>
                <w:sz w:val="30"/>
                <w:szCs w:val="30"/>
              </w:rPr>
            </w:pPr>
            <w:r w:rsidRPr="00DD281F">
              <w:rPr>
                <w:sz w:val="30"/>
                <w:szCs w:val="30"/>
              </w:rPr>
              <w:t>AT</w:t>
            </w:r>
          </w:p>
        </w:tc>
        <w:tc>
          <w:tcPr>
            <w:tcW w:w="435" w:type="dxa"/>
            <w:noWrap/>
            <w:tcMar>
              <w:left w:w="57" w:type="dxa"/>
              <w:right w:w="57" w:type="dxa"/>
            </w:tcMar>
            <w:vAlign w:val="center"/>
            <w:hideMark/>
          </w:tcPr>
          <w:p w:rsidR="000B7143" w:rsidRPr="00DD281F" w:rsidRDefault="000B7143" w:rsidP="000B7143">
            <w:pPr>
              <w:pStyle w:val="NumberedParaAR"/>
              <w:numPr>
                <w:ilvl w:val="0"/>
                <w:numId w:val="0"/>
              </w:numPr>
              <w:rPr>
                <w:sz w:val="30"/>
                <w:szCs w:val="30"/>
              </w:rPr>
            </w:pPr>
            <w:r w:rsidRPr="00DD281F">
              <w:rPr>
                <w:sz w:val="30"/>
                <w:szCs w:val="30"/>
              </w:rPr>
              <w:t>AU</w:t>
            </w:r>
          </w:p>
        </w:tc>
        <w:tc>
          <w:tcPr>
            <w:tcW w:w="436" w:type="dxa"/>
            <w:noWrap/>
            <w:tcMar>
              <w:left w:w="57" w:type="dxa"/>
              <w:right w:w="57" w:type="dxa"/>
            </w:tcMar>
            <w:vAlign w:val="center"/>
            <w:hideMark/>
          </w:tcPr>
          <w:p w:rsidR="000B7143" w:rsidRPr="00DD281F" w:rsidRDefault="000B7143" w:rsidP="000B7143">
            <w:pPr>
              <w:pStyle w:val="NumberedParaAR"/>
              <w:numPr>
                <w:ilvl w:val="0"/>
                <w:numId w:val="0"/>
              </w:numPr>
              <w:rPr>
                <w:sz w:val="30"/>
                <w:szCs w:val="30"/>
              </w:rPr>
            </w:pPr>
            <w:r w:rsidRPr="00DD281F">
              <w:rPr>
                <w:sz w:val="30"/>
                <w:szCs w:val="30"/>
              </w:rPr>
              <w:t>BR</w:t>
            </w:r>
          </w:p>
        </w:tc>
        <w:tc>
          <w:tcPr>
            <w:tcW w:w="435" w:type="dxa"/>
            <w:noWrap/>
            <w:tcMar>
              <w:left w:w="57" w:type="dxa"/>
              <w:right w:w="57" w:type="dxa"/>
            </w:tcMar>
            <w:vAlign w:val="center"/>
            <w:hideMark/>
          </w:tcPr>
          <w:p w:rsidR="000B7143" w:rsidRPr="00DD281F" w:rsidRDefault="000B7143" w:rsidP="000B7143">
            <w:pPr>
              <w:pStyle w:val="NumberedParaAR"/>
              <w:numPr>
                <w:ilvl w:val="0"/>
                <w:numId w:val="0"/>
              </w:numPr>
              <w:rPr>
                <w:sz w:val="30"/>
                <w:szCs w:val="30"/>
              </w:rPr>
            </w:pPr>
            <w:r w:rsidRPr="00DD281F">
              <w:rPr>
                <w:sz w:val="30"/>
                <w:szCs w:val="30"/>
              </w:rPr>
              <w:t>CA</w:t>
            </w:r>
          </w:p>
        </w:tc>
        <w:tc>
          <w:tcPr>
            <w:tcW w:w="436" w:type="dxa"/>
            <w:noWrap/>
            <w:tcMar>
              <w:left w:w="57" w:type="dxa"/>
              <w:right w:w="57" w:type="dxa"/>
            </w:tcMar>
            <w:vAlign w:val="center"/>
            <w:hideMark/>
          </w:tcPr>
          <w:p w:rsidR="000B7143" w:rsidRPr="00DD281F" w:rsidRDefault="000B7143" w:rsidP="000B7143">
            <w:pPr>
              <w:pStyle w:val="NumberedParaAR"/>
              <w:numPr>
                <w:ilvl w:val="0"/>
                <w:numId w:val="0"/>
              </w:numPr>
              <w:rPr>
                <w:sz w:val="30"/>
                <w:szCs w:val="30"/>
              </w:rPr>
            </w:pPr>
            <w:r w:rsidRPr="00DD281F">
              <w:rPr>
                <w:sz w:val="30"/>
                <w:szCs w:val="30"/>
              </w:rPr>
              <w:t>CL</w:t>
            </w:r>
          </w:p>
        </w:tc>
        <w:tc>
          <w:tcPr>
            <w:tcW w:w="435" w:type="dxa"/>
            <w:noWrap/>
            <w:tcMar>
              <w:left w:w="57" w:type="dxa"/>
              <w:right w:w="57" w:type="dxa"/>
            </w:tcMar>
            <w:vAlign w:val="center"/>
            <w:hideMark/>
          </w:tcPr>
          <w:p w:rsidR="000B7143" w:rsidRPr="00DD281F" w:rsidRDefault="000B7143" w:rsidP="000B7143">
            <w:pPr>
              <w:pStyle w:val="NumberedParaAR"/>
              <w:numPr>
                <w:ilvl w:val="0"/>
                <w:numId w:val="0"/>
              </w:numPr>
              <w:rPr>
                <w:sz w:val="30"/>
                <w:szCs w:val="30"/>
              </w:rPr>
            </w:pPr>
            <w:r w:rsidRPr="00DD281F">
              <w:rPr>
                <w:sz w:val="30"/>
                <w:szCs w:val="30"/>
              </w:rPr>
              <w:t>CN</w:t>
            </w:r>
          </w:p>
        </w:tc>
        <w:tc>
          <w:tcPr>
            <w:tcW w:w="436" w:type="dxa"/>
            <w:noWrap/>
            <w:tcMar>
              <w:left w:w="57" w:type="dxa"/>
              <w:right w:w="57" w:type="dxa"/>
            </w:tcMar>
            <w:vAlign w:val="center"/>
            <w:hideMark/>
          </w:tcPr>
          <w:p w:rsidR="000B7143" w:rsidRPr="00DD281F" w:rsidRDefault="000B7143" w:rsidP="000B7143">
            <w:pPr>
              <w:pStyle w:val="NumberedParaAR"/>
              <w:numPr>
                <w:ilvl w:val="0"/>
                <w:numId w:val="0"/>
              </w:numPr>
              <w:rPr>
                <w:sz w:val="30"/>
                <w:szCs w:val="30"/>
              </w:rPr>
            </w:pPr>
            <w:r w:rsidRPr="00DD281F">
              <w:rPr>
                <w:sz w:val="30"/>
                <w:szCs w:val="30"/>
              </w:rPr>
              <w:t>EG</w:t>
            </w:r>
          </w:p>
        </w:tc>
        <w:tc>
          <w:tcPr>
            <w:tcW w:w="671" w:type="dxa"/>
            <w:noWrap/>
            <w:tcMar>
              <w:left w:w="57" w:type="dxa"/>
              <w:right w:w="57" w:type="dxa"/>
            </w:tcMar>
            <w:vAlign w:val="center"/>
            <w:hideMark/>
          </w:tcPr>
          <w:p w:rsidR="000B7143" w:rsidRPr="00DD281F" w:rsidRDefault="000B7143" w:rsidP="000B7143">
            <w:pPr>
              <w:pStyle w:val="NumberedParaAR"/>
              <w:numPr>
                <w:ilvl w:val="0"/>
                <w:numId w:val="0"/>
              </w:numPr>
              <w:rPr>
                <w:sz w:val="30"/>
                <w:szCs w:val="30"/>
              </w:rPr>
            </w:pPr>
            <w:r w:rsidRPr="00DD281F">
              <w:rPr>
                <w:sz w:val="30"/>
                <w:szCs w:val="30"/>
              </w:rPr>
              <w:t>EP</w:t>
            </w:r>
          </w:p>
        </w:tc>
        <w:tc>
          <w:tcPr>
            <w:tcW w:w="436" w:type="dxa"/>
            <w:noWrap/>
            <w:tcMar>
              <w:left w:w="57" w:type="dxa"/>
              <w:right w:w="57" w:type="dxa"/>
            </w:tcMar>
            <w:vAlign w:val="center"/>
            <w:hideMark/>
          </w:tcPr>
          <w:p w:rsidR="000B7143" w:rsidRPr="00DD281F" w:rsidRDefault="000B7143" w:rsidP="000B7143">
            <w:pPr>
              <w:pStyle w:val="NumberedParaAR"/>
              <w:numPr>
                <w:ilvl w:val="0"/>
                <w:numId w:val="0"/>
              </w:numPr>
              <w:rPr>
                <w:sz w:val="30"/>
                <w:szCs w:val="30"/>
              </w:rPr>
            </w:pPr>
            <w:r w:rsidRPr="00DD281F">
              <w:rPr>
                <w:sz w:val="30"/>
                <w:szCs w:val="30"/>
              </w:rPr>
              <w:t>ES</w:t>
            </w:r>
          </w:p>
        </w:tc>
        <w:tc>
          <w:tcPr>
            <w:tcW w:w="435" w:type="dxa"/>
            <w:noWrap/>
            <w:tcMar>
              <w:left w:w="57" w:type="dxa"/>
              <w:right w:w="57" w:type="dxa"/>
            </w:tcMar>
            <w:vAlign w:val="center"/>
            <w:hideMark/>
          </w:tcPr>
          <w:p w:rsidR="000B7143" w:rsidRPr="00DD281F" w:rsidRDefault="000B7143" w:rsidP="000B7143">
            <w:pPr>
              <w:pStyle w:val="NumberedParaAR"/>
              <w:numPr>
                <w:ilvl w:val="0"/>
                <w:numId w:val="0"/>
              </w:numPr>
              <w:rPr>
                <w:sz w:val="30"/>
                <w:szCs w:val="30"/>
              </w:rPr>
            </w:pPr>
            <w:r w:rsidRPr="00DD281F">
              <w:rPr>
                <w:sz w:val="30"/>
                <w:szCs w:val="30"/>
              </w:rPr>
              <w:t>FI</w:t>
            </w:r>
          </w:p>
        </w:tc>
        <w:tc>
          <w:tcPr>
            <w:tcW w:w="435" w:type="dxa"/>
            <w:noWrap/>
            <w:tcMar>
              <w:left w:w="57" w:type="dxa"/>
              <w:right w:w="57" w:type="dxa"/>
            </w:tcMar>
            <w:vAlign w:val="center"/>
            <w:hideMark/>
          </w:tcPr>
          <w:p w:rsidR="000B7143" w:rsidRPr="00DD281F" w:rsidRDefault="000B7143" w:rsidP="000B7143">
            <w:pPr>
              <w:pStyle w:val="NumberedParaAR"/>
              <w:numPr>
                <w:ilvl w:val="0"/>
                <w:numId w:val="0"/>
              </w:numPr>
              <w:rPr>
                <w:sz w:val="30"/>
                <w:szCs w:val="30"/>
              </w:rPr>
            </w:pPr>
            <w:r w:rsidRPr="00DD281F">
              <w:rPr>
                <w:sz w:val="30"/>
                <w:szCs w:val="30"/>
              </w:rPr>
              <w:t>IL</w:t>
            </w:r>
          </w:p>
        </w:tc>
        <w:tc>
          <w:tcPr>
            <w:tcW w:w="436" w:type="dxa"/>
            <w:noWrap/>
            <w:tcMar>
              <w:left w:w="57" w:type="dxa"/>
              <w:right w:w="57" w:type="dxa"/>
            </w:tcMar>
            <w:vAlign w:val="center"/>
            <w:hideMark/>
          </w:tcPr>
          <w:p w:rsidR="000B7143" w:rsidRPr="00DD281F" w:rsidRDefault="000B7143" w:rsidP="000B7143">
            <w:pPr>
              <w:pStyle w:val="NumberedParaAR"/>
              <w:numPr>
                <w:ilvl w:val="0"/>
                <w:numId w:val="0"/>
              </w:numPr>
              <w:rPr>
                <w:sz w:val="30"/>
                <w:szCs w:val="30"/>
              </w:rPr>
            </w:pPr>
            <w:r w:rsidRPr="00DD281F">
              <w:rPr>
                <w:sz w:val="30"/>
                <w:szCs w:val="30"/>
              </w:rPr>
              <w:t>IN</w:t>
            </w:r>
          </w:p>
        </w:tc>
        <w:tc>
          <w:tcPr>
            <w:tcW w:w="435" w:type="dxa"/>
            <w:noWrap/>
            <w:tcMar>
              <w:left w:w="57" w:type="dxa"/>
              <w:right w:w="57" w:type="dxa"/>
            </w:tcMar>
            <w:vAlign w:val="center"/>
            <w:hideMark/>
          </w:tcPr>
          <w:p w:rsidR="000B7143" w:rsidRPr="00DD281F" w:rsidRDefault="000B7143" w:rsidP="000B7143">
            <w:pPr>
              <w:pStyle w:val="NumberedParaAR"/>
              <w:numPr>
                <w:ilvl w:val="0"/>
                <w:numId w:val="0"/>
              </w:numPr>
              <w:rPr>
                <w:sz w:val="30"/>
                <w:szCs w:val="30"/>
              </w:rPr>
            </w:pPr>
            <w:r w:rsidRPr="00DD281F">
              <w:rPr>
                <w:sz w:val="30"/>
                <w:szCs w:val="30"/>
              </w:rPr>
              <w:t>JP</w:t>
            </w:r>
          </w:p>
        </w:tc>
        <w:tc>
          <w:tcPr>
            <w:tcW w:w="436" w:type="dxa"/>
            <w:noWrap/>
            <w:tcMar>
              <w:left w:w="57" w:type="dxa"/>
              <w:right w:w="57" w:type="dxa"/>
            </w:tcMar>
            <w:vAlign w:val="center"/>
            <w:hideMark/>
          </w:tcPr>
          <w:p w:rsidR="000B7143" w:rsidRPr="00DD281F" w:rsidRDefault="000B7143" w:rsidP="000B7143">
            <w:pPr>
              <w:pStyle w:val="NumberedParaAR"/>
              <w:numPr>
                <w:ilvl w:val="0"/>
                <w:numId w:val="0"/>
              </w:numPr>
              <w:rPr>
                <w:sz w:val="30"/>
                <w:szCs w:val="30"/>
              </w:rPr>
            </w:pPr>
            <w:r w:rsidRPr="00DD281F">
              <w:rPr>
                <w:sz w:val="30"/>
                <w:szCs w:val="30"/>
              </w:rPr>
              <w:t>KR</w:t>
            </w:r>
          </w:p>
        </w:tc>
        <w:tc>
          <w:tcPr>
            <w:tcW w:w="435" w:type="dxa"/>
            <w:noWrap/>
            <w:tcMar>
              <w:left w:w="57" w:type="dxa"/>
              <w:right w:w="57" w:type="dxa"/>
            </w:tcMar>
            <w:vAlign w:val="center"/>
            <w:hideMark/>
          </w:tcPr>
          <w:p w:rsidR="000B7143" w:rsidRPr="00DD281F" w:rsidRDefault="000B7143" w:rsidP="000B7143">
            <w:pPr>
              <w:pStyle w:val="NumberedParaAR"/>
              <w:numPr>
                <w:ilvl w:val="0"/>
                <w:numId w:val="0"/>
              </w:numPr>
              <w:rPr>
                <w:sz w:val="30"/>
                <w:szCs w:val="30"/>
              </w:rPr>
            </w:pPr>
            <w:r w:rsidRPr="00DD281F">
              <w:rPr>
                <w:sz w:val="30"/>
                <w:szCs w:val="30"/>
              </w:rPr>
              <w:t>RU</w:t>
            </w:r>
          </w:p>
        </w:tc>
        <w:tc>
          <w:tcPr>
            <w:tcW w:w="436" w:type="dxa"/>
            <w:noWrap/>
            <w:tcMar>
              <w:left w:w="57" w:type="dxa"/>
              <w:right w:w="57" w:type="dxa"/>
            </w:tcMar>
            <w:vAlign w:val="center"/>
            <w:hideMark/>
          </w:tcPr>
          <w:p w:rsidR="000B7143" w:rsidRPr="00DD281F" w:rsidRDefault="000B7143" w:rsidP="000B7143">
            <w:pPr>
              <w:pStyle w:val="NumberedParaAR"/>
              <w:numPr>
                <w:ilvl w:val="0"/>
                <w:numId w:val="0"/>
              </w:numPr>
              <w:rPr>
                <w:sz w:val="30"/>
                <w:szCs w:val="30"/>
              </w:rPr>
            </w:pPr>
            <w:r w:rsidRPr="00DD281F">
              <w:rPr>
                <w:sz w:val="30"/>
                <w:szCs w:val="30"/>
              </w:rPr>
              <w:t>SE</w:t>
            </w:r>
          </w:p>
        </w:tc>
        <w:tc>
          <w:tcPr>
            <w:tcW w:w="435" w:type="dxa"/>
            <w:noWrap/>
            <w:tcMar>
              <w:left w:w="57" w:type="dxa"/>
              <w:right w:w="57" w:type="dxa"/>
            </w:tcMar>
            <w:vAlign w:val="center"/>
            <w:hideMark/>
          </w:tcPr>
          <w:p w:rsidR="000B7143" w:rsidRPr="00DD281F" w:rsidRDefault="000B7143" w:rsidP="000B7143">
            <w:pPr>
              <w:pStyle w:val="NumberedParaAR"/>
              <w:numPr>
                <w:ilvl w:val="0"/>
                <w:numId w:val="0"/>
              </w:numPr>
              <w:rPr>
                <w:sz w:val="30"/>
                <w:szCs w:val="30"/>
              </w:rPr>
            </w:pPr>
            <w:r w:rsidRPr="00DD281F">
              <w:rPr>
                <w:sz w:val="30"/>
                <w:szCs w:val="30"/>
              </w:rPr>
              <w:t>US</w:t>
            </w:r>
          </w:p>
        </w:tc>
        <w:tc>
          <w:tcPr>
            <w:tcW w:w="436" w:type="dxa"/>
            <w:noWrap/>
            <w:tcMar>
              <w:left w:w="57" w:type="dxa"/>
              <w:right w:w="57" w:type="dxa"/>
            </w:tcMar>
            <w:vAlign w:val="center"/>
            <w:hideMark/>
          </w:tcPr>
          <w:p w:rsidR="000B7143" w:rsidRPr="00DD281F" w:rsidRDefault="000B7143" w:rsidP="000B7143">
            <w:pPr>
              <w:pStyle w:val="NumberedParaAR"/>
              <w:numPr>
                <w:ilvl w:val="0"/>
                <w:numId w:val="0"/>
              </w:numPr>
              <w:rPr>
                <w:sz w:val="30"/>
                <w:szCs w:val="30"/>
              </w:rPr>
            </w:pPr>
            <w:r w:rsidRPr="00DD281F">
              <w:rPr>
                <w:sz w:val="30"/>
                <w:szCs w:val="30"/>
              </w:rPr>
              <w:t>XN</w:t>
            </w:r>
          </w:p>
        </w:tc>
      </w:tr>
      <w:tr w:rsidR="000B7143" w:rsidRPr="000B7143" w:rsidTr="00DD281F">
        <w:trPr>
          <w:trHeight w:val="300"/>
        </w:trPr>
        <w:tc>
          <w:tcPr>
            <w:tcW w:w="1653" w:type="dxa"/>
            <w:vAlign w:val="center"/>
          </w:tcPr>
          <w:p w:rsidR="000B7143" w:rsidRPr="000B7143" w:rsidRDefault="00D032BF" w:rsidP="000B7143">
            <w:pPr>
              <w:pStyle w:val="NumberedParaAR"/>
              <w:numPr>
                <w:ilvl w:val="0"/>
                <w:numId w:val="0"/>
              </w:numPr>
            </w:pPr>
            <w:r>
              <w:rPr>
                <w:rtl/>
              </w:rPr>
              <w:t xml:space="preserve">عدد مكاتب </w:t>
            </w:r>
            <w:r w:rsidR="000B7143" w:rsidRPr="000B7143">
              <w:rPr>
                <w:rtl/>
              </w:rPr>
              <w:t>تسلم</w:t>
            </w:r>
            <w:r>
              <w:rPr>
                <w:rFonts w:hint="cs"/>
                <w:rtl/>
              </w:rPr>
              <w:t xml:space="preserve"> الطلبات</w:t>
            </w:r>
          </w:p>
        </w:tc>
        <w:tc>
          <w:tcPr>
            <w:tcW w:w="435" w:type="dxa"/>
            <w:noWrap/>
            <w:tcMar>
              <w:left w:w="57" w:type="dxa"/>
              <w:right w:w="57" w:type="dxa"/>
            </w:tcMar>
            <w:vAlign w:val="center"/>
            <w:hideMark/>
          </w:tcPr>
          <w:p w:rsidR="000B7143" w:rsidRPr="000B7143" w:rsidRDefault="000B7143" w:rsidP="000B7143">
            <w:pPr>
              <w:pStyle w:val="NumberedParaAR"/>
              <w:numPr>
                <w:ilvl w:val="0"/>
                <w:numId w:val="0"/>
              </w:numPr>
            </w:pPr>
            <w:r w:rsidRPr="000B7143">
              <w:t>30</w:t>
            </w:r>
          </w:p>
        </w:tc>
        <w:tc>
          <w:tcPr>
            <w:tcW w:w="435" w:type="dxa"/>
            <w:noWrap/>
            <w:tcMar>
              <w:left w:w="57" w:type="dxa"/>
              <w:right w:w="57" w:type="dxa"/>
            </w:tcMar>
            <w:vAlign w:val="center"/>
            <w:hideMark/>
          </w:tcPr>
          <w:p w:rsidR="000B7143" w:rsidRPr="000B7143" w:rsidRDefault="000B7143" w:rsidP="000B7143">
            <w:pPr>
              <w:pStyle w:val="NumberedParaAR"/>
              <w:numPr>
                <w:ilvl w:val="0"/>
                <w:numId w:val="0"/>
              </w:numPr>
            </w:pPr>
            <w:r w:rsidRPr="000B7143">
              <w:t>19</w:t>
            </w:r>
          </w:p>
        </w:tc>
        <w:tc>
          <w:tcPr>
            <w:tcW w:w="436" w:type="dxa"/>
            <w:noWrap/>
            <w:tcMar>
              <w:left w:w="57" w:type="dxa"/>
              <w:right w:w="57" w:type="dxa"/>
            </w:tcMar>
            <w:vAlign w:val="center"/>
            <w:hideMark/>
          </w:tcPr>
          <w:p w:rsidR="000B7143" w:rsidRPr="000B7143" w:rsidRDefault="000B7143" w:rsidP="000B7143">
            <w:pPr>
              <w:pStyle w:val="NumberedParaAR"/>
              <w:numPr>
                <w:ilvl w:val="0"/>
                <w:numId w:val="0"/>
              </w:numPr>
            </w:pPr>
            <w:r w:rsidRPr="000B7143">
              <w:t>6</w:t>
            </w:r>
          </w:p>
        </w:tc>
        <w:tc>
          <w:tcPr>
            <w:tcW w:w="435" w:type="dxa"/>
            <w:noWrap/>
            <w:tcMar>
              <w:left w:w="57" w:type="dxa"/>
              <w:right w:w="57" w:type="dxa"/>
            </w:tcMar>
            <w:vAlign w:val="center"/>
            <w:hideMark/>
          </w:tcPr>
          <w:p w:rsidR="000B7143" w:rsidRPr="000B7143" w:rsidRDefault="000B7143" w:rsidP="000B7143">
            <w:pPr>
              <w:pStyle w:val="NumberedParaAR"/>
              <w:numPr>
                <w:ilvl w:val="0"/>
                <w:numId w:val="0"/>
              </w:numPr>
            </w:pPr>
            <w:r w:rsidRPr="000B7143">
              <w:rPr>
                <w:rtl/>
                <w:cs/>
              </w:rPr>
              <w:t>‎</w:t>
            </w:r>
            <w:r w:rsidRPr="000B7143">
              <w:t>4</w:t>
            </w:r>
            <w:r w:rsidRPr="000B7143">
              <w:rPr>
                <w:rtl/>
                <w:cs/>
              </w:rPr>
              <w:t>‎</w:t>
            </w:r>
          </w:p>
        </w:tc>
        <w:tc>
          <w:tcPr>
            <w:tcW w:w="436" w:type="dxa"/>
            <w:noWrap/>
            <w:tcMar>
              <w:left w:w="57" w:type="dxa"/>
              <w:right w:w="57" w:type="dxa"/>
            </w:tcMar>
            <w:vAlign w:val="center"/>
            <w:hideMark/>
          </w:tcPr>
          <w:p w:rsidR="000B7143" w:rsidRPr="000B7143" w:rsidRDefault="000B7143" w:rsidP="000B7143">
            <w:pPr>
              <w:pStyle w:val="NumberedParaAR"/>
              <w:numPr>
                <w:ilvl w:val="0"/>
                <w:numId w:val="0"/>
              </w:numPr>
            </w:pPr>
            <w:r w:rsidRPr="000B7143">
              <w:rPr>
                <w:rtl/>
                <w:cs/>
              </w:rPr>
              <w:t>‎</w:t>
            </w:r>
            <w:r w:rsidRPr="000B7143">
              <w:t>8</w:t>
            </w:r>
            <w:r w:rsidRPr="000B7143">
              <w:rPr>
                <w:rtl/>
                <w:cs/>
              </w:rPr>
              <w:t>‎</w:t>
            </w:r>
          </w:p>
        </w:tc>
        <w:tc>
          <w:tcPr>
            <w:tcW w:w="435" w:type="dxa"/>
            <w:noWrap/>
            <w:tcMar>
              <w:left w:w="57" w:type="dxa"/>
              <w:right w:w="57" w:type="dxa"/>
            </w:tcMar>
            <w:vAlign w:val="center"/>
            <w:hideMark/>
          </w:tcPr>
          <w:p w:rsidR="000B7143" w:rsidRPr="000B7143" w:rsidRDefault="000B7143" w:rsidP="000B7143">
            <w:pPr>
              <w:pStyle w:val="NumberedParaAR"/>
              <w:numPr>
                <w:ilvl w:val="0"/>
                <w:numId w:val="0"/>
              </w:numPr>
            </w:pPr>
            <w:r w:rsidRPr="000B7143">
              <w:t>10</w:t>
            </w:r>
          </w:p>
        </w:tc>
        <w:tc>
          <w:tcPr>
            <w:tcW w:w="436" w:type="dxa"/>
            <w:noWrap/>
            <w:tcMar>
              <w:left w:w="57" w:type="dxa"/>
              <w:right w:w="57" w:type="dxa"/>
            </w:tcMar>
            <w:vAlign w:val="center"/>
            <w:hideMark/>
          </w:tcPr>
          <w:p w:rsidR="000B7143" w:rsidRPr="000B7143" w:rsidRDefault="000B7143" w:rsidP="000B7143">
            <w:pPr>
              <w:pStyle w:val="NumberedParaAR"/>
              <w:numPr>
                <w:ilvl w:val="0"/>
                <w:numId w:val="0"/>
              </w:numPr>
            </w:pPr>
            <w:r w:rsidRPr="000B7143">
              <w:rPr>
                <w:rtl/>
                <w:cs/>
              </w:rPr>
              <w:t>‎</w:t>
            </w:r>
            <w:r w:rsidRPr="000B7143">
              <w:t>3</w:t>
            </w:r>
            <w:r w:rsidRPr="000B7143">
              <w:rPr>
                <w:rtl/>
                <w:cs/>
              </w:rPr>
              <w:t>‎</w:t>
            </w:r>
          </w:p>
        </w:tc>
        <w:tc>
          <w:tcPr>
            <w:tcW w:w="671" w:type="dxa"/>
            <w:noWrap/>
            <w:tcMar>
              <w:left w:w="57" w:type="dxa"/>
              <w:right w:w="57" w:type="dxa"/>
            </w:tcMar>
            <w:vAlign w:val="center"/>
            <w:hideMark/>
          </w:tcPr>
          <w:p w:rsidR="000B7143" w:rsidRPr="000B7143" w:rsidRDefault="000B7143" w:rsidP="000B7143">
            <w:pPr>
              <w:pStyle w:val="NumberedParaAR"/>
              <w:numPr>
                <w:ilvl w:val="0"/>
                <w:numId w:val="0"/>
              </w:numPr>
            </w:pPr>
            <w:r w:rsidRPr="000B7143">
              <w:t>105</w:t>
            </w:r>
          </w:p>
        </w:tc>
        <w:tc>
          <w:tcPr>
            <w:tcW w:w="436" w:type="dxa"/>
            <w:noWrap/>
            <w:tcMar>
              <w:left w:w="57" w:type="dxa"/>
              <w:right w:w="57" w:type="dxa"/>
            </w:tcMar>
            <w:vAlign w:val="center"/>
            <w:hideMark/>
          </w:tcPr>
          <w:p w:rsidR="000B7143" w:rsidRPr="000B7143" w:rsidRDefault="000B7143" w:rsidP="000B7143">
            <w:pPr>
              <w:pStyle w:val="NumberedParaAR"/>
              <w:numPr>
                <w:ilvl w:val="0"/>
                <w:numId w:val="0"/>
              </w:numPr>
            </w:pPr>
            <w:r w:rsidRPr="000B7143">
              <w:t>15</w:t>
            </w:r>
          </w:p>
        </w:tc>
        <w:tc>
          <w:tcPr>
            <w:tcW w:w="435" w:type="dxa"/>
            <w:noWrap/>
            <w:tcMar>
              <w:left w:w="57" w:type="dxa"/>
              <w:right w:w="57" w:type="dxa"/>
            </w:tcMar>
            <w:vAlign w:val="center"/>
            <w:hideMark/>
          </w:tcPr>
          <w:p w:rsidR="000B7143" w:rsidRPr="000B7143" w:rsidRDefault="000B7143" w:rsidP="000B7143">
            <w:pPr>
              <w:pStyle w:val="NumberedParaAR"/>
              <w:numPr>
                <w:ilvl w:val="0"/>
                <w:numId w:val="0"/>
              </w:numPr>
            </w:pPr>
            <w:r w:rsidRPr="000B7143">
              <w:t>2</w:t>
            </w:r>
          </w:p>
        </w:tc>
        <w:tc>
          <w:tcPr>
            <w:tcW w:w="435" w:type="dxa"/>
            <w:noWrap/>
            <w:tcMar>
              <w:left w:w="57" w:type="dxa"/>
              <w:right w:w="57" w:type="dxa"/>
            </w:tcMar>
            <w:vAlign w:val="center"/>
            <w:hideMark/>
          </w:tcPr>
          <w:p w:rsidR="000B7143" w:rsidRPr="000B7143" w:rsidRDefault="000B7143" w:rsidP="000B7143">
            <w:pPr>
              <w:pStyle w:val="NumberedParaAR"/>
              <w:numPr>
                <w:ilvl w:val="0"/>
                <w:numId w:val="0"/>
              </w:numPr>
            </w:pPr>
            <w:r w:rsidRPr="000B7143">
              <w:rPr>
                <w:rtl/>
                <w:cs/>
              </w:rPr>
              <w:t>‎</w:t>
            </w:r>
            <w:r w:rsidRPr="000B7143">
              <w:t>4</w:t>
            </w:r>
            <w:r w:rsidRPr="000B7143">
              <w:rPr>
                <w:rtl/>
                <w:cs/>
              </w:rPr>
              <w:t>‎</w:t>
            </w:r>
          </w:p>
        </w:tc>
        <w:tc>
          <w:tcPr>
            <w:tcW w:w="436" w:type="dxa"/>
            <w:noWrap/>
            <w:tcMar>
              <w:left w:w="57" w:type="dxa"/>
              <w:right w:w="57" w:type="dxa"/>
            </w:tcMar>
            <w:vAlign w:val="center"/>
            <w:hideMark/>
          </w:tcPr>
          <w:p w:rsidR="000B7143" w:rsidRPr="000B7143" w:rsidRDefault="000B7143" w:rsidP="000B7143">
            <w:pPr>
              <w:pStyle w:val="NumberedParaAR"/>
              <w:numPr>
                <w:ilvl w:val="0"/>
                <w:numId w:val="0"/>
              </w:numPr>
            </w:pPr>
            <w:r w:rsidRPr="000B7143">
              <w:rPr>
                <w:rtl/>
                <w:cs/>
              </w:rPr>
              <w:t>‎</w:t>
            </w:r>
            <w:r w:rsidRPr="000B7143">
              <w:t>3</w:t>
            </w:r>
            <w:r w:rsidRPr="000B7143">
              <w:rPr>
                <w:rtl/>
                <w:cs/>
              </w:rPr>
              <w:t>‎</w:t>
            </w:r>
          </w:p>
        </w:tc>
        <w:tc>
          <w:tcPr>
            <w:tcW w:w="435" w:type="dxa"/>
            <w:noWrap/>
            <w:tcMar>
              <w:left w:w="57" w:type="dxa"/>
              <w:right w:w="57" w:type="dxa"/>
            </w:tcMar>
            <w:vAlign w:val="center"/>
            <w:hideMark/>
          </w:tcPr>
          <w:p w:rsidR="000B7143" w:rsidRPr="000B7143" w:rsidRDefault="000B7143" w:rsidP="000B7143">
            <w:pPr>
              <w:pStyle w:val="NumberedParaAR"/>
              <w:numPr>
                <w:ilvl w:val="0"/>
                <w:numId w:val="0"/>
              </w:numPr>
            </w:pPr>
            <w:r w:rsidRPr="000B7143">
              <w:rPr>
                <w:rtl/>
                <w:cs/>
              </w:rPr>
              <w:t>‎</w:t>
            </w:r>
            <w:r w:rsidRPr="000B7143">
              <w:t>9</w:t>
            </w:r>
            <w:r w:rsidRPr="000B7143">
              <w:rPr>
                <w:rtl/>
                <w:cs/>
              </w:rPr>
              <w:t>‎</w:t>
            </w:r>
          </w:p>
        </w:tc>
        <w:tc>
          <w:tcPr>
            <w:tcW w:w="436" w:type="dxa"/>
            <w:noWrap/>
            <w:tcMar>
              <w:left w:w="57" w:type="dxa"/>
              <w:right w:w="57" w:type="dxa"/>
            </w:tcMar>
            <w:vAlign w:val="center"/>
            <w:hideMark/>
          </w:tcPr>
          <w:p w:rsidR="000B7143" w:rsidRPr="000B7143" w:rsidRDefault="000B7143" w:rsidP="000B7143">
            <w:pPr>
              <w:pStyle w:val="NumberedParaAR"/>
              <w:numPr>
                <w:ilvl w:val="0"/>
                <w:numId w:val="0"/>
              </w:numPr>
            </w:pPr>
            <w:r w:rsidRPr="000B7143">
              <w:t>17</w:t>
            </w:r>
          </w:p>
        </w:tc>
        <w:tc>
          <w:tcPr>
            <w:tcW w:w="435" w:type="dxa"/>
            <w:noWrap/>
            <w:tcMar>
              <w:left w:w="57" w:type="dxa"/>
              <w:right w:w="57" w:type="dxa"/>
            </w:tcMar>
            <w:vAlign w:val="center"/>
            <w:hideMark/>
          </w:tcPr>
          <w:p w:rsidR="000B7143" w:rsidRPr="000B7143" w:rsidRDefault="000B7143" w:rsidP="000B7143">
            <w:pPr>
              <w:pStyle w:val="NumberedParaAR"/>
              <w:numPr>
                <w:ilvl w:val="0"/>
                <w:numId w:val="0"/>
              </w:numPr>
            </w:pPr>
            <w:r w:rsidRPr="000B7143">
              <w:t>32</w:t>
            </w:r>
          </w:p>
        </w:tc>
        <w:tc>
          <w:tcPr>
            <w:tcW w:w="436" w:type="dxa"/>
            <w:noWrap/>
            <w:tcMar>
              <w:left w:w="57" w:type="dxa"/>
              <w:right w:w="57" w:type="dxa"/>
            </w:tcMar>
            <w:vAlign w:val="center"/>
            <w:hideMark/>
          </w:tcPr>
          <w:p w:rsidR="000B7143" w:rsidRPr="000B7143" w:rsidRDefault="000B7143" w:rsidP="000B7143">
            <w:pPr>
              <w:pStyle w:val="NumberedParaAR"/>
              <w:numPr>
                <w:ilvl w:val="0"/>
                <w:numId w:val="0"/>
              </w:numPr>
            </w:pPr>
            <w:r w:rsidRPr="000B7143">
              <w:t>18</w:t>
            </w:r>
          </w:p>
        </w:tc>
        <w:tc>
          <w:tcPr>
            <w:tcW w:w="435" w:type="dxa"/>
            <w:noWrap/>
            <w:tcMar>
              <w:left w:w="57" w:type="dxa"/>
              <w:right w:w="57" w:type="dxa"/>
            </w:tcMar>
            <w:vAlign w:val="center"/>
            <w:hideMark/>
          </w:tcPr>
          <w:p w:rsidR="000B7143" w:rsidRPr="000B7143" w:rsidRDefault="000B7143" w:rsidP="000B7143">
            <w:pPr>
              <w:pStyle w:val="NumberedParaAR"/>
              <w:numPr>
                <w:ilvl w:val="0"/>
                <w:numId w:val="0"/>
              </w:numPr>
            </w:pPr>
            <w:r w:rsidRPr="000B7143">
              <w:t>20</w:t>
            </w:r>
          </w:p>
        </w:tc>
        <w:tc>
          <w:tcPr>
            <w:tcW w:w="436" w:type="dxa"/>
            <w:noWrap/>
            <w:tcMar>
              <w:left w:w="57" w:type="dxa"/>
              <w:right w:w="57" w:type="dxa"/>
            </w:tcMar>
            <w:vAlign w:val="center"/>
            <w:hideMark/>
          </w:tcPr>
          <w:p w:rsidR="000B7143" w:rsidRPr="000B7143" w:rsidRDefault="000B7143" w:rsidP="000B7143">
            <w:pPr>
              <w:pStyle w:val="NumberedParaAR"/>
              <w:numPr>
                <w:ilvl w:val="0"/>
                <w:numId w:val="0"/>
              </w:numPr>
            </w:pPr>
            <w:r w:rsidRPr="000B7143">
              <w:rPr>
                <w:rtl/>
                <w:cs/>
              </w:rPr>
              <w:t>‎</w:t>
            </w:r>
            <w:r w:rsidRPr="000B7143">
              <w:t>5</w:t>
            </w:r>
            <w:r w:rsidRPr="000B7143">
              <w:rPr>
                <w:rtl/>
                <w:cs/>
              </w:rPr>
              <w:t>‎</w:t>
            </w:r>
          </w:p>
        </w:tc>
      </w:tr>
    </w:tbl>
    <w:p w:rsidR="000B7143" w:rsidRDefault="000B7143" w:rsidP="000B7143">
      <w:pPr>
        <w:pStyle w:val="NumberedParaAR"/>
        <w:numPr>
          <w:ilvl w:val="0"/>
          <w:numId w:val="0"/>
        </w:numPr>
      </w:pPr>
    </w:p>
    <w:p w:rsidR="000B7143" w:rsidRDefault="00D032BF" w:rsidP="00B75740">
      <w:pPr>
        <w:pStyle w:val="NumberedParaAR"/>
      </w:pPr>
      <w:r>
        <w:rPr>
          <w:rtl/>
        </w:rPr>
        <w:t xml:space="preserve">وتتيح </w:t>
      </w:r>
      <w:r w:rsidR="000B7143" w:rsidRPr="000B7143">
        <w:rPr>
          <w:rtl/>
        </w:rPr>
        <w:t>خدمة</w:t>
      </w:r>
      <w:r>
        <w:rPr>
          <w:rFonts w:hint="cs"/>
          <w:rtl/>
        </w:rPr>
        <w:t> </w:t>
      </w:r>
      <w:proofErr w:type="spellStart"/>
      <w:r w:rsidR="000B7143" w:rsidRPr="000B7143">
        <w:t>eSearchCopy</w:t>
      </w:r>
      <w:proofErr w:type="spellEnd"/>
      <w:r w:rsidR="000B7143" w:rsidRPr="000B7143">
        <w:rPr>
          <w:rtl/>
        </w:rPr>
        <w:t xml:space="preserve"> إمكانية خفض الأعباء الإدارية الإضافية في إدارات البحث الدولية عن طريق تسليم ن</w:t>
      </w:r>
      <w:r w:rsidR="00B75740">
        <w:rPr>
          <w:rFonts w:hint="cs"/>
          <w:rtl/>
        </w:rPr>
        <w:t>ُ</w:t>
      </w:r>
      <w:r w:rsidR="000B7143" w:rsidRPr="000B7143">
        <w:rPr>
          <w:rtl/>
        </w:rPr>
        <w:t xml:space="preserve">سخ البحث بنسق إلكتروني متسق بغض النظر عن المكتب الذي </w:t>
      </w:r>
      <w:r w:rsidR="00B75740">
        <w:rPr>
          <w:rFonts w:hint="cs"/>
          <w:rtl/>
        </w:rPr>
        <w:t>عمل بصفة</w:t>
      </w:r>
      <w:r w:rsidR="00B75740">
        <w:rPr>
          <w:rtl/>
        </w:rPr>
        <w:t xml:space="preserve"> مكتب تسلم الطلبات، علاوة</w:t>
      </w:r>
      <w:r w:rsidR="00B75740">
        <w:rPr>
          <w:rFonts w:hint="cs"/>
          <w:rtl/>
        </w:rPr>
        <w:t xml:space="preserve"> </w:t>
      </w:r>
      <w:r w:rsidR="000B7143" w:rsidRPr="000B7143">
        <w:rPr>
          <w:rtl/>
        </w:rPr>
        <w:t>على التخلص من حالات التأخر التي تسببها المراسلات ال</w:t>
      </w:r>
      <w:r w:rsidR="00B75740">
        <w:rPr>
          <w:rtl/>
        </w:rPr>
        <w:t xml:space="preserve">بريدية وجلب نسخ البحث الورقية. </w:t>
      </w:r>
      <w:r w:rsidR="000B7143" w:rsidRPr="000B7143">
        <w:rPr>
          <w:rtl/>
        </w:rPr>
        <w:t>ويلزم تقييم المشروع للوقوف على مدى تلبيته الفعلية للتوقعات، كما يلزم، حسب النتائج، تح</w:t>
      </w:r>
      <w:r w:rsidR="00B75740">
        <w:rPr>
          <w:rtl/>
        </w:rPr>
        <w:t>سينه أو توسيعه ليشمل نطاقا أ</w:t>
      </w:r>
      <w:r w:rsidR="00B75740">
        <w:rPr>
          <w:rFonts w:hint="cs"/>
          <w:rtl/>
        </w:rPr>
        <w:t>وسع</w:t>
      </w:r>
      <w:r w:rsidR="000B7143" w:rsidRPr="000B7143">
        <w:rPr>
          <w:rtl/>
        </w:rPr>
        <w:t xml:space="preserve"> من أزواج المكاتب.</w:t>
      </w:r>
    </w:p>
    <w:p w:rsidR="007E7DF2" w:rsidRPr="00A13536" w:rsidRDefault="00584D0F" w:rsidP="007E6773">
      <w:pPr>
        <w:pStyle w:val="NormalParaAR"/>
        <w:keepNext/>
        <w:rPr>
          <w:sz w:val="40"/>
          <w:szCs w:val="40"/>
          <w:rtl/>
        </w:rPr>
      </w:pPr>
      <w:r w:rsidRPr="00A13536">
        <w:rPr>
          <w:sz w:val="40"/>
          <w:szCs w:val="40"/>
          <w:rtl/>
        </w:rPr>
        <w:t>الاستخدام الفعال للبيانات المقروءة آلياً</w:t>
      </w:r>
    </w:p>
    <w:p w:rsidR="00584D0F" w:rsidRDefault="00584D0F" w:rsidP="00B75740">
      <w:pPr>
        <w:pStyle w:val="NumberedParaAR"/>
        <w:rPr>
          <w:rtl/>
        </w:rPr>
      </w:pPr>
      <w:r>
        <w:rPr>
          <w:rtl/>
        </w:rPr>
        <w:t>يتيح نظام</w:t>
      </w:r>
      <w:r w:rsidR="00B75740">
        <w:rPr>
          <w:rFonts w:hint="cs"/>
          <w:rtl/>
        </w:rPr>
        <w:t> </w:t>
      </w:r>
      <w:proofErr w:type="spellStart"/>
      <w:r>
        <w:t>ePCT</w:t>
      </w:r>
      <w:proofErr w:type="spellEnd"/>
      <w:r>
        <w:rPr>
          <w:rtl/>
        </w:rPr>
        <w:t xml:space="preserve"> عدداً من "الإجراءات" بما يتيح للمودعين إدخال معلومات ت</w:t>
      </w:r>
      <w:r w:rsidR="00B75740">
        <w:rPr>
          <w:rFonts w:hint="cs"/>
          <w:rtl/>
        </w:rPr>
        <w:t>ُ</w:t>
      </w:r>
      <w:r>
        <w:rPr>
          <w:rtl/>
        </w:rPr>
        <w:t>ستخدم مباشرة في المعالجة ب</w:t>
      </w:r>
      <w:r w:rsidR="00B75740">
        <w:rPr>
          <w:rtl/>
        </w:rPr>
        <w:t xml:space="preserve">دلاً من وضع التعليمات في خطاب. </w:t>
      </w:r>
      <w:r>
        <w:rPr>
          <w:rtl/>
        </w:rPr>
        <w:t xml:space="preserve">ويسمح </w:t>
      </w:r>
      <w:r w:rsidR="00B75740">
        <w:rPr>
          <w:rFonts w:hint="cs"/>
          <w:rtl/>
        </w:rPr>
        <w:t>ذلك</w:t>
      </w:r>
      <w:r>
        <w:rPr>
          <w:rtl/>
        </w:rPr>
        <w:t xml:space="preserve"> ب</w:t>
      </w:r>
      <w:r w:rsidR="00B75740">
        <w:rPr>
          <w:rFonts w:hint="cs"/>
          <w:rtl/>
        </w:rPr>
        <w:t xml:space="preserve">ضمان </w:t>
      </w:r>
      <w:r w:rsidR="00B75740">
        <w:rPr>
          <w:rtl/>
        </w:rPr>
        <w:t>مزيد</w:t>
      </w:r>
      <w:r>
        <w:rPr>
          <w:rtl/>
        </w:rPr>
        <w:t xml:space="preserve"> من الكفاءة في المعالجة، كما يؤدي إلى خفض كبير في احتمالات </w:t>
      </w:r>
      <w:r w:rsidR="00B75740">
        <w:rPr>
          <w:rFonts w:hint="cs"/>
          <w:rtl/>
        </w:rPr>
        <w:t>ارتكاب</w:t>
      </w:r>
      <w:r>
        <w:rPr>
          <w:rtl/>
        </w:rPr>
        <w:t xml:space="preserve"> أخطاء أثناء </w:t>
      </w:r>
      <w:r w:rsidR="00B75740">
        <w:rPr>
          <w:rFonts w:hint="cs"/>
          <w:rtl/>
        </w:rPr>
        <w:t>نقل</w:t>
      </w:r>
      <w:r w:rsidR="00B75740">
        <w:rPr>
          <w:rtl/>
        </w:rPr>
        <w:t xml:space="preserve"> المعلومات من الخطاب. </w:t>
      </w:r>
      <w:r>
        <w:rPr>
          <w:rtl/>
        </w:rPr>
        <w:t xml:space="preserve">وترتبط </w:t>
      </w:r>
      <w:r w:rsidR="00B75740">
        <w:rPr>
          <w:rFonts w:hint="cs"/>
          <w:rtl/>
        </w:rPr>
        <w:t>تلك</w:t>
      </w:r>
      <w:r>
        <w:rPr>
          <w:rtl/>
        </w:rPr>
        <w:t xml:space="preserve"> الإجراءات كافة بعمليات لدى المكتب الدولي، مثل طلب إجراء تغييرات على أسماء وعناوي</w:t>
      </w:r>
      <w:r w:rsidR="00B75740">
        <w:rPr>
          <w:rtl/>
        </w:rPr>
        <w:t>ن بمقتضى القاعدة 92</w:t>
      </w:r>
      <w:r w:rsidR="00B75740">
        <w:rPr>
          <w:rFonts w:hint="cs"/>
          <w:rtl/>
        </w:rPr>
        <w:t>(ثانيا)</w:t>
      </w:r>
      <w:r>
        <w:rPr>
          <w:rtl/>
        </w:rPr>
        <w:t xml:space="preserve">، أو سحب الطلب الدولي أو تعيينات محددة، أو </w:t>
      </w:r>
      <w:r w:rsidR="00B75740">
        <w:rPr>
          <w:rFonts w:hint="cs"/>
          <w:rtl/>
        </w:rPr>
        <w:t>استخراج</w:t>
      </w:r>
      <w:r>
        <w:rPr>
          <w:rtl/>
        </w:rPr>
        <w:t xml:space="preserve"> نسخة من وثائق الأولوية </w:t>
      </w:r>
      <w:r w:rsidR="00B75740">
        <w:rPr>
          <w:rFonts w:hint="cs"/>
          <w:rtl/>
        </w:rPr>
        <w:t>عن طريق</w:t>
      </w:r>
      <w:r>
        <w:rPr>
          <w:rtl/>
        </w:rPr>
        <w:t xml:space="preserve"> خدمة الويبو للن</w:t>
      </w:r>
      <w:r w:rsidR="00B75740">
        <w:rPr>
          <w:rtl/>
        </w:rPr>
        <w:t xml:space="preserve">فاذ الرقمي إلى وثائق الأولوية. </w:t>
      </w:r>
      <w:r>
        <w:rPr>
          <w:rtl/>
        </w:rPr>
        <w:t>ومع ذلك فإن المكتب الدولي على استعداد لتجهيز أنظمة مكافئة لمكاتب تسلم الطلبات والإدارات الدولية، شريطة إقدا</w:t>
      </w:r>
      <w:r w:rsidR="00B75740">
        <w:rPr>
          <w:rtl/>
        </w:rPr>
        <w:t>م عدد</w:t>
      </w:r>
      <w:r>
        <w:rPr>
          <w:rtl/>
        </w:rPr>
        <w:t xml:space="preserve"> كافٍ من المكاتب إما على تنفيذ أنظمة لمعالجة المعلومات الناتجة بفعالية أو على إجراء المعالجة من خلال الأنظمة التي يتيحها المكتب الدولي بشكل مباشر.</w:t>
      </w:r>
    </w:p>
    <w:p w:rsidR="00584D0F" w:rsidRDefault="00B75740" w:rsidP="00773F63">
      <w:pPr>
        <w:pStyle w:val="NumberedParaAR"/>
        <w:rPr>
          <w:rtl/>
        </w:rPr>
      </w:pPr>
      <w:r>
        <w:rPr>
          <w:rtl/>
        </w:rPr>
        <w:t>كما تتاح خارج نطاق نظام</w:t>
      </w:r>
      <w:r>
        <w:rPr>
          <w:rFonts w:hint="cs"/>
          <w:rtl/>
        </w:rPr>
        <w:t> </w:t>
      </w:r>
      <w:proofErr w:type="spellStart"/>
      <w:r>
        <w:t>ePCT</w:t>
      </w:r>
      <w:proofErr w:type="spellEnd"/>
      <w:r>
        <w:rPr>
          <w:rtl/>
        </w:rPr>
        <w:t xml:space="preserve"> فرص أخرى </w:t>
      </w:r>
      <w:r>
        <w:rPr>
          <w:rFonts w:hint="cs"/>
          <w:rtl/>
        </w:rPr>
        <w:t>لإرسال</w:t>
      </w:r>
      <w:r>
        <w:rPr>
          <w:rtl/>
        </w:rPr>
        <w:t xml:space="preserve"> معلومات منسقة بشكل مفيد بدلا</w:t>
      </w:r>
      <w:r w:rsidR="00584D0F">
        <w:rPr>
          <w:rtl/>
        </w:rPr>
        <w:t xml:space="preserve"> من نماذج النمط الورق</w:t>
      </w:r>
      <w:r>
        <w:rPr>
          <w:rtl/>
        </w:rPr>
        <w:t xml:space="preserve">ي. </w:t>
      </w:r>
      <w:r w:rsidR="00584D0F">
        <w:rPr>
          <w:rtl/>
        </w:rPr>
        <w:t>فعلى سبيل المثال</w:t>
      </w:r>
      <w:r w:rsidRPr="00B75740">
        <w:rPr>
          <w:rtl/>
        </w:rPr>
        <w:t xml:space="preserve"> </w:t>
      </w:r>
      <w:r>
        <w:rPr>
          <w:rtl/>
        </w:rPr>
        <w:t>يمكن</w:t>
      </w:r>
      <w:r w:rsidR="00584D0F">
        <w:rPr>
          <w:rtl/>
        </w:rPr>
        <w:t xml:space="preserve">، على المستوى الإداري، </w:t>
      </w:r>
      <w:proofErr w:type="spellStart"/>
      <w:r w:rsidR="00584D0F">
        <w:rPr>
          <w:rtl/>
        </w:rPr>
        <w:t>أتمتة</w:t>
      </w:r>
      <w:proofErr w:type="spellEnd"/>
      <w:r w:rsidR="00584D0F">
        <w:rPr>
          <w:rtl/>
        </w:rPr>
        <w:t xml:space="preserve"> </w:t>
      </w:r>
      <w:proofErr w:type="spellStart"/>
      <w:r w:rsidR="00584D0F">
        <w:rPr>
          <w:rtl/>
        </w:rPr>
        <w:t>إخطارات</w:t>
      </w:r>
      <w:proofErr w:type="spellEnd"/>
      <w:r w:rsidR="00584D0F">
        <w:rPr>
          <w:rtl/>
        </w:rPr>
        <w:t xml:space="preserve"> تسلم ن</w:t>
      </w:r>
      <w:r>
        <w:rPr>
          <w:rFonts w:hint="cs"/>
          <w:rtl/>
        </w:rPr>
        <w:t>ُ</w:t>
      </w:r>
      <w:r>
        <w:rPr>
          <w:rtl/>
        </w:rPr>
        <w:t>سخ البحث (مما كان</w:t>
      </w:r>
      <w:r>
        <w:rPr>
          <w:rFonts w:hint="cs"/>
          <w:rtl/>
        </w:rPr>
        <w:t>ت تُخصص</w:t>
      </w:r>
      <w:r w:rsidR="00584D0F">
        <w:rPr>
          <w:rtl/>
        </w:rPr>
        <w:t xml:space="preserve"> له تقليدياً </w:t>
      </w:r>
      <w:r>
        <w:rPr>
          <w:rFonts w:hint="cs"/>
          <w:rtl/>
        </w:rPr>
        <w:t>الاستمارة </w:t>
      </w:r>
      <w:r w:rsidR="00584D0F">
        <w:t>PCT/ISA/202</w:t>
      </w:r>
      <w:r w:rsidR="00584D0F">
        <w:rPr>
          <w:rtl/>
        </w:rPr>
        <w:t>) ب</w:t>
      </w:r>
      <w:r>
        <w:rPr>
          <w:rtl/>
        </w:rPr>
        <w:t xml:space="preserve">شكل كامل باستخدام تدفق بيانات. </w:t>
      </w:r>
      <w:r w:rsidR="00584D0F">
        <w:rPr>
          <w:rtl/>
        </w:rPr>
        <w:t xml:space="preserve">وعلى صعيد موضوعي أعلى، بدأت عدة إدارات دولية في إرسال تقارير البحث الدولي والتقارير التمهيدية الدولية بشأن قابلية الحماية بموجب براءة بنسق </w:t>
      </w:r>
      <w:r w:rsidR="00584D0F">
        <w:t>XML</w:t>
      </w:r>
      <w:r w:rsidR="00584D0F">
        <w:rPr>
          <w:rtl/>
        </w:rPr>
        <w:t xml:space="preserve"> (</w:t>
      </w:r>
      <w:r w:rsidR="00773F63">
        <w:rPr>
          <w:rFonts w:hint="cs"/>
          <w:rtl/>
        </w:rPr>
        <w:t xml:space="preserve">دخلت </w:t>
      </w:r>
      <w:r w:rsidR="00584D0F">
        <w:rPr>
          <w:rtl/>
        </w:rPr>
        <w:t xml:space="preserve">التقارير الصادرة عن </w:t>
      </w:r>
      <w:r w:rsidR="00773F63" w:rsidRPr="00773F63">
        <w:rPr>
          <w:rtl/>
        </w:rPr>
        <w:t xml:space="preserve">مكتب الملكية الفكرية الحكومي لجمهورية الصين الشعبية </w:t>
      </w:r>
      <w:r w:rsidR="00773F63">
        <w:rPr>
          <w:rFonts w:hint="cs"/>
          <w:rtl/>
        </w:rPr>
        <w:t>مرحلة</w:t>
      </w:r>
      <w:r w:rsidR="00584D0F">
        <w:rPr>
          <w:rtl/>
        </w:rPr>
        <w:t xml:space="preserve"> الإنتاج حالياً، بينما يتوقع دخول التقارير الصادرة عن المكتب الأوروبي للبراءات والمكتب الكوري للملكية الفكرية مرحلة الإنتاج في وقت لاحق</w:t>
      </w:r>
      <w:r w:rsidR="00773F63">
        <w:rPr>
          <w:rtl/>
        </w:rPr>
        <w:t xml:space="preserve">ٍ من هذا العام). </w:t>
      </w:r>
      <w:r w:rsidR="00584D0F">
        <w:rPr>
          <w:rtl/>
        </w:rPr>
        <w:t xml:space="preserve">ويتيح تلقي هذه البيانات إمكانية خفض تكاليف الترجمة وتحسين الخدمات المتاحة للمستخدمين، مع احتمال </w:t>
      </w:r>
      <w:r w:rsidR="00773F63">
        <w:rPr>
          <w:rFonts w:hint="cs"/>
          <w:rtl/>
        </w:rPr>
        <w:t>إدراج</w:t>
      </w:r>
      <w:r w:rsidR="00584D0F">
        <w:rPr>
          <w:rtl/>
        </w:rPr>
        <w:t xml:space="preserve"> الترجمة الآلية </w:t>
      </w:r>
      <w:r w:rsidR="00773F63">
        <w:rPr>
          <w:rFonts w:hint="cs"/>
          <w:rtl/>
        </w:rPr>
        <w:t>إلى</w:t>
      </w:r>
      <w:r w:rsidR="00773F63">
        <w:rPr>
          <w:rtl/>
        </w:rPr>
        <w:t xml:space="preserve"> مجموعة لغات مختلفة</w:t>
      </w:r>
      <w:r w:rsidR="00773F63">
        <w:rPr>
          <w:rFonts w:hint="cs"/>
          <w:rtl/>
        </w:rPr>
        <w:t xml:space="preserve">، </w:t>
      </w:r>
      <w:r w:rsidR="00584D0F">
        <w:rPr>
          <w:rtl/>
        </w:rPr>
        <w:t>ب</w:t>
      </w:r>
      <w:r w:rsidR="00773F63">
        <w:rPr>
          <w:rFonts w:hint="cs"/>
          <w:rtl/>
        </w:rPr>
        <w:t xml:space="preserve">ناء على </w:t>
      </w:r>
      <w:r w:rsidR="00584D0F">
        <w:rPr>
          <w:rtl/>
        </w:rPr>
        <w:t>الطلب.</w:t>
      </w:r>
    </w:p>
    <w:p w:rsidR="00CD68A7" w:rsidRDefault="00584D0F" w:rsidP="00773F63">
      <w:pPr>
        <w:pStyle w:val="NumberedParaAR"/>
      </w:pPr>
      <w:r>
        <w:rPr>
          <w:rtl/>
        </w:rPr>
        <w:t>ويرح</w:t>
      </w:r>
      <w:r w:rsidR="00773F63">
        <w:rPr>
          <w:rFonts w:hint="cs"/>
          <w:rtl/>
        </w:rPr>
        <w:t>ّ</w:t>
      </w:r>
      <w:r>
        <w:rPr>
          <w:rtl/>
        </w:rPr>
        <w:t xml:space="preserve">ب المكتب الدولي بإجراء مناقشات مع أي مكتب مهتم بتبادل البيانات بشكل مقروء آلياً متى ما أمكن توظيف ذلك لخفض التكاليف أو تحسين جودة الخدمة </w:t>
      </w:r>
      <w:r w:rsidR="00773F63">
        <w:rPr>
          <w:rFonts w:hint="cs"/>
          <w:rtl/>
        </w:rPr>
        <w:t>المُقدمة</w:t>
      </w:r>
      <w:r>
        <w:rPr>
          <w:rtl/>
        </w:rPr>
        <w:t>.</w:t>
      </w:r>
    </w:p>
    <w:p w:rsidR="00B9771C" w:rsidRPr="00A13536" w:rsidRDefault="00751C4D" w:rsidP="00773F63">
      <w:pPr>
        <w:pStyle w:val="NormalParaAR"/>
        <w:keepNext/>
        <w:rPr>
          <w:sz w:val="40"/>
          <w:szCs w:val="40"/>
        </w:rPr>
      </w:pPr>
      <w:r w:rsidRPr="00A13536">
        <w:rPr>
          <w:sz w:val="40"/>
          <w:szCs w:val="40"/>
          <w:rtl/>
        </w:rPr>
        <w:t>الإرسال بين الآلات</w:t>
      </w:r>
    </w:p>
    <w:p w:rsidR="00B9771C" w:rsidRDefault="00773F63" w:rsidP="0093047D">
      <w:pPr>
        <w:pStyle w:val="NumberedParaAR"/>
      </w:pPr>
      <w:r>
        <w:rPr>
          <w:rtl/>
        </w:rPr>
        <w:t xml:space="preserve">لا يوجد في الوقت الراهن خيار </w:t>
      </w:r>
      <w:r>
        <w:rPr>
          <w:rFonts w:hint="cs"/>
          <w:rtl/>
        </w:rPr>
        <w:t xml:space="preserve">آخر </w:t>
      </w:r>
      <w:r>
        <w:rPr>
          <w:rtl/>
        </w:rPr>
        <w:t>ل</w:t>
      </w:r>
      <w:r>
        <w:rPr>
          <w:rFonts w:hint="cs"/>
          <w:rtl/>
        </w:rPr>
        <w:t xml:space="preserve">ضمان </w:t>
      </w:r>
      <w:proofErr w:type="spellStart"/>
      <w:r>
        <w:rPr>
          <w:rtl/>
        </w:rPr>
        <w:t>أتمتة</w:t>
      </w:r>
      <w:proofErr w:type="spellEnd"/>
      <w:r>
        <w:rPr>
          <w:rtl/>
        </w:rPr>
        <w:t xml:space="preserve"> </w:t>
      </w:r>
      <w:r w:rsidR="00B9771C">
        <w:rPr>
          <w:rtl/>
        </w:rPr>
        <w:t>كاملة للمعالجة بين المكتب الدولي من جهة ومكاتب تسلم الطلبات والإدارات الدولية والمكاتب المعي</w:t>
      </w:r>
      <w:r>
        <w:rPr>
          <w:rFonts w:hint="cs"/>
          <w:rtl/>
        </w:rPr>
        <w:t>ّ</w:t>
      </w:r>
      <w:r w:rsidR="00B9771C">
        <w:rPr>
          <w:rtl/>
        </w:rPr>
        <w:t xml:space="preserve">نة من جهة أخرى إلا </w:t>
      </w:r>
      <w:r>
        <w:rPr>
          <w:rFonts w:hint="cs"/>
          <w:rtl/>
        </w:rPr>
        <w:t>ب</w:t>
      </w:r>
      <w:r w:rsidR="00B9771C">
        <w:rPr>
          <w:rtl/>
        </w:rPr>
        <w:t>تبادل الوثائق والبيانات باستخدام خدمة</w:t>
      </w:r>
      <w:r>
        <w:rPr>
          <w:rFonts w:hint="cs"/>
          <w:rtl/>
        </w:rPr>
        <w:t> </w:t>
      </w:r>
      <w:r w:rsidR="00B9771C">
        <w:t>PCT-EDI</w:t>
      </w:r>
      <w:r>
        <w:rPr>
          <w:rtl/>
        </w:rPr>
        <w:t xml:space="preserve">. </w:t>
      </w:r>
      <w:r>
        <w:rPr>
          <w:rFonts w:hint="cs"/>
          <w:rtl/>
        </w:rPr>
        <w:t xml:space="preserve">وتكمن </w:t>
      </w:r>
      <w:r w:rsidR="00B9771C">
        <w:rPr>
          <w:rtl/>
        </w:rPr>
        <w:t xml:space="preserve">ميزة </w:t>
      </w:r>
      <w:r>
        <w:rPr>
          <w:rFonts w:hint="cs"/>
          <w:rtl/>
        </w:rPr>
        <w:t>تلك الخدمة في</w:t>
      </w:r>
      <w:r w:rsidR="00B9771C">
        <w:rPr>
          <w:rtl/>
        </w:rPr>
        <w:t xml:space="preserve"> بساطة تنفيذه</w:t>
      </w:r>
      <w:r>
        <w:rPr>
          <w:rFonts w:hint="cs"/>
          <w:rtl/>
        </w:rPr>
        <w:t>ا</w:t>
      </w:r>
      <w:r w:rsidR="00B9771C">
        <w:rPr>
          <w:rtl/>
        </w:rPr>
        <w:t xml:space="preserve"> وقوته</w:t>
      </w:r>
      <w:r>
        <w:rPr>
          <w:rFonts w:hint="cs"/>
          <w:rtl/>
        </w:rPr>
        <w:t>ا</w:t>
      </w:r>
      <w:r w:rsidR="00B9771C">
        <w:rPr>
          <w:rtl/>
        </w:rPr>
        <w:t>، لأن أي عطل مؤقت في النظام على أيٍ من الجانبين لا يتعدى تأثيره مجر</w:t>
      </w:r>
      <w:r>
        <w:rPr>
          <w:rFonts w:hint="cs"/>
          <w:rtl/>
        </w:rPr>
        <w:t>ّ</w:t>
      </w:r>
      <w:r>
        <w:rPr>
          <w:rtl/>
        </w:rPr>
        <w:t>د تأخير المعالجة، عوضا عن تسب</w:t>
      </w:r>
      <w:r>
        <w:rPr>
          <w:rFonts w:hint="cs"/>
          <w:rtl/>
        </w:rPr>
        <w:t>ّ</w:t>
      </w:r>
      <w:r>
        <w:rPr>
          <w:rtl/>
        </w:rPr>
        <w:t>ب</w:t>
      </w:r>
      <w:r>
        <w:rPr>
          <w:rFonts w:hint="cs"/>
          <w:rtl/>
        </w:rPr>
        <w:t xml:space="preserve">ه في </w:t>
      </w:r>
      <w:r w:rsidR="00B9771C">
        <w:rPr>
          <w:rtl/>
        </w:rPr>
        <w:t>فقد</w:t>
      </w:r>
      <w:r>
        <w:rPr>
          <w:rFonts w:hint="cs"/>
          <w:rtl/>
        </w:rPr>
        <w:t>ان</w:t>
      </w:r>
      <w:r w:rsidR="00B9771C">
        <w:rPr>
          <w:rtl/>
        </w:rPr>
        <w:t xml:space="preserve"> وثائق أو بيانات.  غي</w:t>
      </w:r>
      <w:r>
        <w:rPr>
          <w:rtl/>
        </w:rPr>
        <w:t>ر أن العمليات المجمعة تجرى عادة مر</w:t>
      </w:r>
      <w:r>
        <w:rPr>
          <w:rFonts w:hint="cs"/>
          <w:rtl/>
        </w:rPr>
        <w:t>ّ</w:t>
      </w:r>
      <w:r>
        <w:rPr>
          <w:rtl/>
        </w:rPr>
        <w:t>ة واحدة يوميا</w:t>
      </w:r>
      <w:r w:rsidR="00B9771C">
        <w:rPr>
          <w:rtl/>
        </w:rPr>
        <w:t xml:space="preserve"> لا أكثر، بل لا يكون ذلك في بعض الحالات إلا مر</w:t>
      </w:r>
      <w:r>
        <w:rPr>
          <w:rFonts w:hint="cs"/>
          <w:rtl/>
        </w:rPr>
        <w:t>ّ</w:t>
      </w:r>
      <w:r w:rsidR="00B9771C">
        <w:rPr>
          <w:rtl/>
        </w:rPr>
        <w:t xml:space="preserve">ة واحدة أسبوعياً.  وبالتالي لا يمكن </w:t>
      </w:r>
      <w:r w:rsidR="0093047D">
        <w:rPr>
          <w:rFonts w:hint="cs"/>
          <w:rtl/>
        </w:rPr>
        <w:t>أن تُنفذ بموثوقية</w:t>
      </w:r>
      <w:r w:rsidR="00B9771C">
        <w:rPr>
          <w:rtl/>
        </w:rPr>
        <w:t xml:space="preserve"> خدمات </w:t>
      </w:r>
      <w:r w:rsidR="0093047D">
        <w:rPr>
          <w:rFonts w:hint="cs"/>
          <w:rtl/>
        </w:rPr>
        <w:t>مناسبة التوقيت ب</w:t>
      </w:r>
      <w:r w:rsidR="00B9771C">
        <w:rPr>
          <w:rtl/>
        </w:rPr>
        <w:t>استخدام هذا النظام.</w:t>
      </w:r>
    </w:p>
    <w:p w:rsidR="00B9771C" w:rsidRDefault="00B9771C" w:rsidP="0093047D">
      <w:pPr>
        <w:pStyle w:val="NumberedParaAR"/>
      </w:pPr>
      <w:r>
        <w:rPr>
          <w:rtl/>
        </w:rPr>
        <w:t>وقد بدأ العمل التمهيدي على توفير خدمات</w:t>
      </w:r>
      <w:r w:rsidR="0093047D">
        <w:rPr>
          <w:rFonts w:hint="cs"/>
          <w:rtl/>
        </w:rPr>
        <w:t> </w:t>
      </w:r>
      <w:proofErr w:type="spellStart"/>
      <w:r>
        <w:t>ePCT</w:t>
      </w:r>
      <w:proofErr w:type="spellEnd"/>
      <w:r w:rsidR="0093047D">
        <w:rPr>
          <w:rtl/>
        </w:rPr>
        <w:t xml:space="preserve"> شبكيا بشكل آمن، مما </w:t>
      </w:r>
      <w:r w:rsidR="0093047D">
        <w:rPr>
          <w:rFonts w:hint="cs"/>
          <w:rtl/>
        </w:rPr>
        <w:t>يمكنه إتاحة</w:t>
      </w:r>
      <w:r>
        <w:rPr>
          <w:rtl/>
        </w:rPr>
        <w:t xml:space="preserve"> خدمات مؤتمتة </w:t>
      </w:r>
      <w:r w:rsidR="0093047D">
        <w:rPr>
          <w:rFonts w:hint="cs"/>
          <w:rtl/>
        </w:rPr>
        <w:t>مناسبة التوقيت تقريبا</w:t>
      </w:r>
      <w:r>
        <w:rPr>
          <w:rtl/>
        </w:rPr>
        <w:t xml:space="preserve">، بما في ذلك توفير خدمات أساسية مشتركة أو </w:t>
      </w:r>
      <w:r w:rsidR="0093047D">
        <w:rPr>
          <w:rFonts w:hint="cs"/>
          <w:rtl/>
        </w:rPr>
        <w:t>استخراج</w:t>
      </w:r>
      <w:r>
        <w:rPr>
          <w:rtl/>
        </w:rPr>
        <w:t xml:space="preserve"> الوثائق اللازمة </w:t>
      </w:r>
      <w:r w:rsidR="0093047D">
        <w:rPr>
          <w:rFonts w:hint="cs"/>
          <w:rtl/>
        </w:rPr>
        <w:t>بناء على</w:t>
      </w:r>
      <w:r>
        <w:rPr>
          <w:rtl/>
        </w:rPr>
        <w:t xml:space="preserve"> الطلب متى كان ذلك مفضلاً على إرسال مجموعات كاملة من ال</w:t>
      </w:r>
      <w:r w:rsidR="0093047D">
        <w:rPr>
          <w:rtl/>
        </w:rPr>
        <w:t xml:space="preserve">وثائق. </w:t>
      </w:r>
      <w:r>
        <w:rPr>
          <w:rtl/>
        </w:rPr>
        <w:t xml:space="preserve">ويرتهن نشر </w:t>
      </w:r>
      <w:r w:rsidR="0093047D">
        <w:rPr>
          <w:rFonts w:hint="cs"/>
          <w:rtl/>
        </w:rPr>
        <w:t>تلك</w:t>
      </w:r>
      <w:r>
        <w:rPr>
          <w:rtl/>
        </w:rPr>
        <w:t xml:space="preserve"> الخدمات بتنفيذ نظام جديد لإدارة </w:t>
      </w:r>
      <w:r w:rsidR="0093047D">
        <w:rPr>
          <w:rFonts w:hint="cs"/>
          <w:rtl/>
        </w:rPr>
        <w:t>ال</w:t>
      </w:r>
      <w:r w:rsidR="0093047D">
        <w:rPr>
          <w:rtl/>
        </w:rPr>
        <w:t>هوي</w:t>
      </w:r>
      <w:r w:rsidR="0093047D">
        <w:rPr>
          <w:rFonts w:hint="cs"/>
          <w:rtl/>
        </w:rPr>
        <w:t>ة</w:t>
      </w:r>
      <w:r w:rsidR="0093047D">
        <w:rPr>
          <w:rtl/>
        </w:rPr>
        <w:t xml:space="preserve"> في المكتب الدولي </w:t>
      </w:r>
      <w:r w:rsidR="0093047D">
        <w:rPr>
          <w:rFonts w:hint="cs"/>
          <w:rtl/>
        </w:rPr>
        <w:t>يكون أكثر تكيّفا للتصديق على ال</w:t>
      </w:r>
      <w:r>
        <w:rPr>
          <w:rtl/>
        </w:rPr>
        <w:t xml:space="preserve">أنظمة </w:t>
      </w:r>
      <w:r w:rsidR="0093047D">
        <w:rPr>
          <w:rFonts w:hint="cs"/>
          <w:rtl/>
        </w:rPr>
        <w:t>المؤتمتة</w:t>
      </w:r>
      <w:r w:rsidR="0093047D">
        <w:rPr>
          <w:rtl/>
        </w:rPr>
        <w:t>.</w:t>
      </w:r>
      <w:r>
        <w:rPr>
          <w:rtl/>
        </w:rPr>
        <w:t xml:space="preserve"> وسيطرح المكتب الدولي هذه الأمور للتشاور بمجر</w:t>
      </w:r>
      <w:r w:rsidR="0093047D">
        <w:rPr>
          <w:rFonts w:hint="cs"/>
          <w:rtl/>
        </w:rPr>
        <w:t>ّ</w:t>
      </w:r>
      <w:r>
        <w:rPr>
          <w:rtl/>
        </w:rPr>
        <w:t xml:space="preserve">د توافر تفاصيل </w:t>
      </w:r>
      <w:r w:rsidR="0093047D">
        <w:rPr>
          <w:rFonts w:hint="cs"/>
          <w:rtl/>
        </w:rPr>
        <w:t>ال</w:t>
      </w:r>
      <w:r>
        <w:rPr>
          <w:rtl/>
        </w:rPr>
        <w:t xml:space="preserve">نظام </w:t>
      </w:r>
      <w:r w:rsidR="0093047D">
        <w:rPr>
          <w:rtl/>
        </w:rPr>
        <w:t xml:space="preserve">الجديد </w:t>
      </w:r>
      <w:r w:rsidR="0093047D">
        <w:rPr>
          <w:rFonts w:hint="cs"/>
          <w:rtl/>
        </w:rPr>
        <w:t>ل</w:t>
      </w:r>
      <w:r>
        <w:rPr>
          <w:rtl/>
        </w:rPr>
        <w:t xml:space="preserve">إدارة </w:t>
      </w:r>
      <w:r w:rsidR="0093047D">
        <w:rPr>
          <w:rFonts w:hint="cs"/>
          <w:rtl/>
        </w:rPr>
        <w:t>الهوية</w:t>
      </w:r>
      <w:r>
        <w:rPr>
          <w:rtl/>
        </w:rPr>
        <w:t>، لكنه يرح</w:t>
      </w:r>
      <w:r w:rsidR="0093047D">
        <w:rPr>
          <w:rFonts w:hint="cs"/>
          <w:rtl/>
        </w:rPr>
        <w:t>ّ</w:t>
      </w:r>
      <w:r>
        <w:rPr>
          <w:rtl/>
        </w:rPr>
        <w:t xml:space="preserve">ب </w:t>
      </w:r>
      <w:r w:rsidR="0093047D">
        <w:rPr>
          <w:rFonts w:hint="cs"/>
          <w:rtl/>
        </w:rPr>
        <w:t xml:space="preserve">في غضون ذلك </w:t>
      </w:r>
      <w:r>
        <w:rPr>
          <w:rtl/>
        </w:rPr>
        <w:t xml:space="preserve">بأي تعليقات عامة بشأن تحديد الخدمات التي </w:t>
      </w:r>
      <w:r w:rsidR="0093047D">
        <w:rPr>
          <w:rFonts w:hint="cs"/>
          <w:rtl/>
        </w:rPr>
        <w:t>من شأنها</w:t>
      </w:r>
      <w:r>
        <w:rPr>
          <w:rtl/>
        </w:rPr>
        <w:t xml:space="preserve"> تحق</w:t>
      </w:r>
      <w:r w:rsidR="0093047D">
        <w:rPr>
          <w:rFonts w:hint="cs"/>
          <w:rtl/>
        </w:rPr>
        <w:t>ي</w:t>
      </w:r>
      <w:r>
        <w:rPr>
          <w:rtl/>
        </w:rPr>
        <w:t>ق المنفعة.</w:t>
      </w:r>
    </w:p>
    <w:p w:rsidR="00BB6553" w:rsidRDefault="00BB6553" w:rsidP="0093047D">
      <w:pPr>
        <w:pStyle w:val="NumberedParaAR"/>
        <w:keepNext/>
        <w:numPr>
          <w:ilvl w:val="0"/>
          <w:numId w:val="0"/>
        </w:numPr>
        <w:rPr>
          <w:rtl/>
        </w:rPr>
      </w:pPr>
      <w:r w:rsidRPr="006A7C1D">
        <w:rPr>
          <w:b/>
          <w:bCs/>
          <w:sz w:val="40"/>
          <w:szCs w:val="40"/>
          <w:rtl/>
        </w:rPr>
        <w:t>مسائل</w:t>
      </w:r>
      <w:r>
        <w:rPr>
          <w:rtl/>
        </w:rPr>
        <w:t xml:space="preserve"> </w:t>
      </w:r>
      <w:r w:rsidRPr="006A7C1D">
        <w:rPr>
          <w:b/>
          <w:bCs/>
          <w:sz w:val="40"/>
          <w:szCs w:val="40"/>
          <w:rtl/>
        </w:rPr>
        <w:t>أخرى</w:t>
      </w:r>
    </w:p>
    <w:p w:rsidR="00BB6553" w:rsidRDefault="00BB6553" w:rsidP="00716F26">
      <w:pPr>
        <w:pStyle w:val="NumberedParaAR"/>
        <w:rPr>
          <w:rtl/>
        </w:rPr>
      </w:pPr>
      <w:r>
        <w:rPr>
          <w:rtl/>
        </w:rPr>
        <w:t>تتناول</w:t>
      </w:r>
      <w:r w:rsidR="00716F26">
        <w:rPr>
          <w:rtl/>
        </w:rPr>
        <w:t xml:space="preserve"> وثائق أخرى لهذا الفريق العامل عددا</w:t>
      </w:r>
      <w:r w:rsidR="00716F26">
        <w:rPr>
          <w:rFonts w:hint="cs"/>
          <w:rtl/>
        </w:rPr>
        <w:t xml:space="preserve"> </w:t>
      </w:r>
      <w:r>
        <w:rPr>
          <w:rtl/>
        </w:rPr>
        <w:t xml:space="preserve">من المسائل المؤثرة في الخدمات الشبكية، بما في ذلك </w:t>
      </w:r>
      <w:r w:rsidR="00716F26" w:rsidRPr="00716F26">
        <w:rPr>
          <w:rtl/>
        </w:rPr>
        <w:t>دخول المرحلة الوطنية باستخدام النظام الإلكتروني لمعاهدة التعاون بشأن البراءات (</w:t>
      </w:r>
      <w:proofErr w:type="spellStart"/>
      <w:r w:rsidR="00716F26" w:rsidRPr="00716F26">
        <w:t>ePCT</w:t>
      </w:r>
      <w:proofErr w:type="spellEnd"/>
      <w:r w:rsidR="00716F26" w:rsidRPr="00716F26">
        <w:rPr>
          <w:rtl/>
        </w:rPr>
        <w:t>)</w:t>
      </w:r>
      <w:r>
        <w:rPr>
          <w:rtl/>
        </w:rPr>
        <w:t xml:space="preserve"> (الوثيقة </w:t>
      </w:r>
      <w:r>
        <w:t>PCT/WG/8/</w:t>
      </w:r>
      <w:r w:rsidR="00716F26">
        <w:t>19</w:t>
      </w:r>
      <w:r>
        <w:rPr>
          <w:rtl/>
        </w:rPr>
        <w:t>) والرسوم الملو</w:t>
      </w:r>
      <w:r w:rsidR="00716F26">
        <w:rPr>
          <w:rFonts w:hint="cs"/>
          <w:rtl/>
        </w:rPr>
        <w:t>ّ</w:t>
      </w:r>
      <w:r>
        <w:rPr>
          <w:rtl/>
        </w:rPr>
        <w:t xml:space="preserve">نة (الوثيقة </w:t>
      </w:r>
      <w:r>
        <w:t>PCT/WG/8/21</w:t>
      </w:r>
      <w:r>
        <w:rPr>
          <w:rtl/>
        </w:rPr>
        <w:t xml:space="preserve">) </w:t>
      </w:r>
      <w:r w:rsidR="00716F26">
        <w:rPr>
          <w:rFonts w:hint="cs"/>
          <w:rtl/>
        </w:rPr>
        <w:t>و</w:t>
      </w:r>
      <w:r w:rsidR="00716F26" w:rsidRPr="00716F26">
        <w:rPr>
          <w:rtl/>
        </w:rPr>
        <w:t xml:space="preserve">حالات التأخر والقوة القاهرة فيما يخص التواصل الإلكتروني </w:t>
      </w:r>
      <w:r>
        <w:rPr>
          <w:rtl/>
        </w:rPr>
        <w:t xml:space="preserve">(الوثيقة </w:t>
      </w:r>
      <w:r>
        <w:t>PCT/WG/8/22</w:t>
      </w:r>
      <w:r>
        <w:rPr>
          <w:rtl/>
        </w:rPr>
        <w:t xml:space="preserve">) ولغات التواصل مع المكتب الدولي (الوثيقة </w:t>
      </w:r>
      <w:r>
        <w:t>PCT/WG/8/23</w:t>
      </w:r>
      <w:r w:rsidR="00716F26">
        <w:rPr>
          <w:rtl/>
        </w:rPr>
        <w:t>). وعلاوة</w:t>
      </w:r>
      <w:r>
        <w:rPr>
          <w:rtl/>
        </w:rPr>
        <w:t xml:space="preserve"> على ذلك، ينبغي للمكاتب الوطنية أن تكون على دراية بالمسائل التالية، وإن لم تكن لها في الوقت الحاضر أولوية اتخاذ إجراء محد</w:t>
      </w:r>
      <w:r w:rsidR="00716F26">
        <w:rPr>
          <w:rFonts w:hint="cs"/>
          <w:rtl/>
        </w:rPr>
        <w:t>ّ</w:t>
      </w:r>
      <w:r>
        <w:rPr>
          <w:rtl/>
        </w:rPr>
        <w:t>د.</w:t>
      </w:r>
    </w:p>
    <w:p w:rsidR="00BB6553" w:rsidRPr="00A13536" w:rsidRDefault="00BB6553" w:rsidP="00716F26">
      <w:pPr>
        <w:pStyle w:val="NumberedParaAR"/>
        <w:keepNext/>
        <w:numPr>
          <w:ilvl w:val="0"/>
          <w:numId w:val="0"/>
        </w:numPr>
        <w:rPr>
          <w:sz w:val="40"/>
          <w:szCs w:val="40"/>
          <w:rtl/>
        </w:rPr>
      </w:pPr>
      <w:r w:rsidRPr="00A13536">
        <w:rPr>
          <w:sz w:val="40"/>
          <w:szCs w:val="40"/>
          <w:rtl/>
        </w:rPr>
        <w:t>النص الكامل لمتون الطلبات</w:t>
      </w:r>
    </w:p>
    <w:p w:rsidR="00BB6553" w:rsidRDefault="00BB6553" w:rsidP="003061BC">
      <w:pPr>
        <w:pStyle w:val="NumberedParaAR"/>
        <w:rPr>
          <w:rtl/>
        </w:rPr>
      </w:pPr>
      <w:r>
        <w:rPr>
          <w:rtl/>
        </w:rPr>
        <w:t>يود</w:t>
      </w:r>
      <w:r w:rsidR="00716F26">
        <w:rPr>
          <w:rFonts w:hint="cs"/>
          <w:rtl/>
        </w:rPr>
        <w:t>ّ</w:t>
      </w:r>
      <w:r>
        <w:rPr>
          <w:rtl/>
        </w:rPr>
        <w:t xml:space="preserve"> المكتب الدولي أن يشجع على إيداع الطلبات الدول</w:t>
      </w:r>
      <w:r w:rsidR="00716F26">
        <w:rPr>
          <w:rtl/>
        </w:rPr>
        <w:t xml:space="preserve">ية ومعالجتها بنسق النص الكامل. </w:t>
      </w:r>
      <w:r>
        <w:rPr>
          <w:rtl/>
        </w:rPr>
        <w:t xml:space="preserve">غير أن اعتماد </w:t>
      </w:r>
      <w:r w:rsidR="00716F26">
        <w:rPr>
          <w:rFonts w:hint="cs"/>
          <w:rtl/>
        </w:rPr>
        <w:t>ال</w:t>
      </w:r>
      <w:r>
        <w:rPr>
          <w:rtl/>
        </w:rPr>
        <w:t xml:space="preserve">إيداع </w:t>
      </w:r>
      <w:r w:rsidR="00716F26">
        <w:rPr>
          <w:rtl/>
        </w:rPr>
        <w:t>التقليدي</w:t>
      </w:r>
      <w:r w:rsidR="00716F26">
        <w:rPr>
          <w:rFonts w:hint="cs"/>
          <w:rtl/>
        </w:rPr>
        <w:t xml:space="preserve"> بنسق</w:t>
      </w:r>
      <w:r w:rsidR="003061BC">
        <w:rPr>
          <w:rFonts w:hint="cs"/>
          <w:rtl/>
        </w:rPr>
        <w:t> </w:t>
      </w:r>
      <w:r>
        <w:t>XML</w:t>
      </w:r>
      <w:r>
        <w:rPr>
          <w:rtl/>
        </w:rPr>
        <w:t xml:space="preserve"> </w:t>
      </w:r>
      <w:r w:rsidR="00716F26">
        <w:rPr>
          <w:rtl/>
        </w:rPr>
        <w:t>كان محدودا</w:t>
      </w:r>
      <w:r>
        <w:rPr>
          <w:rtl/>
        </w:rPr>
        <w:t xml:space="preserve"> لدى المكاتب التي تتيح </w:t>
      </w:r>
      <w:r w:rsidR="00716F26">
        <w:rPr>
          <w:rFonts w:hint="cs"/>
          <w:rtl/>
        </w:rPr>
        <w:t>خيار</w:t>
      </w:r>
      <w:r w:rsidR="00716F26">
        <w:rPr>
          <w:rtl/>
        </w:rPr>
        <w:t xml:space="preserve"> </w:t>
      </w:r>
      <w:r w:rsidR="00716F26">
        <w:rPr>
          <w:rFonts w:hint="cs"/>
          <w:rtl/>
        </w:rPr>
        <w:t>الإيداع بن</w:t>
      </w:r>
      <w:r>
        <w:rPr>
          <w:rtl/>
        </w:rPr>
        <w:t xml:space="preserve">سق </w:t>
      </w:r>
      <w:r>
        <w:t>PDF</w:t>
      </w:r>
      <w:r w:rsidR="00716F26">
        <w:rPr>
          <w:rtl/>
        </w:rPr>
        <w:t xml:space="preserve"> </w:t>
      </w:r>
      <w:r w:rsidR="00716F26">
        <w:rPr>
          <w:rFonts w:hint="cs"/>
          <w:rtl/>
        </w:rPr>
        <w:t>كبديل لذلك</w:t>
      </w:r>
      <w:r>
        <w:rPr>
          <w:rtl/>
        </w:rPr>
        <w:t>.  ولهذا أسباب متنوعة، لكن أحدها هو عزوف المودعين عن أدوات صياغة أو تحويل نسق</w:t>
      </w:r>
      <w:r w:rsidR="003061BC">
        <w:rPr>
          <w:rFonts w:hint="cs"/>
          <w:rtl/>
        </w:rPr>
        <w:t> </w:t>
      </w:r>
      <w:r>
        <w:t>XML</w:t>
      </w:r>
      <w:r w:rsidR="003061BC">
        <w:rPr>
          <w:rtl/>
        </w:rPr>
        <w:t xml:space="preserve"> نتيجةً لما وجدو</w:t>
      </w:r>
      <w:r w:rsidR="003061BC">
        <w:rPr>
          <w:rFonts w:hint="cs"/>
          <w:rtl/>
        </w:rPr>
        <w:t xml:space="preserve">ه من </w:t>
      </w:r>
      <w:r>
        <w:rPr>
          <w:rtl/>
        </w:rPr>
        <w:t>سهولة ويسر في التحويل المباشر من معالج نصوص إلى</w:t>
      </w:r>
      <w:r w:rsidR="003061BC">
        <w:rPr>
          <w:rFonts w:hint="cs"/>
          <w:rtl/>
        </w:rPr>
        <w:t xml:space="preserve"> نسق </w:t>
      </w:r>
      <w:r>
        <w:t>PDF</w:t>
      </w:r>
      <w:r>
        <w:rPr>
          <w:rtl/>
        </w:rPr>
        <w:t>، أو حتى تحويل مطبوعات ورقية إلى</w:t>
      </w:r>
      <w:r w:rsidR="003061BC">
        <w:rPr>
          <w:rFonts w:hint="cs"/>
          <w:rtl/>
        </w:rPr>
        <w:t xml:space="preserve"> نسق </w:t>
      </w:r>
      <w:r>
        <w:t>PDF</w:t>
      </w:r>
      <w:r>
        <w:rPr>
          <w:rtl/>
        </w:rPr>
        <w:t xml:space="preserve"> بالمسح الضوئي. ويتيح </w:t>
      </w:r>
      <w:r w:rsidR="003061BC">
        <w:rPr>
          <w:rFonts w:hint="cs"/>
          <w:rtl/>
        </w:rPr>
        <w:t>نظام</w:t>
      </w:r>
      <w:r w:rsidR="003061BC">
        <w:rPr>
          <w:rFonts w:hint="eastAsia"/>
          <w:rtl/>
        </w:rPr>
        <w:t> </w:t>
      </w:r>
      <w:proofErr w:type="spellStart"/>
      <w:r>
        <w:t>ePCT</w:t>
      </w:r>
      <w:proofErr w:type="spellEnd"/>
      <w:r>
        <w:t>-Filing</w:t>
      </w:r>
      <w:r>
        <w:rPr>
          <w:rtl/>
        </w:rPr>
        <w:t xml:space="preserve"> حالياً خيار </w:t>
      </w:r>
      <w:r w:rsidR="003061BC">
        <w:rPr>
          <w:rFonts w:hint="cs"/>
          <w:rtl/>
        </w:rPr>
        <w:t>تحميل</w:t>
      </w:r>
      <w:r>
        <w:rPr>
          <w:rtl/>
        </w:rPr>
        <w:t xml:space="preserve"> وثيقة بنسق</w:t>
      </w:r>
      <w:r w:rsidR="003061BC">
        <w:rPr>
          <w:rFonts w:hint="cs"/>
          <w:rtl/>
        </w:rPr>
        <w:t> </w:t>
      </w:r>
      <w:r>
        <w:t>Office Open XML</w:t>
      </w:r>
      <w:r w:rsidR="00FE2536">
        <w:rPr>
          <w:rFonts w:hint="cs"/>
          <w:rtl/>
        </w:rPr>
        <w:t xml:space="preserve"> (</w:t>
      </w:r>
      <w:r>
        <w:t>.</w:t>
      </w:r>
      <w:proofErr w:type="spellStart"/>
      <w:r>
        <w:t>docx</w:t>
      </w:r>
      <w:proofErr w:type="spellEnd"/>
      <w:r w:rsidR="00FE2536">
        <w:rPr>
          <w:rFonts w:hint="cs"/>
          <w:rtl/>
        </w:rPr>
        <w:t>)</w:t>
      </w:r>
      <w:r>
        <w:rPr>
          <w:rtl/>
        </w:rPr>
        <w:t xml:space="preserve"> أنشئت بشكل مباشر من </w:t>
      </w:r>
      <w:r>
        <w:t>Microsoft Word</w:t>
      </w:r>
      <w:r w:rsidR="003061BC">
        <w:rPr>
          <w:rtl/>
        </w:rPr>
        <w:t xml:space="preserve"> أو غيره من معالجات النصوص.  و</w:t>
      </w:r>
      <w:r w:rsidR="003061BC">
        <w:rPr>
          <w:rFonts w:hint="cs"/>
          <w:rtl/>
        </w:rPr>
        <w:t>تُ</w:t>
      </w:r>
      <w:r>
        <w:rPr>
          <w:rtl/>
        </w:rPr>
        <w:t xml:space="preserve">حوَّل </w:t>
      </w:r>
      <w:r w:rsidR="003061BC">
        <w:rPr>
          <w:rFonts w:hint="cs"/>
          <w:rtl/>
        </w:rPr>
        <w:t>تلك الوثيقة</w:t>
      </w:r>
      <w:r>
        <w:rPr>
          <w:rtl/>
        </w:rPr>
        <w:t xml:space="preserve"> تلقائياً إلى نسق</w:t>
      </w:r>
      <w:r w:rsidR="003061BC">
        <w:rPr>
          <w:rFonts w:hint="cs"/>
          <w:rtl/>
        </w:rPr>
        <w:t> </w:t>
      </w:r>
      <w:r>
        <w:t>XML</w:t>
      </w:r>
      <w:r w:rsidR="003061BC">
        <w:rPr>
          <w:rtl/>
        </w:rPr>
        <w:t xml:space="preserve"> المحد</w:t>
      </w:r>
      <w:r w:rsidR="003061BC">
        <w:rPr>
          <w:rFonts w:hint="cs"/>
          <w:rtl/>
        </w:rPr>
        <w:t>ّ</w:t>
      </w:r>
      <w:r w:rsidR="003061BC">
        <w:rPr>
          <w:rtl/>
        </w:rPr>
        <w:t xml:space="preserve">د في المرفق واو </w:t>
      </w:r>
      <w:r w:rsidR="003061BC">
        <w:rPr>
          <w:rFonts w:hint="cs"/>
          <w:rtl/>
        </w:rPr>
        <w:t xml:space="preserve">من </w:t>
      </w:r>
      <w:r>
        <w:rPr>
          <w:rtl/>
        </w:rPr>
        <w:t xml:space="preserve">التعليمات الإدارية لمعاهدة التعاون بشأن البراءات.  وتشير رسالات تحذير إلى </w:t>
      </w:r>
      <w:r w:rsidR="003061BC">
        <w:rPr>
          <w:rFonts w:hint="cs"/>
          <w:rtl/>
        </w:rPr>
        <w:t>الخصائص</w:t>
      </w:r>
      <w:r>
        <w:rPr>
          <w:rtl/>
        </w:rPr>
        <w:t xml:space="preserve"> التي يحتمل عدم تحويلها بشكل موثوق، وتُنشأ معاينات عرض مسبق </w:t>
      </w:r>
      <w:r w:rsidR="003061BC">
        <w:rPr>
          <w:rFonts w:hint="cs"/>
          <w:rtl/>
        </w:rPr>
        <w:t>لبيان</w:t>
      </w:r>
      <w:r>
        <w:rPr>
          <w:rtl/>
        </w:rPr>
        <w:t xml:space="preserve"> الكيفية التي سيظهر بها الطلب في أنظمة المكتب الدولي الإلكترونية وعند نشره في نهاية المطاف.  ويُحتفظ بوثيقة معالج النصوص الأصلية باعتبارها ملف "</w:t>
      </w:r>
      <w:r w:rsidR="003061BC">
        <w:rPr>
          <w:rtl/>
        </w:rPr>
        <w:t>نسق ما قبل التحويل" وفقاً لل</w:t>
      </w:r>
      <w:r w:rsidR="003061BC">
        <w:rPr>
          <w:rFonts w:hint="cs"/>
          <w:rtl/>
        </w:rPr>
        <w:t>بند </w:t>
      </w:r>
      <w:r>
        <w:rPr>
          <w:rtl/>
        </w:rPr>
        <w:t xml:space="preserve">706 </w:t>
      </w:r>
      <w:r w:rsidR="003061BC">
        <w:rPr>
          <w:rtl/>
        </w:rPr>
        <w:t xml:space="preserve">من التعليمات الإدارية </w:t>
      </w:r>
      <w:r w:rsidR="003061BC">
        <w:rPr>
          <w:rFonts w:hint="cs"/>
          <w:rtl/>
        </w:rPr>
        <w:t>ل</w:t>
      </w:r>
      <w:r>
        <w:rPr>
          <w:rtl/>
        </w:rPr>
        <w:t>معاهدة التعاون بشأن البراءات، مما يسمح بتصحيح أي أخطاء في التحويل ت</w:t>
      </w:r>
      <w:r w:rsidR="003061BC">
        <w:rPr>
          <w:rFonts w:hint="cs"/>
          <w:rtl/>
        </w:rPr>
        <w:t>ُ</w:t>
      </w:r>
      <w:r>
        <w:rPr>
          <w:rtl/>
        </w:rPr>
        <w:t>كتشف في تاريخ لاحق.</w:t>
      </w:r>
    </w:p>
    <w:p w:rsidR="00BB6553" w:rsidRDefault="003061BC" w:rsidP="003061BC">
      <w:pPr>
        <w:pStyle w:val="NumberedParaAR"/>
        <w:rPr>
          <w:rtl/>
        </w:rPr>
      </w:pPr>
      <w:r>
        <w:rPr>
          <w:rtl/>
        </w:rPr>
        <w:t>والمكاتب الوطنية و</w:t>
      </w:r>
      <w:r>
        <w:rPr>
          <w:rFonts w:hint="cs"/>
          <w:rtl/>
        </w:rPr>
        <w:t>مجموعات</w:t>
      </w:r>
      <w:r w:rsidR="00BB6553">
        <w:rPr>
          <w:rtl/>
        </w:rPr>
        <w:t xml:space="preserve"> المستخدمين مدعوة إلى تقييم هذه الأداة ومناقشة الكيفية التي يمكن أن تسهم بها هذه </w:t>
      </w:r>
      <w:r>
        <w:rPr>
          <w:rFonts w:hint="cs"/>
          <w:rtl/>
        </w:rPr>
        <w:t xml:space="preserve">الأداة </w:t>
      </w:r>
      <w:r w:rsidR="00BB6553">
        <w:rPr>
          <w:rtl/>
        </w:rPr>
        <w:t xml:space="preserve">أو غيرها </w:t>
      </w:r>
      <w:r>
        <w:rPr>
          <w:rFonts w:hint="cs"/>
          <w:rtl/>
        </w:rPr>
        <w:t>في ضمان</w:t>
      </w:r>
      <w:r w:rsidR="00BB6553">
        <w:rPr>
          <w:rtl/>
        </w:rPr>
        <w:t xml:space="preserve"> نظام قائم على معالجة النص الكامل لمتن الطلب.</w:t>
      </w:r>
    </w:p>
    <w:p w:rsidR="00BB6553" w:rsidRPr="00A13536" w:rsidRDefault="00BB6553" w:rsidP="003061BC">
      <w:pPr>
        <w:pStyle w:val="NumberedParaAR"/>
        <w:keepNext/>
        <w:numPr>
          <w:ilvl w:val="0"/>
          <w:numId w:val="0"/>
        </w:numPr>
        <w:rPr>
          <w:sz w:val="40"/>
          <w:szCs w:val="40"/>
          <w:rtl/>
        </w:rPr>
      </w:pPr>
      <w:r w:rsidRPr="00A13536">
        <w:rPr>
          <w:sz w:val="40"/>
          <w:szCs w:val="40"/>
          <w:rtl/>
        </w:rPr>
        <w:t>سداد الرسوم مركزياً</w:t>
      </w:r>
    </w:p>
    <w:p w:rsidR="00BB6553" w:rsidRDefault="00BB6553" w:rsidP="00727D60">
      <w:pPr>
        <w:pStyle w:val="NumberedParaAR"/>
        <w:rPr>
          <w:rtl/>
        </w:rPr>
      </w:pPr>
      <w:r>
        <w:rPr>
          <w:rtl/>
        </w:rPr>
        <w:t>يتيح نظام</w:t>
      </w:r>
      <w:r w:rsidR="003061BC">
        <w:rPr>
          <w:rFonts w:hint="cs"/>
          <w:rtl/>
        </w:rPr>
        <w:t> </w:t>
      </w:r>
      <w:proofErr w:type="spellStart"/>
      <w:r>
        <w:t>ePCT</w:t>
      </w:r>
      <w:proofErr w:type="spellEnd"/>
      <w:r>
        <w:rPr>
          <w:rtl/>
        </w:rPr>
        <w:t xml:space="preserve"> حالياً إمكانية سداد الرسوم المستحقة للمكتب الدولي بشكل مباشر عبر الإنترنت باستخدام بطاقات ا</w:t>
      </w:r>
      <w:r w:rsidR="003061BC">
        <w:rPr>
          <w:rtl/>
        </w:rPr>
        <w:t xml:space="preserve">ئتمان أو حساب جارٍ لدى الويبو. </w:t>
      </w:r>
      <w:r>
        <w:rPr>
          <w:rtl/>
        </w:rPr>
        <w:t xml:space="preserve">ويمكن التوسع في إتاحة التسهيلات </w:t>
      </w:r>
      <w:r w:rsidR="003061BC">
        <w:rPr>
          <w:rtl/>
        </w:rPr>
        <w:t>نفس</w:t>
      </w:r>
      <w:r w:rsidR="003061BC">
        <w:rPr>
          <w:rFonts w:hint="cs"/>
          <w:rtl/>
        </w:rPr>
        <w:t>ها</w:t>
      </w:r>
      <w:r w:rsidR="003061BC">
        <w:rPr>
          <w:rtl/>
        </w:rPr>
        <w:t xml:space="preserve"> </w:t>
      </w:r>
      <w:r>
        <w:rPr>
          <w:rtl/>
        </w:rPr>
        <w:t>لل</w:t>
      </w:r>
      <w:r w:rsidR="003061BC">
        <w:rPr>
          <w:rtl/>
        </w:rPr>
        <w:t>سماح بخيار سداد مركزي في مرحلة</w:t>
      </w:r>
      <w:r w:rsidR="003061BC">
        <w:rPr>
          <w:rFonts w:hint="cs"/>
          <w:rtl/>
        </w:rPr>
        <w:t xml:space="preserve"> </w:t>
      </w:r>
      <w:r>
        <w:rPr>
          <w:rtl/>
        </w:rPr>
        <w:t>ما في المستقبل، لكن في الوقت الراهن سيبقى من اللازم أن تستمر مكاتب تسلم الطل</w:t>
      </w:r>
      <w:r w:rsidR="00727D60">
        <w:rPr>
          <w:rtl/>
        </w:rPr>
        <w:t>بات التي تقبل الإيداع إلكترونيا</w:t>
      </w:r>
      <w:r>
        <w:rPr>
          <w:rtl/>
        </w:rPr>
        <w:t xml:space="preserve"> من خلال نظام</w:t>
      </w:r>
      <w:r w:rsidR="00727D60">
        <w:rPr>
          <w:rFonts w:hint="cs"/>
          <w:rtl/>
        </w:rPr>
        <w:t> </w:t>
      </w:r>
      <w:proofErr w:type="spellStart"/>
      <w:r>
        <w:t>ePCT</w:t>
      </w:r>
      <w:proofErr w:type="spellEnd"/>
      <w:r>
        <w:rPr>
          <w:rtl/>
        </w:rPr>
        <w:t xml:space="preserve"> أو الإدارات الدولية التي تتعامل مع المودعين </w:t>
      </w:r>
      <w:r w:rsidR="00727D60">
        <w:rPr>
          <w:rFonts w:hint="cs"/>
          <w:rtl/>
        </w:rPr>
        <w:t>الأجانب</w:t>
      </w:r>
      <w:r>
        <w:rPr>
          <w:rtl/>
        </w:rPr>
        <w:t xml:space="preserve"> في التأك</w:t>
      </w:r>
      <w:r w:rsidR="00727D60">
        <w:rPr>
          <w:rFonts w:hint="cs"/>
          <w:rtl/>
        </w:rPr>
        <w:t>ّ</w:t>
      </w:r>
      <w:r>
        <w:rPr>
          <w:rtl/>
        </w:rPr>
        <w:t>د من وجود أنظمة سداد فعالة لاستخدامات هؤلاء المودعين.</w:t>
      </w:r>
    </w:p>
    <w:p w:rsidR="00BB6553" w:rsidRDefault="00BB6553" w:rsidP="00204365">
      <w:pPr>
        <w:pStyle w:val="NumberedParaAR"/>
        <w:rPr>
          <w:rtl/>
        </w:rPr>
      </w:pPr>
      <w:r>
        <w:rPr>
          <w:rtl/>
        </w:rPr>
        <w:t xml:space="preserve">ويمكن الخروج بمقترح مفصل في هذا المجال بعد إجراء المزيد من المناقشات فيما يتعلق بترتيبات "هيكل مقاصة" على النحو المشار  إليه في الوثيقة </w:t>
      </w:r>
      <w:r>
        <w:t>PCT/WG/8/15</w:t>
      </w:r>
      <w:r>
        <w:rPr>
          <w:rtl/>
        </w:rPr>
        <w:t xml:space="preserve"> والتعميم الإداري </w:t>
      </w:r>
      <w:r>
        <w:t>C. PCT 1440</w:t>
      </w:r>
      <w:r w:rsidR="00204365">
        <w:rPr>
          <w:rtl/>
        </w:rPr>
        <w:t xml:space="preserve">. </w:t>
      </w:r>
      <w:r>
        <w:rPr>
          <w:rtl/>
        </w:rPr>
        <w:t>ومع ذلك، يرح</w:t>
      </w:r>
      <w:r w:rsidR="00204365">
        <w:rPr>
          <w:rFonts w:hint="cs"/>
          <w:rtl/>
        </w:rPr>
        <w:t>ّ</w:t>
      </w:r>
      <w:r>
        <w:rPr>
          <w:rtl/>
        </w:rPr>
        <w:t xml:space="preserve">ب المكتب الدولي بأي </w:t>
      </w:r>
      <w:r w:rsidR="00204365">
        <w:rPr>
          <w:rFonts w:hint="cs"/>
          <w:rtl/>
        </w:rPr>
        <w:t>بيانات</w:t>
      </w:r>
      <w:r>
        <w:rPr>
          <w:rtl/>
        </w:rPr>
        <w:t xml:space="preserve"> </w:t>
      </w:r>
      <w:r w:rsidR="00204365">
        <w:rPr>
          <w:rFonts w:hint="cs"/>
          <w:rtl/>
        </w:rPr>
        <w:t>تقدمها</w:t>
      </w:r>
      <w:r>
        <w:rPr>
          <w:rtl/>
        </w:rPr>
        <w:t xml:space="preserve"> مكاتب تسلم الطلبات والإدارات الدولية </w:t>
      </w:r>
      <w:r w:rsidR="00204365">
        <w:rPr>
          <w:rFonts w:hint="cs"/>
          <w:rtl/>
        </w:rPr>
        <w:t>حول ما</w:t>
      </w:r>
      <w:r w:rsidR="00204365">
        <w:rPr>
          <w:rtl/>
        </w:rPr>
        <w:t xml:space="preserve"> إذا كانت وظيفة من هذا النوع </w:t>
      </w:r>
      <w:r>
        <w:rPr>
          <w:rtl/>
        </w:rPr>
        <w:t xml:space="preserve">مفيدة إذا </w:t>
      </w:r>
      <w:r w:rsidR="00204365">
        <w:rPr>
          <w:rFonts w:hint="cs"/>
          <w:rtl/>
        </w:rPr>
        <w:t>تبيّن</w:t>
      </w:r>
      <w:r>
        <w:rPr>
          <w:rtl/>
        </w:rPr>
        <w:t xml:space="preserve"> أن تنفيذها </w:t>
      </w:r>
      <w:r w:rsidR="00204365">
        <w:rPr>
          <w:rtl/>
        </w:rPr>
        <w:t>عملي</w:t>
      </w:r>
      <w:r w:rsidR="00204365">
        <w:rPr>
          <w:rFonts w:hint="cs"/>
          <w:rtl/>
        </w:rPr>
        <w:t>،</w:t>
      </w:r>
      <w:r>
        <w:rPr>
          <w:rtl/>
        </w:rPr>
        <w:t xml:space="preserve"> وتفصح </w:t>
      </w:r>
      <w:r w:rsidR="00204365">
        <w:rPr>
          <w:rFonts w:hint="cs"/>
          <w:rtl/>
        </w:rPr>
        <w:t xml:space="preserve">فيها </w:t>
      </w:r>
      <w:r>
        <w:rPr>
          <w:rtl/>
        </w:rPr>
        <w:t xml:space="preserve">عن أي مسائل ينبغي </w:t>
      </w:r>
      <w:r w:rsidR="00204365">
        <w:rPr>
          <w:rFonts w:hint="cs"/>
          <w:rtl/>
        </w:rPr>
        <w:t>مراعاتها</w:t>
      </w:r>
      <w:r>
        <w:rPr>
          <w:rtl/>
        </w:rPr>
        <w:t xml:space="preserve"> في التقييم.</w:t>
      </w:r>
    </w:p>
    <w:p w:rsidR="00BB6553" w:rsidRPr="006A7C1D" w:rsidRDefault="00BB6553" w:rsidP="00204365">
      <w:pPr>
        <w:pStyle w:val="NumberedParaAR"/>
        <w:numPr>
          <w:ilvl w:val="0"/>
          <w:numId w:val="0"/>
        </w:numPr>
        <w:rPr>
          <w:b/>
          <w:bCs/>
          <w:sz w:val="40"/>
          <w:szCs w:val="40"/>
          <w:rtl/>
        </w:rPr>
      </w:pPr>
      <w:r w:rsidRPr="006A7C1D">
        <w:rPr>
          <w:b/>
          <w:bCs/>
          <w:sz w:val="40"/>
          <w:szCs w:val="40"/>
          <w:rtl/>
        </w:rPr>
        <w:t xml:space="preserve">مناقشة </w:t>
      </w:r>
      <w:r w:rsidR="00204365">
        <w:rPr>
          <w:rFonts w:hint="cs"/>
          <w:b/>
          <w:bCs/>
          <w:sz w:val="40"/>
          <w:szCs w:val="40"/>
          <w:rtl/>
        </w:rPr>
        <w:t>انتفاع</w:t>
      </w:r>
      <w:r w:rsidR="00204365">
        <w:rPr>
          <w:b/>
          <w:bCs/>
          <w:sz w:val="40"/>
          <w:szCs w:val="40"/>
          <w:rtl/>
        </w:rPr>
        <w:t xml:space="preserve"> المكاتب الوطنية </w:t>
      </w:r>
      <w:r w:rsidR="00204365">
        <w:rPr>
          <w:rFonts w:hint="cs"/>
          <w:b/>
          <w:bCs/>
          <w:sz w:val="40"/>
          <w:szCs w:val="40"/>
          <w:rtl/>
        </w:rPr>
        <w:t>بال</w:t>
      </w:r>
      <w:r w:rsidRPr="006A7C1D">
        <w:rPr>
          <w:b/>
          <w:bCs/>
          <w:sz w:val="40"/>
          <w:szCs w:val="40"/>
          <w:rtl/>
        </w:rPr>
        <w:t>خدمات</w:t>
      </w:r>
    </w:p>
    <w:p w:rsidR="00B9771C" w:rsidRDefault="00BB6553" w:rsidP="00204365">
      <w:pPr>
        <w:pStyle w:val="NumberedParaAR"/>
      </w:pPr>
      <w:r>
        <w:rPr>
          <w:rtl/>
        </w:rPr>
        <w:t>بالإضافة إلى ما أدلي به من تعليقات في الفريق العامل، فإن المكاتب الوطنية وأعضاء الفريق العامل ومراقبيه مدعوون إلى إرسال تعليقات في أي وقت بشأن تطوير الخدمات إلى شعبة تطوير أعمال معاهدة التعاون بشأن البراءات على العنوان</w:t>
      </w:r>
      <w:r w:rsidR="00204365">
        <w:rPr>
          <w:rFonts w:hint="cs"/>
          <w:rtl/>
        </w:rPr>
        <w:t xml:space="preserve"> التالي:</w:t>
      </w:r>
      <w:r>
        <w:rPr>
          <w:rtl/>
        </w:rPr>
        <w:t xml:space="preserve"> </w:t>
      </w:r>
      <w:r>
        <w:t>pctbdd@wipo.int</w:t>
      </w:r>
      <w:r w:rsidR="00204365">
        <w:rPr>
          <w:rtl/>
        </w:rPr>
        <w:t>. وعلاوة</w:t>
      </w:r>
      <w:r>
        <w:rPr>
          <w:rtl/>
        </w:rPr>
        <w:t xml:space="preserve"> على ذلك، يمكن بدء مناقشات ثنائية الأطراف بشأن المتطلبات التقنية والجداول الزمنية</w:t>
      </w:r>
      <w:r w:rsidR="00204365">
        <w:rPr>
          <w:rtl/>
        </w:rPr>
        <w:t xml:space="preserve"> والتطوير ومتطلبات الاختبار ل</w:t>
      </w:r>
      <w:r w:rsidR="00204365">
        <w:rPr>
          <w:rFonts w:hint="cs"/>
          <w:rtl/>
        </w:rPr>
        <w:t>لشروع في</w:t>
      </w:r>
      <w:r>
        <w:rPr>
          <w:rtl/>
        </w:rPr>
        <w:t xml:space="preserve"> </w:t>
      </w:r>
      <w:r w:rsidR="00204365">
        <w:rPr>
          <w:rFonts w:hint="cs"/>
          <w:rtl/>
        </w:rPr>
        <w:t>الانتفاع</w:t>
      </w:r>
      <w:r>
        <w:rPr>
          <w:rtl/>
        </w:rPr>
        <w:t xml:space="preserve"> </w:t>
      </w:r>
      <w:r w:rsidR="00204365">
        <w:rPr>
          <w:rFonts w:hint="cs"/>
          <w:rtl/>
        </w:rPr>
        <w:t>ب</w:t>
      </w:r>
      <w:r>
        <w:rPr>
          <w:rtl/>
        </w:rPr>
        <w:t>الخدمات الجديدة عن طريق الاتصال بشعبة التعاون الدولي لنظام معاهدة التعاون بشأن البراءات على العنوان</w:t>
      </w:r>
      <w:r w:rsidR="00204365">
        <w:rPr>
          <w:rFonts w:hint="cs"/>
          <w:rtl/>
        </w:rPr>
        <w:t xml:space="preserve"> التالي:</w:t>
      </w:r>
      <w:r>
        <w:rPr>
          <w:rtl/>
        </w:rPr>
        <w:t xml:space="preserve"> </w:t>
      </w:r>
      <w:r>
        <w:t>pcticd@wipo.int</w:t>
      </w:r>
      <w:r>
        <w:rPr>
          <w:rtl/>
        </w:rPr>
        <w:t>.</w:t>
      </w:r>
    </w:p>
    <w:p w:rsidR="00F9334D" w:rsidRDefault="00F9334D" w:rsidP="00F9334D">
      <w:pPr>
        <w:pStyle w:val="DecisionParaAR"/>
        <w:spacing w:after="480"/>
      </w:pPr>
      <w:r>
        <w:rPr>
          <w:rFonts w:hint="cs"/>
          <w:rtl/>
        </w:rPr>
        <w:t>إن الفريق العامل مدعو إلى التعليق على القضايا الواردة في هذه الوثيقة.</w:t>
      </w:r>
    </w:p>
    <w:p w:rsidR="00F9334D" w:rsidRDefault="00F9334D" w:rsidP="00F9334D">
      <w:pPr>
        <w:pStyle w:val="EndofDocumentAR"/>
        <w:rPr>
          <w:rtl/>
        </w:rPr>
      </w:pPr>
      <w:r>
        <w:rPr>
          <w:rFonts w:hint="cs"/>
          <w:rtl/>
        </w:rPr>
        <w:t>[نهاية الوثيقة]</w:t>
      </w:r>
    </w:p>
    <w:sectPr w:rsidR="00F9334D"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F63" w:rsidRDefault="00773F63">
      <w:r>
        <w:separator/>
      </w:r>
    </w:p>
  </w:endnote>
  <w:endnote w:type="continuationSeparator" w:id="0">
    <w:p w:rsidR="00773F63" w:rsidRDefault="0077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F63" w:rsidRDefault="00773F63" w:rsidP="009622BF">
      <w:pPr>
        <w:bidi/>
      </w:pPr>
      <w:bookmarkStart w:id="0" w:name="OLE_LINK1"/>
      <w:bookmarkStart w:id="1" w:name="OLE_LINK2"/>
      <w:r>
        <w:separator/>
      </w:r>
      <w:bookmarkEnd w:id="0"/>
      <w:bookmarkEnd w:id="1"/>
    </w:p>
  </w:footnote>
  <w:footnote w:type="continuationSeparator" w:id="0">
    <w:p w:rsidR="00773F63" w:rsidRDefault="00773F63" w:rsidP="009622BF">
      <w:pPr>
        <w:bidi/>
      </w:pPr>
      <w:r>
        <w:separator/>
      </w:r>
    </w:p>
  </w:footnote>
  <w:footnote w:id="1">
    <w:p w:rsidR="00773F63" w:rsidRDefault="00773F63" w:rsidP="00B85280">
      <w:pPr>
        <w:pStyle w:val="FootnoteText"/>
      </w:pPr>
      <w:r>
        <w:rPr>
          <w:rStyle w:val="FootnoteReference"/>
        </w:rPr>
        <w:footnoteRef/>
      </w:r>
      <w:r>
        <w:rPr>
          <w:rtl/>
        </w:rPr>
        <w:t xml:space="preserve"> </w:t>
      </w:r>
      <w:r w:rsidRPr="004755FC">
        <w:rPr>
          <w:rtl/>
        </w:rPr>
        <w:t xml:space="preserve"> </w:t>
      </w:r>
      <w:r w:rsidRPr="004755FC">
        <w:rPr>
          <w:rtl/>
        </w:rPr>
        <w:tab/>
        <w:t xml:space="preserve">خدمة قائمة على بروتوكول نقل الملفات الآمن </w:t>
      </w:r>
      <w:r>
        <w:rPr>
          <w:rFonts w:hint="cs"/>
          <w:rtl/>
        </w:rPr>
        <w:t>(</w:t>
      </w:r>
      <w:r w:rsidRPr="004755FC">
        <w:t>SFTP</w:t>
      </w:r>
      <w:r>
        <w:rPr>
          <w:rFonts w:hint="cs"/>
          <w:rtl/>
        </w:rPr>
        <w:t xml:space="preserve">) </w:t>
      </w:r>
      <w:r w:rsidRPr="004755FC">
        <w:rPr>
          <w:rtl/>
        </w:rPr>
        <w:t>ت</w:t>
      </w:r>
      <w:r>
        <w:rPr>
          <w:rFonts w:hint="cs"/>
          <w:rtl/>
        </w:rPr>
        <w:t>ُ</w:t>
      </w:r>
      <w:r w:rsidRPr="004755FC">
        <w:rPr>
          <w:rtl/>
        </w:rPr>
        <w:t xml:space="preserve">ستخدم في معظم </w:t>
      </w:r>
      <w:r>
        <w:rPr>
          <w:rFonts w:hint="cs"/>
          <w:rtl/>
        </w:rPr>
        <w:t>التبليغات</w:t>
      </w:r>
      <w:r>
        <w:rPr>
          <w:rtl/>
        </w:rPr>
        <w:t xml:space="preserve"> الإلكترونية </w:t>
      </w:r>
      <w:r>
        <w:rPr>
          <w:rFonts w:hint="cs"/>
          <w:rtl/>
        </w:rPr>
        <w:t>الخاصة بال</w:t>
      </w:r>
      <w:r w:rsidRPr="004755FC">
        <w:rPr>
          <w:rtl/>
        </w:rPr>
        <w:t>مرحلة الدولية بين المكتب الدولي والمكاتب الوطنية.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63" w:rsidRDefault="00773F63" w:rsidP="00393D73">
    <w:r>
      <w:t>PCT/WG/8/20</w:t>
    </w:r>
  </w:p>
  <w:p w:rsidR="00773F63" w:rsidRDefault="00773F63" w:rsidP="00D61541">
    <w:r>
      <w:fldChar w:fldCharType="begin"/>
    </w:r>
    <w:r>
      <w:instrText xml:space="preserve"> PAGE  \* MERGEFORMAT </w:instrText>
    </w:r>
    <w:r>
      <w:fldChar w:fldCharType="separate"/>
    </w:r>
    <w:r w:rsidR="00841E13">
      <w:rPr>
        <w:noProof/>
      </w:rPr>
      <w:t>8</w:t>
    </w:r>
    <w:r>
      <w:fldChar w:fldCharType="end"/>
    </w:r>
  </w:p>
  <w:p w:rsidR="00773F63" w:rsidRDefault="00773F63"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61139B2"/>
    <w:multiLevelType w:val="hybridMultilevel"/>
    <w:tmpl w:val="62D02018"/>
    <w:lvl w:ilvl="0" w:tplc="8076BB0C">
      <w:start w:val="1"/>
      <w:numFmt w:val="arabicAbjad"/>
      <w:lvlText w:val="%1)"/>
      <w:lvlJc w:val="left"/>
      <w:pPr>
        <w:tabs>
          <w:tab w:val="num" w:pos="567"/>
        </w:tabs>
        <w:ind w:left="0" w:firstLine="0"/>
      </w:pPr>
      <w:rPr>
        <w:rFonts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1B6096"/>
    <w:multiLevelType w:val="hybridMultilevel"/>
    <w:tmpl w:val="2F646B5A"/>
    <w:lvl w:ilvl="0" w:tplc="8076BB0C">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6"/>
  </w:num>
  <w:num w:numId="33">
    <w:abstractNumId w:val="12"/>
  </w:num>
  <w:num w:numId="34">
    <w:abstractNumId w:val="15"/>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CD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456"/>
    <w:rsid w:val="00023AAF"/>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5F23"/>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143"/>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3AEA"/>
    <w:rsid w:val="00135C24"/>
    <w:rsid w:val="00136389"/>
    <w:rsid w:val="00136A1A"/>
    <w:rsid w:val="00136A96"/>
    <w:rsid w:val="001375C2"/>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2D2"/>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069D"/>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8EA"/>
    <w:rsid w:val="001F3A75"/>
    <w:rsid w:val="001F3A9D"/>
    <w:rsid w:val="001F3FDB"/>
    <w:rsid w:val="001F4E3C"/>
    <w:rsid w:val="001F6545"/>
    <w:rsid w:val="001F66B5"/>
    <w:rsid w:val="001F6F36"/>
    <w:rsid w:val="001F76FD"/>
    <w:rsid w:val="002004C0"/>
    <w:rsid w:val="002012F2"/>
    <w:rsid w:val="002014D7"/>
    <w:rsid w:val="00202F07"/>
    <w:rsid w:val="00203030"/>
    <w:rsid w:val="00203D45"/>
    <w:rsid w:val="00204365"/>
    <w:rsid w:val="00205495"/>
    <w:rsid w:val="002061DE"/>
    <w:rsid w:val="002065E2"/>
    <w:rsid w:val="00206C61"/>
    <w:rsid w:val="00206F30"/>
    <w:rsid w:val="002072D8"/>
    <w:rsid w:val="00207616"/>
    <w:rsid w:val="00207F10"/>
    <w:rsid w:val="002112E6"/>
    <w:rsid w:val="00213213"/>
    <w:rsid w:val="0021457F"/>
    <w:rsid w:val="0021505D"/>
    <w:rsid w:val="00215F02"/>
    <w:rsid w:val="0021604B"/>
    <w:rsid w:val="00216545"/>
    <w:rsid w:val="00220227"/>
    <w:rsid w:val="002210EB"/>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4E2"/>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84"/>
    <w:rsid w:val="002810B5"/>
    <w:rsid w:val="00281F4F"/>
    <w:rsid w:val="00285999"/>
    <w:rsid w:val="00286744"/>
    <w:rsid w:val="002909B9"/>
    <w:rsid w:val="00292CEE"/>
    <w:rsid w:val="00292D22"/>
    <w:rsid w:val="0029470D"/>
    <w:rsid w:val="00297B80"/>
    <w:rsid w:val="002A076C"/>
    <w:rsid w:val="002A09EF"/>
    <w:rsid w:val="002A1059"/>
    <w:rsid w:val="002A3C9D"/>
    <w:rsid w:val="002A5403"/>
    <w:rsid w:val="002A6723"/>
    <w:rsid w:val="002A6C9F"/>
    <w:rsid w:val="002A77F3"/>
    <w:rsid w:val="002B14F0"/>
    <w:rsid w:val="002B1F0F"/>
    <w:rsid w:val="002B53D3"/>
    <w:rsid w:val="002B6202"/>
    <w:rsid w:val="002C014C"/>
    <w:rsid w:val="002C060C"/>
    <w:rsid w:val="002C0BA6"/>
    <w:rsid w:val="002C12A7"/>
    <w:rsid w:val="002C257B"/>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4E2F"/>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1BC"/>
    <w:rsid w:val="0030641B"/>
    <w:rsid w:val="003067C8"/>
    <w:rsid w:val="00311453"/>
    <w:rsid w:val="003114C9"/>
    <w:rsid w:val="0031229D"/>
    <w:rsid w:val="00314E12"/>
    <w:rsid w:val="003166A5"/>
    <w:rsid w:val="00316C8C"/>
    <w:rsid w:val="003174C2"/>
    <w:rsid w:val="00317CE4"/>
    <w:rsid w:val="00317E9D"/>
    <w:rsid w:val="00320DF4"/>
    <w:rsid w:val="003219A9"/>
    <w:rsid w:val="00321B00"/>
    <w:rsid w:val="00321C54"/>
    <w:rsid w:val="00321DCD"/>
    <w:rsid w:val="0032261F"/>
    <w:rsid w:val="003237A2"/>
    <w:rsid w:val="00324729"/>
    <w:rsid w:val="00325C8B"/>
    <w:rsid w:val="00327011"/>
    <w:rsid w:val="00334127"/>
    <w:rsid w:val="0033468D"/>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56EC"/>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64B6"/>
    <w:rsid w:val="00387542"/>
    <w:rsid w:val="00387C6B"/>
    <w:rsid w:val="00390FC0"/>
    <w:rsid w:val="003911B2"/>
    <w:rsid w:val="00391AFE"/>
    <w:rsid w:val="00392705"/>
    <w:rsid w:val="003927D6"/>
    <w:rsid w:val="00392F56"/>
    <w:rsid w:val="00393A79"/>
    <w:rsid w:val="00393D73"/>
    <w:rsid w:val="0039419C"/>
    <w:rsid w:val="00395987"/>
    <w:rsid w:val="00396375"/>
    <w:rsid w:val="00396801"/>
    <w:rsid w:val="00396E82"/>
    <w:rsid w:val="003A07FF"/>
    <w:rsid w:val="003A146E"/>
    <w:rsid w:val="003A26CD"/>
    <w:rsid w:val="003A2BE9"/>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5F9D"/>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547"/>
    <w:rsid w:val="004447FD"/>
    <w:rsid w:val="00445032"/>
    <w:rsid w:val="004450CB"/>
    <w:rsid w:val="00445A80"/>
    <w:rsid w:val="00446967"/>
    <w:rsid w:val="00446AB6"/>
    <w:rsid w:val="00447FEA"/>
    <w:rsid w:val="00450EEE"/>
    <w:rsid w:val="004512B2"/>
    <w:rsid w:val="004528EE"/>
    <w:rsid w:val="00453360"/>
    <w:rsid w:val="00456409"/>
    <w:rsid w:val="004569C6"/>
    <w:rsid w:val="00456ADC"/>
    <w:rsid w:val="0045768F"/>
    <w:rsid w:val="00457769"/>
    <w:rsid w:val="00461276"/>
    <w:rsid w:val="004627AE"/>
    <w:rsid w:val="0046298E"/>
    <w:rsid w:val="00463C80"/>
    <w:rsid w:val="004647BB"/>
    <w:rsid w:val="0046482B"/>
    <w:rsid w:val="004648E0"/>
    <w:rsid w:val="00470B27"/>
    <w:rsid w:val="00472043"/>
    <w:rsid w:val="00472F56"/>
    <w:rsid w:val="0047335E"/>
    <w:rsid w:val="00473CA1"/>
    <w:rsid w:val="004755FC"/>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BF0"/>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E7CDB"/>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1C1"/>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078"/>
    <w:rsid w:val="00574B91"/>
    <w:rsid w:val="00574E5C"/>
    <w:rsid w:val="005750F7"/>
    <w:rsid w:val="0057512C"/>
    <w:rsid w:val="00576319"/>
    <w:rsid w:val="0057648C"/>
    <w:rsid w:val="00576AF3"/>
    <w:rsid w:val="00581FF0"/>
    <w:rsid w:val="005825FC"/>
    <w:rsid w:val="00583437"/>
    <w:rsid w:val="00583CE0"/>
    <w:rsid w:val="00584B4A"/>
    <w:rsid w:val="00584D0F"/>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545"/>
    <w:rsid w:val="005A5554"/>
    <w:rsid w:val="005A5651"/>
    <w:rsid w:val="005A6AFE"/>
    <w:rsid w:val="005A7BF3"/>
    <w:rsid w:val="005A7DE0"/>
    <w:rsid w:val="005B0AEF"/>
    <w:rsid w:val="005B21B8"/>
    <w:rsid w:val="005B37D9"/>
    <w:rsid w:val="005B445B"/>
    <w:rsid w:val="005B474E"/>
    <w:rsid w:val="005B489A"/>
    <w:rsid w:val="005B63A6"/>
    <w:rsid w:val="005B64D1"/>
    <w:rsid w:val="005B6A88"/>
    <w:rsid w:val="005B6E05"/>
    <w:rsid w:val="005B7F42"/>
    <w:rsid w:val="005C040C"/>
    <w:rsid w:val="005C1D45"/>
    <w:rsid w:val="005C3C9B"/>
    <w:rsid w:val="005C42AB"/>
    <w:rsid w:val="005C45C0"/>
    <w:rsid w:val="005C4E31"/>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909"/>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7BA1"/>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B86"/>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0C3"/>
    <w:rsid w:val="006A142D"/>
    <w:rsid w:val="006A20FB"/>
    <w:rsid w:val="006A339D"/>
    <w:rsid w:val="006A4462"/>
    <w:rsid w:val="006A5B59"/>
    <w:rsid w:val="006A6A14"/>
    <w:rsid w:val="006A753A"/>
    <w:rsid w:val="006A777C"/>
    <w:rsid w:val="006A7C1D"/>
    <w:rsid w:val="006A7C46"/>
    <w:rsid w:val="006B0F76"/>
    <w:rsid w:val="006B1F20"/>
    <w:rsid w:val="006B398A"/>
    <w:rsid w:val="006B3E04"/>
    <w:rsid w:val="006B4024"/>
    <w:rsid w:val="006B47D7"/>
    <w:rsid w:val="006B499D"/>
    <w:rsid w:val="006B4C5C"/>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6F26"/>
    <w:rsid w:val="00720860"/>
    <w:rsid w:val="00721087"/>
    <w:rsid w:val="00721530"/>
    <w:rsid w:val="00723422"/>
    <w:rsid w:val="007260FE"/>
    <w:rsid w:val="00726DD6"/>
    <w:rsid w:val="00727D60"/>
    <w:rsid w:val="0073076E"/>
    <w:rsid w:val="00731A22"/>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C4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903"/>
    <w:rsid w:val="00771D3D"/>
    <w:rsid w:val="007721DA"/>
    <w:rsid w:val="007728AB"/>
    <w:rsid w:val="00772CFE"/>
    <w:rsid w:val="00772E46"/>
    <w:rsid w:val="007730CF"/>
    <w:rsid w:val="00773F63"/>
    <w:rsid w:val="00774756"/>
    <w:rsid w:val="00775181"/>
    <w:rsid w:val="007751B6"/>
    <w:rsid w:val="00775345"/>
    <w:rsid w:val="00776A33"/>
    <w:rsid w:val="00776F15"/>
    <w:rsid w:val="007779ED"/>
    <w:rsid w:val="00780B1A"/>
    <w:rsid w:val="007810D3"/>
    <w:rsid w:val="0078264A"/>
    <w:rsid w:val="00783D11"/>
    <w:rsid w:val="0078483E"/>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05EF"/>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A6D"/>
    <w:rsid w:val="007E0FF5"/>
    <w:rsid w:val="007E1012"/>
    <w:rsid w:val="007E17CD"/>
    <w:rsid w:val="007E24ED"/>
    <w:rsid w:val="007E374B"/>
    <w:rsid w:val="007E39DE"/>
    <w:rsid w:val="007E3F53"/>
    <w:rsid w:val="007E6773"/>
    <w:rsid w:val="007E7997"/>
    <w:rsid w:val="007E7B47"/>
    <w:rsid w:val="007E7DF2"/>
    <w:rsid w:val="007F04EF"/>
    <w:rsid w:val="007F0F0A"/>
    <w:rsid w:val="007F2389"/>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1E13"/>
    <w:rsid w:val="00842827"/>
    <w:rsid w:val="00842965"/>
    <w:rsid w:val="00844300"/>
    <w:rsid w:val="008458BD"/>
    <w:rsid w:val="00845948"/>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4A"/>
    <w:rsid w:val="008C3B96"/>
    <w:rsid w:val="008C43BF"/>
    <w:rsid w:val="008C532F"/>
    <w:rsid w:val="008C55F1"/>
    <w:rsid w:val="008C60C3"/>
    <w:rsid w:val="008C7736"/>
    <w:rsid w:val="008D0948"/>
    <w:rsid w:val="008D2E82"/>
    <w:rsid w:val="008D311C"/>
    <w:rsid w:val="008D31D2"/>
    <w:rsid w:val="008D3CC5"/>
    <w:rsid w:val="008D564A"/>
    <w:rsid w:val="008D5E47"/>
    <w:rsid w:val="008D7D8C"/>
    <w:rsid w:val="008E004E"/>
    <w:rsid w:val="008E04FB"/>
    <w:rsid w:val="008E3E79"/>
    <w:rsid w:val="008E4D14"/>
    <w:rsid w:val="008E5282"/>
    <w:rsid w:val="008E5E2C"/>
    <w:rsid w:val="008E78F1"/>
    <w:rsid w:val="008F03CE"/>
    <w:rsid w:val="008F075B"/>
    <w:rsid w:val="008F0E9E"/>
    <w:rsid w:val="008F2913"/>
    <w:rsid w:val="008F2A4E"/>
    <w:rsid w:val="008F2AE9"/>
    <w:rsid w:val="008F332B"/>
    <w:rsid w:val="008F3CFE"/>
    <w:rsid w:val="008F52D0"/>
    <w:rsid w:val="008F58BB"/>
    <w:rsid w:val="008F59E9"/>
    <w:rsid w:val="008F6106"/>
    <w:rsid w:val="008F791D"/>
    <w:rsid w:val="00900959"/>
    <w:rsid w:val="00901900"/>
    <w:rsid w:val="0090195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6C65"/>
    <w:rsid w:val="00927301"/>
    <w:rsid w:val="00927E9D"/>
    <w:rsid w:val="0093047D"/>
    <w:rsid w:val="00931859"/>
    <w:rsid w:val="0093205C"/>
    <w:rsid w:val="009343F5"/>
    <w:rsid w:val="0093456A"/>
    <w:rsid w:val="009345AE"/>
    <w:rsid w:val="00935301"/>
    <w:rsid w:val="00936F64"/>
    <w:rsid w:val="00937B8E"/>
    <w:rsid w:val="00940C5B"/>
    <w:rsid w:val="009411F7"/>
    <w:rsid w:val="009417F1"/>
    <w:rsid w:val="00941A84"/>
    <w:rsid w:val="0094204A"/>
    <w:rsid w:val="00942084"/>
    <w:rsid w:val="009443ED"/>
    <w:rsid w:val="00945DBF"/>
    <w:rsid w:val="00946042"/>
    <w:rsid w:val="00946AB3"/>
    <w:rsid w:val="00947074"/>
    <w:rsid w:val="0094752A"/>
    <w:rsid w:val="00947D01"/>
    <w:rsid w:val="009503EA"/>
    <w:rsid w:val="0095112D"/>
    <w:rsid w:val="00952124"/>
    <w:rsid w:val="00956244"/>
    <w:rsid w:val="00956370"/>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7E96"/>
    <w:rsid w:val="009B010D"/>
    <w:rsid w:val="009B0AAB"/>
    <w:rsid w:val="009B0D3E"/>
    <w:rsid w:val="009B14F4"/>
    <w:rsid w:val="009B2AD1"/>
    <w:rsid w:val="009B3156"/>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EDA"/>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4EE5"/>
    <w:rsid w:val="009F513E"/>
    <w:rsid w:val="009F5241"/>
    <w:rsid w:val="009F6575"/>
    <w:rsid w:val="009F6807"/>
    <w:rsid w:val="009F68DF"/>
    <w:rsid w:val="009F6A24"/>
    <w:rsid w:val="00A0042C"/>
    <w:rsid w:val="00A00495"/>
    <w:rsid w:val="00A01925"/>
    <w:rsid w:val="00A01DEB"/>
    <w:rsid w:val="00A06D32"/>
    <w:rsid w:val="00A07545"/>
    <w:rsid w:val="00A13536"/>
    <w:rsid w:val="00A13947"/>
    <w:rsid w:val="00A13E2B"/>
    <w:rsid w:val="00A1562A"/>
    <w:rsid w:val="00A15901"/>
    <w:rsid w:val="00A1618E"/>
    <w:rsid w:val="00A161A1"/>
    <w:rsid w:val="00A20562"/>
    <w:rsid w:val="00A20F75"/>
    <w:rsid w:val="00A212B1"/>
    <w:rsid w:val="00A26FFA"/>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861"/>
    <w:rsid w:val="00A61365"/>
    <w:rsid w:val="00A61759"/>
    <w:rsid w:val="00A61B88"/>
    <w:rsid w:val="00A62255"/>
    <w:rsid w:val="00A62C70"/>
    <w:rsid w:val="00A63982"/>
    <w:rsid w:val="00A65845"/>
    <w:rsid w:val="00A65A41"/>
    <w:rsid w:val="00A666AA"/>
    <w:rsid w:val="00A671FC"/>
    <w:rsid w:val="00A71670"/>
    <w:rsid w:val="00A72874"/>
    <w:rsid w:val="00A72C66"/>
    <w:rsid w:val="00A72E48"/>
    <w:rsid w:val="00A7359C"/>
    <w:rsid w:val="00A73616"/>
    <w:rsid w:val="00A7418C"/>
    <w:rsid w:val="00A74344"/>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DA8"/>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28F8"/>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5740"/>
    <w:rsid w:val="00B76C0D"/>
    <w:rsid w:val="00B77D0D"/>
    <w:rsid w:val="00B80817"/>
    <w:rsid w:val="00B827E6"/>
    <w:rsid w:val="00B82A28"/>
    <w:rsid w:val="00B82B8D"/>
    <w:rsid w:val="00B82C97"/>
    <w:rsid w:val="00B851D5"/>
    <w:rsid w:val="00B85280"/>
    <w:rsid w:val="00B85B06"/>
    <w:rsid w:val="00B90558"/>
    <w:rsid w:val="00B92958"/>
    <w:rsid w:val="00B93957"/>
    <w:rsid w:val="00B9404A"/>
    <w:rsid w:val="00B94877"/>
    <w:rsid w:val="00B9491F"/>
    <w:rsid w:val="00B96043"/>
    <w:rsid w:val="00B96F5D"/>
    <w:rsid w:val="00B9771C"/>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553"/>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D7C1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560"/>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5CA"/>
    <w:rsid w:val="00C32151"/>
    <w:rsid w:val="00C3217A"/>
    <w:rsid w:val="00C33551"/>
    <w:rsid w:val="00C3357D"/>
    <w:rsid w:val="00C33BE9"/>
    <w:rsid w:val="00C33C13"/>
    <w:rsid w:val="00C33FE8"/>
    <w:rsid w:val="00C348C7"/>
    <w:rsid w:val="00C35B2A"/>
    <w:rsid w:val="00C36742"/>
    <w:rsid w:val="00C36789"/>
    <w:rsid w:val="00C374AD"/>
    <w:rsid w:val="00C40DE4"/>
    <w:rsid w:val="00C40E63"/>
    <w:rsid w:val="00C41A06"/>
    <w:rsid w:val="00C4261B"/>
    <w:rsid w:val="00C42BFB"/>
    <w:rsid w:val="00C44DDC"/>
    <w:rsid w:val="00C50E8F"/>
    <w:rsid w:val="00C5128B"/>
    <w:rsid w:val="00C51423"/>
    <w:rsid w:val="00C5294D"/>
    <w:rsid w:val="00C52F83"/>
    <w:rsid w:val="00C54C1B"/>
    <w:rsid w:val="00C54DBA"/>
    <w:rsid w:val="00C57313"/>
    <w:rsid w:val="00C57ED3"/>
    <w:rsid w:val="00C61640"/>
    <w:rsid w:val="00C61AA7"/>
    <w:rsid w:val="00C61B8E"/>
    <w:rsid w:val="00C6215B"/>
    <w:rsid w:val="00C668DE"/>
    <w:rsid w:val="00C7044F"/>
    <w:rsid w:val="00C720F8"/>
    <w:rsid w:val="00C7294B"/>
    <w:rsid w:val="00C742C5"/>
    <w:rsid w:val="00C75139"/>
    <w:rsid w:val="00C7525C"/>
    <w:rsid w:val="00C76CF7"/>
    <w:rsid w:val="00C82C5C"/>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6921"/>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420"/>
    <w:rsid w:val="00CD0C20"/>
    <w:rsid w:val="00CD297A"/>
    <w:rsid w:val="00CD3DB0"/>
    <w:rsid w:val="00CD4129"/>
    <w:rsid w:val="00CD5DBB"/>
    <w:rsid w:val="00CD675D"/>
    <w:rsid w:val="00CD67E7"/>
    <w:rsid w:val="00CD68A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2BF"/>
    <w:rsid w:val="00D039B5"/>
    <w:rsid w:val="00D04AA9"/>
    <w:rsid w:val="00D04F76"/>
    <w:rsid w:val="00D053D2"/>
    <w:rsid w:val="00D06F29"/>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2D1"/>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098"/>
    <w:rsid w:val="00D45D8F"/>
    <w:rsid w:val="00D50332"/>
    <w:rsid w:val="00D52B95"/>
    <w:rsid w:val="00D5362B"/>
    <w:rsid w:val="00D53A09"/>
    <w:rsid w:val="00D54AAB"/>
    <w:rsid w:val="00D552F9"/>
    <w:rsid w:val="00D56EDF"/>
    <w:rsid w:val="00D56F08"/>
    <w:rsid w:val="00D57361"/>
    <w:rsid w:val="00D61073"/>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F19"/>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A7F09"/>
    <w:rsid w:val="00DB0066"/>
    <w:rsid w:val="00DB0F9E"/>
    <w:rsid w:val="00DB1307"/>
    <w:rsid w:val="00DB1E1A"/>
    <w:rsid w:val="00DB2AF6"/>
    <w:rsid w:val="00DB364F"/>
    <w:rsid w:val="00DB39E7"/>
    <w:rsid w:val="00DB3B3E"/>
    <w:rsid w:val="00DB68A7"/>
    <w:rsid w:val="00DB71DB"/>
    <w:rsid w:val="00DB71E1"/>
    <w:rsid w:val="00DB7B0F"/>
    <w:rsid w:val="00DB7CB3"/>
    <w:rsid w:val="00DC0D57"/>
    <w:rsid w:val="00DC16F7"/>
    <w:rsid w:val="00DC1CA3"/>
    <w:rsid w:val="00DC261E"/>
    <w:rsid w:val="00DC2641"/>
    <w:rsid w:val="00DC2B1E"/>
    <w:rsid w:val="00DC7481"/>
    <w:rsid w:val="00DC7591"/>
    <w:rsid w:val="00DD0839"/>
    <w:rsid w:val="00DD26D0"/>
    <w:rsid w:val="00DD281F"/>
    <w:rsid w:val="00DD47D5"/>
    <w:rsid w:val="00DD6729"/>
    <w:rsid w:val="00DD7960"/>
    <w:rsid w:val="00DD7B0D"/>
    <w:rsid w:val="00DE1C37"/>
    <w:rsid w:val="00DE1F29"/>
    <w:rsid w:val="00DE3FEB"/>
    <w:rsid w:val="00DE4905"/>
    <w:rsid w:val="00DE510C"/>
    <w:rsid w:val="00DE67B3"/>
    <w:rsid w:val="00DE7822"/>
    <w:rsid w:val="00DF081A"/>
    <w:rsid w:val="00DF265D"/>
    <w:rsid w:val="00DF2CB6"/>
    <w:rsid w:val="00DF2EB0"/>
    <w:rsid w:val="00DF31C1"/>
    <w:rsid w:val="00DF427A"/>
    <w:rsid w:val="00DF45C5"/>
    <w:rsid w:val="00DF5A8C"/>
    <w:rsid w:val="00DF71D8"/>
    <w:rsid w:val="00E00CCA"/>
    <w:rsid w:val="00E01623"/>
    <w:rsid w:val="00E018AC"/>
    <w:rsid w:val="00E03FE3"/>
    <w:rsid w:val="00E06951"/>
    <w:rsid w:val="00E10C94"/>
    <w:rsid w:val="00E10EC4"/>
    <w:rsid w:val="00E10F0A"/>
    <w:rsid w:val="00E118D7"/>
    <w:rsid w:val="00E13F46"/>
    <w:rsid w:val="00E15BD4"/>
    <w:rsid w:val="00E16458"/>
    <w:rsid w:val="00E16FB6"/>
    <w:rsid w:val="00E17001"/>
    <w:rsid w:val="00E17814"/>
    <w:rsid w:val="00E17CEF"/>
    <w:rsid w:val="00E20FBC"/>
    <w:rsid w:val="00E244CA"/>
    <w:rsid w:val="00E2512D"/>
    <w:rsid w:val="00E2548C"/>
    <w:rsid w:val="00E2603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0F6"/>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5857"/>
    <w:rsid w:val="00E86343"/>
    <w:rsid w:val="00E866CD"/>
    <w:rsid w:val="00E86774"/>
    <w:rsid w:val="00E877ED"/>
    <w:rsid w:val="00E901FD"/>
    <w:rsid w:val="00E91964"/>
    <w:rsid w:val="00E91D7D"/>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2DFF"/>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0E85"/>
    <w:rsid w:val="00EC148C"/>
    <w:rsid w:val="00EC1A65"/>
    <w:rsid w:val="00EC2D7D"/>
    <w:rsid w:val="00EC36AD"/>
    <w:rsid w:val="00EC3BCF"/>
    <w:rsid w:val="00EC56B1"/>
    <w:rsid w:val="00EC664F"/>
    <w:rsid w:val="00EC6749"/>
    <w:rsid w:val="00EC72F5"/>
    <w:rsid w:val="00EC7334"/>
    <w:rsid w:val="00ED1816"/>
    <w:rsid w:val="00ED1877"/>
    <w:rsid w:val="00ED247F"/>
    <w:rsid w:val="00ED27E4"/>
    <w:rsid w:val="00ED2F27"/>
    <w:rsid w:val="00ED3370"/>
    <w:rsid w:val="00ED346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26D"/>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34D"/>
    <w:rsid w:val="00F937AF"/>
    <w:rsid w:val="00F94494"/>
    <w:rsid w:val="00F96483"/>
    <w:rsid w:val="00F9648C"/>
    <w:rsid w:val="00F96671"/>
    <w:rsid w:val="00F9680E"/>
    <w:rsid w:val="00F96E21"/>
    <w:rsid w:val="00FA00AF"/>
    <w:rsid w:val="00FA0A0A"/>
    <w:rsid w:val="00FA0C9D"/>
    <w:rsid w:val="00FA169B"/>
    <w:rsid w:val="00FA2C4B"/>
    <w:rsid w:val="00FA4946"/>
    <w:rsid w:val="00FA5CC6"/>
    <w:rsid w:val="00FA64D5"/>
    <w:rsid w:val="00FA6760"/>
    <w:rsid w:val="00FA70F6"/>
    <w:rsid w:val="00FA7420"/>
    <w:rsid w:val="00FA756C"/>
    <w:rsid w:val="00FA75E4"/>
    <w:rsid w:val="00FA776B"/>
    <w:rsid w:val="00FB0AB1"/>
    <w:rsid w:val="00FB1285"/>
    <w:rsid w:val="00FB2BEF"/>
    <w:rsid w:val="00FB3072"/>
    <w:rsid w:val="00FB36CA"/>
    <w:rsid w:val="00FB72AC"/>
    <w:rsid w:val="00FB7706"/>
    <w:rsid w:val="00FB7EC9"/>
    <w:rsid w:val="00FB7F82"/>
    <w:rsid w:val="00FC0208"/>
    <w:rsid w:val="00FC0DAF"/>
    <w:rsid w:val="00FC11F5"/>
    <w:rsid w:val="00FC126D"/>
    <w:rsid w:val="00FC3387"/>
    <w:rsid w:val="00FC382F"/>
    <w:rsid w:val="00FC4236"/>
    <w:rsid w:val="00FC4E13"/>
    <w:rsid w:val="00FC615D"/>
    <w:rsid w:val="00FD01CC"/>
    <w:rsid w:val="00FD08AF"/>
    <w:rsid w:val="00FD1E7A"/>
    <w:rsid w:val="00FD2672"/>
    <w:rsid w:val="00FD28F4"/>
    <w:rsid w:val="00FD2CE2"/>
    <w:rsid w:val="00FD4A1E"/>
    <w:rsid w:val="00FD66A9"/>
    <w:rsid w:val="00FD6712"/>
    <w:rsid w:val="00FD6853"/>
    <w:rsid w:val="00FD6E54"/>
    <w:rsid w:val="00FD7E4B"/>
    <w:rsid w:val="00FE01B5"/>
    <w:rsid w:val="00FE03BB"/>
    <w:rsid w:val="00FE063E"/>
    <w:rsid w:val="00FE0BF0"/>
    <w:rsid w:val="00FE15A2"/>
    <w:rsid w:val="00FE2536"/>
    <w:rsid w:val="00FE3B37"/>
    <w:rsid w:val="00FE4B40"/>
    <w:rsid w:val="00FE5DC4"/>
    <w:rsid w:val="00FE6B62"/>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F9334D"/>
    <w:rPr>
      <w:color w:val="0000FF" w:themeColor="hyperlink"/>
      <w:u w:val="single"/>
    </w:rPr>
  </w:style>
  <w:style w:type="paragraph" w:styleId="ListParagraph">
    <w:name w:val="List Paragraph"/>
    <w:basedOn w:val="Normal"/>
    <w:uiPriority w:val="34"/>
    <w:qFormat/>
    <w:rsid w:val="00B977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F9334D"/>
    <w:rPr>
      <w:color w:val="0000FF" w:themeColor="hyperlink"/>
      <w:u w:val="single"/>
    </w:rPr>
  </w:style>
  <w:style w:type="paragraph" w:styleId="ListParagraph">
    <w:name w:val="List Paragraph"/>
    <w:basedOn w:val="Normal"/>
    <w:uiPriority w:val="34"/>
    <w:qFormat/>
    <w:rsid w:val="00B97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EBEFC-D01D-4551-BE41-7229DD848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PCT_WG_8_AR.dotx</Template>
  <TotalTime>202</TotalTime>
  <Pages>8</Pages>
  <Words>3105</Words>
  <Characters>15719</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PCT/WG/8/20 (Arabic)</vt:lpstr>
    </vt:vector>
  </TitlesOfParts>
  <Company>World Intellectual Property Organization</Company>
  <LinksUpToDate>false</LinksUpToDate>
  <CharactersWithSpaces>18787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PCT/WG/8/20 (Arabic)</dc:title>
  <dc:creator>وثيقة من إعداد المكتب الدولي</dc:creator>
  <cp:lastModifiedBy>MERZOUK Fawzi</cp:lastModifiedBy>
  <cp:revision>13</cp:revision>
  <cp:lastPrinted>2015-05-12T11:50:00Z</cp:lastPrinted>
  <dcterms:created xsi:type="dcterms:W3CDTF">2015-05-12T06:50:00Z</dcterms:created>
  <dcterms:modified xsi:type="dcterms:W3CDTF">2015-05-12T11:50:00Z</dcterms:modified>
</cp:coreProperties>
</file>