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F63265">
              <w:t>/8</w:t>
            </w:r>
          </w:p>
        </w:tc>
      </w:tr>
      <w:tr w:rsidR="001667B6" w:rsidTr="00BF164F">
        <w:tc>
          <w:tcPr>
            <w:tcW w:w="9571" w:type="dxa"/>
            <w:gridSpan w:val="3"/>
          </w:tcPr>
          <w:p w:rsidR="001667B6" w:rsidRPr="00B6101C" w:rsidRDefault="00B6101C" w:rsidP="00F63265">
            <w:pPr>
              <w:pStyle w:val="DocumentLanguageAR"/>
              <w:bidi/>
              <w:rPr>
                <w:rtl/>
              </w:rPr>
            </w:pPr>
            <w:r w:rsidRPr="00B6101C">
              <w:rPr>
                <w:rFonts w:hint="cs"/>
                <w:rtl/>
              </w:rPr>
              <w:t xml:space="preserve">الأصل: </w:t>
            </w:r>
            <w:r w:rsidR="00F63265">
              <w:rPr>
                <w:rFonts w:hint="cs"/>
                <w:rtl/>
              </w:rPr>
              <w:t>بالإنكليزية</w:t>
            </w:r>
          </w:p>
        </w:tc>
      </w:tr>
      <w:tr w:rsidR="001667B6" w:rsidTr="00BF164F">
        <w:tc>
          <w:tcPr>
            <w:tcW w:w="9571" w:type="dxa"/>
            <w:gridSpan w:val="3"/>
          </w:tcPr>
          <w:p w:rsidR="001667B6" w:rsidRPr="00B6101C" w:rsidRDefault="00B6101C" w:rsidP="00F63265">
            <w:pPr>
              <w:pStyle w:val="DocumentDateAR"/>
              <w:bidi/>
              <w:rPr>
                <w:rtl/>
              </w:rPr>
            </w:pPr>
            <w:r w:rsidRPr="00B6101C">
              <w:rPr>
                <w:rFonts w:hint="cs"/>
                <w:rtl/>
              </w:rPr>
              <w:t xml:space="preserve">التاريخ: </w:t>
            </w:r>
            <w:r w:rsidR="00F63265">
              <w:rPr>
                <w:rFonts w:hint="cs"/>
                <w:rtl/>
              </w:rPr>
              <w:t>26</w:t>
            </w:r>
            <w:r w:rsidRPr="00B6101C">
              <w:rPr>
                <w:rFonts w:hint="cs"/>
                <w:rtl/>
              </w:rPr>
              <w:t xml:space="preserve"> </w:t>
            </w:r>
            <w:r w:rsidR="00F63265">
              <w:rPr>
                <w:rFonts w:hint="cs"/>
                <w:rtl/>
              </w:rPr>
              <w:t>مارس</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4679D" w:rsidP="00FB7EC9">
      <w:pPr>
        <w:pStyle w:val="DocumentTitleAR"/>
        <w:bidi/>
        <w:rPr>
          <w:rtl/>
        </w:rPr>
      </w:pPr>
      <w:r>
        <w:rPr>
          <w:rFonts w:hint="cs"/>
          <w:rtl/>
        </w:rPr>
        <w:t>معلومات بشأ</w:t>
      </w:r>
      <w:r w:rsidR="001D2956">
        <w:rPr>
          <w:rFonts w:hint="cs"/>
          <w:rtl/>
        </w:rPr>
        <w:t>ن دخول المرحلة الوطنية والنصوص المترجمة</w:t>
      </w:r>
    </w:p>
    <w:p w:rsidR="00D61541" w:rsidRDefault="0064679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64679D" w:rsidRPr="00D25DD6" w:rsidRDefault="00D25DD6" w:rsidP="00167B3F">
      <w:pPr>
        <w:pStyle w:val="NormalParaAR"/>
        <w:keepNext/>
        <w:rPr>
          <w:b/>
          <w:bCs/>
          <w:sz w:val="40"/>
          <w:szCs w:val="40"/>
          <w:rtl/>
        </w:rPr>
      </w:pPr>
      <w:r w:rsidRPr="00D25DD6">
        <w:rPr>
          <w:rFonts w:hint="cs"/>
          <w:b/>
          <w:bCs/>
          <w:sz w:val="40"/>
          <w:szCs w:val="40"/>
          <w:rtl/>
        </w:rPr>
        <w:t>ملخص</w:t>
      </w:r>
    </w:p>
    <w:p w:rsidR="005C64F7" w:rsidRDefault="00167B3F" w:rsidP="00167B3F">
      <w:pPr>
        <w:pStyle w:val="NumberedParaAR"/>
      </w:pPr>
      <w:r>
        <w:rPr>
          <w:rFonts w:hint="cs"/>
          <w:rtl/>
        </w:rPr>
        <w:t>من المقترح أن يُشترط من المكاتب المعيّنة</w:t>
      </w:r>
      <w:r>
        <w:rPr>
          <w:rStyle w:val="FootnoteReference"/>
          <w:rtl/>
        </w:rPr>
        <w:footnoteReference w:id="1"/>
      </w:r>
      <w:r>
        <w:rPr>
          <w:rFonts w:hint="cs"/>
          <w:rtl/>
        </w:rPr>
        <w:t xml:space="preserve"> إخطار المكتب الدولي بشأن الطلبات الدولية التي تدخل المرحلة الوطنية.</w:t>
      </w:r>
    </w:p>
    <w:p w:rsidR="00167B3F" w:rsidRDefault="00167B3F" w:rsidP="00167B3F">
      <w:pPr>
        <w:pStyle w:val="NumberedParaAR"/>
      </w:pPr>
      <w:r>
        <w:rPr>
          <w:rFonts w:hint="cs"/>
          <w:rtl/>
        </w:rPr>
        <w:t>والغرض من هذا الاقتراح هو تحسين جودة المعلومات الخاصة بالبراءات على النحوين الرئيسيين التاليين:</w:t>
      </w:r>
    </w:p>
    <w:p w:rsidR="00167B3F" w:rsidRDefault="00167B3F" w:rsidP="00167B3F">
      <w:pPr>
        <w:pStyle w:val="NumberedParaAR"/>
        <w:numPr>
          <w:ilvl w:val="0"/>
          <w:numId w:val="0"/>
        </w:numPr>
        <w:ind w:left="566"/>
        <w:rPr>
          <w:rtl/>
        </w:rPr>
      </w:pPr>
      <w:r>
        <w:rPr>
          <w:rFonts w:hint="cs"/>
          <w:rtl/>
        </w:rPr>
        <w:t>(أ)</w:t>
      </w:r>
      <w:r>
        <w:rPr>
          <w:rtl/>
        </w:rPr>
        <w:tab/>
      </w:r>
      <w:r>
        <w:rPr>
          <w:rFonts w:hint="cs"/>
          <w:rtl/>
        </w:rPr>
        <w:t>تحسين النفاذ إلى المعلومات المتعلقة بالأماكن التي تُلتمس فيها الحماية والأماكن التي لا تُلتمس فيها؛</w:t>
      </w:r>
    </w:p>
    <w:p w:rsidR="00167B3F" w:rsidRDefault="00167B3F" w:rsidP="001B031D">
      <w:pPr>
        <w:pStyle w:val="NumberedParaAR"/>
        <w:numPr>
          <w:ilvl w:val="0"/>
          <w:numId w:val="0"/>
        </w:numPr>
        <w:ind w:left="566"/>
        <w:rPr>
          <w:rtl/>
        </w:rPr>
      </w:pPr>
      <w:r>
        <w:rPr>
          <w:rFonts w:hint="cs"/>
          <w:rtl/>
        </w:rPr>
        <w:t>(ب)</w:t>
      </w:r>
      <w:r>
        <w:rPr>
          <w:rtl/>
        </w:rPr>
        <w:tab/>
      </w:r>
      <w:r w:rsidR="006A3C2A">
        <w:rPr>
          <w:rFonts w:hint="cs"/>
          <w:rtl/>
        </w:rPr>
        <w:t>و</w:t>
      </w:r>
      <w:r>
        <w:rPr>
          <w:rFonts w:hint="cs"/>
          <w:rtl/>
        </w:rPr>
        <w:t xml:space="preserve">النفاذ إلى </w:t>
      </w:r>
      <w:r w:rsidR="006A3C2A">
        <w:rPr>
          <w:rFonts w:hint="cs"/>
          <w:rtl/>
        </w:rPr>
        <w:t xml:space="preserve">المعلومات التقنية الواردة في المنشورات الدولية بعدد أكبر من اللغات، من خلال تعزيز قدرة المكتب الدولي وسائر مورّدي المعلومات الخاصة بالبراءات على </w:t>
      </w:r>
      <w:r w:rsidR="001B031D">
        <w:rPr>
          <w:rFonts w:hint="cs"/>
          <w:rtl/>
        </w:rPr>
        <w:t>الربط</w:t>
      </w:r>
      <w:r w:rsidR="001D2956">
        <w:rPr>
          <w:rFonts w:hint="cs"/>
          <w:rtl/>
        </w:rPr>
        <w:t xml:space="preserve"> بين </w:t>
      </w:r>
      <w:r w:rsidR="001B031D">
        <w:rPr>
          <w:rFonts w:hint="cs"/>
          <w:rtl/>
        </w:rPr>
        <w:t>النشر</w:t>
      </w:r>
      <w:r w:rsidR="001D2956">
        <w:rPr>
          <w:rFonts w:hint="cs"/>
          <w:rtl/>
        </w:rPr>
        <w:t xml:space="preserve"> الدولي والنصوص المترجمة</w:t>
      </w:r>
      <w:r w:rsidR="006A3C2A">
        <w:rPr>
          <w:rFonts w:hint="cs"/>
          <w:rtl/>
        </w:rPr>
        <w:t xml:space="preserve"> التي تنشرها المكاتب المعي</w:t>
      </w:r>
      <w:r w:rsidR="001B031D">
        <w:rPr>
          <w:rFonts w:hint="cs"/>
          <w:rtl/>
        </w:rPr>
        <w:t>ّ</w:t>
      </w:r>
      <w:r w:rsidR="006A3C2A">
        <w:rPr>
          <w:rFonts w:hint="cs"/>
          <w:rtl/>
        </w:rPr>
        <w:t>نة في المرحلة الوطنية.</w:t>
      </w:r>
    </w:p>
    <w:p w:rsidR="006A3C2A" w:rsidRDefault="006A3C2A" w:rsidP="000C7D36">
      <w:pPr>
        <w:pStyle w:val="NumberedParaAR"/>
      </w:pPr>
      <w:r>
        <w:rPr>
          <w:rFonts w:hint="cs"/>
          <w:rtl/>
        </w:rPr>
        <w:t xml:space="preserve">وسيمكّن ذلك من العمل بفعالية على تنفيذ التوصيات الصادرة طبقا لجدول أعمال الويبو بشأن التنمية والمتعلقة بالنفاذ الفعال إلى المعلومات التقنية وتحديد التكنولوجيا </w:t>
      </w:r>
      <w:r w:rsidR="000C7D36">
        <w:rPr>
          <w:rFonts w:hint="cs"/>
          <w:rtl/>
        </w:rPr>
        <w:t>التي يمكن استخدامها بحرية في دولة ما.</w:t>
      </w:r>
    </w:p>
    <w:p w:rsidR="000C7D36" w:rsidRDefault="000C7D36" w:rsidP="000C7D36">
      <w:pPr>
        <w:pStyle w:val="NumberedParaAR"/>
      </w:pPr>
      <w:r>
        <w:rPr>
          <w:rFonts w:hint="cs"/>
          <w:rtl/>
        </w:rPr>
        <w:t>وتورد هذه الوثيقة ملخصا عن الأدوات التي يوفرها المكتب الدولي من أجل مساعدة المكاتب على الاضطلاع بدورها كمكاتب معي</w:t>
      </w:r>
      <w:r w:rsidR="001B031D">
        <w:rPr>
          <w:rFonts w:hint="cs"/>
          <w:rtl/>
        </w:rPr>
        <w:t>ّ</w:t>
      </w:r>
      <w:r>
        <w:rPr>
          <w:rFonts w:hint="cs"/>
          <w:rtl/>
        </w:rPr>
        <w:t>نة، مما يمكنه المساعدة في إعداد عناصر المعلومات الوجيهة وإرسالها إلى المكتب الدولي.</w:t>
      </w:r>
    </w:p>
    <w:p w:rsidR="000C7D36" w:rsidRPr="00DC04D2" w:rsidRDefault="00DC04D2" w:rsidP="00DC04D2">
      <w:pPr>
        <w:pStyle w:val="NormalParaAR"/>
        <w:keepNext/>
        <w:rPr>
          <w:b/>
          <w:bCs/>
          <w:sz w:val="40"/>
          <w:szCs w:val="40"/>
          <w:rtl/>
        </w:rPr>
      </w:pPr>
      <w:r w:rsidRPr="00DC04D2">
        <w:rPr>
          <w:rFonts w:hint="cs"/>
          <w:b/>
          <w:bCs/>
          <w:sz w:val="40"/>
          <w:szCs w:val="40"/>
          <w:rtl/>
        </w:rPr>
        <w:lastRenderedPageBreak/>
        <w:t>معلومات أساسية</w:t>
      </w:r>
    </w:p>
    <w:p w:rsidR="00DC04D2" w:rsidRDefault="00DC04D2" w:rsidP="00831105">
      <w:pPr>
        <w:pStyle w:val="NumberedParaAR"/>
      </w:pPr>
      <w:r>
        <w:rPr>
          <w:rFonts w:hint="cs"/>
          <w:rtl/>
        </w:rPr>
        <w:t>تُعد المعلومات الخاصة بدخول المرحلة الوطنية</w:t>
      </w:r>
      <w:r>
        <w:rPr>
          <w:rtl/>
        </w:rPr>
        <w:t>–</w:t>
      </w:r>
      <w:r>
        <w:rPr>
          <w:rFonts w:hint="cs"/>
          <w:rtl/>
        </w:rPr>
        <w:t xml:space="preserve">بما في ذلك ما إذا كان طلب دولي ما </w:t>
      </w:r>
      <w:r w:rsidRPr="00DC04D2">
        <w:rPr>
          <w:rFonts w:hint="cs"/>
          <w:i/>
          <w:iCs/>
          <w:rtl/>
        </w:rPr>
        <w:t>لم</w:t>
      </w:r>
      <w:r>
        <w:rPr>
          <w:rFonts w:hint="cs"/>
          <w:rtl/>
        </w:rPr>
        <w:t xml:space="preserve"> يدخل المرحلة الوطنية- وما يترتب على ذلك من تغيرات في وضع الطلب من الموارد التي تهم</w:t>
      </w:r>
      <w:r w:rsidR="001B031D">
        <w:rPr>
          <w:rFonts w:hint="cs"/>
          <w:rtl/>
        </w:rPr>
        <w:t>ّ</w:t>
      </w:r>
      <w:r>
        <w:rPr>
          <w:rFonts w:hint="cs"/>
          <w:rtl/>
        </w:rPr>
        <w:t xml:space="preserve"> مستخدمي المعلومات الخاصة بالبراءات وتساعدهم على تحديد ما إذا كان يمكن استخدام المعلومات المكشوف عنها في طلب براءة دون التماس ترخيص. </w:t>
      </w:r>
      <w:r w:rsidR="004C399B">
        <w:rPr>
          <w:rFonts w:hint="cs"/>
          <w:rtl/>
        </w:rPr>
        <w:t>وفي الوقت الراهن، لا</w:t>
      </w:r>
      <w:r w:rsidR="004C399B">
        <w:rPr>
          <w:rFonts w:hint="eastAsia"/>
          <w:rtl/>
        </w:rPr>
        <w:t> </w:t>
      </w:r>
      <w:r w:rsidR="004C399B">
        <w:rPr>
          <w:rFonts w:hint="cs"/>
          <w:rtl/>
        </w:rPr>
        <w:t xml:space="preserve">تتوافر تلك المعلومات </w:t>
      </w:r>
      <w:r w:rsidR="001B031D">
        <w:rPr>
          <w:rFonts w:hint="cs"/>
          <w:rtl/>
        </w:rPr>
        <w:t>سوى بطريقة محدودة للغاية. وتنص</w:t>
      </w:r>
      <w:r w:rsidR="004C399B">
        <w:rPr>
          <w:rFonts w:hint="cs"/>
          <w:rtl/>
        </w:rPr>
        <w:t xml:space="preserve"> القاعدة 1.86"4" الحالية </w:t>
      </w:r>
      <w:r w:rsidR="001B031D">
        <w:rPr>
          <w:rFonts w:hint="cs"/>
          <w:rtl/>
        </w:rPr>
        <w:t xml:space="preserve">على </w:t>
      </w:r>
      <w:r w:rsidR="004C399B">
        <w:rPr>
          <w:rFonts w:hint="cs"/>
          <w:rtl/>
        </w:rPr>
        <w:t>إتاحة البيانات المتعلقة بدخول المرحلة الوطنية في حال توافرها، ولكن المكاتب المعي</w:t>
      </w:r>
      <w:r w:rsidR="001B031D">
        <w:rPr>
          <w:rFonts w:hint="cs"/>
          <w:rtl/>
        </w:rPr>
        <w:t>ّ</w:t>
      </w:r>
      <w:r w:rsidR="004C399B">
        <w:rPr>
          <w:rFonts w:hint="cs"/>
          <w:rtl/>
        </w:rPr>
        <w:t xml:space="preserve">نة لم تُلزم حتى الآن بإخطار المكتب الدولي </w:t>
      </w:r>
      <w:r w:rsidR="00FD0F38">
        <w:rPr>
          <w:rFonts w:hint="cs"/>
          <w:rtl/>
        </w:rPr>
        <w:t>بتلك المعلومات، ولم يقم بذلك على نحو موثوق سوى عدد محدود من تلك المكاتب. وفي وقت إعداد هذه الوثيقة، زوّد 50 مكتبا من المكاتب الوطنية والإقليمية، بصفتها مكاتب معي</w:t>
      </w:r>
      <w:r w:rsidR="001B031D">
        <w:rPr>
          <w:rFonts w:hint="cs"/>
          <w:rtl/>
        </w:rPr>
        <w:t>ّ</w:t>
      </w:r>
      <w:r w:rsidR="00FD0F38">
        <w:rPr>
          <w:rFonts w:hint="cs"/>
          <w:rtl/>
        </w:rPr>
        <w:t xml:space="preserve">نة، المكتب الدولي ببعض البيانات المتعلقة بدخول المرحلة الوطنية. غير أن 16 مكتبا من تلك المكاتب فقط واصل توريد البيانات على نحو منتظم بما يكفي لتكون تلك المعلومات </w:t>
      </w:r>
      <w:r w:rsidR="00831105">
        <w:rPr>
          <w:rFonts w:hint="cs"/>
          <w:rtl/>
        </w:rPr>
        <w:t>في مستوى محدّث في غضون عام من بدء توفيرها.</w:t>
      </w:r>
    </w:p>
    <w:p w:rsidR="00831105" w:rsidRDefault="00831105" w:rsidP="00831105">
      <w:pPr>
        <w:pStyle w:val="NumberedParaAR"/>
      </w:pPr>
      <w:r>
        <w:rPr>
          <w:rFonts w:hint="cs"/>
          <w:rtl/>
        </w:rPr>
        <w:t>ويشترط البند 112 من التعليمات الإدارية من المكاتب المعي</w:t>
      </w:r>
      <w:r w:rsidR="001B031D">
        <w:rPr>
          <w:rFonts w:hint="cs"/>
          <w:rtl/>
        </w:rPr>
        <w:t>ّ</w:t>
      </w:r>
      <w:r>
        <w:rPr>
          <w:rFonts w:hint="cs"/>
          <w:rtl/>
        </w:rPr>
        <w:t xml:space="preserve">نة بيان </w:t>
      </w:r>
      <w:r>
        <w:rPr>
          <w:rFonts w:hint="cs"/>
          <w:i/>
          <w:iCs/>
          <w:rtl/>
        </w:rPr>
        <w:t>عدد</w:t>
      </w:r>
      <w:r>
        <w:rPr>
          <w:rFonts w:hint="cs"/>
          <w:rtl/>
        </w:rPr>
        <w:t xml:space="preserve"> الطلبات الدولية التي لم تدخل المرحلة الوطنية قبل المهلة المحد</w:t>
      </w:r>
      <w:r w:rsidR="001B031D">
        <w:rPr>
          <w:rFonts w:hint="cs"/>
          <w:rtl/>
        </w:rPr>
        <w:t>ّ</w:t>
      </w:r>
      <w:r>
        <w:rPr>
          <w:rFonts w:hint="cs"/>
          <w:rtl/>
        </w:rPr>
        <w:t xml:space="preserve">دة لذلك، ولكن هذا الالتزام لم يُستوف </w:t>
      </w:r>
      <w:r w:rsidR="001B031D">
        <w:rPr>
          <w:rFonts w:hint="cs"/>
          <w:rtl/>
        </w:rPr>
        <w:t xml:space="preserve">على نطاق واسع </w:t>
      </w:r>
      <w:r>
        <w:rPr>
          <w:rFonts w:hint="cs"/>
          <w:rtl/>
        </w:rPr>
        <w:t>ولا يساعد الغير في تحديد آحاد طلبات البراءات التي تم التخلي عنها فيما يخص جميع الأسواق أو بعض منها.</w:t>
      </w:r>
    </w:p>
    <w:p w:rsidR="00831105" w:rsidRDefault="00CB7965" w:rsidP="001B031D">
      <w:pPr>
        <w:pStyle w:val="NumberedParaAR"/>
      </w:pPr>
      <w:r>
        <w:rPr>
          <w:rFonts w:hint="cs"/>
          <w:rtl/>
        </w:rPr>
        <w:t>وتدعو التوصيات 10 و19 و20 و25 و31 الصادرة في إطار جدول أعمال الويبو بشأن التنمية إلى تحسين النفاذ إلى المعلومات التقنية وتعزيز قدرة المستخدمين في البلدان النامية على تحديد المعلومات الموجودة في الملك العام. ولتحقيق هذا</w:t>
      </w:r>
      <w:r>
        <w:rPr>
          <w:rFonts w:hint="eastAsia"/>
          <w:rtl/>
        </w:rPr>
        <w:t> </w:t>
      </w:r>
      <w:r>
        <w:rPr>
          <w:rFonts w:hint="cs"/>
          <w:rtl/>
        </w:rPr>
        <w:t>الغرض أقرّ الفريق العامل لمعاهدة التعاون بشأن البراءات، في عام 2010، التوصية التالية (انظر الفقرة</w:t>
      </w:r>
      <w:r w:rsidR="001B031D">
        <w:rPr>
          <w:rFonts w:hint="eastAsia"/>
          <w:rtl/>
        </w:rPr>
        <w:t> </w:t>
      </w:r>
      <w:r>
        <w:rPr>
          <w:rFonts w:hint="cs"/>
          <w:rtl/>
        </w:rPr>
        <w:t>129 من الوثيقة</w:t>
      </w:r>
      <w:r>
        <w:rPr>
          <w:rFonts w:hint="eastAsia"/>
          <w:rtl/>
        </w:rPr>
        <w:t> </w:t>
      </w:r>
      <w:r w:rsidRPr="00CB7965">
        <w:t>PCT/WG/3/14 Rev.</w:t>
      </w:r>
      <w:r>
        <w:rPr>
          <w:rFonts w:hint="cs"/>
          <w:rtl/>
        </w:rPr>
        <w:t>):</w:t>
      </w:r>
    </w:p>
    <w:p w:rsidR="00CB7965" w:rsidRDefault="00CB7965" w:rsidP="001B031D">
      <w:pPr>
        <w:pStyle w:val="NumberedParaAR"/>
        <w:numPr>
          <w:ilvl w:val="0"/>
          <w:numId w:val="0"/>
        </w:numPr>
        <w:ind w:left="566"/>
        <w:rPr>
          <w:rtl/>
        </w:rPr>
      </w:pPr>
      <w:r>
        <w:rPr>
          <w:rFonts w:hint="cs"/>
          <w:rtl/>
        </w:rPr>
        <w:t>"</w:t>
      </w:r>
      <w:r w:rsidR="00533E1C">
        <w:rPr>
          <w:rFonts w:hint="cs"/>
          <w:rtl/>
        </w:rPr>
        <w:t>207.</w:t>
      </w:r>
      <w:r w:rsidR="00533E1C">
        <w:rPr>
          <w:rtl/>
        </w:rPr>
        <w:tab/>
      </w:r>
      <w:r w:rsidR="00533E1C">
        <w:rPr>
          <w:rFonts w:hint="cs"/>
          <w:rtl/>
        </w:rPr>
        <w:t xml:space="preserve">من المقترح أن </w:t>
      </w:r>
      <w:r w:rsidR="00B55743">
        <w:rPr>
          <w:rFonts w:hint="cs"/>
          <w:rtl/>
        </w:rPr>
        <w:t>يعمل المكتب الدولي مع المكاتب الوطنية على توفير معلومات فعالة عن وضع البراءات لا</w:t>
      </w:r>
      <w:r w:rsidR="00B55743">
        <w:rPr>
          <w:rFonts w:hint="eastAsia"/>
          <w:rtl/>
        </w:rPr>
        <w:t> </w:t>
      </w:r>
      <w:r w:rsidR="00B55743">
        <w:rPr>
          <w:rFonts w:hint="cs"/>
          <w:rtl/>
        </w:rPr>
        <w:t xml:space="preserve">تشمل فقط الطلبات المودعة بناء على معاهدة التعاون بشأن البراءات وبالتالي البراءات الممنوحة، بل تشمل أيضا </w:t>
      </w:r>
      <w:r w:rsidR="0016375B">
        <w:rPr>
          <w:rFonts w:hint="cs"/>
          <w:rtl/>
        </w:rPr>
        <w:t xml:space="preserve">الطلبات الوطنية العادية، بما في ذلك المعلومات المتعلقة بالاعتراض على البراءات (قبل منحها وبعد ذلك)، وإلغاء البراءات وانتهاء مدتها، وإصدار التراخيص الإجبارية، ومسائل أخرى. وستُدرج هذه المعلومات في نظام للبحث يمكّن من الكشف بطريقة أسرع عن التكنولوجيا التي أصبحت في الملك العام. وسيضطلع المكتب الدولي بمشروع رائد من أجل وضع نظام متكامل يمكّن من تحديث وضع الطلب تلقائيا </w:t>
      </w:r>
      <w:r w:rsidR="00CD1BE4">
        <w:rPr>
          <w:rFonts w:hint="cs"/>
          <w:rtl/>
        </w:rPr>
        <w:t xml:space="preserve">من خلال </w:t>
      </w:r>
      <w:r w:rsidR="001B031D">
        <w:rPr>
          <w:rFonts w:hint="cs"/>
          <w:rtl/>
        </w:rPr>
        <w:t>وصله</w:t>
      </w:r>
      <w:r w:rsidR="00CD1BE4">
        <w:rPr>
          <w:rFonts w:hint="cs"/>
          <w:rtl/>
        </w:rPr>
        <w:t xml:space="preserve"> بالمكاتب/المنظمات الوطنية."</w:t>
      </w:r>
    </w:p>
    <w:p w:rsidR="00CD1BE4" w:rsidRPr="00CD1BE4" w:rsidRDefault="00CD1BE4" w:rsidP="00CD1BE4">
      <w:pPr>
        <w:pStyle w:val="NormalParaAR"/>
        <w:keepNext/>
        <w:rPr>
          <w:b/>
          <w:bCs/>
          <w:sz w:val="40"/>
          <w:szCs w:val="40"/>
          <w:rtl/>
        </w:rPr>
      </w:pPr>
      <w:r>
        <w:rPr>
          <w:rFonts w:hint="cs"/>
          <w:b/>
          <w:bCs/>
          <w:sz w:val="40"/>
          <w:szCs w:val="40"/>
          <w:rtl/>
        </w:rPr>
        <w:t>الاقتراح</w:t>
      </w:r>
    </w:p>
    <w:p w:rsidR="00CD1BE4" w:rsidRPr="00CD1BE4" w:rsidRDefault="00CD1BE4" w:rsidP="002874BE">
      <w:pPr>
        <w:pStyle w:val="NumberedParaAR"/>
        <w:keepNext/>
        <w:numPr>
          <w:ilvl w:val="0"/>
          <w:numId w:val="0"/>
        </w:numPr>
        <w:rPr>
          <w:u w:val="single"/>
          <w:rtl/>
        </w:rPr>
      </w:pPr>
      <w:r w:rsidRPr="00CD1BE4">
        <w:rPr>
          <w:rFonts w:hint="cs"/>
          <w:u w:val="single"/>
          <w:rtl/>
        </w:rPr>
        <w:t>توفير المعلومات عن وضع المرحلة الوطنية</w:t>
      </w:r>
    </w:p>
    <w:p w:rsidR="00CD1BE4" w:rsidRDefault="006278AF" w:rsidP="00CD1BE4">
      <w:pPr>
        <w:pStyle w:val="NumberedParaAR"/>
      </w:pPr>
      <w:r>
        <w:rPr>
          <w:rFonts w:hint="cs"/>
          <w:rtl/>
        </w:rPr>
        <w:t>من</w:t>
      </w:r>
      <w:r w:rsidR="00F73D67">
        <w:rPr>
          <w:rFonts w:hint="cs"/>
          <w:rtl/>
        </w:rPr>
        <w:t xml:space="preserve"> المقترح إدراج قاعدة جديدة 1.95</w:t>
      </w:r>
      <w:r>
        <w:rPr>
          <w:rFonts w:hint="cs"/>
          <w:rtl/>
        </w:rPr>
        <w:t xml:space="preserve"> لإلزام المكاتب المعي</w:t>
      </w:r>
      <w:r w:rsidR="00F73D67">
        <w:rPr>
          <w:rFonts w:hint="cs"/>
          <w:rtl/>
        </w:rPr>
        <w:t>ّ</w:t>
      </w:r>
      <w:r>
        <w:rPr>
          <w:rFonts w:hint="cs"/>
          <w:rtl/>
        </w:rPr>
        <w:t>نة بتوفير معلومات مناسبة التوقيت بشأن الإجراءات التالية المتعلقة بالمرحلة الوطنية:</w:t>
      </w:r>
    </w:p>
    <w:p w:rsidR="006278AF" w:rsidRDefault="00F52AB4" w:rsidP="00F52AB4">
      <w:pPr>
        <w:pStyle w:val="NumberedParaAR"/>
        <w:numPr>
          <w:ilvl w:val="0"/>
          <w:numId w:val="0"/>
        </w:numPr>
        <w:ind w:left="566"/>
        <w:rPr>
          <w:rtl/>
        </w:rPr>
      </w:pPr>
      <w:r>
        <w:rPr>
          <w:rFonts w:hint="cs"/>
          <w:rtl/>
        </w:rPr>
        <w:t>(أ)</w:t>
      </w:r>
      <w:r>
        <w:rPr>
          <w:rtl/>
        </w:rPr>
        <w:tab/>
      </w:r>
      <w:r>
        <w:rPr>
          <w:rFonts w:hint="cs"/>
          <w:rtl/>
        </w:rPr>
        <w:t>دخول المرحلة الوطنية (تاريخ أداء الإجراءات بموجب المادة 22(1) أو المادة 39(1)(أ))؛</w:t>
      </w:r>
    </w:p>
    <w:p w:rsidR="00F52AB4" w:rsidRDefault="00F52AB4" w:rsidP="0093075C">
      <w:pPr>
        <w:pStyle w:val="NumberedParaAR"/>
        <w:numPr>
          <w:ilvl w:val="0"/>
          <w:numId w:val="0"/>
        </w:numPr>
        <w:ind w:left="566"/>
        <w:rPr>
          <w:rtl/>
        </w:rPr>
      </w:pPr>
      <w:r>
        <w:rPr>
          <w:rFonts w:hint="cs"/>
          <w:rtl/>
        </w:rPr>
        <w:t>(ب)</w:t>
      </w:r>
      <w:r>
        <w:rPr>
          <w:rtl/>
        </w:rPr>
        <w:tab/>
      </w:r>
      <w:r w:rsidR="009A136D">
        <w:rPr>
          <w:rFonts w:hint="cs"/>
          <w:rtl/>
        </w:rPr>
        <w:t xml:space="preserve">وأي نشر </w:t>
      </w:r>
      <w:r w:rsidR="0093075C">
        <w:rPr>
          <w:rFonts w:hint="cs"/>
          <w:rtl/>
        </w:rPr>
        <w:t xml:space="preserve">وطني </w:t>
      </w:r>
      <w:r w:rsidR="009A136D">
        <w:rPr>
          <w:rFonts w:hint="cs"/>
          <w:rtl/>
        </w:rPr>
        <w:t>للطلب الدولي من قبل المكتب المعي</w:t>
      </w:r>
      <w:r w:rsidR="00F73D67">
        <w:rPr>
          <w:rFonts w:hint="cs"/>
          <w:rtl/>
        </w:rPr>
        <w:t>ّ</w:t>
      </w:r>
      <w:r w:rsidR="009A136D">
        <w:rPr>
          <w:rFonts w:hint="cs"/>
          <w:rtl/>
        </w:rPr>
        <w:t>ن؛</w:t>
      </w:r>
    </w:p>
    <w:p w:rsidR="009A136D" w:rsidRDefault="009A136D" w:rsidP="009A136D">
      <w:pPr>
        <w:pStyle w:val="NumberedParaAR"/>
        <w:numPr>
          <w:ilvl w:val="0"/>
          <w:numId w:val="0"/>
        </w:numPr>
        <w:ind w:left="566"/>
        <w:rPr>
          <w:rtl/>
        </w:rPr>
      </w:pPr>
      <w:r>
        <w:rPr>
          <w:rFonts w:hint="cs"/>
          <w:rtl/>
        </w:rPr>
        <w:t>(ج)</w:t>
      </w:r>
      <w:r>
        <w:rPr>
          <w:rtl/>
        </w:rPr>
        <w:tab/>
      </w:r>
      <w:r>
        <w:rPr>
          <w:rFonts w:hint="cs"/>
          <w:rtl/>
        </w:rPr>
        <w:t>وتاريخ منح البراءة ورقم وتاريخ أي نشر ذي صلة.</w:t>
      </w:r>
    </w:p>
    <w:p w:rsidR="009A136D" w:rsidRDefault="009A136D" w:rsidP="00B10157">
      <w:pPr>
        <w:pStyle w:val="NumberedParaAR"/>
      </w:pPr>
      <w:r>
        <w:rPr>
          <w:rFonts w:hint="cs"/>
          <w:rtl/>
        </w:rPr>
        <w:lastRenderedPageBreak/>
        <w:t xml:space="preserve">ويُقترح </w:t>
      </w:r>
      <w:r w:rsidR="00B10157">
        <w:rPr>
          <w:rFonts w:hint="cs"/>
          <w:rtl/>
        </w:rPr>
        <w:t>أن تُحدّد</w:t>
      </w:r>
      <w:r>
        <w:rPr>
          <w:rFonts w:hint="cs"/>
          <w:rtl/>
        </w:rPr>
        <w:t xml:space="preserve"> مهلة لتوفير المعلومات وأن تكون تلك المهلة شهرا واحدا اعتبارا من تاريخ حدوث الإجراءات ذات الصلة. واختيرت هذه المهلة بطريقة عشوائية، ولكن المسألة الأساسية هي لزوم توفير المعلومات بانتظام حتى يتمكّن المكتب الدولي من توفير معلومات موثوقة ومحدّثة.</w:t>
      </w:r>
    </w:p>
    <w:p w:rsidR="009A136D" w:rsidRDefault="00B10157" w:rsidP="009A136D">
      <w:pPr>
        <w:pStyle w:val="NumberedParaAR"/>
      </w:pPr>
      <w:r>
        <w:rPr>
          <w:rFonts w:hint="cs"/>
          <w:rtl/>
        </w:rPr>
        <w:t>و</w:t>
      </w:r>
      <w:r w:rsidR="00714C37">
        <w:rPr>
          <w:rFonts w:hint="cs"/>
          <w:rtl/>
        </w:rPr>
        <w:t>في حين يُستحب تلقي معلومات عن الإجراءات الأخرى، من قبيل ما يلي:</w:t>
      </w:r>
    </w:p>
    <w:p w:rsidR="00714C37" w:rsidRDefault="00714C37" w:rsidP="00714C37">
      <w:pPr>
        <w:pStyle w:val="NumberedParaAR"/>
        <w:numPr>
          <w:ilvl w:val="0"/>
          <w:numId w:val="0"/>
        </w:numPr>
        <w:ind w:left="566"/>
        <w:rPr>
          <w:rtl/>
        </w:rPr>
      </w:pPr>
      <w:r>
        <w:rPr>
          <w:rFonts w:hint="cs"/>
          <w:rtl/>
        </w:rPr>
        <w:t>(أ)</w:t>
      </w:r>
      <w:r>
        <w:rPr>
          <w:rtl/>
        </w:rPr>
        <w:tab/>
      </w:r>
      <w:r>
        <w:rPr>
          <w:rFonts w:hint="cs"/>
          <w:rtl/>
        </w:rPr>
        <w:t>بيان نهائي يفيد بأن الطلب الدولي لم يدخل المرحلة الوطنية؛</w:t>
      </w:r>
    </w:p>
    <w:p w:rsidR="00714C37" w:rsidRDefault="00714C37" w:rsidP="00714C37">
      <w:pPr>
        <w:pStyle w:val="NumberedParaAR"/>
        <w:numPr>
          <w:ilvl w:val="0"/>
          <w:numId w:val="0"/>
        </w:numPr>
        <w:ind w:left="566"/>
        <w:rPr>
          <w:rtl/>
        </w:rPr>
      </w:pPr>
      <w:r>
        <w:rPr>
          <w:rFonts w:hint="cs"/>
          <w:rtl/>
        </w:rPr>
        <w:t>(ب)</w:t>
      </w:r>
      <w:r>
        <w:rPr>
          <w:rtl/>
        </w:rPr>
        <w:tab/>
      </w:r>
      <w:r w:rsidR="00B10157">
        <w:rPr>
          <w:rFonts w:hint="cs"/>
          <w:rtl/>
        </w:rPr>
        <w:t>و</w:t>
      </w:r>
      <w:r w:rsidR="001548C3">
        <w:rPr>
          <w:rFonts w:hint="cs"/>
          <w:rtl/>
        </w:rPr>
        <w:t>رفض الطلب الدولي؛</w:t>
      </w:r>
    </w:p>
    <w:p w:rsidR="001548C3" w:rsidRDefault="001548C3" w:rsidP="00714C37">
      <w:pPr>
        <w:pStyle w:val="NumberedParaAR"/>
        <w:numPr>
          <w:ilvl w:val="0"/>
          <w:numId w:val="0"/>
        </w:numPr>
        <w:ind w:left="566"/>
        <w:rPr>
          <w:rtl/>
        </w:rPr>
      </w:pPr>
      <w:r>
        <w:rPr>
          <w:rFonts w:hint="cs"/>
          <w:rtl/>
        </w:rPr>
        <w:t>(ج)</w:t>
      </w:r>
      <w:r>
        <w:rPr>
          <w:rtl/>
        </w:rPr>
        <w:tab/>
      </w:r>
      <w:r w:rsidR="00B10157">
        <w:rPr>
          <w:rFonts w:hint="cs"/>
          <w:rtl/>
        </w:rPr>
        <w:t>و</w:t>
      </w:r>
      <w:r>
        <w:rPr>
          <w:rFonts w:hint="cs"/>
          <w:rtl/>
        </w:rPr>
        <w:t>سقوط الطلب الدولي أو أية براءة ممنوحة؛</w:t>
      </w:r>
    </w:p>
    <w:p w:rsidR="001548C3" w:rsidRDefault="001548C3" w:rsidP="00714C37">
      <w:pPr>
        <w:pStyle w:val="NumberedParaAR"/>
        <w:numPr>
          <w:ilvl w:val="0"/>
          <w:numId w:val="0"/>
        </w:numPr>
        <w:ind w:left="566"/>
        <w:rPr>
          <w:rtl/>
        </w:rPr>
      </w:pPr>
      <w:r>
        <w:rPr>
          <w:rFonts w:hint="cs"/>
          <w:rtl/>
        </w:rPr>
        <w:t>(د)</w:t>
      </w:r>
      <w:r>
        <w:rPr>
          <w:rtl/>
        </w:rPr>
        <w:tab/>
      </w:r>
      <w:r w:rsidR="00B10157">
        <w:rPr>
          <w:rFonts w:hint="cs"/>
          <w:rtl/>
        </w:rPr>
        <w:t>و</w:t>
      </w:r>
      <w:r w:rsidR="00402495">
        <w:rPr>
          <w:rFonts w:hint="cs"/>
          <w:rtl/>
        </w:rPr>
        <w:t xml:space="preserve">أية </w:t>
      </w:r>
      <w:r>
        <w:rPr>
          <w:rFonts w:hint="cs"/>
          <w:rtl/>
        </w:rPr>
        <w:t>إعادة تفعي</w:t>
      </w:r>
      <w:r w:rsidR="00402495">
        <w:rPr>
          <w:rFonts w:hint="cs"/>
          <w:rtl/>
        </w:rPr>
        <w:t>ل للطلبات أو البراءات الساقطة؛</w:t>
      </w:r>
    </w:p>
    <w:p w:rsidR="00402495" w:rsidRDefault="00B10157" w:rsidP="00402495">
      <w:pPr>
        <w:pStyle w:val="NumberedParaAR"/>
        <w:numPr>
          <w:ilvl w:val="0"/>
          <w:numId w:val="0"/>
        </w:numPr>
        <w:rPr>
          <w:rtl/>
        </w:rPr>
      </w:pPr>
      <w:r>
        <w:rPr>
          <w:rFonts w:hint="cs"/>
          <w:rtl/>
        </w:rPr>
        <w:t>و</w:t>
      </w:r>
      <w:r w:rsidR="00402495">
        <w:rPr>
          <w:rFonts w:hint="cs"/>
          <w:rtl/>
        </w:rPr>
        <w:t>لا يُقترح الإلزام بتقديم ذلك النوع من المعلومات إلى المكتب الدولي. ذلك أن الإلزام بتقديمها سيؤدي لا محالة إلى فرض عبء فادح على المكاتب الأصغر حجما التي تسجل عددا ضئيلا جدا من حالات دخول المرحلة الوطنية، والتي ستضطر إلى إخطار المكتب الدولي بشأن أكثر من 000</w:t>
      </w:r>
      <w:r w:rsidR="00402495">
        <w:rPr>
          <w:rFonts w:hint="eastAsia"/>
          <w:rtl/>
        </w:rPr>
        <w:t> </w:t>
      </w:r>
      <w:r w:rsidR="00402495">
        <w:rPr>
          <w:rFonts w:hint="cs"/>
          <w:rtl/>
        </w:rPr>
        <w:t xml:space="preserve">200 طلب دولي في السنة </w:t>
      </w:r>
      <w:r w:rsidR="00402495" w:rsidRPr="00402495">
        <w:rPr>
          <w:rFonts w:hint="cs"/>
          <w:i/>
          <w:iCs/>
          <w:rtl/>
        </w:rPr>
        <w:t>لم</w:t>
      </w:r>
      <w:r w:rsidR="00402495">
        <w:rPr>
          <w:rFonts w:hint="cs"/>
          <w:rtl/>
        </w:rPr>
        <w:t xml:space="preserve"> يدخل المرحلة الوطنية.</w:t>
      </w:r>
    </w:p>
    <w:p w:rsidR="00402495" w:rsidRDefault="00402495" w:rsidP="0056124B">
      <w:pPr>
        <w:pStyle w:val="NumberedParaAR"/>
      </w:pPr>
      <w:r>
        <w:rPr>
          <w:rFonts w:hint="cs"/>
          <w:rtl/>
        </w:rPr>
        <w:t xml:space="preserve">ومن المقترح، بدلا من ذلك، </w:t>
      </w:r>
      <w:r w:rsidR="00E645FB">
        <w:rPr>
          <w:rFonts w:hint="cs"/>
          <w:rtl/>
        </w:rPr>
        <w:t xml:space="preserve">أن </w:t>
      </w:r>
      <w:r w:rsidR="0056124B">
        <w:rPr>
          <w:rFonts w:hint="cs"/>
          <w:rtl/>
        </w:rPr>
        <w:t>يلتمس المكتب الدولي من المكاتب المعي</w:t>
      </w:r>
      <w:r w:rsidR="00925254">
        <w:rPr>
          <w:rFonts w:hint="cs"/>
          <w:rtl/>
        </w:rPr>
        <w:t>ّ</w:t>
      </w:r>
      <w:r w:rsidR="0056124B">
        <w:rPr>
          <w:rFonts w:hint="cs"/>
          <w:rtl/>
        </w:rPr>
        <w:t>نة توفير معلومات أكثر تفصيلا مما هو متوافر حاليا (من عدد من المكاتب</w:t>
      </w:r>
      <w:r w:rsidR="0056124B" w:rsidRPr="0056124B">
        <w:rPr>
          <w:rFonts w:hint="cs"/>
          <w:rtl/>
        </w:rPr>
        <w:t xml:space="preserve"> </w:t>
      </w:r>
      <w:r w:rsidR="0056124B">
        <w:rPr>
          <w:rFonts w:hint="cs"/>
          <w:rtl/>
        </w:rPr>
        <w:t xml:space="preserve">على الأقل) بشأن المهل الزمنية التي ينبغي، </w:t>
      </w:r>
      <w:r w:rsidR="0056124B" w:rsidRPr="0056124B">
        <w:rPr>
          <w:rFonts w:hint="cs"/>
          <w:i/>
          <w:iCs/>
          <w:rtl/>
        </w:rPr>
        <w:t>مبدئيا</w:t>
      </w:r>
      <w:r w:rsidR="0056124B">
        <w:rPr>
          <w:rFonts w:hint="cs"/>
          <w:rtl/>
        </w:rPr>
        <w:t>، أن تحدث فيها المرحلة الوطنية والفترات الم</w:t>
      </w:r>
      <w:r w:rsidR="00925254">
        <w:rPr>
          <w:rFonts w:hint="cs"/>
          <w:rtl/>
        </w:rPr>
        <w:t>ُ</w:t>
      </w:r>
      <w:r w:rsidR="0056124B">
        <w:rPr>
          <w:rFonts w:hint="cs"/>
          <w:rtl/>
        </w:rPr>
        <w:t>مدّدة التي قد تُتاح فيها إمكانية رد الحقوق، بما يمكّن المكتب الدولي من حساب حالات عدم دخول المرحلة الوطنية نيابة عن المكاتب غير القادرة على توفير تلك المعلومات بشكل مباشر.</w:t>
      </w:r>
    </w:p>
    <w:p w:rsidR="0056124B" w:rsidRDefault="0056124B" w:rsidP="004C0F70">
      <w:pPr>
        <w:pStyle w:val="NumberedParaAR"/>
      </w:pPr>
      <w:r>
        <w:rPr>
          <w:rFonts w:hint="cs"/>
          <w:rtl/>
        </w:rPr>
        <w:t>ومن جهة أخرى، توجد معايير لتقاسم المعلومات بشأن الإجراءات الأخرى المذكورة في الفقرة 9 أعلاه، وتُش</w:t>
      </w:r>
      <w:r w:rsidR="004C0F70">
        <w:rPr>
          <w:rFonts w:hint="cs"/>
          <w:rtl/>
        </w:rPr>
        <w:t>جّ</w:t>
      </w:r>
      <w:r w:rsidR="00925254">
        <w:rPr>
          <w:rFonts w:hint="cs"/>
          <w:rtl/>
        </w:rPr>
        <w:t>َ</w:t>
      </w:r>
      <w:r w:rsidR="004C0F70">
        <w:rPr>
          <w:rFonts w:hint="cs"/>
          <w:rtl/>
        </w:rPr>
        <w:t>ع المكاتب التي ليست في وضع يمكّنها من تقاسم تلك المعلومات على إتاحتها للمكتب الدولي.</w:t>
      </w:r>
    </w:p>
    <w:p w:rsidR="004C0F70" w:rsidRPr="002874BE" w:rsidRDefault="004C0F70" w:rsidP="00925254">
      <w:pPr>
        <w:pStyle w:val="NumberedParaAR"/>
        <w:keepNext/>
        <w:numPr>
          <w:ilvl w:val="0"/>
          <w:numId w:val="0"/>
        </w:numPr>
        <w:rPr>
          <w:u w:val="single"/>
          <w:rtl/>
        </w:rPr>
      </w:pPr>
      <w:r w:rsidRPr="002874BE">
        <w:rPr>
          <w:rFonts w:hint="cs"/>
          <w:u w:val="single"/>
          <w:rtl/>
        </w:rPr>
        <w:t xml:space="preserve">توافر </w:t>
      </w:r>
      <w:r w:rsidR="00925254">
        <w:rPr>
          <w:rFonts w:hint="cs"/>
          <w:u w:val="single"/>
          <w:rtl/>
        </w:rPr>
        <w:t>النصوص المترجمة ل</w:t>
      </w:r>
      <w:r w:rsidRPr="002874BE">
        <w:rPr>
          <w:rFonts w:hint="cs"/>
          <w:u w:val="single"/>
          <w:rtl/>
        </w:rPr>
        <w:t>لطلبات الدولية</w:t>
      </w:r>
    </w:p>
    <w:p w:rsidR="002874BE" w:rsidRDefault="00071309" w:rsidP="00925254">
      <w:pPr>
        <w:pStyle w:val="NumberedParaAR"/>
      </w:pPr>
      <w:r>
        <w:rPr>
          <w:rFonts w:hint="cs"/>
          <w:rtl/>
        </w:rPr>
        <w:t>ظلت القاعدة 1.95 (</w:t>
      </w:r>
      <w:r w:rsidR="000257C4">
        <w:rPr>
          <w:rFonts w:hint="cs"/>
          <w:rtl/>
        </w:rPr>
        <w:t>المقترح</w:t>
      </w:r>
      <w:r>
        <w:rPr>
          <w:rFonts w:hint="cs"/>
          <w:rtl/>
        </w:rPr>
        <w:t xml:space="preserve"> إعادة ترقيمها لتصبح القاعدة 2.95، كما هو مبيّن في المرفق) سارية منذ اعتماد المعاهدة وهي </w:t>
      </w:r>
      <w:r w:rsidR="00FF5B00">
        <w:rPr>
          <w:rFonts w:hint="cs"/>
          <w:rtl/>
        </w:rPr>
        <w:t>تشترط من المكاتب المعي</w:t>
      </w:r>
      <w:r w:rsidR="00925254">
        <w:rPr>
          <w:rFonts w:hint="cs"/>
          <w:rtl/>
        </w:rPr>
        <w:t>ّ</w:t>
      </w:r>
      <w:r w:rsidR="00FF5B00">
        <w:rPr>
          <w:rFonts w:hint="cs"/>
          <w:rtl/>
        </w:rPr>
        <w:t>نة أن توفر للمكتب الدولي، بناء على التماس منه</w:t>
      </w:r>
      <w:r>
        <w:rPr>
          <w:rFonts w:hint="cs"/>
          <w:rtl/>
        </w:rPr>
        <w:t>، صور</w:t>
      </w:r>
      <w:r w:rsidR="00FF5B00">
        <w:rPr>
          <w:rFonts w:hint="cs"/>
          <w:rtl/>
        </w:rPr>
        <w:t>ا</w:t>
      </w:r>
      <w:r>
        <w:rPr>
          <w:rFonts w:hint="cs"/>
          <w:rtl/>
        </w:rPr>
        <w:t xml:space="preserve"> عن </w:t>
      </w:r>
      <w:r w:rsidR="00925254">
        <w:rPr>
          <w:rFonts w:hint="cs"/>
          <w:rtl/>
        </w:rPr>
        <w:t>النصوص المترجمة ل</w:t>
      </w:r>
      <w:r>
        <w:rPr>
          <w:rFonts w:hint="cs"/>
          <w:rtl/>
        </w:rPr>
        <w:t xml:space="preserve">لطلب الدولي التي يكون المودعون قد </w:t>
      </w:r>
      <w:r w:rsidR="00FF5B00">
        <w:rPr>
          <w:rFonts w:hint="cs"/>
          <w:rtl/>
        </w:rPr>
        <w:t>قد</w:t>
      </w:r>
      <w:r w:rsidR="00925254">
        <w:rPr>
          <w:rFonts w:hint="cs"/>
          <w:rtl/>
        </w:rPr>
        <w:t>ّ</w:t>
      </w:r>
      <w:r w:rsidR="00FF5B00">
        <w:rPr>
          <w:rFonts w:hint="cs"/>
          <w:rtl/>
        </w:rPr>
        <w:t>موها لأغراض المرحلة الوطنية. غير أن ذلك الالتماس لم يُبد قط</w:t>
      </w:r>
      <w:r w:rsidR="00FF5B00" w:rsidRPr="00FF5B00">
        <w:rPr>
          <w:rFonts w:hint="cs"/>
          <w:rtl/>
        </w:rPr>
        <w:t xml:space="preserve"> </w:t>
      </w:r>
      <w:r w:rsidR="00FF5B00">
        <w:rPr>
          <w:rFonts w:hint="cs"/>
          <w:rtl/>
        </w:rPr>
        <w:t>حتى الأن، أو أنه أ</w:t>
      </w:r>
      <w:r w:rsidR="00925254">
        <w:rPr>
          <w:rFonts w:hint="cs"/>
          <w:rtl/>
        </w:rPr>
        <w:t>ُ</w:t>
      </w:r>
      <w:r w:rsidR="00FF5B00">
        <w:rPr>
          <w:rFonts w:hint="cs"/>
          <w:rtl/>
        </w:rPr>
        <w:t>بدي في حالات نادرة فقط.</w:t>
      </w:r>
    </w:p>
    <w:p w:rsidR="00FF5B00" w:rsidRDefault="00FF5B00" w:rsidP="001D2956">
      <w:pPr>
        <w:pStyle w:val="NumberedParaAR"/>
      </w:pPr>
      <w:r>
        <w:rPr>
          <w:rFonts w:hint="cs"/>
          <w:rtl/>
        </w:rPr>
        <w:t xml:space="preserve">ونُظر في إمكانية اقتراح أن يكون </w:t>
      </w:r>
      <w:r w:rsidR="00E018AF">
        <w:rPr>
          <w:rFonts w:hint="cs"/>
          <w:rtl/>
        </w:rPr>
        <w:t>توفير</w:t>
      </w:r>
      <w:r w:rsidR="001D2956">
        <w:rPr>
          <w:rFonts w:hint="cs"/>
          <w:rtl/>
        </w:rPr>
        <w:t xml:space="preserve"> صور النصوص المترجمة</w:t>
      </w:r>
      <w:r>
        <w:rPr>
          <w:rFonts w:hint="cs"/>
          <w:rtl/>
        </w:rPr>
        <w:t xml:space="preserve"> شرطا إلزاميا في جميع الحالات.</w:t>
      </w:r>
      <w:r w:rsidR="001D2956">
        <w:rPr>
          <w:rFonts w:hint="cs"/>
          <w:rtl/>
        </w:rPr>
        <w:t xml:space="preserve"> غير أن معظم تلك النصوص المترجمة</w:t>
      </w:r>
      <w:r w:rsidR="00E018AF">
        <w:rPr>
          <w:rFonts w:hint="cs"/>
          <w:rtl/>
        </w:rPr>
        <w:t xml:space="preserve"> يصبح فعلا متاحا للجمهور عن طريق المنشورات الوطنية. وأجري تحليل لأنماط دخول المرحلة الوطنية مقابل المكاتب التي تتيح مجموعاتها الوطنية لركن البراءات (</w:t>
      </w:r>
      <w:r w:rsidR="00E018AF" w:rsidRPr="00E018AF">
        <w:t>PATENTSCOPE</w:t>
      </w:r>
      <w:r w:rsidR="00E018AF">
        <w:rPr>
          <w:rFonts w:hint="cs"/>
          <w:rtl/>
        </w:rPr>
        <w:t xml:space="preserve">) أو غير ذلك من الموارد الرئيسية للمعلومات الخاصة بالبراءات، وخلص ذلك التحليل إلى أن جعل توفير صور </w:t>
      </w:r>
      <w:r w:rsidR="001D2956">
        <w:rPr>
          <w:rFonts w:hint="cs"/>
          <w:rtl/>
        </w:rPr>
        <w:t xml:space="preserve">النصوص المترجمة </w:t>
      </w:r>
      <w:r w:rsidR="00E018AF">
        <w:rPr>
          <w:rFonts w:hint="cs"/>
          <w:rtl/>
        </w:rPr>
        <w:t xml:space="preserve">شرطا إلزاميا في جميع الحالات لن يتيح للجمهور إلا عددا ضئيلا جدا من النسخ المشتملة على معلومات تقنية </w:t>
      </w:r>
      <w:r w:rsidR="00E017B6">
        <w:rPr>
          <w:rFonts w:hint="cs"/>
          <w:rtl/>
        </w:rPr>
        <w:t>بلغات إضافية.</w:t>
      </w:r>
    </w:p>
    <w:p w:rsidR="00E017B6" w:rsidRDefault="00E017B6" w:rsidP="003F4F5A">
      <w:pPr>
        <w:pStyle w:val="NumberedParaAR"/>
      </w:pPr>
      <w:r>
        <w:rPr>
          <w:rFonts w:hint="cs"/>
          <w:rtl/>
        </w:rPr>
        <w:t>وبالتالي يبدو أنه يمكن العمل بفعالية على بلوغ الهدف المتمثّل في تحسين توافر المعلومات التقنية بعدد أكبر من الل</w:t>
      </w:r>
      <w:r w:rsidR="00925254">
        <w:rPr>
          <w:rFonts w:hint="cs"/>
          <w:rtl/>
        </w:rPr>
        <w:t xml:space="preserve">غات المختلفة </w:t>
      </w:r>
      <w:r w:rsidR="003F4F5A">
        <w:rPr>
          <w:rFonts w:hint="cs"/>
          <w:rtl/>
        </w:rPr>
        <w:t>وذلك ب</w:t>
      </w:r>
      <w:r>
        <w:rPr>
          <w:rFonts w:hint="cs"/>
          <w:rtl/>
        </w:rPr>
        <w:t xml:space="preserve">توفير المعلومات المتعلقة بدخول المرحلة الوطنية بغرض التوفيق بموثوقية أكبر بين المنشورات الوطنية </w:t>
      </w:r>
      <w:r w:rsidR="003F4F5A">
        <w:rPr>
          <w:rFonts w:hint="cs"/>
          <w:rtl/>
        </w:rPr>
        <w:t>وما يقابلها من منشورات دولية، وب</w:t>
      </w:r>
      <w:r>
        <w:rPr>
          <w:rFonts w:hint="cs"/>
          <w:rtl/>
        </w:rPr>
        <w:t xml:space="preserve">مواصلة تقديم المساعدة إلى المكاتب </w:t>
      </w:r>
      <w:r w:rsidR="0066392E">
        <w:rPr>
          <w:rFonts w:hint="cs"/>
          <w:rtl/>
        </w:rPr>
        <w:t xml:space="preserve">لتمكينها من إتاحة مجموعات براءاتها الوطنية إلكترونيا. وسيستعرض المكتب الدولي </w:t>
      </w:r>
      <w:r w:rsidR="000257C4">
        <w:rPr>
          <w:rFonts w:hint="cs"/>
          <w:rtl/>
        </w:rPr>
        <w:t>إمكانية توجيه التماسات بموجب القاعدة السارية 1.95 (المقترح إعادة ترقيمها لتصبح القاعدة</w:t>
      </w:r>
      <w:r w:rsidR="000257C4">
        <w:rPr>
          <w:rFonts w:hint="eastAsia"/>
          <w:rtl/>
        </w:rPr>
        <w:t> </w:t>
      </w:r>
      <w:r w:rsidR="000257C4">
        <w:rPr>
          <w:rFonts w:hint="cs"/>
          <w:rtl/>
        </w:rPr>
        <w:t>2.95) إلى آحاد المكاتب في الحالات التي يمكن أن يسهم فيها ذلك في تحسين توافر النسخ اللغوية، إذا كان ذلك الخيار يمثّل بالنسبة لمكتب معي</w:t>
      </w:r>
      <w:r w:rsidR="003F4F5A">
        <w:rPr>
          <w:rFonts w:hint="cs"/>
          <w:rtl/>
        </w:rPr>
        <w:t>ّ</w:t>
      </w:r>
      <w:r w:rsidR="000257C4">
        <w:rPr>
          <w:rFonts w:hint="cs"/>
          <w:rtl/>
        </w:rPr>
        <w:t>ن ما خيارا أسهل من إتاحة مجموعته الوطنية، سواء لأسباب قانونية أو تقنية.</w:t>
      </w:r>
    </w:p>
    <w:p w:rsidR="000257C4" w:rsidRDefault="000257C4" w:rsidP="001D2956">
      <w:pPr>
        <w:pStyle w:val="NumberedParaAR"/>
      </w:pPr>
      <w:r>
        <w:rPr>
          <w:rFonts w:hint="cs"/>
          <w:rtl/>
        </w:rPr>
        <w:t xml:space="preserve">وللمساعدة في تحسين النفاذ </w:t>
      </w:r>
      <w:r w:rsidR="00B53CB6">
        <w:rPr>
          <w:rFonts w:hint="cs"/>
          <w:rtl/>
        </w:rPr>
        <w:t>إلى المعلومات الخاصة بالبراءات بعدد أكبر من اللغات المختلفة، يشتمل ركن البراءات على أدوات متنوعة للمساعدة على البحث في الوثائق بلغات متعد</w:t>
      </w:r>
      <w:r w:rsidR="003F4F5A">
        <w:rPr>
          <w:rFonts w:hint="cs"/>
          <w:rtl/>
        </w:rPr>
        <w:t>ّ</w:t>
      </w:r>
      <w:r w:rsidR="00B53CB6">
        <w:rPr>
          <w:rFonts w:hint="cs"/>
          <w:rtl/>
        </w:rPr>
        <w:t>دة، ولإجراء ترجمة آلية للمنشورات التي لا تُتاح بشأنها أية ترجمة رسمية بلغة محد</w:t>
      </w:r>
      <w:r w:rsidR="003F4F5A">
        <w:rPr>
          <w:rFonts w:hint="cs"/>
          <w:rtl/>
        </w:rPr>
        <w:t>ّ</w:t>
      </w:r>
      <w:r w:rsidR="00B53CB6">
        <w:rPr>
          <w:rFonts w:hint="cs"/>
          <w:rtl/>
        </w:rPr>
        <w:t xml:space="preserve">دة. ومن </w:t>
      </w:r>
      <w:r w:rsidR="000D2F4B">
        <w:rPr>
          <w:rFonts w:hint="cs"/>
          <w:rtl/>
        </w:rPr>
        <w:t xml:space="preserve">المتوقّع أن يمكّن تحسين الاتساق بين </w:t>
      </w:r>
      <w:r w:rsidR="001D2956">
        <w:rPr>
          <w:rFonts w:hint="cs"/>
          <w:rtl/>
        </w:rPr>
        <w:t xml:space="preserve">النصوص المترجمة </w:t>
      </w:r>
      <w:r w:rsidR="000D2F4B">
        <w:rPr>
          <w:rFonts w:hint="cs"/>
          <w:rtl/>
        </w:rPr>
        <w:t>الموجودة من تهذيب الأ</w:t>
      </w:r>
      <w:r w:rsidR="00673792">
        <w:rPr>
          <w:rFonts w:hint="cs"/>
          <w:rtl/>
        </w:rPr>
        <w:t>دوات، ب</w:t>
      </w:r>
      <w:r w:rsidR="000D2F4B">
        <w:rPr>
          <w:rFonts w:hint="cs"/>
          <w:rtl/>
        </w:rPr>
        <w:t xml:space="preserve">ما </w:t>
      </w:r>
      <w:r w:rsidR="00673792">
        <w:rPr>
          <w:rFonts w:hint="cs"/>
          <w:rtl/>
        </w:rPr>
        <w:t>يمكّن من توفير</w:t>
      </w:r>
      <w:r w:rsidR="000D2F4B">
        <w:rPr>
          <w:rFonts w:hint="cs"/>
          <w:rtl/>
        </w:rPr>
        <w:t xml:space="preserve"> نتائج محسنة بخصوص الطلبات الدولية الأخرى التي لا تدخل مرحلة وطنية معي</w:t>
      </w:r>
      <w:r w:rsidR="003F4F5A">
        <w:rPr>
          <w:rFonts w:hint="cs"/>
          <w:rtl/>
        </w:rPr>
        <w:t>ّ</w:t>
      </w:r>
      <w:r w:rsidR="000D2F4B">
        <w:rPr>
          <w:rFonts w:hint="cs"/>
          <w:rtl/>
        </w:rPr>
        <w:t>نة ويجعل الترجمة متاحة بأي لغة م</w:t>
      </w:r>
      <w:r w:rsidR="00673792">
        <w:rPr>
          <w:rFonts w:hint="cs"/>
          <w:rtl/>
        </w:rPr>
        <w:t>ن اللغات المعنية.</w:t>
      </w:r>
    </w:p>
    <w:p w:rsidR="00673792" w:rsidRPr="00673792" w:rsidRDefault="00673792" w:rsidP="00034D69">
      <w:pPr>
        <w:pStyle w:val="NumberedParaAR"/>
        <w:keepNext/>
        <w:numPr>
          <w:ilvl w:val="0"/>
          <w:numId w:val="0"/>
        </w:numPr>
        <w:rPr>
          <w:u w:val="single"/>
          <w:rtl/>
        </w:rPr>
      </w:pPr>
      <w:r w:rsidRPr="00673792">
        <w:rPr>
          <w:rFonts w:hint="cs"/>
          <w:u w:val="single"/>
          <w:rtl/>
        </w:rPr>
        <w:t xml:space="preserve">توافر المعلومات عن وضع </w:t>
      </w:r>
      <w:r w:rsidR="00034D69">
        <w:rPr>
          <w:rFonts w:hint="cs"/>
          <w:u w:val="single"/>
          <w:rtl/>
        </w:rPr>
        <w:t xml:space="preserve">الطلب </w:t>
      </w:r>
      <w:r w:rsidRPr="00673792">
        <w:rPr>
          <w:rFonts w:hint="cs"/>
          <w:u w:val="single"/>
          <w:rtl/>
        </w:rPr>
        <w:t xml:space="preserve">وترجمات </w:t>
      </w:r>
      <w:r w:rsidR="00034D69">
        <w:rPr>
          <w:rFonts w:hint="cs"/>
          <w:u w:val="single"/>
          <w:rtl/>
        </w:rPr>
        <w:t>المرحلة الوطنية</w:t>
      </w:r>
    </w:p>
    <w:p w:rsidR="00673792" w:rsidRDefault="00034D69" w:rsidP="00034B8C">
      <w:pPr>
        <w:pStyle w:val="NumberedParaAR"/>
      </w:pPr>
      <w:r>
        <w:rPr>
          <w:rFonts w:hint="cs"/>
          <w:rtl/>
        </w:rPr>
        <w:t xml:space="preserve">تجدر الإشارة إلى أن </w:t>
      </w:r>
      <w:r w:rsidR="00673792">
        <w:rPr>
          <w:rFonts w:hint="cs"/>
          <w:rtl/>
        </w:rPr>
        <w:t xml:space="preserve">المعلومات </w:t>
      </w:r>
      <w:r>
        <w:rPr>
          <w:rFonts w:hint="cs"/>
          <w:rtl/>
        </w:rPr>
        <w:t>المُقدمة</w:t>
      </w:r>
      <w:r w:rsidR="00673792">
        <w:rPr>
          <w:rFonts w:hint="cs"/>
          <w:rtl/>
        </w:rPr>
        <w:t xml:space="preserve"> </w:t>
      </w:r>
      <w:r>
        <w:rPr>
          <w:rFonts w:hint="cs"/>
          <w:rtl/>
        </w:rPr>
        <w:t xml:space="preserve">بموجب القاعدة </w:t>
      </w:r>
      <w:r w:rsidR="00673792">
        <w:rPr>
          <w:rFonts w:hint="cs"/>
          <w:rtl/>
        </w:rPr>
        <w:t>الجديدة</w:t>
      </w:r>
      <w:r>
        <w:rPr>
          <w:rFonts w:hint="cs"/>
          <w:rtl/>
        </w:rPr>
        <w:t xml:space="preserve"> المقترحة</w:t>
      </w:r>
      <w:r w:rsidR="00673792">
        <w:rPr>
          <w:rFonts w:hint="cs"/>
          <w:rtl/>
        </w:rPr>
        <w:t xml:space="preserve"> </w:t>
      </w:r>
      <w:r w:rsidR="00034B8C">
        <w:rPr>
          <w:rFonts w:hint="cs"/>
          <w:rtl/>
        </w:rPr>
        <w:t>1</w:t>
      </w:r>
      <w:r w:rsidR="00673792">
        <w:rPr>
          <w:rFonts w:hint="cs"/>
          <w:rtl/>
        </w:rPr>
        <w:t xml:space="preserve">.95 فيما يتعلق </w:t>
      </w:r>
      <w:r>
        <w:rPr>
          <w:rFonts w:hint="cs"/>
          <w:rtl/>
        </w:rPr>
        <w:t xml:space="preserve">بالطلبات الدولية المنشورة ستُنشر في ركن البراءات في إطار دوره المتمثّل في توفير جزء نشرة معاهدة التعاون بشأن البراءات </w:t>
      </w:r>
      <w:r w:rsidR="003F4F5A">
        <w:rPr>
          <w:rFonts w:hint="cs"/>
          <w:rtl/>
        </w:rPr>
        <w:t>المتعلق بحدوث الإجراءات</w:t>
      </w:r>
      <w:r>
        <w:rPr>
          <w:rFonts w:hint="cs"/>
          <w:rtl/>
        </w:rPr>
        <w:t xml:space="preserve"> المتصلة بآحاد الطلبات الدولية. ويُقترح تعديل القاعدة 1.86"4" لتوضيح أن المعلومات المنشورة لن تقتصر على المعلومات الخاصة بدخول المرحلة الوطنية، ولكن ستشمل كذلك المعلومات ا</w:t>
      </w:r>
      <w:r w:rsidR="00270826">
        <w:rPr>
          <w:rFonts w:hint="cs"/>
          <w:rtl/>
        </w:rPr>
        <w:t xml:space="preserve">لأخرى المتعلقة بوضع الطلب والمُرسلة بموجب القاعدة الجديدة المقترحة </w:t>
      </w:r>
      <w:r w:rsidR="00034B8C">
        <w:rPr>
          <w:rFonts w:hint="cs"/>
          <w:rtl/>
        </w:rPr>
        <w:t>1</w:t>
      </w:r>
      <w:r w:rsidR="00270826">
        <w:rPr>
          <w:rFonts w:hint="cs"/>
          <w:rtl/>
        </w:rPr>
        <w:t>.95. وستكون تلك المعلومات، فضلا عن إتاحتها في ركن البراءات، متاحة بالجملة للمشتركين في خدمات الويبو لتوفير البيانات، مما يمكّن من دمج المعلومات في خدمات أخرى.</w:t>
      </w:r>
    </w:p>
    <w:p w:rsidR="00270826" w:rsidRPr="00270826" w:rsidRDefault="00270826" w:rsidP="00372936">
      <w:pPr>
        <w:pStyle w:val="NormalParaAR"/>
        <w:keepNext/>
        <w:rPr>
          <w:b/>
          <w:bCs/>
          <w:sz w:val="40"/>
          <w:szCs w:val="40"/>
          <w:rtl/>
        </w:rPr>
      </w:pPr>
      <w:r w:rsidRPr="00270826">
        <w:rPr>
          <w:rFonts w:hint="cs"/>
          <w:b/>
          <w:bCs/>
          <w:sz w:val="40"/>
          <w:szCs w:val="40"/>
          <w:rtl/>
        </w:rPr>
        <w:t xml:space="preserve">العلاقة </w:t>
      </w:r>
      <w:r w:rsidR="008746B9">
        <w:rPr>
          <w:rFonts w:hint="cs"/>
          <w:b/>
          <w:bCs/>
          <w:sz w:val="40"/>
          <w:szCs w:val="40"/>
          <w:rtl/>
        </w:rPr>
        <w:t>ب</w:t>
      </w:r>
      <w:r w:rsidRPr="00270826">
        <w:rPr>
          <w:rFonts w:hint="cs"/>
          <w:b/>
          <w:bCs/>
          <w:sz w:val="40"/>
          <w:szCs w:val="40"/>
          <w:rtl/>
        </w:rPr>
        <w:t>المعلومات</w:t>
      </w:r>
      <w:r w:rsidR="008746B9">
        <w:rPr>
          <w:rFonts w:hint="cs"/>
          <w:b/>
          <w:bCs/>
          <w:sz w:val="40"/>
          <w:szCs w:val="40"/>
          <w:rtl/>
        </w:rPr>
        <w:t xml:space="preserve"> عن وضع الطلبات فيما يخص </w:t>
      </w:r>
      <w:r w:rsidRPr="00270826">
        <w:rPr>
          <w:rFonts w:hint="cs"/>
          <w:b/>
          <w:bCs/>
          <w:sz w:val="40"/>
          <w:szCs w:val="40"/>
          <w:rtl/>
        </w:rPr>
        <w:t>أ</w:t>
      </w:r>
      <w:r w:rsidR="00372936">
        <w:rPr>
          <w:rFonts w:hint="cs"/>
          <w:b/>
          <w:bCs/>
          <w:sz w:val="40"/>
          <w:szCs w:val="40"/>
          <w:rtl/>
        </w:rPr>
        <w:t xml:space="preserve">سر الطلبات </w:t>
      </w:r>
      <w:r w:rsidRPr="00270826">
        <w:rPr>
          <w:rFonts w:hint="cs"/>
          <w:b/>
          <w:bCs/>
          <w:sz w:val="40"/>
          <w:szCs w:val="40"/>
          <w:rtl/>
        </w:rPr>
        <w:t>غير المودعة بناء على معاهدة التعاون بشأن البراءات</w:t>
      </w:r>
    </w:p>
    <w:p w:rsidR="00270826" w:rsidRDefault="00566B96" w:rsidP="00566B96">
      <w:pPr>
        <w:pStyle w:val="NumberedParaAR"/>
      </w:pPr>
      <w:r>
        <w:rPr>
          <w:rFonts w:hint="cs"/>
          <w:rtl/>
        </w:rPr>
        <w:t xml:space="preserve">من الواضح أن تمكين المستخدمين من اكتساب مجموعة كاملة من المعلومات يقتضي امتلاك معلومات عن وضع الطلبات الوطنية المباشرة. ويودّ المكتب الدولي تشجيع </w:t>
      </w:r>
      <w:r w:rsidR="008746B9">
        <w:rPr>
          <w:rFonts w:hint="cs"/>
          <w:rtl/>
        </w:rPr>
        <w:t xml:space="preserve">مكاتب البراءات الوطنية على إتاحة المعلومات </w:t>
      </w:r>
      <w:r w:rsidR="00372936">
        <w:rPr>
          <w:rFonts w:hint="cs"/>
          <w:rtl/>
        </w:rPr>
        <w:t xml:space="preserve">المتعلقة بالطلبات غير المودعة بناء على معاهدة التعاون بشأن البراءات. ولكن هذا الموضوع يتجاوز نطاق الفريق العامل للمعاهدة، مع </w:t>
      </w:r>
      <w:r w:rsidR="003F4F5A">
        <w:rPr>
          <w:rFonts w:hint="cs"/>
          <w:rtl/>
        </w:rPr>
        <w:t xml:space="preserve">لزوم </w:t>
      </w:r>
      <w:r w:rsidR="00372936">
        <w:rPr>
          <w:rFonts w:hint="cs"/>
          <w:rtl/>
        </w:rPr>
        <w:t>الإشارة إلى ما يلي:</w:t>
      </w:r>
    </w:p>
    <w:p w:rsidR="00372936" w:rsidRDefault="00372936" w:rsidP="003F4F5A">
      <w:pPr>
        <w:pStyle w:val="NumberedParaAR"/>
        <w:numPr>
          <w:ilvl w:val="0"/>
          <w:numId w:val="0"/>
        </w:numPr>
        <w:ind w:left="566"/>
        <w:rPr>
          <w:rtl/>
        </w:rPr>
      </w:pPr>
      <w:r>
        <w:rPr>
          <w:rFonts w:hint="cs"/>
          <w:rtl/>
        </w:rPr>
        <w:t>(أ)</w:t>
      </w:r>
      <w:r>
        <w:rPr>
          <w:rtl/>
        </w:rPr>
        <w:tab/>
      </w:r>
      <w:r>
        <w:rPr>
          <w:rFonts w:hint="cs"/>
          <w:rtl/>
        </w:rPr>
        <w:t xml:space="preserve">ينبغي أن يكون </w:t>
      </w:r>
      <w:r w:rsidR="00E70819">
        <w:rPr>
          <w:rFonts w:hint="cs"/>
          <w:rtl/>
        </w:rPr>
        <w:t>ضروريا</w:t>
      </w:r>
      <w:r>
        <w:rPr>
          <w:rFonts w:hint="cs"/>
          <w:rtl/>
        </w:rPr>
        <w:t xml:space="preserve"> بالنسبة إلى مكتب معي</w:t>
      </w:r>
      <w:r w:rsidR="003F4F5A">
        <w:rPr>
          <w:rFonts w:hint="cs"/>
          <w:rtl/>
        </w:rPr>
        <w:t>ّ</w:t>
      </w:r>
      <w:r>
        <w:rPr>
          <w:rFonts w:hint="cs"/>
          <w:rtl/>
        </w:rPr>
        <w:t xml:space="preserve">ن </w:t>
      </w:r>
      <w:r w:rsidR="00E70819">
        <w:rPr>
          <w:rFonts w:hint="cs"/>
          <w:rtl/>
        </w:rPr>
        <w:t>أن يزوّد</w:t>
      </w:r>
      <w:r>
        <w:rPr>
          <w:rFonts w:hint="cs"/>
          <w:rtl/>
        </w:rPr>
        <w:t xml:space="preserve"> </w:t>
      </w:r>
      <w:r w:rsidR="00E70819">
        <w:rPr>
          <w:rFonts w:hint="cs"/>
          <w:rtl/>
        </w:rPr>
        <w:t>المكتب الدولي ب</w:t>
      </w:r>
      <w:r>
        <w:rPr>
          <w:rFonts w:hint="cs"/>
          <w:rtl/>
        </w:rPr>
        <w:t xml:space="preserve">معلومات منتظمة </w:t>
      </w:r>
      <w:r w:rsidR="00E70819">
        <w:rPr>
          <w:rFonts w:hint="cs"/>
          <w:rtl/>
        </w:rPr>
        <w:t xml:space="preserve">يكون القصد منها صراحة تلبية غرض القاعدة الجديدة المقترحة </w:t>
      </w:r>
      <w:r w:rsidR="00034B8C">
        <w:rPr>
          <w:rFonts w:hint="cs"/>
          <w:rtl/>
        </w:rPr>
        <w:t>1</w:t>
      </w:r>
      <w:r w:rsidR="00E70819">
        <w:rPr>
          <w:rFonts w:hint="cs"/>
          <w:rtl/>
        </w:rPr>
        <w:t>.95 إذا كان من الممكن اقتطافها من معلومات منتظمة أعم تُقدم للمكتب الدولي لتلبية أغراض أخرى (مثل نشر المجموعات الوطنية في ركن البراءات) في غضون الم</w:t>
      </w:r>
      <w:r w:rsidR="00BF3147">
        <w:rPr>
          <w:rFonts w:hint="cs"/>
          <w:rtl/>
        </w:rPr>
        <w:t xml:space="preserve">هلة </w:t>
      </w:r>
      <w:r w:rsidR="003F4F5A">
        <w:rPr>
          <w:rFonts w:hint="cs"/>
          <w:rtl/>
        </w:rPr>
        <w:t>المحدّدة</w:t>
      </w:r>
      <w:r w:rsidR="00BF3147">
        <w:rPr>
          <w:rFonts w:hint="cs"/>
          <w:rtl/>
        </w:rPr>
        <w:t>؛</w:t>
      </w:r>
    </w:p>
    <w:p w:rsidR="00BF3147" w:rsidRDefault="00BF3147" w:rsidP="00BF3147">
      <w:pPr>
        <w:pStyle w:val="NumberedParaAR"/>
        <w:numPr>
          <w:ilvl w:val="0"/>
          <w:numId w:val="0"/>
        </w:numPr>
        <w:ind w:left="566"/>
        <w:rPr>
          <w:rtl/>
        </w:rPr>
      </w:pPr>
      <w:r>
        <w:rPr>
          <w:rFonts w:hint="cs"/>
          <w:rtl/>
        </w:rPr>
        <w:t>(ب)</w:t>
      </w:r>
      <w:r>
        <w:rPr>
          <w:rtl/>
        </w:rPr>
        <w:tab/>
      </w:r>
      <w:r>
        <w:rPr>
          <w:rFonts w:hint="cs"/>
          <w:rtl/>
        </w:rPr>
        <w:t xml:space="preserve">وتُعد مسألة توافر وثائق البراءات الوطنية مسألة وجيهة فيما يخص استعراض نطاق الحد الأدنى للوثائق المنصوص عليها في معاهدة التعاون بشأن البراءات (انظر الوثيقة </w:t>
      </w:r>
      <w:r w:rsidRPr="00BF3147">
        <w:t>PCT/WG/8/9</w:t>
      </w:r>
      <w:r>
        <w:rPr>
          <w:rFonts w:hint="cs"/>
          <w:rtl/>
        </w:rPr>
        <w:t>)؛</w:t>
      </w:r>
    </w:p>
    <w:p w:rsidR="00BF3147" w:rsidRDefault="00BF3147" w:rsidP="00BF3147">
      <w:pPr>
        <w:pStyle w:val="NumberedParaAR"/>
        <w:numPr>
          <w:ilvl w:val="0"/>
          <w:numId w:val="0"/>
        </w:numPr>
        <w:ind w:left="566"/>
        <w:rPr>
          <w:rtl/>
        </w:rPr>
      </w:pPr>
      <w:r>
        <w:rPr>
          <w:rFonts w:hint="cs"/>
          <w:rtl/>
        </w:rPr>
        <w:t>(ج)</w:t>
      </w:r>
      <w:r>
        <w:rPr>
          <w:rtl/>
        </w:rPr>
        <w:tab/>
      </w:r>
      <w:r>
        <w:rPr>
          <w:rFonts w:hint="cs"/>
          <w:rtl/>
        </w:rPr>
        <w:t xml:space="preserve">ويقدم المكتب الدولي خدمات مختلفة لمساعدة المكاتب الوطنية في إعداد ونشر معلوماتها </w:t>
      </w:r>
      <w:r w:rsidR="003F4F5A">
        <w:rPr>
          <w:rFonts w:hint="cs"/>
          <w:rtl/>
        </w:rPr>
        <w:t xml:space="preserve">الخاصة </w:t>
      </w:r>
      <w:r>
        <w:rPr>
          <w:rFonts w:hint="cs"/>
          <w:rtl/>
        </w:rPr>
        <w:t>بالبراءات في ركن البراءات أو غير ذلك من الموارد (انظر الفقرات من 19 إلى 22 أدناه)؛</w:t>
      </w:r>
    </w:p>
    <w:p w:rsidR="00BF3147" w:rsidRDefault="00BF3147" w:rsidP="003F4F5A">
      <w:pPr>
        <w:pStyle w:val="NumberedParaAR"/>
        <w:numPr>
          <w:ilvl w:val="0"/>
          <w:numId w:val="0"/>
        </w:numPr>
        <w:ind w:left="566"/>
        <w:rPr>
          <w:rtl/>
        </w:rPr>
      </w:pPr>
      <w:r>
        <w:rPr>
          <w:rFonts w:hint="cs"/>
          <w:rtl/>
        </w:rPr>
        <w:t>(د)</w:t>
      </w:r>
      <w:r>
        <w:rPr>
          <w:rtl/>
        </w:rPr>
        <w:tab/>
      </w:r>
      <w:r w:rsidR="00810F94">
        <w:rPr>
          <w:rFonts w:hint="cs"/>
          <w:rtl/>
        </w:rPr>
        <w:t xml:space="preserve">وما دامت </w:t>
      </w:r>
      <w:r w:rsidR="00E77805">
        <w:rPr>
          <w:rFonts w:hint="cs"/>
          <w:rtl/>
        </w:rPr>
        <w:t>المكاتب الوطنية تعلم</w:t>
      </w:r>
      <w:r>
        <w:rPr>
          <w:rFonts w:hint="cs"/>
          <w:rtl/>
        </w:rPr>
        <w:t xml:space="preserve"> </w:t>
      </w:r>
      <w:r w:rsidR="00E77805">
        <w:rPr>
          <w:rFonts w:hint="cs"/>
          <w:rtl/>
        </w:rPr>
        <w:t xml:space="preserve">الطلبات الوطنية المباشرة التي تتقاسم أولويات مماثلة فيما يخص طلبا </w:t>
      </w:r>
      <w:r w:rsidR="00225094">
        <w:rPr>
          <w:rFonts w:hint="cs"/>
          <w:rtl/>
        </w:rPr>
        <w:t>م</w:t>
      </w:r>
      <w:r w:rsidR="00E77805">
        <w:rPr>
          <w:rFonts w:hint="cs"/>
          <w:rtl/>
        </w:rPr>
        <w:t>ودع</w:t>
      </w:r>
      <w:r w:rsidR="003F4F5A">
        <w:rPr>
          <w:rFonts w:hint="cs"/>
          <w:rtl/>
        </w:rPr>
        <w:t>ا</w:t>
      </w:r>
      <w:r w:rsidR="00E77805">
        <w:rPr>
          <w:rFonts w:hint="cs"/>
          <w:rtl/>
        </w:rPr>
        <w:t xml:space="preserve"> بناء على معاهدة التعاون بشأن البراءات (مثل البراءات "المجازية" في الولايات المتحدة الأمريكية أو الطلبات الجزئية </w:t>
      </w:r>
      <w:r w:rsidR="003F4F5A">
        <w:rPr>
          <w:rFonts w:hint="cs"/>
          <w:rtl/>
        </w:rPr>
        <w:t>المتفرعة</w:t>
      </w:r>
      <w:r w:rsidR="00E77805">
        <w:rPr>
          <w:rFonts w:hint="cs"/>
          <w:rtl/>
        </w:rPr>
        <w:t xml:space="preserve"> عن الطلبات الدولية)، سيكون المكتب الدولي مستعدا لتدوين المعلومات ذات الصلة </w:t>
      </w:r>
      <w:r w:rsidR="00225094">
        <w:rPr>
          <w:rFonts w:hint="cs"/>
          <w:rtl/>
        </w:rPr>
        <w:t>في ركن البراءات.</w:t>
      </w:r>
    </w:p>
    <w:p w:rsidR="00EE570B" w:rsidRPr="00D32438" w:rsidRDefault="00D32438" w:rsidP="00D32438">
      <w:pPr>
        <w:pStyle w:val="NormalParaAR"/>
        <w:keepNext/>
        <w:rPr>
          <w:b/>
          <w:bCs/>
          <w:sz w:val="40"/>
          <w:szCs w:val="40"/>
          <w:rtl/>
        </w:rPr>
      </w:pPr>
      <w:r w:rsidRPr="00D32438">
        <w:rPr>
          <w:rFonts w:hint="cs"/>
          <w:b/>
          <w:bCs/>
          <w:sz w:val="40"/>
          <w:szCs w:val="40"/>
          <w:rtl/>
        </w:rPr>
        <w:t>الأدوات المتاحة لمساعدة المكاتب المعي</w:t>
      </w:r>
      <w:r w:rsidR="00810F94">
        <w:rPr>
          <w:rFonts w:hint="cs"/>
          <w:b/>
          <w:bCs/>
          <w:sz w:val="40"/>
          <w:szCs w:val="40"/>
          <w:rtl/>
        </w:rPr>
        <w:t>ّ</w:t>
      </w:r>
      <w:r w:rsidRPr="00D32438">
        <w:rPr>
          <w:rFonts w:hint="cs"/>
          <w:b/>
          <w:bCs/>
          <w:sz w:val="40"/>
          <w:szCs w:val="40"/>
          <w:rtl/>
        </w:rPr>
        <w:t>نة</w:t>
      </w:r>
    </w:p>
    <w:p w:rsidR="00D32438" w:rsidRDefault="00B30C24" w:rsidP="00810F94">
      <w:pPr>
        <w:pStyle w:val="NumberedParaAR"/>
      </w:pPr>
      <w:r>
        <w:rPr>
          <w:rFonts w:hint="cs"/>
          <w:rtl/>
        </w:rPr>
        <w:t>يوفر المكتب الدولي</w:t>
      </w:r>
      <w:r w:rsidR="00CF60E4">
        <w:rPr>
          <w:rFonts w:hint="cs"/>
          <w:rtl/>
        </w:rPr>
        <w:t>، حاليا،</w:t>
      </w:r>
      <w:r>
        <w:rPr>
          <w:rFonts w:hint="cs"/>
          <w:rtl/>
        </w:rPr>
        <w:t xml:space="preserve"> مواصفات</w:t>
      </w:r>
      <w:r>
        <w:rPr>
          <w:rStyle w:val="FootnoteReference"/>
          <w:rtl/>
        </w:rPr>
        <w:footnoteReference w:id="2"/>
      </w:r>
      <w:r>
        <w:rPr>
          <w:rFonts w:hint="cs"/>
          <w:rtl/>
        </w:rPr>
        <w:t xml:space="preserve"> لإبلاغ المعلومات المتعلقة بوضع المرحلة الوطنية بنسقي</w:t>
      </w:r>
      <w:r>
        <w:rPr>
          <w:rFonts w:hint="eastAsia"/>
          <w:rtl/>
        </w:rPr>
        <w:t> </w:t>
      </w:r>
      <w:r w:rsidRPr="00B30C24">
        <w:t>CSV</w:t>
      </w:r>
      <w:r>
        <w:rPr>
          <w:rFonts w:hint="eastAsia"/>
          <w:rtl/>
        </w:rPr>
        <w:t> </w:t>
      </w:r>
      <w:r>
        <w:rPr>
          <w:rFonts w:hint="cs"/>
          <w:rtl/>
        </w:rPr>
        <w:t>و</w:t>
      </w:r>
      <w:r w:rsidRPr="00B30C24">
        <w:t>XML</w:t>
      </w:r>
      <w:r>
        <w:rPr>
          <w:rFonts w:hint="cs"/>
          <w:rtl/>
        </w:rPr>
        <w:t xml:space="preserve">، </w:t>
      </w:r>
      <w:r w:rsidR="00CF60E4">
        <w:rPr>
          <w:rFonts w:hint="cs"/>
          <w:rtl/>
        </w:rPr>
        <w:t>وإرسالها عن طريق البريد الإلكتروني أو خدمة تبادل البيانات المتاحة في إطار نظام معاهدة التعاون بشأن البراءات</w:t>
      </w:r>
      <w:r w:rsidR="00D8318B">
        <w:rPr>
          <w:rFonts w:hint="cs"/>
          <w:rtl/>
        </w:rPr>
        <w:t xml:space="preserve"> (</w:t>
      </w:r>
      <w:r w:rsidR="00D8318B" w:rsidRPr="00D8318B">
        <w:t>PCT</w:t>
      </w:r>
      <w:r w:rsidR="00D8318B" w:rsidRPr="00D8318B">
        <w:noBreakHyphen/>
        <w:t>EDI</w:t>
      </w:r>
      <w:r w:rsidR="00D8318B">
        <w:rPr>
          <w:rFonts w:hint="cs"/>
          <w:rtl/>
        </w:rPr>
        <w:t>)</w:t>
      </w:r>
      <w:r w:rsidR="00CF60E4">
        <w:rPr>
          <w:rFonts w:hint="cs"/>
          <w:rtl/>
        </w:rPr>
        <w:t xml:space="preserve">، وتشمل تلك </w:t>
      </w:r>
      <w:r w:rsidR="00810F94">
        <w:rPr>
          <w:rFonts w:hint="cs"/>
          <w:rtl/>
        </w:rPr>
        <w:t>المعلومات</w:t>
      </w:r>
      <w:r w:rsidR="00CF60E4">
        <w:rPr>
          <w:rFonts w:hint="cs"/>
          <w:rtl/>
        </w:rPr>
        <w:t xml:space="preserve"> ما يلي:</w:t>
      </w:r>
    </w:p>
    <w:p w:rsidR="00CF60E4" w:rsidRDefault="00CF60E4" w:rsidP="008B698C">
      <w:pPr>
        <w:pStyle w:val="NumberedParaAR"/>
        <w:numPr>
          <w:ilvl w:val="0"/>
          <w:numId w:val="0"/>
        </w:numPr>
        <w:spacing w:after="120"/>
        <w:ind w:left="567"/>
        <w:rPr>
          <w:rtl/>
        </w:rPr>
      </w:pPr>
      <w:r>
        <w:rPr>
          <w:rFonts w:hint="cs"/>
          <w:rtl/>
        </w:rPr>
        <w:t>(أ)</w:t>
      </w:r>
      <w:r>
        <w:rPr>
          <w:rtl/>
        </w:rPr>
        <w:tab/>
      </w:r>
      <w:r w:rsidR="00DA7628">
        <w:rPr>
          <w:rFonts w:hint="cs"/>
          <w:rtl/>
        </w:rPr>
        <w:t>دخول المرحلة الوطنية؛</w:t>
      </w:r>
    </w:p>
    <w:p w:rsidR="00DA7628" w:rsidRDefault="00DA7628" w:rsidP="00810F94">
      <w:pPr>
        <w:pStyle w:val="NumberedParaAR"/>
        <w:numPr>
          <w:ilvl w:val="0"/>
          <w:numId w:val="0"/>
        </w:numPr>
        <w:spacing w:after="120"/>
        <w:ind w:left="567"/>
        <w:rPr>
          <w:rtl/>
        </w:rPr>
      </w:pPr>
      <w:r>
        <w:rPr>
          <w:rFonts w:hint="cs"/>
          <w:rtl/>
        </w:rPr>
        <w:t>(ب)</w:t>
      </w:r>
      <w:r>
        <w:rPr>
          <w:rtl/>
        </w:rPr>
        <w:tab/>
      </w:r>
      <w:r>
        <w:rPr>
          <w:rFonts w:hint="cs"/>
          <w:rtl/>
        </w:rPr>
        <w:t xml:space="preserve">النشر </w:t>
      </w:r>
      <w:r w:rsidR="00810F94">
        <w:rPr>
          <w:rFonts w:hint="cs"/>
          <w:rtl/>
        </w:rPr>
        <w:t>الوطني</w:t>
      </w:r>
      <w:r>
        <w:rPr>
          <w:rFonts w:hint="cs"/>
          <w:rtl/>
        </w:rPr>
        <w:t>؛</w:t>
      </w:r>
    </w:p>
    <w:p w:rsidR="00DA7628" w:rsidRDefault="00DA7628" w:rsidP="008B698C">
      <w:pPr>
        <w:pStyle w:val="NumberedParaAR"/>
        <w:numPr>
          <w:ilvl w:val="0"/>
          <w:numId w:val="0"/>
        </w:numPr>
        <w:spacing w:after="120"/>
        <w:ind w:left="567"/>
        <w:rPr>
          <w:rtl/>
        </w:rPr>
      </w:pPr>
      <w:r>
        <w:rPr>
          <w:rFonts w:hint="cs"/>
          <w:rtl/>
        </w:rPr>
        <w:t>(ج)</w:t>
      </w:r>
      <w:r>
        <w:rPr>
          <w:rtl/>
        </w:rPr>
        <w:tab/>
      </w:r>
      <w:r>
        <w:rPr>
          <w:rFonts w:hint="cs"/>
          <w:rtl/>
        </w:rPr>
        <w:t>الرفض؛</w:t>
      </w:r>
    </w:p>
    <w:p w:rsidR="00DA7628" w:rsidRDefault="00DA7628" w:rsidP="008B698C">
      <w:pPr>
        <w:pStyle w:val="NumberedParaAR"/>
        <w:numPr>
          <w:ilvl w:val="0"/>
          <w:numId w:val="0"/>
        </w:numPr>
        <w:spacing w:after="120"/>
        <w:ind w:left="567"/>
        <w:rPr>
          <w:rtl/>
        </w:rPr>
      </w:pPr>
      <w:r>
        <w:rPr>
          <w:rFonts w:hint="cs"/>
          <w:rtl/>
        </w:rPr>
        <w:t>(د)</w:t>
      </w:r>
      <w:r>
        <w:rPr>
          <w:rtl/>
        </w:rPr>
        <w:tab/>
      </w:r>
      <w:r>
        <w:rPr>
          <w:rFonts w:hint="cs"/>
          <w:rtl/>
        </w:rPr>
        <w:t>المنح؛</w:t>
      </w:r>
    </w:p>
    <w:p w:rsidR="00DA7628" w:rsidRDefault="00DA7628" w:rsidP="008B698C">
      <w:pPr>
        <w:pStyle w:val="NumberedParaAR"/>
        <w:numPr>
          <w:ilvl w:val="0"/>
          <w:numId w:val="0"/>
        </w:numPr>
        <w:spacing w:after="120"/>
        <w:ind w:left="567"/>
        <w:rPr>
          <w:rtl/>
        </w:rPr>
      </w:pPr>
      <w:r>
        <w:rPr>
          <w:rFonts w:hint="cs"/>
          <w:rtl/>
        </w:rPr>
        <w:t>(ه)</w:t>
      </w:r>
      <w:r>
        <w:rPr>
          <w:rtl/>
        </w:rPr>
        <w:tab/>
      </w:r>
      <w:r>
        <w:rPr>
          <w:rFonts w:hint="cs"/>
          <w:rtl/>
        </w:rPr>
        <w:t>السحب؛</w:t>
      </w:r>
    </w:p>
    <w:p w:rsidR="00DA7628" w:rsidRDefault="00DA7628" w:rsidP="008B698C">
      <w:pPr>
        <w:pStyle w:val="NumberedParaAR"/>
        <w:numPr>
          <w:ilvl w:val="0"/>
          <w:numId w:val="0"/>
        </w:numPr>
        <w:spacing w:after="120"/>
        <w:ind w:left="567"/>
        <w:rPr>
          <w:rtl/>
        </w:rPr>
      </w:pPr>
      <w:r>
        <w:rPr>
          <w:rFonts w:hint="cs"/>
          <w:rtl/>
        </w:rPr>
        <w:t>(و)</w:t>
      </w:r>
      <w:r>
        <w:rPr>
          <w:rtl/>
        </w:rPr>
        <w:tab/>
      </w:r>
      <w:r>
        <w:rPr>
          <w:rFonts w:hint="cs"/>
          <w:rtl/>
        </w:rPr>
        <w:t>انقضاء الحماية/عدم الحفاظ عليها؛</w:t>
      </w:r>
    </w:p>
    <w:p w:rsidR="00DA7628" w:rsidRDefault="00DA7628" w:rsidP="00CF60E4">
      <w:pPr>
        <w:pStyle w:val="NumberedParaAR"/>
        <w:numPr>
          <w:ilvl w:val="0"/>
          <w:numId w:val="0"/>
        </w:numPr>
        <w:ind w:left="566"/>
        <w:rPr>
          <w:rtl/>
        </w:rPr>
      </w:pPr>
      <w:r>
        <w:rPr>
          <w:rFonts w:hint="cs"/>
          <w:rtl/>
        </w:rPr>
        <w:t>(ز)</w:t>
      </w:r>
      <w:r>
        <w:rPr>
          <w:rtl/>
        </w:rPr>
        <w:tab/>
      </w:r>
      <w:r>
        <w:rPr>
          <w:rFonts w:hint="cs"/>
          <w:rtl/>
        </w:rPr>
        <w:t>عدم الدخول.</w:t>
      </w:r>
    </w:p>
    <w:p w:rsidR="00DA7628" w:rsidRPr="00CF60E4" w:rsidRDefault="00DA7628" w:rsidP="00D8318B">
      <w:pPr>
        <w:pStyle w:val="NumberedParaAR"/>
        <w:rPr>
          <w:rtl/>
        </w:rPr>
      </w:pPr>
      <w:r>
        <w:rPr>
          <w:rFonts w:hint="cs"/>
          <w:rtl/>
        </w:rPr>
        <w:t>وبالإضافة إلى ذلك، أنشأت اللجنة المعنية بمعايير الويبو، في عام 2013، فرقة عمل تُعنى بالوضع القانوني</w:t>
      </w:r>
      <w:r>
        <w:rPr>
          <w:rStyle w:val="FootnoteReference"/>
          <w:rtl/>
        </w:rPr>
        <w:footnoteReference w:id="3"/>
      </w:r>
      <w:r>
        <w:rPr>
          <w:rFonts w:hint="cs"/>
          <w:rtl/>
        </w:rPr>
        <w:t xml:space="preserve"> وتعكف، ضمن ولايتها، على "</w:t>
      </w:r>
      <w:r w:rsidR="00D8318B" w:rsidRPr="00D8318B">
        <w:rPr>
          <w:rtl/>
        </w:rPr>
        <w:t>إنشاء معيار جديد للويبو لأغراض تبادل مكاتب الملكية الصناعية البيانات الخاصة بالوضع القانوني للبراءات</w:t>
      </w:r>
      <w:r w:rsidR="00D8318B">
        <w:rPr>
          <w:rFonts w:hint="cs"/>
          <w:rtl/>
        </w:rPr>
        <w:t>". وسيسعى المكتب الدولي من أجل قبول المعلومات ذات الصلة وفق المعيار الجديد في أقرب وقت ممكن بعد اعتماده.</w:t>
      </w:r>
    </w:p>
    <w:p w:rsidR="00DA7628" w:rsidRDefault="00D8318B" w:rsidP="00810F94">
      <w:pPr>
        <w:pStyle w:val="NumberedParaAR"/>
      </w:pPr>
      <w:r>
        <w:rPr>
          <w:rFonts w:hint="cs"/>
          <w:rtl/>
        </w:rPr>
        <w:t>وتوفر الخدمة المتاحة للمكاتب المعينة في إطار النظام الإلكتروني لمعاهدة التعاون بشأن البراءات (</w:t>
      </w:r>
      <w:proofErr w:type="spellStart"/>
      <w:r w:rsidRPr="00D8318B">
        <w:t>ePCT</w:t>
      </w:r>
      <w:proofErr w:type="spellEnd"/>
      <w:r>
        <w:rPr>
          <w:rFonts w:hint="cs"/>
          <w:rtl/>
        </w:rPr>
        <w:t xml:space="preserve">) إمكانية </w:t>
      </w:r>
      <w:r w:rsidR="005B0D17">
        <w:rPr>
          <w:rFonts w:hint="cs"/>
          <w:rtl/>
        </w:rPr>
        <w:t xml:space="preserve">الإبلاغ عن حالات دخول المرحلة الوطنية. والغرض الأساسي من تلك الخدمة، في الوقت الراهن، هو تمكين النفاذ إلى ملفات الطلبات الدولية التي دخلت المرحلة الوطنية قبل النشر، ولكن من السهل توسيعها لتوفير نظام لإبلاغ كل المعلومات المطلوبة المتعلقة بوضع المرحلة الوطنية من قبل المكاتب التي لم تكن تشترط حلا </w:t>
      </w:r>
      <w:r w:rsidR="00810F94">
        <w:rPr>
          <w:rFonts w:hint="cs"/>
          <w:rtl/>
        </w:rPr>
        <w:t>مؤتمتا بصورة أكبر</w:t>
      </w:r>
      <w:r w:rsidR="005B0D17">
        <w:rPr>
          <w:rFonts w:hint="cs"/>
          <w:rtl/>
        </w:rPr>
        <w:t>.</w:t>
      </w:r>
    </w:p>
    <w:p w:rsidR="005B0D17" w:rsidRDefault="00364D61" w:rsidP="00810F94">
      <w:pPr>
        <w:pStyle w:val="NumberedParaAR"/>
      </w:pPr>
      <w:r>
        <w:rPr>
          <w:rFonts w:hint="cs"/>
          <w:rtl/>
        </w:rPr>
        <w:t>ويُعد نظام أتمتة الملكية الصناعية (</w:t>
      </w:r>
      <w:r w:rsidRPr="00364D61">
        <w:t>IPAS</w:t>
      </w:r>
      <w:r>
        <w:rPr>
          <w:rFonts w:hint="cs"/>
          <w:rtl/>
        </w:rPr>
        <w:t xml:space="preserve">) الذي توفره </w:t>
      </w:r>
      <w:r w:rsidR="00810F94">
        <w:rPr>
          <w:rFonts w:hint="cs"/>
          <w:rtl/>
        </w:rPr>
        <w:t>الويبو</w:t>
      </w:r>
      <w:r>
        <w:rPr>
          <w:rFonts w:hint="cs"/>
          <w:rtl/>
        </w:rPr>
        <w:t xml:space="preserve"> نظاما مرنا ومعياريا يُستخدم في أكثر من 60</w:t>
      </w:r>
      <w:r w:rsidR="00810F94">
        <w:rPr>
          <w:rFonts w:hint="eastAsia"/>
          <w:rtl/>
        </w:rPr>
        <w:t> </w:t>
      </w:r>
      <w:r>
        <w:rPr>
          <w:rFonts w:hint="cs"/>
          <w:rtl/>
        </w:rPr>
        <w:t xml:space="preserve">مكتبا وطنيا. ويمكن تكييفه وفق احتياجات مكاتب الملكية الصناعية لتمكينها من أتمتة إجراءاتها الخاصة بالملكية الفكرية وإجراءاتها الإدارية من مرحلة تسلم الطلب إلى مرحلة التسجيل، بما في ذلك الإجراءات التي تلي التسجيل، مثل التعديلات والتنازل </w:t>
      </w:r>
      <w:r w:rsidR="00810F94">
        <w:rPr>
          <w:rFonts w:hint="cs"/>
          <w:rtl/>
        </w:rPr>
        <w:t xml:space="preserve">عن الحقوق </w:t>
      </w:r>
      <w:r>
        <w:rPr>
          <w:rFonts w:hint="cs"/>
          <w:rtl/>
        </w:rPr>
        <w:t>والتجديد والرسوم وغير ذلك. و</w:t>
      </w:r>
      <w:r w:rsidR="005B115F">
        <w:rPr>
          <w:rFonts w:hint="cs"/>
          <w:rtl/>
        </w:rPr>
        <w:t xml:space="preserve">تمكّن </w:t>
      </w:r>
      <w:r>
        <w:rPr>
          <w:rFonts w:hint="cs"/>
          <w:rtl/>
        </w:rPr>
        <w:t xml:space="preserve">وحدة </w:t>
      </w:r>
      <w:r w:rsidR="005B115F">
        <w:rPr>
          <w:rFonts w:hint="cs"/>
          <w:rtl/>
        </w:rPr>
        <w:t>البراءات الرئيسية، منهجيا، المكاتب المعي</w:t>
      </w:r>
      <w:r w:rsidR="00810F94">
        <w:rPr>
          <w:rFonts w:hint="cs"/>
          <w:rtl/>
        </w:rPr>
        <w:t>ّ</w:t>
      </w:r>
      <w:r w:rsidR="005B115F">
        <w:rPr>
          <w:rFonts w:hint="cs"/>
          <w:rtl/>
        </w:rPr>
        <w:t xml:space="preserve">نة من جمع كل المعلومات المطلوبة. وهناك </w:t>
      </w:r>
      <w:r w:rsidR="008B698C">
        <w:rPr>
          <w:rFonts w:hint="cs"/>
          <w:rtl/>
        </w:rPr>
        <w:t>وحدة لإخراج البيانات تمكّن من إ</w:t>
      </w:r>
      <w:r w:rsidR="00810F94">
        <w:rPr>
          <w:rFonts w:hint="cs"/>
          <w:rtl/>
        </w:rPr>
        <w:t>خراج المعلومات المناسبة وإرسالها</w:t>
      </w:r>
      <w:r w:rsidR="008B698C">
        <w:rPr>
          <w:rFonts w:hint="cs"/>
          <w:rtl/>
        </w:rPr>
        <w:t xml:space="preserve"> إلى </w:t>
      </w:r>
      <w:r w:rsidR="00736935">
        <w:rPr>
          <w:rFonts w:hint="cs"/>
          <w:rtl/>
        </w:rPr>
        <w:t>ال</w:t>
      </w:r>
      <w:r w:rsidR="008B698C">
        <w:rPr>
          <w:rFonts w:hint="cs"/>
          <w:rtl/>
        </w:rPr>
        <w:t>مكتب الدولي.</w:t>
      </w:r>
    </w:p>
    <w:p w:rsidR="008B698C" w:rsidRDefault="008B698C" w:rsidP="008B698C">
      <w:pPr>
        <w:pStyle w:val="DecisionParaAR"/>
        <w:spacing w:after="480"/>
      </w:pPr>
      <w:r>
        <w:rPr>
          <w:rFonts w:hint="cs"/>
          <w:rtl/>
        </w:rPr>
        <w:t>إن الفريق العامل مدعوٌ إلى النظر في التعديلات المقترح إدخالها على اللائحة التنفيذية والواردة في مرفق هذه الوثيقة.</w:t>
      </w:r>
    </w:p>
    <w:p w:rsidR="00330AFE" w:rsidRDefault="008B698C" w:rsidP="008B698C">
      <w:pPr>
        <w:pStyle w:val="EndofDocumentAR"/>
        <w:rPr>
          <w:rtl/>
        </w:rPr>
        <w:sectPr w:rsidR="00330AFE"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8B698C" w:rsidRPr="00E2741A" w:rsidRDefault="006D51B8" w:rsidP="00E2741A">
      <w:pPr>
        <w:pStyle w:val="NormalParaAR"/>
        <w:jc w:val="center"/>
        <w:rPr>
          <w:sz w:val="40"/>
          <w:szCs w:val="40"/>
          <w:rtl/>
        </w:rPr>
      </w:pPr>
      <w:r w:rsidRPr="00E2741A">
        <w:rPr>
          <w:rFonts w:hint="cs"/>
          <w:sz w:val="40"/>
          <w:szCs w:val="40"/>
          <w:rtl/>
        </w:rPr>
        <w:t>التعديلات المقترح إدخالها على اللائحة التنفيذية لمعاهدة التعاون بشأن البراءات</w:t>
      </w:r>
      <w:r w:rsidRPr="00E2741A">
        <w:rPr>
          <w:rStyle w:val="FootnoteReference"/>
          <w:sz w:val="40"/>
          <w:szCs w:val="40"/>
          <w:rtl/>
        </w:rPr>
        <w:footnoteReference w:id="4"/>
      </w:r>
    </w:p>
    <w:p w:rsidR="006D51B8" w:rsidRDefault="00E2741A" w:rsidP="00E2741A">
      <w:pPr>
        <w:pStyle w:val="NormalParaAR"/>
        <w:spacing w:after="480"/>
        <w:jc w:val="center"/>
        <w:rPr>
          <w:sz w:val="40"/>
          <w:szCs w:val="40"/>
          <w:rtl/>
        </w:rPr>
      </w:pPr>
      <w:r w:rsidRPr="00E2741A">
        <w:rPr>
          <w:rFonts w:hint="cs"/>
          <w:sz w:val="40"/>
          <w:szCs w:val="40"/>
          <w:rtl/>
        </w:rPr>
        <w:t>المحتويات</w:t>
      </w:r>
    </w:p>
    <w:p w:rsidR="00C52B2E" w:rsidRPr="00C52B2E" w:rsidRDefault="009D14A0" w:rsidP="00C52B2E">
      <w:pPr>
        <w:pStyle w:val="TOC1"/>
        <w:rPr>
          <w:rFonts w:ascii="Arabic Typesetting" w:eastAsiaTheme="minorEastAsia" w:hAnsi="Arabic Typesetting" w:cs="Arabic Typesetting"/>
          <w:noProof/>
          <w:sz w:val="36"/>
          <w:szCs w:val="36"/>
        </w:rPr>
      </w:pPr>
      <w:r w:rsidRPr="00C52B2E">
        <w:rPr>
          <w:rFonts w:ascii="Arabic Typesetting" w:hAnsi="Arabic Typesetting" w:cs="Arabic Typesetting"/>
          <w:sz w:val="36"/>
          <w:szCs w:val="36"/>
          <w:rtl/>
        </w:rPr>
        <w:fldChar w:fldCharType="begin"/>
      </w:r>
      <w:r w:rsidRPr="00C52B2E">
        <w:rPr>
          <w:rFonts w:ascii="Arabic Typesetting" w:hAnsi="Arabic Typesetting" w:cs="Arabic Typesetting"/>
          <w:sz w:val="36"/>
          <w:szCs w:val="36"/>
          <w:rtl/>
        </w:rPr>
        <w:instrText xml:space="preserve"> </w:instrText>
      </w:r>
      <w:r w:rsidRPr="00C52B2E">
        <w:rPr>
          <w:rFonts w:ascii="Arabic Typesetting" w:hAnsi="Arabic Typesetting" w:cs="Arabic Typesetting"/>
          <w:sz w:val="36"/>
          <w:szCs w:val="36"/>
        </w:rPr>
        <w:instrText>TOC</w:instrText>
      </w:r>
      <w:r w:rsidRPr="00C52B2E">
        <w:rPr>
          <w:rFonts w:ascii="Arabic Typesetting" w:hAnsi="Arabic Typesetting" w:cs="Arabic Typesetting"/>
          <w:sz w:val="36"/>
          <w:szCs w:val="36"/>
          <w:rtl/>
        </w:rPr>
        <w:instrText xml:space="preserve"> \</w:instrText>
      </w:r>
      <w:r w:rsidRPr="00C52B2E">
        <w:rPr>
          <w:rFonts w:ascii="Arabic Typesetting" w:hAnsi="Arabic Typesetting" w:cs="Arabic Typesetting"/>
          <w:sz w:val="36"/>
          <w:szCs w:val="36"/>
        </w:rPr>
        <w:instrText>o "1-2" \h \z \u</w:instrText>
      </w:r>
      <w:r w:rsidRPr="00C52B2E">
        <w:rPr>
          <w:rFonts w:ascii="Arabic Typesetting" w:hAnsi="Arabic Typesetting" w:cs="Arabic Typesetting"/>
          <w:sz w:val="36"/>
          <w:szCs w:val="36"/>
          <w:rtl/>
        </w:rPr>
        <w:instrText xml:space="preserve"> </w:instrText>
      </w:r>
      <w:r w:rsidRPr="00C52B2E">
        <w:rPr>
          <w:rFonts w:ascii="Arabic Typesetting" w:hAnsi="Arabic Typesetting" w:cs="Arabic Typesetting"/>
          <w:sz w:val="36"/>
          <w:szCs w:val="36"/>
          <w:rtl/>
        </w:rPr>
        <w:fldChar w:fldCharType="separate"/>
      </w:r>
      <w:hyperlink w:anchor="_Toc416167481" w:history="1">
        <w:r w:rsidR="00C52B2E" w:rsidRPr="00C52B2E">
          <w:rPr>
            <w:rStyle w:val="Hyperlink"/>
            <w:rFonts w:ascii="Arabic Typesetting" w:hAnsi="Arabic Typesetting" w:cs="Arabic Typesetting"/>
            <w:noProof/>
            <w:sz w:val="36"/>
            <w:szCs w:val="36"/>
            <w:rtl/>
          </w:rPr>
          <w:t>القاعدة 86   الجريدة</w:t>
        </w:r>
        <w:r w:rsidR="00C52B2E" w:rsidRPr="00C52B2E">
          <w:rPr>
            <w:rFonts w:ascii="Arabic Typesetting" w:hAnsi="Arabic Typesetting" w:cs="Arabic Typesetting"/>
            <w:noProof/>
            <w:webHidden/>
            <w:sz w:val="36"/>
            <w:szCs w:val="36"/>
          </w:rPr>
          <w:tab/>
        </w:r>
        <w:r w:rsidR="00C52B2E" w:rsidRPr="00C52B2E">
          <w:rPr>
            <w:rFonts w:ascii="Arabic Typesetting" w:hAnsi="Arabic Typesetting" w:cs="Arabic Typesetting"/>
            <w:noProof/>
            <w:webHidden/>
            <w:sz w:val="36"/>
            <w:szCs w:val="36"/>
          </w:rPr>
          <w:fldChar w:fldCharType="begin"/>
        </w:r>
        <w:r w:rsidR="00C52B2E" w:rsidRPr="00C52B2E">
          <w:rPr>
            <w:rFonts w:ascii="Arabic Typesetting" w:hAnsi="Arabic Typesetting" w:cs="Arabic Typesetting"/>
            <w:noProof/>
            <w:webHidden/>
            <w:sz w:val="36"/>
            <w:szCs w:val="36"/>
          </w:rPr>
          <w:instrText xml:space="preserve"> PAGEREF _Toc416167481 \h </w:instrText>
        </w:r>
        <w:r w:rsidR="00C52B2E" w:rsidRPr="00C52B2E">
          <w:rPr>
            <w:rFonts w:ascii="Arabic Typesetting" w:hAnsi="Arabic Typesetting" w:cs="Arabic Typesetting"/>
            <w:noProof/>
            <w:webHidden/>
            <w:sz w:val="36"/>
            <w:szCs w:val="36"/>
          </w:rPr>
        </w:r>
        <w:r w:rsidR="00C52B2E" w:rsidRPr="00C52B2E">
          <w:rPr>
            <w:rFonts w:ascii="Arabic Typesetting" w:hAnsi="Arabic Typesetting" w:cs="Arabic Typesetting"/>
            <w:noProof/>
            <w:webHidden/>
            <w:sz w:val="36"/>
            <w:szCs w:val="36"/>
          </w:rPr>
          <w:fldChar w:fldCharType="separate"/>
        </w:r>
        <w:r w:rsidR="001E0054">
          <w:rPr>
            <w:rFonts w:ascii="Arabic Typesetting" w:hAnsi="Arabic Typesetting" w:cs="Arabic Typesetting"/>
            <w:noProof/>
            <w:webHidden/>
            <w:sz w:val="36"/>
            <w:szCs w:val="36"/>
            <w:rtl/>
          </w:rPr>
          <w:t>2</w:t>
        </w:r>
        <w:r w:rsidR="00C52B2E" w:rsidRPr="00C52B2E">
          <w:rPr>
            <w:rFonts w:ascii="Arabic Typesetting" w:hAnsi="Arabic Typesetting" w:cs="Arabic Typesetting"/>
            <w:noProof/>
            <w:webHidden/>
            <w:sz w:val="36"/>
            <w:szCs w:val="36"/>
          </w:rPr>
          <w:fldChar w:fldCharType="end"/>
        </w:r>
      </w:hyperlink>
    </w:p>
    <w:p w:rsidR="00C52B2E" w:rsidRPr="00C52B2E" w:rsidRDefault="008A252C" w:rsidP="00C52B2E">
      <w:pPr>
        <w:pStyle w:val="TOC2"/>
        <w:tabs>
          <w:tab w:val="right" w:leader="dot" w:pos="9345"/>
        </w:tabs>
        <w:bidi/>
        <w:rPr>
          <w:rFonts w:ascii="Arabic Typesetting" w:eastAsiaTheme="minorEastAsia" w:hAnsi="Arabic Typesetting" w:cs="Arabic Typesetting"/>
          <w:noProof/>
          <w:sz w:val="36"/>
          <w:szCs w:val="36"/>
        </w:rPr>
      </w:pPr>
      <w:hyperlink w:anchor="_Toc416167482" w:history="1">
        <w:r w:rsidR="00C52B2E" w:rsidRPr="00C52B2E">
          <w:rPr>
            <w:rStyle w:val="Hyperlink"/>
            <w:rFonts w:ascii="Arabic Typesetting" w:hAnsi="Arabic Typesetting" w:cs="Arabic Typesetting"/>
            <w:noProof/>
            <w:sz w:val="36"/>
            <w:szCs w:val="36"/>
            <w:rtl/>
          </w:rPr>
          <w:t xml:space="preserve">1.86  </w:t>
        </w:r>
        <w:r w:rsidR="00C52B2E" w:rsidRPr="00C52B2E">
          <w:rPr>
            <w:rStyle w:val="Hyperlink"/>
            <w:rFonts w:ascii="Arabic Typesetting" w:hAnsi="Arabic Typesetting" w:cs="Arabic Typesetting"/>
            <w:i/>
            <w:iCs/>
            <w:noProof/>
            <w:sz w:val="36"/>
            <w:szCs w:val="36"/>
            <w:rtl/>
          </w:rPr>
          <w:t>المحتويات</w:t>
        </w:r>
        <w:r w:rsidR="00C52B2E" w:rsidRPr="00C52B2E">
          <w:rPr>
            <w:rFonts w:ascii="Arabic Typesetting" w:hAnsi="Arabic Typesetting" w:cs="Arabic Typesetting"/>
            <w:noProof/>
            <w:webHidden/>
            <w:sz w:val="36"/>
            <w:szCs w:val="36"/>
          </w:rPr>
          <w:tab/>
        </w:r>
        <w:r w:rsidR="00C52B2E" w:rsidRPr="00C52B2E">
          <w:rPr>
            <w:rFonts w:ascii="Arabic Typesetting" w:hAnsi="Arabic Typesetting" w:cs="Arabic Typesetting"/>
            <w:noProof/>
            <w:webHidden/>
            <w:sz w:val="36"/>
            <w:szCs w:val="36"/>
          </w:rPr>
          <w:fldChar w:fldCharType="begin"/>
        </w:r>
        <w:r w:rsidR="00C52B2E" w:rsidRPr="00C52B2E">
          <w:rPr>
            <w:rFonts w:ascii="Arabic Typesetting" w:hAnsi="Arabic Typesetting" w:cs="Arabic Typesetting"/>
            <w:noProof/>
            <w:webHidden/>
            <w:sz w:val="36"/>
            <w:szCs w:val="36"/>
          </w:rPr>
          <w:instrText xml:space="preserve"> PAGEREF _Toc416167482 \h </w:instrText>
        </w:r>
        <w:r w:rsidR="00C52B2E" w:rsidRPr="00C52B2E">
          <w:rPr>
            <w:rFonts w:ascii="Arabic Typesetting" w:hAnsi="Arabic Typesetting" w:cs="Arabic Typesetting"/>
            <w:noProof/>
            <w:webHidden/>
            <w:sz w:val="36"/>
            <w:szCs w:val="36"/>
          </w:rPr>
        </w:r>
        <w:r w:rsidR="00C52B2E" w:rsidRPr="00C52B2E">
          <w:rPr>
            <w:rFonts w:ascii="Arabic Typesetting" w:hAnsi="Arabic Typesetting" w:cs="Arabic Typesetting"/>
            <w:noProof/>
            <w:webHidden/>
            <w:sz w:val="36"/>
            <w:szCs w:val="36"/>
          </w:rPr>
          <w:fldChar w:fldCharType="separate"/>
        </w:r>
        <w:r w:rsidR="001E0054">
          <w:rPr>
            <w:rFonts w:ascii="Arabic Typesetting" w:hAnsi="Arabic Typesetting" w:cs="Arabic Typesetting"/>
            <w:noProof/>
            <w:webHidden/>
            <w:sz w:val="36"/>
            <w:szCs w:val="36"/>
            <w:rtl/>
          </w:rPr>
          <w:t>2</w:t>
        </w:r>
        <w:r w:rsidR="00C52B2E" w:rsidRPr="00C52B2E">
          <w:rPr>
            <w:rFonts w:ascii="Arabic Typesetting" w:hAnsi="Arabic Typesetting" w:cs="Arabic Typesetting"/>
            <w:noProof/>
            <w:webHidden/>
            <w:sz w:val="36"/>
            <w:szCs w:val="36"/>
          </w:rPr>
          <w:fldChar w:fldCharType="end"/>
        </w:r>
      </w:hyperlink>
    </w:p>
    <w:p w:rsidR="00C52B2E" w:rsidRPr="00C52B2E" w:rsidRDefault="008A252C" w:rsidP="00C52B2E">
      <w:pPr>
        <w:pStyle w:val="TOC2"/>
        <w:tabs>
          <w:tab w:val="right" w:leader="dot" w:pos="9345"/>
        </w:tabs>
        <w:bidi/>
        <w:rPr>
          <w:rFonts w:ascii="Arabic Typesetting" w:eastAsiaTheme="minorEastAsia" w:hAnsi="Arabic Typesetting" w:cs="Arabic Typesetting"/>
          <w:noProof/>
          <w:sz w:val="36"/>
          <w:szCs w:val="36"/>
        </w:rPr>
      </w:pPr>
      <w:hyperlink w:anchor="_Toc416167483" w:history="1">
        <w:r w:rsidR="00C52B2E" w:rsidRPr="00C52B2E">
          <w:rPr>
            <w:rStyle w:val="Hyperlink"/>
            <w:rFonts w:ascii="Arabic Typesetting" w:hAnsi="Arabic Typesetting" w:cs="Arabic Typesetting"/>
            <w:noProof/>
            <w:sz w:val="36"/>
            <w:szCs w:val="36"/>
            <w:rtl/>
          </w:rPr>
          <w:t xml:space="preserve">من 2.86 إلى 6.86  </w:t>
        </w:r>
        <w:r w:rsidR="00C52B2E" w:rsidRPr="00C52B2E">
          <w:rPr>
            <w:rStyle w:val="Hyperlink"/>
            <w:rFonts w:ascii="Arabic Typesetting" w:hAnsi="Arabic Typesetting" w:cs="Arabic Typesetting"/>
            <w:i/>
            <w:iCs/>
            <w:noProof/>
            <w:sz w:val="36"/>
            <w:szCs w:val="36"/>
            <w:rtl/>
          </w:rPr>
          <w:t>[دون تغيير]</w:t>
        </w:r>
        <w:r w:rsidR="00C52B2E" w:rsidRPr="00C52B2E">
          <w:rPr>
            <w:rFonts w:ascii="Arabic Typesetting" w:hAnsi="Arabic Typesetting" w:cs="Arabic Typesetting"/>
            <w:noProof/>
            <w:webHidden/>
            <w:sz w:val="36"/>
            <w:szCs w:val="36"/>
          </w:rPr>
          <w:tab/>
        </w:r>
        <w:r w:rsidR="00C52B2E" w:rsidRPr="00C52B2E">
          <w:rPr>
            <w:rFonts w:ascii="Arabic Typesetting" w:hAnsi="Arabic Typesetting" w:cs="Arabic Typesetting"/>
            <w:noProof/>
            <w:webHidden/>
            <w:sz w:val="36"/>
            <w:szCs w:val="36"/>
          </w:rPr>
          <w:fldChar w:fldCharType="begin"/>
        </w:r>
        <w:r w:rsidR="00C52B2E" w:rsidRPr="00C52B2E">
          <w:rPr>
            <w:rFonts w:ascii="Arabic Typesetting" w:hAnsi="Arabic Typesetting" w:cs="Arabic Typesetting"/>
            <w:noProof/>
            <w:webHidden/>
            <w:sz w:val="36"/>
            <w:szCs w:val="36"/>
          </w:rPr>
          <w:instrText xml:space="preserve"> PAGEREF _Toc416167483 \h </w:instrText>
        </w:r>
        <w:r w:rsidR="00C52B2E" w:rsidRPr="00C52B2E">
          <w:rPr>
            <w:rFonts w:ascii="Arabic Typesetting" w:hAnsi="Arabic Typesetting" w:cs="Arabic Typesetting"/>
            <w:noProof/>
            <w:webHidden/>
            <w:sz w:val="36"/>
            <w:szCs w:val="36"/>
          </w:rPr>
        </w:r>
        <w:r w:rsidR="00C52B2E" w:rsidRPr="00C52B2E">
          <w:rPr>
            <w:rFonts w:ascii="Arabic Typesetting" w:hAnsi="Arabic Typesetting" w:cs="Arabic Typesetting"/>
            <w:noProof/>
            <w:webHidden/>
            <w:sz w:val="36"/>
            <w:szCs w:val="36"/>
          </w:rPr>
          <w:fldChar w:fldCharType="separate"/>
        </w:r>
        <w:r w:rsidR="001E0054">
          <w:rPr>
            <w:rFonts w:ascii="Arabic Typesetting" w:hAnsi="Arabic Typesetting" w:cs="Arabic Typesetting"/>
            <w:noProof/>
            <w:webHidden/>
            <w:sz w:val="36"/>
            <w:szCs w:val="36"/>
            <w:rtl/>
          </w:rPr>
          <w:t>2</w:t>
        </w:r>
        <w:r w:rsidR="00C52B2E" w:rsidRPr="00C52B2E">
          <w:rPr>
            <w:rFonts w:ascii="Arabic Typesetting" w:hAnsi="Arabic Typesetting" w:cs="Arabic Typesetting"/>
            <w:noProof/>
            <w:webHidden/>
            <w:sz w:val="36"/>
            <w:szCs w:val="36"/>
          </w:rPr>
          <w:fldChar w:fldCharType="end"/>
        </w:r>
      </w:hyperlink>
    </w:p>
    <w:p w:rsidR="00C52B2E" w:rsidRPr="00C52B2E" w:rsidRDefault="008A252C" w:rsidP="00C52B2E">
      <w:pPr>
        <w:pStyle w:val="TOC1"/>
        <w:rPr>
          <w:rFonts w:ascii="Arabic Typesetting" w:eastAsiaTheme="minorEastAsia" w:hAnsi="Arabic Typesetting" w:cs="Arabic Typesetting"/>
          <w:noProof/>
          <w:sz w:val="36"/>
          <w:szCs w:val="36"/>
        </w:rPr>
      </w:pPr>
      <w:hyperlink w:anchor="_Toc416167484" w:history="1">
        <w:r w:rsidR="00C52B2E" w:rsidRPr="00C52B2E">
          <w:rPr>
            <w:rStyle w:val="Hyperlink"/>
            <w:rFonts w:ascii="Arabic Typesetting" w:hAnsi="Arabic Typesetting" w:cs="Arabic Typesetting"/>
            <w:noProof/>
            <w:sz w:val="36"/>
            <w:szCs w:val="36"/>
            <w:rtl/>
          </w:rPr>
          <w:t xml:space="preserve">القاعدة 95   </w:t>
        </w:r>
        <w:r w:rsidR="00C52B2E" w:rsidRPr="00C52B2E">
          <w:rPr>
            <w:rStyle w:val="Hyperlink"/>
            <w:rFonts w:ascii="Arabic Typesetting" w:hAnsi="Arabic Typesetting" w:cs="Arabic Typesetting"/>
            <w:strike/>
            <w:noProof/>
            <w:color w:val="FF0000"/>
            <w:sz w:val="36"/>
            <w:szCs w:val="36"/>
            <w:rtl/>
          </w:rPr>
          <w:t>الاستحصال على صور عن النصوص المترجمة</w:t>
        </w:r>
        <w:r w:rsidR="00C52B2E" w:rsidRPr="00C52B2E">
          <w:rPr>
            <w:rStyle w:val="Hyperlink"/>
            <w:rFonts w:ascii="Arabic Typesetting" w:hAnsi="Arabic Typesetting" w:cs="Arabic Typesetting"/>
            <w:noProof/>
            <w:sz w:val="36"/>
            <w:szCs w:val="36"/>
            <w:rtl/>
          </w:rPr>
          <w:t xml:space="preserve"> ت</w:t>
        </w:r>
        <w:r w:rsidR="00C52B2E" w:rsidRPr="00C52B2E">
          <w:rPr>
            <w:rStyle w:val="Hyperlink"/>
            <w:rFonts w:ascii="Arabic Typesetting" w:hAnsi="Arabic Typesetting" w:cs="Arabic Typesetting"/>
            <w:noProof/>
            <w:color w:val="0000FF"/>
            <w:sz w:val="36"/>
            <w:szCs w:val="36"/>
            <w:rtl/>
          </w:rPr>
          <w:t>لقي المعلومات والنصوص المترجمة من المكاتب المعيّنة والمكاتب المختارة</w:t>
        </w:r>
        <w:r w:rsidR="00C52B2E" w:rsidRPr="00C52B2E">
          <w:rPr>
            <w:rFonts w:ascii="Arabic Typesetting" w:hAnsi="Arabic Typesetting" w:cs="Arabic Typesetting"/>
            <w:noProof/>
            <w:webHidden/>
            <w:sz w:val="36"/>
            <w:szCs w:val="36"/>
          </w:rPr>
          <w:tab/>
        </w:r>
        <w:r w:rsidR="00C52B2E" w:rsidRPr="00C52B2E">
          <w:rPr>
            <w:rFonts w:ascii="Arabic Typesetting" w:hAnsi="Arabic Typesetting" w:cs="Arabic Typesetting"/>
            <w:noProof/>
            <w:webHidden/>
            <w:sz w:val="36"/>
            <w:szCs w:val="36"/>
          </w:rPr>
          <w:fldChar w:fldCharType="begin"/>
        </w:r>
        <w:r w:rsidR="00C52B2E" w:rsidRPr="00C52B2E">
          <w:rPr>
            <w:rFonts w:ascii="Arabic Typesetting" w:hAnsi="Arabic Typesetting" w:cs="Arabic Typesetting"/>
            <w:noProof/>
            <w:webHidden/>
            <w:sz w:val="36"/>
            <w:szCs w:val="36"/>
          </w:rPr>
          <w:instrText xml:space="preserve"> PAGEREF _Toc416167484 \h </w:instrText>
        </w:r>
        <w:r w:rsidR="00C52B2E" w:rsidRPr="00C52B2E">
          <w:rPr>
            <w:rFonts w:ascii="Arabic Typesetting" w:hAnsi="Arabic Typesetting" w:cs="Arabic Typesetting"/>
            <w:noProof/>
            <w:webHidden/>
            <w:sz w:val="36"/>
            <w:szCs w:val="36"/>
          </w:rPr>
        </w:r>
        <w:r w:rsidR="00C52B2E" w:rsidRPr="00C52B2E">
          <w:rPr>
            <w:rFonts w:ascii="Arabic Typesetting" w:hAnsi="Arabic Typesetting" w:cs="Arabic Typesetting"/>
            <w:noProof/>
            <w:webHidden/>
            <w:sz w:val="36"/>
            <w:szCs w:val="36"/>
          </w:rPr>
          <w:fldChar w:fldCharType="separate"/>
        </w:r>
        <w:r w:rsidR="001E0054">
          <w:rPr>
            <w:rFonts w:ascii="Arabic Typesetting" w:hAnsi="Arabic Typesetting" w:cs="Arabic Typesetting"/>
            <w:noProof/>
            <w:webHidden/>
            <w:sz w:val="36"/>
            <w:szCs w:val="36"/>
            <w:rtl/>
          </w:rPr>
          <w:t>3</w:t>
        </w:r>
        <w:r w:rsidR="00C52B2E" w:rsidRPr="00C52B2E">
          <w:rPr>
            <w:rFonts w:ascii="Arabic Typesetting" w:hAnsi="Arabic Typesetting" w:cs="Arabic Typesetting"/>
            <w:noProof/>
            <w:webHidden/>
            <w:sz w:val="36"/>
            <w:szCs w:val="36"/>
          </w:rPr>
          <w:fldChar w:fldCharType="end"/>
        </w:r>
      </w:hyperlink>
    </w:p>
    <w:p w:rsidR="00C52B2E" w:rsidRPr="00C52B2E" w:rsidRDefault="008A252C" w:rsidP="00C52B2E">
      <w:pPr>
        <w:pStyle w:val="TOC2"/>
        <w:tabs>
          <w:tab w:val="right" w:leader="dot" w:pos="9345"/>
        </w:tabs>
        <w:bidi/>
        <w:rPr>
          <w:rFonts w:ascii="Arabic Typesetting" w:eastAsiaTheme="minorEastAsia" w:hAnsi="Arabic Typesetting" w:cs="Arabic Typesetting"/>
          <w:noProof/>
          <w:sz w:val="36"/>
          <w:szCs w:val="36"/>
        </w:rPr>
      </w:pPr>
      <w:hyperlink w:anchor="_Toc416167485" w:history="1">
        <w:r w:rsidR="00C52B2E" w:rsidRPr="00C52B2E">
          <w:rPr>
            <w:rStyle w:val="Hyperlink"/>
            <w:rFonts w:ascii="Arabic Typesetting" w:hAnsi="Arabic Typesetting" w:cs="Arabic Typesetting"/>
            <w:i/>
            <w:iCs/>
            <w:noProof/>
            <w:color w:val="0000FF"/>
            <w:sz w:val="36"/>
            <w:szCs w:val="36"/>
            <w:u w:val="none"/>
            <w:rtl/>
          </w:rPr>
          <w:t>1.95  المعلومات المتعلقة بحدوث الإجراءات في المكاتب المعيّنة والمكاتب المختار</w:t>
        </w:r>
        <w:r w:rsidR="00C52B2E" w:rsidRPr="00C52B2E">
          <w:rPr>
            <w:rStyle w:val="Hyperlink"/>
            <w:rFonts w:ascii="Arabic Typesetting" w:hAnsi="Arabic Typesetting" w:cs="Arabic Typesetting"/>
            <w:i/>
            <w:iCs/>
            <w:noProof/>
            <w:sz w:val="36"/>
            <w:szCs w:val="36"/>
            <w:rtl/>
          </w:rPr>
          <w:t>ة</w:t>
        </w:r>
        <w:r w:rsidR="00C52B2E" w:rsidRPr="00C52B2E">
          <w:rPr>
            <w:rFonts w:ascii="Arabic Typesetting" w:hAnsi="Arabic Typesetting" w:cs="Arabic Typesetting"/>
            <w:noProof/>
            <w:webHidden/>
            <w:sz w:val="36"/>
            <w:szCs w:val="36"/>
          </w:rPr>
          <w:tab/>
        </w:r>
        <w:r w:rsidR="00C52B2E" w:rsidRPr="00C52B2E">
          <w:rPr>
            <w:rFonts w:ascii="Arabic Typesetting" w:hAnsi="Arabic Typesetting" w:cs="Arabic Typesetting"/>
            <w:noProof/>
            <w:webHidden/>
            <w:sz w:val="36"/>
            <w:szCs w:val="36"/>
          </w:rPr>
          <w:fldChar w:fldCharType="begin"/>
        </w:r>
        <w:r w:rsidR="00C52B2E" w:rsidRPr="00C52B2E">
          <w:rPr>
            <w:rFonts w:ascii="Arabic Typesetting" w:hAnsi="Arabic Typesetting" w:cs="Arabic Typesetting"/>
            <w:noProof/>
            <w:webHidden/>
            <w:sz w:val="36"/>
            <w:szCs w:val="36"/>
          </w:rPr>
          <w:instrText xml:space="preserve"> PAGEREF _Toc416167485 \h </w:instrText>
        </w:r>
        <w:r w:rsidR="00C52B2E" w:rsidRPr="00C52B2E">
          <w:rPr>
            <w:rFonts w:ascii="Arabic Typesetting" w:hAnsi="Arabic Typesetting" w:cs="Arabic Typesetting"/>
            <w:noProof/>
            <w:webHidden/>
            <w:sz w:val="36"/>
            <w:szCs w:val="36"/>
          </w:rPr>
        </w:r>
        <w:r w:rsidR="00C52B2E" w:rsidRPr="00C52B2E">
          <w:rPr>
            <w:rFonts w:ascii="Arabic Typesetting" w:hAnsi="Arabic Typesetting" w:cs="Arabic Typesetting"/>
            <w:noProof/>
            <w:webHidden/>
            <w:sz w:val="36"/>
            <w:szCs w:val="36"/>
          </w:rPr>
          <w:fldChar w:fldCharType="separate"/>
        </w:r>
        <w:r w:rsidR="001E0054">
          <w:rPr>
            <w:rFonts w:ascii="Arabic Typesetting" w:hAnsi="Arabic Typesetting" w:cs="Arabic Typesetting"/>
            <w:noProof/>
            <w:webHidden/>
            <w:sz w:val="36"/>
            <w:szCs w:val="36"/>
            <w:rtl/>
          </w:rPr>
          <w:t>3</w:t>
        </w:r>
        <w:r w:rsidR="00C52B2E" w:rsidRPr="00C52B2E">
          <w:rPr>
            <w:rFonts w:ascii="Arabic Typesetting" w:hAnsi="Arabic Typesetting" w:cs="Arabic Typesetting"/>
            <w:noProof/>
            <w:webHidden/>
            <w:sz w:val="36"/>
            <w:szCs w:val="36"/>
          </w:rPr>
          <w:fldChar w:fldCharType="end"/>
        </w:r>
      </w:hyperlink>
    </w:p>
    <w:p w:rsidR="00C52B2E" w:rsidRPr="00C52B2E" w:rsidRDefault="008A252C" w:rsidP="00C52B2E">
      <w:pPr>
        <w:pStyle w:val="TOC2"/>
        <w:tabs>
          <w:tab w:val="right" w:leader="dot" w:pos="9345"/>
        </w:tabs>
        <w:bidi/>
        <w:rPr>
          <w:rFonts w:ascii="Arabic Typesetting" w:eastAsiaTheme="minorEastAsia" w:hAnsi="Arabic Typesetting" w:cs="Arabic Typesetting"/>
          <w:noProof/>
          <w:sz w:val="36"/>
          <w:szCs w:val="36"/>
        </w:rPr>
      </w:pPr>
      <w:hyperlink w:anchor="_Toc416167486" w:history="1">
        <w:r w:rsidR="00C52B2E" w:rsidRPr="00C52B2E">
          <w:rPr>
            <w:rStyle w:val="Hyperlink"/>
            <w:rFonts w:ascii="Arabic Typesetting" w:hAnsi="Arabic Typesetting" w:cs="Arabic Typesetting"/>
            <w:strike/>
            <w:noProof/>
            <w:color w:val="FF0000"/>
            <w:sz w:val="36"/>
            <w:szCs w:val="36"/>
            <w:rtl/>
          </w:rPr>
          <w:t>1.95</w:t>
        </w:r>
        <w:r w:rsidR="00C52B2E" w:rsidRPr="00C52B2E">
          <w:rPr>
            <w:rStyle w:val="Hyperlink"/>
            <w:rFonts w:ascii="Arabic Typesetting" w:hAnsi="Arabic Typesetting" w:cs="Arabic Typesetting"/>
            <w:noProof/>
            <w:sz w:val="36"/>
            <w:szCs w:val="36"/>
            <w:rtl/>
          </w:rPr>
          <w:t xml:space="preserve"> </w:t>
        </w:r>
        <w:r w:rsidR="00C52B2E" w:rsidRPr="00C52B2E">
          <w:rPr>
            <w:rStyle w:val="Hyperlink"/>
            <w:rFonts w:ascii="Arabic Typesetting" w:hAnsi="Arabic Typesetting" w:cs="Arabic Typesetting"/>
            <w:noProof/>
            <w:color w:val="0000FF"/>
            <w:sz w:val="36"/>
            <w:szCs w:val="36"/>
            <w:rtl/>
          </w:rPr>
          <w:t>2.95</w:t>
        </w:r>
        <w:r w:rsidR="00C52B2E" w:rsidRPr="00C52B2E">
          <w:rPr>
            <w:rStyle w:val="Hyperlink"/>
            <w:rFonts w:ascii="Arabic Typesetting" w:hAnsi="Arabic Typesetting" w:cs="Arabic Typesetting"/>
            <w:noProof/>
            <w:sz w:val="36"/>
            <w:szCs w:val="36"/>
            <w:rtl/>
          </w:rPr>
          <w:t xml:space="preserve">  </w:t>
        </w:r>
        <w:r w:rsidR="00C52B2E" w:rsidRPr="00C52B2E">
          <w:rPr>
            <w:rStyle w:val="Hyperlink"/>
            <w:rFonts w:ascii="Arabic Typesetting" w:hAnsi="Arabic Typesetting" w:cs="Arabic Typesetting"/>
            <w:i/>
            <w:iCs/>
            <w:noProof/>
            <w:sz w:val="36"/>
            <w:szCs w:val="36"/>
            <w:rtl/>
          </w:rPr>
          <w:t>الالتزام بتقديم صور عن النصوص المترجمة</w:t>
        </w:r>
        <w:r w:rsidR="00C52B2E" w:rsidRPr="00C52B2E">
          <w:rPr>
            <w:rFonts w:ascii="Arabic Typesetting" w:hAnsi="Arabic Typesetting" w:cs="Arabic Typesetting"/>
            <w:noProof/>
            <w:webHidden/>
            <w:sz w:val="36"/>
            <w:szCs w:val="36"/>
          </w:rPr>
          <w:tab/>
        </w:r>
        <w:r w:rsidR="00C52B2E" w:rsidRPr="00C52B2E">
          <w:rPr>
            <w:rFonts w:ascii="Arabic Typesetting" w:hAnsi="Arabic Typesetting" w:cs="Arabic Typesetting"/>
            <w:noProof/>
            <w:webHidden/>
            <w:sz w:val="36"/>
            <w:szCs w:val="36"/>
          </w:rPr>
          <w:fldChar w:fldCharType="begin"/>
        </w:r>
        <w:r w:rsidR="00C52B2E" w:rsidRPr="00C52B2E">
          <w:rPr>
            <w:rFonts w:ascii="Arabic Typesetting" w:hAnsi="Arabic Typesetting" w:cs="Arabic Typesetting"/>
            <w:noProof/>
            <w:webHidden/>
            <w:sz w:val="36"/>
            <w:szCs w:val="36"/>
          </w:rPr>
          <w:instrText xml:space="preserve"> PAGEREF _Toc416167486 \h </w:instrText>
        </w:r>
        <w:r w:rsidR="00C52B2E" w:rsidRPr="00C52B2E">
          <w:rPr>
            <w:rFonts w:ascii="Arabic Typesetting" w:hAnsi="Arabic Typesetting" w:cs="Arabic Typesetting"/>
            <w:noProof/>
            <w:webHidden/>
            <w:sz w:val="36"/>
            <w:szCs w:val="36"/>
          </w:rPr>
        </w:r>
        <w:r w:rsidR="00C52B2E" w:rsidRPr="00C52B2E">
          <w:rPr>
            <w:rFonts w:ascii="Arabic Typesetting" w:hAnsi="Arabic Typesetting" w:cs="Arabic Typesetting"/>
            <w:noProof/>
            <w:webHidden/>
            <w:sz w:val="36"/>
            <w:szCs w:val="36"/>
          </w:rPr>
          <w:fldChar w:fldCharType="separate"/>
        </w:r>
        <w:r w:rsidR="001E0054">
          <w:rPr>
            <w:rFonts w:ascii="Arabic Typesetting" w:hAnsi="Arabic Typesetting" w:cs="Arabic Typesetting"/>
            <w:noProof/>
            <w:webHidden/>
            <w:sz w:val="36"/>
            <w:szCs w:val="36"/>
            <w:rtl/>
          </w:rPr>
          <w:t>3</w:t>
        </w:r>
        <w:r w:rsidR="00C52B2E" w:rsidRPr="00C52B2E">
          <w:rPr>
            <w:rFonts w:ascii="Arabic Typesetting" w:hAnsi="Arabic Typesetting" w:cs="Arabic Typesetting"/>
            <w:noProof/>
            <w:webHidden/>
            <w:sz w:val="36"/>
            <w:szCs w:val="36"/>
          </w:rPr>
          <w:fldChar w:fldCharType="end"/>
        </w:r>
      </w:hyperlink>
    </w:p>
    <w:p w:rsidR="00486B98" w:rsidRPr="00C52B2E" w:rsidRDefault="009D14A0" w:rsidP="00C52B2E">
      <w:pPr>
        <w:pStyle w:val="NormalParaAR"/>
        <w:rPr>
          <w:rtl/>
        </w:rPr>
      </w:pPr>
      <w:r w:rsidRPr="00C52B2E">
        <w:rPr>
          <w:rtl/>
        </w:rPr>
        <w:fldChar w:fldCharType="end"/>
      </w:r>
    </w:p>
    <w:p w:rsidR="00793D46" w:rsidRDefault="00793D46" w:rsidP="0023623E">
      <w:pPr>
        <w:pStyle w:val="NormalParaAR"/>
        <w:rPr>
          <w:sz w:val="40"/>
          <w:szCs w:val="40"/>
          <w:rtl/>
        </w:rPr>
      </w:pPr>
      <w:r>
        <w:rPr>
          <w:sz w:val="40"/>
          <w:szCs w:val="40"/>
          <w:rtl/>
        </w:rPr>
        <w:br w:type="page"/>
      </w:r>
    </w:p>
    <w:p w:rsidR="00B26D9F" w:rsidRPr="00B26D9F" w:rsidRDefault="00B26D9F" w:rsidP="00810F94">
      <w:pPr>
        <w:pStyle w:val="NormalParaAR"/>
        <w:jc w:val="center"/>
        <w:outlineLvl w:val="0"/>
        <w:rPr>
          <w:b/>
          <w:bCs/>
          <w:rtl/>
        </w:rPr>
      </w:pPr>
      <w:bookmarkStart w:id="2" w:name="_Toc415585307"/>
      <w:bookmarkStart w:id="3" w:name="_Toc416167481"/>
      <w:r w:rsidRPr="00B26D9F">
        <w:rPr>
          <w:b/>
          <w:bCs/>
          <w:rtl/>
        </w:rPr>
        <w:t>القاعدة 86</w:t>
      </w:r>
      <w:r w:rsidR="00810F94">
        <w:rPr>
          <w:rFonts w:hint="cs"/>
          <w:b/>
          <w:bCs/>
          <w:rtl/>
        </w:rPr>
        <w:t xml:space="preserve">  </w:t>
      </w:r>
      <w:r>
        <w:rPr>
          <w:b/>
          <w:bCs/>
          <w:rtl/>
        </w:rPr>
        <w:br/>
      </w:r>
      <w:r w:rsidRPr="00B26D9F">
        <w:rPr>
          <w:b/>
          <w:bCs/>
          <w:rtl/>
        </w:rPr>
        <w:t>الجريدة</w:t>
      </w:r>
      <w:bookmarkEnd w:id="2"/>
      <w:bookmarkEnd w:id="3"/>
    </w:p>
    <w:p w:rsidR="00B26D9F" w:rsidRDefault="00C40D23" w:rsidP="00810F94">
      <w:pPr>
        <w:pStyle w:val="NormalParaAR"/>
        <w:outlineLvl w:val="1"/>
        <w:rPr>
          <w:rtl/>
        </w:rPr>
      </w:pPr>
      <w:bookmarkStart w:id="4" w:name="_Toc415585308"/>
      <w:bookmarkStart w:id="5" w:name="_Toc416167482"/>
      <w:r>
        <w:rPr>
          <w:rFonts w:hint="cs"/>
          <w:rtl/>
        </w:rPr>
        <w:t>1.86</w:t>
      </w:r>
      <w:r w:rsidR="00B26D9F">
        <w:rPr>
          <w:rFonts w:hint="cs"/>
          <w:rtl/>
        </w:rPr>
        <w:t xml:space="preserve">  </w:t>
      </w:r>
      <w:r w:rsidR="00B26D9F" w:rsidRPr="00C40D23">
        <w:rPr>
          <w:i/>
          <w:iCs/>
          <w:rtl/>
        </w:rPr>
        <w:t>المحتويات</w:t>
      </w:r>
      <w:bookmarkEnd w:id="4"/>
      <w:bookmarkEnd w:id="5"/>
    </w:p>
    <w:p w:rsidR="00B26D9F" w:rsidRDefault="00B26D9F" w:rsidP="00C40D23">
      <w:pPr>
        <w:pStyle w:val="NormalParaAR"/>
        <w:ind w:left="566"/>
        <w:rPr>
          <w:rtl/>
        </w:rPr>
      </w:pPr>
      <w:r>
        <w:rPr>
          <w:rtl/>
        </w:rPr>
        <w:t>تتضمن الجريدة المشار إليها في المادة 55(4) ما يأتي:</w:t>
      </w:r>
    </w:p>
    <w:p w:rsidR="00B26D9F" w:rsidRDefault="00C40D23" w:rsidP="00C40D23">
      <w:pPr>
        <w:pStyle w:val="NormalParaAR"/>
        <w:ind w:left="1133"/>
        <w:rPr>
          <w:rtl/>
        </w:rPr>
      </w:pPr>
      <w:r>
        <w:rPr>
          <w:rFonts w:hint="cs"/>
          <w:rtl/>
        </w:rPr>
        <w:t xml:space="preserve">من </w:t>
      </w:r>
      <w:r w:rsidR="00B26D9F">
        <w:rPr>
          <w:rtl/>
        </w:rPr>
        <w:t>"1"</w:t>
      </w:r>
      <w:r>
        <w:rPr>
          <w:rFonts w:hint="cs"/>
          <w:rtl/>
        </w:rPr>
        <w:t xml:space="preserve"> إلى "3"  [دون تغيير]</w:t>
      </w:r>
    </w:p>
    <w:p w:rsidR="00B26D9F" w:rsidRDefault="00B26D9F" w:rsidP="00901719">
      <w:pPr>
        <w:pStyle w:val="NormalParaAR"/>
        <w:ind w:left="1133"/>
        <w:rPr>
          <w:rtl/>
        </w:rPr>
      </w:pPr>
      <w:r>
        <w:rPr>
          <w:rtl/>
        </w:rPr>
        <w:t>"4"</w:t>
      </w:r>
      <w:r>
        <w:rPr>
          <w:rtl/>
        </w:rPr>
        <w:tab/>
      </w:r>
      <w:r w:rsidR="00901719" w:rsidRPr="00901719">
        <w:rPr>
          <w:rtl/>
        </w:rPr>
        <w:t xml:space="preserve">المعلومات </w:t>
      </w:r>
      <w:r w:rsidR="00901719" w:rsidRPr="00901719">
        <w:rPr>
          <w:strike/>
          <w:color w:val="FF0000"/>
          <w:rtl/>
        </w:rPr>
        <w:t>التي تقدمها المكاتب المعينة أو المختارة للمكتب الدولي بشأن معرفة ما إذا كانت الإجراءات المشار إليها في المادتين 22 أو 39 قد أنجزت بخصوص الطلبات الدولية التي يرد فيها تعيين المكتب المعني أو اختياره</w:t>
      </w:r>
      <w:r w:rsidR="00901719">
        <w:rPr>
          <w:rFonts w:hint="cs"/>
          <w:rtl/>
        </w:rPr>
        <w:t xml:space="preserve"> </w:t>
      </w:r>
      <w:r w:rsidR="00901719" w:rsidRPr="00901719">
        <w:rPr>
          <w:color w:val="0000FF"/>
          <w:u w:val="single"/>
          <w:rtl/>
        </w:rPr>
        <w:t>المتعلقة بحدوث الإجراءات في المكاتب المعيّنة والمكاتب المختارة والمُبلغة للمكتب الدولي بموجب القاعدة 1.95 فيما يخص الطلبات الدولية المنشورة</w:t>
      </w:r>
      <w:r w:rsidR="00901719" w:rsidRPr="00901719">
        <w:rPr>
          <w:rtl/>
        </w:rPr>
        <w:t>؛</w:t>
      </w:r>
    </w:p>
    <w:p w:rsidR="00E2741A" w:rsidRDefault="00793D46" w:rsidP="00901719">
      <w:pPr>
        <w:pStyle w:val="NormalParaAR"/>
        <w:ind w:left="1133"/>
        <w:rPr>
          <w:rtl/>
        </w:rPr>
      </w:pPr>
      <w:r>
        <w:rPr>
          <w:rtl/>
        </w:rPr>
        <w:t>"5"</w:t>
      </w:r>
      <w:r>
        <w:rPr>
          <w:rFonts w:hint="cs"/>
          <w:rtl/>
        </w:rPr>
        <w:t xml:space="preserve">  [دون تغيير]</w:t>
      </w:r>
    </w:p>
    <w:p w:rsidR="00C16AB9" w:rsidRDefault="00793D46" w:rsidP="00916269">
      <w:pPr>
        <w:pStyle w:val="NormalParaAR"/>
        <w:outlineLvl w:val="1"/>
        <w:rPr>
          <w:i/>
          <w:iCs/>
          <w:rtl/>
        </w:rPr>
      </w:pPr>
      <w:bookmarkStart w:id="6" w:name="_Toc415585309"/>
      <w:bookmarkStart w:id="7" w:name="_Toc416167483"/>
      <w:r>
        <w:rPr>
          <w:rFonts w:hint="cs"/>
          <w:rtl/>
        </w:rPr>
        <w:t xml:space="preserve">من 2.86 إلى 6.86  </w:t>
      </w:r>
      <w:r w:rsidRPr="00793D46">
        <w:rPr>
          <w:rFonts w:hint="cs"/>
          <w:i/>
          <w:iCs/>
          <w:rtl/>
        </w:rPr>
        <w:t>[دون تغيير]</w:t>
      </w:r>
      <w:bookmarkEnd w:id="6"/>
      <w:bookmarkEnd w:id="7"/>
    </w:p>
    <w:p w:rsidR="00C16AB9" w:rsidRPr="00901719" w:rsidRDefault="00C16AB9">
      <w:pPr>
        <w:rPr>
          <w:rFonts w:ascii="Arabic Typesetting" w:hAnsi="Arabic Typesetting" w:cs="Arabic Typesetting"/>
          <w:sz w:val="36"/>
          <w:szCs w:val="36"/>
          <w:rtl/>
        </w:rPr>
      </w:pPr>
      <w:r>
        <w:rPr>
          <w:i/>
          <w:iCs/>
          <w:rtl/>
        </w:rPr>
        <w:br w:type="page"/>
      </w:r>
    </w:p>
    <w:p w:rsidR="00A93DB3" w:rsidRPr="00901719" w:rsidRDefault="00A93DB3" w:rsidP="00901719">
      <w:pPr>
        <w:pStyle w:val="NormalParaAR"/>
        <w:spacing w:after="480"/>
        <w:jc w:val="center"/>
        <w:outlineLvl w:val="0"/>
        <w:rPr>
          <w:b/>
          <w:bCs/>
          <w:color w:val="0000FF"/>
          <w:u w:val="single"/>
          <w:rtl/>
        </w:rPr>
      </w:pPr>
      <w:bookmarkStart w:id="8" w:name="_Toc415585310"/>
      <w:bookmarkStart w:id="9" w:name="_Toc416167484"/>
      <w:r w:rsidRPr="00A93DB3">
        <w:rPr>
          <w:b/>
          <w:bCs/>
          <w:rtl/>
        </w:rPr>
        <w:t>القاعدة 95</w:t>
      </w:r>
      <w:r w:rsidR="00916269">
        <w:rPr>
          <w:rFonts w:hint="cs"/>
          <w:b/>
          <w:bCs/>
          <w:rtl/>
        </w:rPr>
        <w:t xml:space="preserve">  </w:t>
      </w:r>
      <w:bookmarkStart w:id="10" w:name="_GoBack"/>
      <w:bookmarkEnd w:id="10"/>
      <w:r>
        <w:rPr>
          <w:b/>
          <w:bCs/>
          <w:rtl/>
        </w:rPr>
        <w:br/>
      </w:r>
      <w:r w:rsidR="00901719" w:rsidRPr="00901719">
        <w:rPr>
          <w:b/>
          <w:bCs/>
          <w:strike/>
          <w:color w:val="FF0000"/>
          <w:rtl/>
        </w:rPr>
        <w:t>الاستحصال على صور عن النصوص المترجمة</w:t>
      </w:r>
      <w:r w:rsidR="006A5019">
        <w:rPr>
          <w:rFonts w:hint="cs"/>
          <w:b/>
          <w:bCs/>
          <w:rtl/>
        </w:rPr>
        <w:br/>
      </w:r>
      <w:r w:rsidR="006A5019" w:rsidRPr="008A252C">
        <w:rPr>
          <w:rFonts w:hint="eastAsia"/>
          <w:b/>
          <w:bCs/>
          <w:color w:val="0000FF"/>
          <w:u w:val="single"/>
          <w:rtl/>
        </w:rPr>
        <w:t>تلقي</w:t>
      </w:r>
      <w:r w:rsidR="006A5019" w:rsidRPr="008A252C">
        <w:rPr>
          <w:b/>
          <w:bCs/>
          <w:color w:val="0000FF"/>
          <w:u w:val="single"/>
          <w:rtl/>
        </w:rPr>
        <w:t xml:space="preserve"> </w:t>
      </w:r>
      <w:r w:rsidR="006A5019" w:rsidRPr="008A252C">
        <w:rPr>
          <w:rFonts w:hint="eastAsia"/>
          <w:b/>
          <w:bCs/>
          <w:color w:val="0000FF"/>
          <w:u w:val="single"/>
          <w:rtl/>
        </w:rPr>
        <w:t>المعلومات</w:t>
      </w:r>
      <w:r w:rsidR="006A5019" w:rsidRPr="008A252C">
        <w:rPr>
          <w:b/>
          <w:bCs/>
          <w:color w:val="0000FF"/>
          <w:u w:val="single"/>
          <w:rtl/>
        </w:rPr>
        <w:t xml:space="preserve"> </w:t>
      </w:r>
      <w:r w:rsidR="006A5019" w:rsidRPr="008A252C">
        <w:rPr>
          <w:rFonts w:hint="eastAsia"/>
          <w:b/>
          <w:bCs/>
          <w:color w:val="0000FF"/>
          <w:u w:val="single"/>
          <w:rtl/>
        </w:rPr>
        <w:t>والنصوص</w:t>
      </w:r>
      <w:r w:rsidR="006A5019" w:rsidRPr="008A252C">
        <w:rPr>
          <w:b/>
          <w:bCs/>
          <w:color w:val="0000FF"/>
          <w:u w:val="single"/>
          <w:rtl/>
        </w:rPr>
        <w:t xml:space="preserve"> </w:t>
      </w:r>
      <w:r w:rsidR="006A5019" w:rsidRPr="008A252C">
        <w:rPr>
          <w:rFonts w:hint="eastAsia"/>
          <w:b/>
          <w:bCs/>
          <w:color w:val="0000FF"/>
          <w:u w:val="single"/>
          <w:rtl/>
        </w:rPr>
        <w:t>المترجمة</w:t>
      </w:r>
      <w:r w:rsidR="006A5019" w:rsidRPr="008A252C">
        <w:rPr>
          <w:b/>
          <w:bCs/>
          <w:color w:val="0000FF"/>
          <w:u w:val="single"/>
          <w:rtl/>
        </w:rPr>
        <w:t xml:space="preserve"> </w:t>
      </w:r>
      <w:r w:rsidR="006A5019" w:rsidRPr="008A252C">
        <w:rPr>
          <w:rFonts w:hint="eastAsia"/>
          <w:b/>
          <w:bCs/>
          <w:color w:val="0000FF"/>
          <w:u w:val="single"/>
          <w:rtl/>
        </w:rPr>
        <w:t>من</w:t>
      </w:r>
      <w:r w:rsidR="006A5019" w:rsidRPr="008A252C">
        <w:rPr>
          <w:b/>
          <w:bCs/>
          <w:color w:val="0000FF"/>
          <w:u w:val="single"/>
          <w:rtl/>
        </w:rPr>
        <w:t xml:space="preserve"> المكاتب المعي</w:t>
      </w:r>
      <w:r w:rsidR="00916269" w:rsidRPr="00901719">
        <w:rPr>
          <w:rFonts w:hint="cs"/>
          <w:b/>
          <w:bCs/>
          <w:color w:val="0000FF"/>
          <w:u w:val="single"/>
          <w:rtl/>
        </w:rPr>
        <w:t>ّ</w:t>
      </w:r>
      <w:r w:rsidR="006A5019" w:rsidRPr="008A252C">
        <w:rPr>
          <w:b/>
          <w:bCs/>
          <w:color w:val="0000FF"/>
          <w:u w:val="single"/>
          <w:rtl/>
        </w:rPr>
        <w:t>نة والمكاتب المختارة</w:t>
      </w:r>
      <w:bookmarkEnd w:id="8"/>
      <w:bookmarkEnd w:id="9"/>
    </w:p>
    <w:p w:rsidR="006A5019" w:rsidRPr="008A252C" w:rsidRDefault="006A5019" w:rsidP="008A252C">
      <w:pPr>
        <w:pStyle w:val="NormalParaAR"/>
        <w:outlineLvl w:val="1"/>
        <w:rPr>
          <w:i/>
          <w:iCs/>
          <w:color w:val="0000FF"/>
          <w:u w:val="single"/>
          <w:rtl/>
        </w:rPr>
      </w:pPr>
      <w:bookmarkStart w:id="11" w:name="_Toc415585311"/>
      <w:bookmarkStart w:id="12" w:name="_Toc416167485"/>
      <w:r w:rsidRPr="008A252C">
        <w:rPr>
          <w:i/>
          <w:iCs/>
          <w:color w:val="0000FF"/>
          <w:u w:val="single"/>
          <w:rtl/>
        </w:rPr>
        <w:t xml:space="preserve">1.95  المعلومات المتعلقة </w:t>
      </w:r>
      <w:r w:rsidR="00E2103F" w:rsidRPr="008A252C">
        <w:rPr>
          <w:rFonts w:hint="eastAsia"/>
          <w:i/>
          <w:iCs/>
          <w:color w:val="0000FF"/>
          <w:u w:val="single"/>
          <w:rtl/>
        </w:rPr>
        <w:t>ب</w:t>
      </w:r>
      <w:r w:rsidR="00916269" w:rsidRPr="00C52B2E">
        <w:rPr>
          <w:rFonts w:hint="cs"/>
          <w:i/>
          <w:iCs/>
          <w:color w:val="0000FF"/>
          <w:u w:val="single"/>
          <w:rtl/>
        </w:rPr>
        <w:t>حدوث الإجراءات</w:t>
      </w:r>
      <w:r w:rsidR="00E2103F" w:rsidRPr="008A252C">
        <w:rPr>
          <w:i/>
          <w:iCs/>
          <w:color w:val="0000FF"/>
          <w:u w:val="single"/>
          <w:rtl/>
        </w:rPr>
        <w:t xml:space="preserve"> في المكاتب المعي</w:t>
      </w:r>
      <w:r w:rsidR="00916269" w:rsidRPr="00C52B2E">
        <w:rPr>
          <w:rFonts w:hint="cs"/>
          <w:i/>
          <w:iCs/>
          <w:color w:val="0000FF"/>
          <w:u w:val="single"/>
          <w:rtl/>
        </w:rPr>
        <w:t>ّ</w:t>
      </w:r>
      <w:r w:rsidR="00E2103F" w:rsidRPr="008A252C">
        <w:rPr>
          <w:rFonts w:hint="eastAsia"/>
          <w:i/>
          <w:iCs/>
          <w:color w:val="0000FF"/>
          <w:u w:val="single"/>
          <w:rtl/>
        </w:rPr>
        <w:t>نة</w:t>
      </w:r>
      <w:r w:rsidR="00E2103F" w:rsidRPr="008A252C">
        <w:rPr>
          <w:i/>
          <w:iCs/>
          <w:color w:val="0000FF"/>
          <w:u w:val="single"/>
          <w:rtl/>
        </w:rPr>
        <w:t xml:space="preserve"> والمكاتب </w:t>
      </w:r>
      <w:bookmarkEnd w:id="11"/>
      <w:r w:rsidR="00916269" w:rsidRPr="00C52B2E">
        <w:rPr>
          <w:rFonts w:hint="cs"/>
          <w:i/>
          <w:iCs/>
          <w:color w:val="0000FF"/>
          <w:u w:val="single"/>
          <w:rtl/>
        </w:rPr>
        <w:t>المختارة</w:t>
      </w:r>
      <w:bookmarkEnd w:id="12"/>
    </w:p>
    <w:p w:rsidR="00E2103F" w:rsidRPr="008A252C" w:rsidRDefault="001D66B0" w:rsidP="008A252C">
      <w:pPr>
        <w:pStyle w:val="NormalParaAR"/>
        <w:ind w:firstLine="566"/>
        <w:rPr>
          <w:color w:val="0000FF"/>
          <w:u w:val="single"/>
          <w:rtl/>
        </w:rPr>
      </w:pPr>
      <w:r w:rsidRPr="008A252C">
        <w:rPr>
          <w:color w:val="0000FF"/>
          <w:u w:val="single"/>
          <w:rtl/>
        </w:rPr>
        <w:t>يقدم كل مكتب معي</w:t>
      </w:r>
      <w:r w:rsidR="00916269" w:rsidRPr="008A252C">
        <w:rPr>
          <w:rFonts w:hint="eastAsia"/>
          <w:color w:val="0000FF"/>
          <w:u w:val="single"/>
          <w:rtl/>
        </w:rPr>
        <w:t>ّ</w:t>
      </w:r>
      <w:r w:rsidRPr="008A252C">
        <w:rPr>
          <w:color w:val="0000FF"/>
          <w:u w:val="single"/>
          <w:rtl/>
        </w:rPr>
        <w:t xml:space="preserve">ن أو مختار إلى المكتب الدولي المعلومات التالية بشأن طلب دولي في غضون شهر واحد اعتبارا من </w:t>
      </w:r>
      <w:r w:rsidR="00916269" w:rsidRPr="008A252C">
        <w:rPr>
          <w:rFonts w:hint="eastAsia"/>
          <w:color w:val="0000FF"/>
          <w:u w:val="single"/>
          <w:rtl/>
        </w:rPr>
        <w:t>حدوث</w:t>
      </w:r>
      <w:r w:rsidRPr="008A252C">
        <w:rPr>
          <w:color w:val="0000FF"/>
          <w:u w:val="single"/>
          <w:rtl/>
        </w:rPr>
        <w:t xml:space="preserve"> </w:t>
      </w:r>
      <w:r w:rsidR="00916269" w:rsidRPr="008A252C">
        <w:rPr>
          <w:rFonts w:hint="eastAsia"/>
          <w:color w:val="0000FF"/>
          <w:u w:val="single"/>
          <w:rtl/>
        </w:rPr>
        <w:t>الإجراء</w:t>
      </w:r>
      <w:r w:rsidRPr="008A252C">
        <w:rPr>
          <w:color w:val="0000FF"/>
          <w:u w:val="single"/>
          <w:rtl/>
        </w:rPr>
        <w:t xml:space="preserve"> المعني:</w:t>
      </w:r>
    </w:p>
    <w:p w:rsidR="001D66B0" w:rsidRPr="008A252C" w:rsidRDefault="001D66B0" w:rsidP="008A252C">
      <w:pPr>
        <w:pStyle w:val="NormalParaAR"/>
        <w:ind w:firstLine="1133"/>
        <w:rPr>
          <w:color w:val="0000FF"/>
          <w:u w:val="single"/>
          <w:rtl/>
        </w:rPr>
      </w:pPr>
      <w:r w:rsidRPr="008A252C">
        <w:rPr>
          <w:color w:val="0000FF"/>
          <w:u w:val="single"/>
          <w:rtl/>
        </w:rPr>
        <w:t>"1"</w:t>
      </w:r>
      <w:r w:rsidRPr="008A252C">
        <w:rPr>
          <w:color w:val="0000FF"/>
          <w:u w:val="single"/>
          <w:rtl/>
        </w:rPr>
        <w:tab/>
      </w:r>
      <w:r w:rsidRPr="008A252C">
        <w:rPr>
          <w:rFonts w:hint="eastAsia"/>
          <w:color w:val="0000FF"/>
          <w:u w:val="single"/>
          <w:rtl/>
        </w:rPr>
        <w:t>تاريخ</w:t>
      </w:r>
      <w:r w:rsidRPr="008A252C">
        <w:rPr>
          <w:color w:val="0000FF"/>
          <w:u w:val="single"/>
          <w:rtl/>
        </w:rPr>
        <w:t xml:space="preserve"> أداء المودع </w:t>
      </w:r>
      <w:r w:rsidRPr="008A252C">
        <w:rPr>
          <w:rFonts w:hint="eastAsia"/>
          <w:color w:val="0000FF"/>
          <w:u w:val="single"/>
          <w:rtl/>
        </w:rPr>
        <w:t>للإجراءات</w:t>
      </w:r>
      <w:r w:rsidRPr="008A252C">
        <w:rPr>
          <w:color w:val="0000FF"/>
          <w:u w:val="single"/>
          <w:rtl/>
        </w:rPr>
        <w:t xml:space="preserve"> </w:t>
      </w:r>
      <w:r w:rsidRPr="008A252C">
        <w:rPr>
          <w:rFonts w:hint="eastAsia"/>
          <w:color w:val="0000FF"/>
          <w:u w:val="single"/>
          <w:rtl/>
        </w:rPr>
        <w:t>المشار</w:t>
      </w:r>
      <w:r w:rsidRPr="008A252C">
        <w:rPr>
          <w:color w:val="0000FF"/>
          <w:u w:val="single"/>
          <w:rtl/>
        </w:rPr>
        <w:t xml:space="preserve"> </w:t>
      </w:r>
      <w:r w:rsidRPr="008A252C">
        <w:rPr>
          <w:rFonts w:hint="eastAsia"/>
          <w:color w:val="0000FF"/>
          <w:u w:val="single"/>
          <w:rtl/>
        </w:rPr>
        <w:t>إليها</w:t>
      </w:r>
      <w:r w:rsidRPr="008A252C">
        <w:rPr>
          <w:color w:val="0000FF"/>
          <w:u w:val="single"/>
          <w:rtl/>
        </w:rPr>
        <w:t xml:space="preserve"> </w:t>
      </w:r>
      <w:r w:rsidRPr="008A252C">
        <w:rPr>
          <w:rFonts w:hint="eastAsia"/>
          <w:color w:val="0000FF"/>
          <w:u w:val="single"/>
          <w:rtl/>
        </w:rPr>
        <w:t>في</w:t>
      </w:r>
      <w:r w:rsidRPr="008A252C">
        <w:rPr>
          <w:color w:val="0000FF"/>
          <w:u w:val="single"/>
          <w:rtl/>
        </w:rPr>
        <w:t xml:space="preserve"> </w:t>
      </w:r>
      <w:r w:rsidRPr="008A252C">
        <w:rPr>
          <w:rFonts w:hint="eastAsia"/>
          <w:color w:val="0000FF"/>
          <w:u w:val="single"/>
          <w:rtl/>
        </w:rPr>
        <w:t>المادة</w:t>
      </w:r>
      <w:r w:rsidRPr="008A252C">
        <w:rPr>
          <w:color w:val="0000FF"/>
          <w:u w:val="single"/>
          <w:rtl/>
        </w:rPr>
        <w:t xml:space="preserve"> 22 </w:t>
      </w:r>
      <w:r w:rsidRPr="008A252C">
        <w:rPr>
          <w:rFonts w:hint="eastAsia"/>
          <w:color w:val="0000FF"/>
          <w:u w:val="single"/>
          <w:rtl/>
        </w:rPr>
        <w:t>أو</w:t>
      </w:r>
      <w:r w:rsidRPr="008A252C">
        <w:rPr>
          <w:color w:val="0000FF"/>
          <w:u w:val="single"/>
          <w:rtl/>
        </w:rPr>
        <w:t xml:space="preserve"> </w:t>
      </w:r>
      <w:r w:rsidRPr="008A252C">
        <w:rPr>
          <w:rFonts w:hint="eastAsia"/>
          <w:color w:val="0000FF"/>
          <w:u w:val="single"/>
          <w:rtl/>
        </w:rPr>
        <w:t>المادة</w:t>
      </w:r>
      <w:r w:rsidRPr="008A252C">
        <w:rPr>
          <w:color w:val="0000FF"/>
          <w:u w:val="single"/>
          <w:rtl/>
        </w:rPr>
        <w:t xml:space="preserve"> 39؛</w:t>
      </w:r>
    </w:p>
    <w:p w:rsidR="001D66B0" w:rsidRPr="008A252C" w:rsidRDefault="001D66B0" w:rsidP="008A252C">
      <w:pPr>
        <w:pStyle w:val="NormalParaAR"/>
        <w:ind w:firstLine="1133"/>
        <w:rPr>
          <w:color w:val="0000FF"/>
          <w:u w:val="single"/>
          <w:rtl/>
        </w:rPr>
      </w:pPr>
      <w:r w:rsidRPr="008A252C">
        <w:rPr>
          <w:color w:val="0000FF"/>
          <w:u w:val="single"/>
          <w:rtl/>
        </w:rPr>
        <w:t>"2"</w:t>
      </w:r>
      <w:r w:rsidRPr="008A252C">
        <w:rPr>
          <w:color w:val="0000FF"/>
          <w:u w:val="single"/>
          <w:rtl/>
        </w:rPr>
        <w:tab/>
      </w:r>
      <w:r w:rsidRPr="008A252C">
        <w:rPr>
          <w:rFonts w:hint="eastAsia"/>
          <w:color w:val="0000FF"/>
          <w:u w:val="single"/>
          <w:rtl/>
        </w:rPr>
        <w:t>رقم</w:t>
      </w:r>
      <w:r w:rsidRPr="008A252C">
        <w:rPr>
          <w:color w:val="0000FF"/>
          <w:u w:val="single"/>
          <w:rtl/>
        </w:rPr>
        <w:t xml:space="preserve"> </w:t>
      </w:r>
      <w:r w:rsidRPr="008A252C">
        <w:rPr>
          <w:rFonts w:hint="eastAsia"/>
          <w:color w:val="0000FF"/>
          <w:u w:val="single"/>
          <w:rtl/>
        </w:rPr>
        <w:t>وتاريخ</w:t>
      </w:r>
      <w:r w:rsidRPr="008A252C">
        <w:rPr>
          <w:color w:val="0000FF"/>
          <w:u w:val="single"/>
          <w:rtl/>
        </w:rPr>
        <w:t xml:space="preserve"> </w:t>
      </w:r>
      <w:r w:rsidRPr="008A252C">
        <w:rPr>
          <w:rFonts w:hint="eastAsia"/>
          <w:color w:val="0000FF"/>
          <w:u w:val="single"/>
          <w:rtl/>
        </w:rPr>
        <w:t>أي</w:t>
      </w:r>
      <w:r w:rsidRPr="008A252C">
        <w:rPr>
          <w:color w:val="0000FF"/>
          <w:u w:val="single"/>
          <w:rtl/>
        </w:rPr>
        <w:t xml:space="preserve"> نشر للطلب </w:t>
      </w:r>
      <w:r w:rsidRPr="008A252C">
        <w:rPr>
          <w:rFonts w:hint="eastAsia"/>
          <w:color w:val="0000FF"/>
          <w:u w:val="single"/>
          <w:rtl/>
        </w:rPr>
        <w:t>الدولي</w:t>
      </w:r>
      <w:r w:rsidRPr="008A252C">
        <w:rPr>
          <w:color w:val="0000FF"/>
          <w:u w:val="single"/>
          <w:rtl/>
        </w:rPr>
        <w:t xml:space="preserve"> </w:t>
      </w:r>
      <w:r w:rsidRPr="008A252C">
        <w:rPr>
          <w:rFonts w:hint="eastAsia"/>
          <w:color w:val="0000FF"/>
          <w:u w:val="single"/>
          <w:rtl/>
        </w:rPr>
        <w:t>من</w:t>
      </w:r>
      <w:r w:rsidRPr="008A252C">
        <w:rPr>
          <w:color w:val="0000FF"/>
          <w:u w:val="single"/>
          <w:rtl/>
        </w:rPr>
        <w:t xml:space="preserve"> </w:t>
      </w:r>
      <w:r w:rsidRPr="008A252C">
        <w:rPr>
          <w:rFonts w:hint="eastAsia"/>
          <w:color w:val="0000FF"/>
          <w:u w:val="single"/>
          <w:rtl/>
        </w:rPr>
        <w:t>قبل</w:t>
      </w:r>
      <w:r w:rsidRPr="008A252C">
        <w:rPr>
          <w:color w:val="0000FF"/>
          <w:u w:val="single"/>
          <w:rtl/>
        </w:rPr>
        <w:t xml:space="preserve"> </w:t>
      </w:r>
      <w:r w:rsidRPr="008A252C">
        <w:rPr>
          <w:rFonts w:hint="eastAsia"/>
          <w:color w:val="0000FF"/>
          <w:u w:val="single"/>
          <w:rtl/>
        </w:rPr>
        <w:t>المكتب</w:t>
      </w:r>
      <w:r w:rsidRPr="008A252C">
        <w:rPr>
          <w:color w:val="0000FF"/>
          <w:u w:val="single"/>
          <w:rtl/>
        </w:rPr>
        <w:t xml:space="preserve"> </w:t>
      </w:r>
      <w:r w:rsidRPr="008A252C">
        <w:rPr>
          <w:rFonts w:hint="eastAsia"/>
          <w:color w:val="0000FF"/>
          <w:u w:val="single"/>
          <w:rtl/>
        </w:rPr>
        <w:t>المعي</w:t>
      </w:r>
      <w:r w:rsidR="00916269" w:rsidRPr="00901719">
        <w:rPr>
          <w:rFonts w:hint="cs"/>
          <w:color w:val="0000FF"/>
          <w:u w:val="single"/>
          <w:rtl/>
        </w:rPr>
        <w:t>ّ</w:t>
      </w:r>
      <w:r w:rsidRPr="008A252C">
        <w:rPr>
          <w:rFonts w:hint="eastAsia"/>
          <w:color w:val="0000FF"/>
          <w:u w:val="single"/>
          <w:rtl/>
        </w:rPr>
        <w:t>ن</w:t>
      </w:r>
      <w:r w:rsidRPr="008A252C">
        <w:rPr>
          <w:color w:val="0000FF"/>
          <w:u w:val="single"/>
          <w:rtl/>
        </w:rPr>
        <w:t xml:space="preserve"> </w:t>
      </w:r>
      <w:r w:rsidRPr="008A252C">
        <w:rPr>
          <w:rFonts w:hint="eastAsia"/>
          <w:color w:val="0000FF"/>
          <w:u w:val="single"/>
          <w:rtl/>
        </w:rPr>
        <w:t>أو</w:t>
      </w:r>
      <w:r w:rsidRPr="008A252C">
        <w:rPr>
          <w:color w:val="0000FF"/>
          <w:u w:val="single"/>
          <w:rtl/>
        </w:rPr>
        <w:t xml:space="preserve"> </w:t>
      </w:r>
      <w:r w:rsidRPr="008A252C">
        <w:rPr>
          <w:rFonts w:hint="eastAsia"/>
          <w:color w:val="0000FF"/>
          <w:u w:val="single"/>
          <w:rtl/>
        </w:rPr>
        <w:t>المختار؛</w:t>
      </w:r>
    </w:p>
    <w:p w:rsidR="001D66B0" w:rsidRPr="00901719" w:rsidRDefault="001D66B0" w:rsidP="008A252C">
      <w:pPr>
        <w:pStyle w:val="NormalParaAR"/>
        <w:ind w:firstLine="1133"/>
        <w:rPr>
          <w:color w:val="0000FF"/>
          <w:u w:val="single"/>
          <w:rtl/>
        </w:rPr>
      </w:pPr>
      <w:r w:rsidRPr="008A252C">
        <w:rPr>
          <w:color w:val="0000FF"/>
          <w:u w:val="single"/>
          <w:rtl/>
        </w:rPr>
        <w:t>"3"</w:t>
      </w:r>
      <w:r w:rsidRPr="008A252C">
        <w:rPr>
          <w:color w:val="0000FF"/>
          <w:u w:val="single"/>
          <w:rtl/>
        </w:rPr>
        <w:tab/>
      </w:r>
      <w:r w:rsidR="0093075C" w:rsidRPr="008A252C">
        <w:rPr>
          <w:rFonts w:hint="eastAsia"/>
          <w:color w:val="0000FF"/>
          <w:u w:val="single"/>
          <w:rtl/>
        </w:rPr>
        <w:t>وتاريخ</w:t>
      </w:r>
      <w:r w:rsidR="0093075C" w:rsidRPr="008A252C">
        <w:rPr>
          <w:color w:val="0000FF"/>
          <w:u w:val="single"/>
          <w:rtl/>
        </w:rPr>
        <w:t xml:space="preserve"> </w:t>
      </w:r>
      <w:r w:rsidR="0093075C" w:rsidRPr="008A252C">
        <w:rPr>
          <w:rFonts w:hint="eastAsia"/>
          <w:color w:val="0000FF"/>
          <w:u w:val="single"/>
          <w:rtl/>
        </w:rPr>
        <w:t>منح</w:t>
      </w:r>
      <w:r w:rsidR="0093075C" w:rsidRPr="008A252C">
        <w:rPr>
          <w:color w:val="0000FF"/>
          <w:u w:val="single"/>
          <w:rtl/>
        </w:rPr>
        <w:t xml:space="preserve"> </w:t>
      </w:r>
      <w:r w:rsidR="0093075C" w:rsidRPr="008A252C">
        <w:rPr>
          <w:rFonts w:hint="eastAsia"/>
          <w:color w:val="0000FF"/>
          <w:u w:val="single"/>
          <w:rtl/>
        </w:rPr>
        <w:t>البراءة</w:t>
      </w:r>
      <w:r w:rsidR="0093075C" w:rsidRPr="008A252C">
        <w:rPr>
          <w:color w:val="0000FF"/>
          <w:u w:val="single"/>
          <w:rtl/>
        </w:rPr>
        <w:t xml:space="preserve"> </w:t>
      </w:r>
      <w:r w:rsidR="0093075C" w:rsidRPr="008A252C">
        <w:rPr>
          <w:rFonts w:hint="eastAsia"/>
          <w:color w:val="0000FF"/>
          <w:u w:val="single"/>
          <w:rtl/>
        </w:rPr>
        <w:t>ورقم</w:t>
      </w:r>
      <w:r w:rsidR="0093075C" w:rsidRPr="008A252C">
        <w:rPr>
          <w:color w:val="0000FF"/>
          <w:u w:val="single"/>
          <w:rtl/>
        </w:rPr>
        <w:t xml:space="preserve"> </w:t>
      </w:r>
      <w:r w:rsidR="0093075C" w:rsidRPr="008A252C">
        <w:rPr>
          <w:rFonts w:hint="eastAsia"/>
          <w:color w:val="0000FF"/>
          <w:u w:val="single"/>
          <w:rtl/>
        </w:rPr>
        <w:t>وتاريخ</w:t>
      </w:r>
      <w:r w:rsidR="0093075C" w:rsidRPr="008A252C">
        <w:rPr>
          <w:color w:val="0000FF"/>
          <w:u w:val="single"/>
          <w:rtl/>
        </w:rPr>
        <w:t xml:space="preserve"> </w:t>
      </w:r>
      <w:r w:rsidR="0093075C" w:rsidRPr="008A252C">
        <w:rPr>
          <w:rFonts w:hint="eastAsia"/>
          <w:color w:val="0000FF"/>
          <w:u w:val="single"/>
          <w:rtl/>
        </w:rPr>
        <w:t>أي</w:t>
      </w:r>
      <w:r w:rsidR="0093075C" w:rsidRPr="008A252C">
        <w:rPr>
          <w:color w:val="0000FF"/>
          <w:u w:val="single"/>
          <w:rtl/>
        </w:rPr>
        <w:t xml:space="preserve"> </w:t>
      </w:r>
      <w:r w:rsidR="0093075C" w:rsidRPr="008A252C">
        <w:rPr>
          <w:rFonts w:hint="eastAsia"/>
          <w:color w:val="0000FF"/>
          <w:u w:val="single"/>
          <w:rtl/>
        </w:rPr>
        <w:t>نشر</w:t>
      </w:r>
      <w:r w:rsidR="0093075C" w:rsidRPr="008A252C">
        <w:rPr>
          <w:color w:val="0000FF"/>
          <w:u w:val="single"/>
          <w:rtl/>
        </w:rPr>
        <w:t xml:space="preserve"> </w:t>
      </w:r>
      <w:r w:rsidR="0093075C" w:rsidRPr="008A252C">
        <w:rPr>
          <w:rFonts w:hint="eastAsia"/>
          <w:color w:val="0000FF"/>
          <w:u w:val="single"/>
          <w:rtl/>
        </w:rPr>
        <w:t>ذي</w:t>
      </w:r>
      <w:r w:rsidR="0093075C" w:rsidRPr="008A252C">
        <w:rPr>
          <w:color w:val="0000FF"/>
          <w:u w:val="single"/>
          <w:rtl/>
        </w:rPr>
        <w:t xml:space="preserve"> </w:t>
      </w:r>
      <w:r w:rsidR="0093075C" w:rsidRPr="008A252C">
        <w:rPr>
          <w:rFonts w:hint="eastAsia"/>
          <w:color w:val="0000FF"/>
          <w:u w:val="single"/>
          <w:rtl/>
        </w:rPr>
        <w:t>صلة</w:t>
      </w:r>
      <w:r w:rsidR="0093075C" w:rsidRPr="008A252C">
        <w:rPr>
          <w:color w:val="0000FF"/>
          <w:u w:val="single"/>
          <w:rtl/>
        </w:rPr>
        <w:t>.</w:t>
      </w:r>
    </w:p>
    <w:p w:rsidR="00A93DB3" w:rsidRDefault="00C52B2E" w:rsidP="008A252C">
      <w:pPr>
        <w:pStyle w:val="NormalParaAR"/>
        <w:outlineLvl w:val="1"/>
        <w:rPr>
          <w:rtl/>
        </w:rPr>
      </w:pPr>
      <w:bookmarkStart w:id="13" w:name="_Toc415585312"/>
      <w:bookmarkStart w:id="14" w:name="_Toc416167486"/>
      <w:r w:rsidRPr="00C52B2E">
        <w:rPr>
          <w:rFonts w:hint="cs"/>
          <w:strike/>
          <w:color w:val="FF0000"/>
          <w:rtl/>
        </w:rPr>
        <w:t>1.95</w:t>
      </w:r>
      <w:r w:rsidR="0093075C">
        <w:rPr>
          <w:rFonts w:hint="cs"/>
          <w:rtl/>
        </w:rPr>
        <w:t xml:space="preserve"> </w:t>
      </w:r>
      <w:r w:rsidR="0093075C" w:rsidRPr="00C52B2E">
        <w:rPr>
          <w:rFonts w:hint="cs"/>
          <w:color w:val="0000FF"/>
          <w:u w:val="single"/>
          <w:rtl/>
        </w:rPr>
        <w:t>2.95</w:t>
      </w:r>
      <w:r w:rsidR="0093075C">
        <w:rPr>
          <w:rFonts w:hint="cs"/>
          <w:rtl/>
        </w:rPr>
        <w:t xml:space="preserve">  </w:t>
      </w:r>
      <w:r w:rsidR="00A93DB3" w:rsidRPr="0093075C">
        <w:rPr>
          <w:i/>
          <w:iCs/>
          <w:rtl/>
        </w:rPr>
        <w:t>الالتزام بتقديم صور عن النصوص المترجمة</w:t>
      </w:r>
      <w:bookmarkEnd w:id="13"/>
      <w:bookmarkEnd w:id="14"/>
    </w:p>
    <w:p w:rsidR="00A93DB3" w:rsidRDefault="0093075C" w:rsidP="0093075C">
      <w:pPr>
        <w:pStyle w:val="NormalParaAR"/>
        <w:ind w:firstLine="566"/>
        <w:rPr>
          <w:rtl/>
        </w:rPr>
      </w:pPr>
      <w:r>
        <w:rPr>
          <w:rtl/>
        </w:rPr>
        <w:t>(أ</w:t>
      </w:r>
      <w:r w:rsidR="00A93DB3">
        <w:rPr>
          <w:rtl/>
        </w:rPr>
        <w:t>)</w:t>
      </w:r>
      <w:r w:rsidR="00A93DB3">
        <w:rPr>
          <w:rtl/>
        </w:rPr>
        <w:tab/>
        <w:t>يقدم كل مكتب معي</w:t>
      </w:r>
      <w:r>
        <w:rPr>
          <w:rFonts w:hint="cs"/>
          <w:rtl/>
        </w:rPr>
        <w:t>ّ</w:t>
      </w:r>
      <w:r w:rsidR="00A93DB3">
        <w:rPr>
          <w:rtl/>
        </w:rPr>
        <w:t>ن أو مختار إلى المكتب الدولي، بناء على التماس منه، صورة عن ترجمة الطلب الدولي التي يكون مودع الطلب قد قدمها للمكتب المعيّن أو المختار.</w:t>
      </w:r>
    </w:p>
    <w:p w:rsidR="00793D46" w:rsidRDefault="00A93DB3" w:rsidP="0093075C">
      <w:pPr>
        <w:pStyle w:val="NormalParaAR"/>
        <w:spacing w:after="480"/>
        <w:ind w:firstLine="567"/>
        <w:rPr>
          <w:rtl/>
        </w:rPr>
      </w:pPr>
      <w:r>
        <w:rPr>
          <w:rtl/>
        </w:rPr>
        <w:t>(ب)</w:t>
      </w:r>
      <w:r>
        <w:rPr>
          <w:rtl/>
        </w:rPr>
        <w:tab/>
        <w:t>يجوز للمكتب الدولي أن يزود أي شخص بصور عن النصوص المترجمة والمتسلمة وفقا لما هو منصوص عليه في الفقرة (أ)، بناء على التماس ومقابل تسديد التكلفة.</w:t>
      </w:r>
    </w:p>
    <w:p w:rsidR="0093075C" w:rsidRPr="00CF60E4" w:rsidRDefault="0093075C" w:rsidP="0093075C">
      <w:pPr>
        <w:pStyle w:val="EndofDocumentAR"/>
      </w:pPr>
      <w:r>
        <w:rPr>
          <w:rFonts w:hint="cs"/>
          <w:rtl/>
        </w:rPr>
        <w:t>[نهاية المرفق والوثيقة]</w:t>
      </w:r>
    </w:p>
    <w:sectPr w:rsidR="0093075C" w:rsidRPr="00CF60E4" w:rsidSect="00C16AB9">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B06" w:rsidRDefault="004A0B06">
      <w:r>
        <w:separator/>
      </w:r>
    </w:p>
  </w:endnote>
  <w:endnote w:type="continuationSeparator" w:id="0">
    <w:p w:rsidR="004A0B06" w:rsidRDefault="004A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B06" w:rsidRDefault="004A0B06" w:rsidP="009622BF">
      <w:pPr>
        <w:bidi/>
      </w:pPr>
      <w:bookmarkStart w:id="0" w:name="OLE_LINK1"/>
      <w:bookmarkStart w:id="1" w:name="OLE_LINK2"/>
      <w:r>
        <w:separator/>
      </w:r>
      <w:bookmarkEnd w:id="0"/>
      <w:bookmarkEnd w:id="1"/>
    </w:p>
  </w:footnote>
  <w:footnote w:type="continuationSeparator" w:id="0">
    <w:p w:rsidR="004A0B06" w:rsidRDefault="004A0B06" w:rsidP="009622BF">
      <w:pPr>
        <w:bidi/>
      </w:pPr>
      <w:r>
        <w:separator/>
      </w:r>
    </w:p>
  </w:footnote>
  <w:footnote w:id="1">
    <w:p w:rsidR="00167B3F" w:rsidRDefault="00167B3F" w:rsidP="000C7D36">
      <w:pPr>
        <w:pStyle w:val="FootnoteText"/>
      </w:pPr>
      <w:r>
        <w:rPr>
          <w:rStyle w:val="FootnoteReference"/>
        </w:rPr>
        <w:footnoteRef/>
      </w:r>
      <w:r>
        <w:rPr>
          <w:rtl/>
        </w:rPr>
        <w:t xml:space="preserve"> </w:t>
      </w:r>
      <w:r w:rsidR="000C7D36">
        <w:rPr>
          <w:rFonts w:hint="cs"/>
          <w:rtl/>
        </w:rPr>
        <w:t>الإشارة، في هذه الوثيقة، إلى المكاتب المعي</w:t>
      </w:r>
      <w:r w:rsidR="001B031D">
        <w:rPr>
          <w:rFonts w:hint="cs"/>
          <w:rtl/>
        </w:rPr>
        <w:t>ّ</w:t>
      </w:r>
      <w:r w:rsidR="000C7D36">
        <w:rPr>
          <w:rFonts w:hint="cs"/>
          <w:rtl/>
        </w:rPr>
        <w:t>نة هي إشارة أيضا إلى المكاتب المختارة؛ والإشارة إلى المكاتب الوطنية والمرحلة الوطنية هي إشارة أيضا إلى المكاتب الإقليمية والمرحلة الإقليمية.</w:t>
      </w:r>
    </w:p>
  </w:footnote>
  <w:footnote w:id="2">
    <w:p w:rsidR="00B30C24" w:rsidRDefault="00B30C24" w:rsidP="00B30C24">
      <w:pPr>
        <w:pStyle w:val="FootnoteText"/>
      </w:pPr>
      <w:r>
        <w:rPr>
          <w:rStyle w:val="FootnoteReference"/>
        </w:rPr>
        <w:footnoteRef/>
      </w:r>
      <w:r>
        <w:rPr>
          <w:rtl/>
        </w:rPr>
        <w:t xml:space="preserve"> </w:t>
      </w:r>
      <w:r>
        <w:rPr>
          <w:rFonts w:hint="cs"/>
          <w:rtl/>
        </w:rPr>
        <w:t xml:space="preserve">متاحة في موقع الويبو الإلكتروني على العنوان التالي: </w:t>
      </w:r>
      <w:hyperlink r:id="rId1" w:history="1">
        <w:r w:rsidRPr="00B30C24">
          <w:rPr>
            <w:rStyle w:val="Hyperlink"/>
          </w:rPr>
          <w:t>http://www.wipo.int/patentscope/en/data/national_phase/procedures.html</w:t>
        </w:r>
      </w:hyperlink>
      <w:r>
        <w:rPr>
          <w:rFonts w:hint="cs"/>
          <w:rtl/>
        </w:rPr>
        <w:t>.</w:t>
      </w:r>
    </w:p>
  </w:footnote>
  <w:footnote w:id="3">
    <w:p w:rsidR="00DA7628" w:rsidRDefault="00DA7628" w:rsidP="00DA7628">
      <w:pPr>
        <w:pStyle w:val="FootnoteText"/>
      </w:pPr>
      <w:r>
        <w:rPr>
          <w:rStyle w:val="FootnoteReference"/>
        </w:rPr>
        <w:footnoteRef/>
      </w:r>
      <w:r>
        <w:rPr>
          <w:rtl/>
        </w:rPr>
        <w:t xml:space="preserve"> </w:t>
      </w:r>
      <w:r>
        <w:rPr>
          <w:rFonts w:hint="cs"/>
          <w:rtl/>
        </w:rPr>
        <w:t xml:space="preserve">انظر الوثيقة </w:t>
      </w:r>
      <w:r w:rsidRPr="00DA7628">
        <w:t>CWS/3/7</w:t>
      </w:r>
      <w:r>
        <w:rPr>
          <w:rFonts w:hint="cs"/>
          <w:rtl/>
        </w:rPr>
        <w:t xml:space="preserve"> والفقرات من 50 إلى 54 من الوثيقة </w:t>
      </w:r>
      <w:r w:rsidRPr="00DA7628">
        <w:t>CWS/3/14</w:t>
      </w:r>
      <w:r>
        <w:rPr>
          <w:rFonts w:hint="cs"/>
          <w:rtl/>
        </w:rPr>
        <w:t>.</w:t>
      </w:r>
    </w:p>
  </w:footnote>
  <w:footnote w:id="4">
    <w:p w:rsidR="006D51B8" w:rsidRDefault="006D51B8">
      <w:pPr>
        <w:pStyle w:val="FootnoteText"/>
      </w:pPr>
      <w:r>
        <w:rPr>
          <w:rStyle w:val="FootnoteReference"/>
        </w:rPr>
        <w:footnoteRef/>
      </w:r>
      <w:r>
        <w:rPr>
          <w:rtl/>
        </w:rPr>
        <w:t xml:space="preserve"> </w:t>
      </w:r>
      <w:r w:rsidRPr="006D51B8">
        <w:rPr>
          <w:rtl/>
        </w:rPr>
        <w:t>ي</w:t>
      </w:r>
      <w:r w:rsidR="00793D46">
        <w:rPr>
          <w:rFonts w:hint="cs"/>
          <w:rtl/>
        </w:rPr>
        <w:t>ُ</w:t>
      </w:r>
      <w:r w:rsidRPr="006D51B8">
        <w:rPr>
          <w:rtl/>
        </w:rPr>
        <w:t>شار إلى النص المضاف والمحذوف المقترح، على التوالي، بوضع خط تحت النص المعني أو بشطبه.</w:t>
      </w:r>
      <w:r>
        <w:rPr>
          <w:rFonts w:hint="cs"/>
          <w:rtl/>
        </w:rPr>
        <w:t xml:space="preserve"> </w:t>
      </w:r>
      <w:r w:rsidRPr="006D51B8">
        <w:rPr>
          <w:rtl/>
        </w:rPr>
        <w:t>وقد ت</w:t>
      </w:r>
      <w:r w:rsidR="00793D46">
        <w:rPr>
          <w:rFonts w:hint="cs"/>
          <w:rtl/>
        </w:rPr>
        <w:t>ُ</w:t>
      </w:r>
      <w:r w:rsidRPr="006D51B8">
        <w:rPr>
          <w:rtl/>
        </w:rPr>
        <w:t>درج بعض الأحكام غير المقترح تعديلها لتسهيل الرجوع إليها.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5C64F7">
    <w:r>
      <w:t>PCT</w:t>
    </w:r>
    <w:r w:rsidR="00772E46">
      <w:t>/</w:t>
    </w:r>
    <w:r w:rsidR="00C742C5">
      <w:t>WG</w:t>
    </w:r>
    <w:r w:rsidR="002F77FC">
      <w:t>/</w:t>
    </w:r>
    <w:r w:rsidR="005C64F7">
      <w:t>8</w:t>
    </w:r>
    <w:r w:rsidR="00DC04D2">
      <w:t>/8</w:t>
    </w:r>
  </w:p>
  <w:p w:rsidR="002F77FC" w:rsidRDefault="002F77FC" w:rsidP="00D61541">
    <w:r>
      <w:fldChar w:fldCharType="begin"/>
    </w:r>
    <w:r>
      <w:instrText xml:space="preserve"> PAGE  \* MERGEFORMAT </w:instrText>
    </w:r>
    <w:r>
      <w:fldChar w:fldCharType="separate"/>
    </w:r>
    <w:r w:rsidR="008A252C">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B9" w:rsidRDefault="00C16AB9" w:rsidP="005C64F7">
    <w:r>
      <w:t>PCT/WG/8/8</w:t>
    </w:r>
  </w:p>
  <w:p w:rsidR="00C16AB9" w:rsidRDefault="00C16AB9" w:rsidP="00D61541">
    <w:r>
      <w:t>Annex</w:t>
    </w:r>
  </w:p>
  <w:p w:rsidR="00C16AB9" w:rsidRDefault="00C16AB9" w:rsidP="00D61541">
    <w:r>
      <w:fldChar w:fldCharType="begin"/>
    </w:r>
    <w:r>
      <w:instrText xml:space="preserve"> PAGE   \* MERGEFORMAT </w:instrText>
    </w:r>
    <w:r>
      <w:fldChar w:fldCharType="separate"/>
    </w:r>
    <w:r w:rsidR="008A252C">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1B8" w:rsidRDefault="006D51B8" w:rsidP="006D51B8">
    <w:r>
      <w:t>PCT/WG/8/8</w:t>
    </w:r>
  </w:p>
  <w:p w:rsidR="006D51B8" w:rsidRDefault="006D51B8" w:rsidP="006D51B8">
    <w:pPr>
      <w:pStyle w:val="Header"/>
    </w:pPr>
    <w:r>
      <w:t>ANNEX</w:t>
    </w:r>
  </w:p>
  <w:p w:rsidR="006D51B8" w:rsidRPr="006D51B8" w:rsidRDefault="006D51B8" w:rsidP="006D51B8">
    <w:pPr>
      <w:pStyle w:val="Header"/>
      <w:bidi/>
      <w:jc w:val="right"/>
      <w:rPr>
        <w:rFonts w:ascii="Arabic Typesetting" w:hAnsi="Arabic Typesetting" w:cs="Arabic Typesetting"/>
        <w:sz w:val="36"/>
        <w:szCs w:val="36"/>
        <w:rtl/>
      </w:rPr>
    </w:pPr>
    <w:r w:rsidRPr="006D51B8">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0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7C4"/>
    <w:rsid w:val="000258DB"/>
    <w:rsid w:val="000259E5"/>
    <w:rsid w:val="00031B2C"/>
    <w:rsid w:val="00033D2C"/>
    <w:rsid w:val="00034B8C"/>
    <w:rsid w:val="00034D69"/>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DA8"/>
    <w:rsid w:val="00063C91"/>
    <w:rsid w:val="000640E7"/>
    <w:rsid w:val="00066DC7"/>
    <w:rsid w:val="0006794A"/>
    <w:rsid w:val="00067F31"/>
    <w:rsid w:val="00071138"/>
    <w:rsid w:val="00071309"/>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D36"/>
    <w:rsid w:val="000D0C07"/>
    <w:rsid w:val="000D0C7C"/>
    <w:rsid w:val="000D1A1D"/>
    <w:rsid w:val="000D2F4B"/>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8C3"/>
    <w:rsid w:val="001550DF"/>
    <w:rsid w:val="00155CEA"/>
    <w:rsid w:val="00156153"/>
    <w:rsid w:val="001563D9"/>
    <w:rsid w:val="00156428"/>
    <w:rsid w:val="001568F4"/>
    <w:rsid w:val="001572CE"/>
    <w:rsid w:val="001603F7"/>
    <w:rsid w:val="00160C95"/>
    <w:rsid w:val="00162777"/>
    <w:rsid w:val="0016337E"/>
    <w:rsid w:val="0016375B"/>
    <w:rsid w:val="00164691"/>
    <w:rsid w:val="00164BD2"/>
    <w:rsid w:val="00165AC3"/>
    <w:rsid w:val="001665F3"/>
    <w:rsid w:val="001667B6"/>
    <w:rsid w:val="001668D4"/>
    <w:rsid w:val="00166A09"/>
    <w:rsid w:val="00167809"/>
    <w:rsid w:val="00167B3F"/>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31D"/>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956"/>
    <w:rsid w:val="001D2DC4"/>
    <w:rsid w:val="001D66B0"/>
    <w:rsid w:val="001D6A48"/>
    <w:rsid w:val="001E0054"/>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094"/>
    <w:rsid w:val="00226B82"/>
    <w:rsid w:val="00227103"/>
    <w:rsid w:val="00230249"/>
    <w:rsid w:val="00230D5F"/>
    <w:rsid w:val="00231BE3"/>
    <w:rsid w:val="00232C51"/>
    <w:rsid w:val="00233414"/>
    <w:rsid w:val="00233D69"/>
    <w:rsid w:val="00234E82"/>
    <w:rsid w:val="00235C9D"/>
    <w:rsid w:val="0023623E"/>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826"/>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74BE"/>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AFE"/>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D61"/>
    <w:rsid w:val="00364FC6"/>
    <w:rsid w:val="0036541D"/>
    <w:rsid w:val="00370504"/>
    <w:rsid w:val="00371814"/>
    <w:rsid w:val="00372936"/>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4F5A"/>
    <w:rsid w:val="003F67AE"/>
    <w:rsid w:val="003F6BBB"/>
    <w:rsid w:val="003F719F"/>
    <w:rsid w:val="0040033D"/>
    <w:rsid w:val="004007E1"/>
    <w:rsid w:val="00400B1F"/>
    <w:rsid w:val="00402495"/>
    <w:rsid w:val="004032D2"/>
    <w:rsid w:val="00403C4F"/>
    <w:rsid w:val="00404201"/>
    <w:rsid w:val="004058B4"/>
    <w:rsid w:val="00405C45"/>
    <w:rsid w:val="004062EF"/>
    <w:rsid w:val="004062F0"/>
    <w:rsid w:val="00406CB5"/>
    <w:rsid w:val="00410B8F"/>
    <w:rsid w:val="00412057"/>
    <w:rsid w:val="004126C1"/>
    <w:rsid w:val="00413BA5"/>
    <w:rsid w:val="00414FD0"/>
    <w:rsid w:val="00415744"/>
    <w:rsid w:val="00417E93"/>
    <w:rsid w:val="00422A2A"/>
    <w:rsid w:val="00424BB4"/>
    <w:rsid w:val="004258CD"/>
    <w:rsid w:val="004261D2"/>
    <w:rsid w:val="004303D1"/>
    <w:rsid w:val="00430667"/>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98"/>
    <w:rsid w:val="00486FFC"/>
    <w:rsid w:val="00490ED4"/>
    <w:rsid w:val="00491B91"/>
    <w:rsid w:val="00491C21"/>
    <w:rsid w:val="00491C66"/>
    <w:rsid w:val="004935D6"/>
    <w:rsid w:val="00494195"/>
    <w:rsid w:val="004945FB"/>
    <w:rsid w:val="00497356"/>
    <w:rsid w:val="004A076F"/>
    <w:rsid w:val="004A0B06"/>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0F70"/>
    <w:rsid w:val="004C12FE"/>
    <w:rsid w:val="004C1D57"/>
    <w:rsid w:val="004C2F7C"/>
    <w:rsid w:val="004C34F8"/>
    <w:rsid w:val="004C375F"/>
    <w:rsid w:val="004C399B"/>
    <w:rsid w:val="004C482F"/>
    <w:rsid w:val="004C49C9"/>
    <w:rsid w:val="004C627F"/>
    <w:rsid w:val="004C76C1"/>
    <w:rsid w:val="004C7DDE"/>
    <w:rsid w:val="004D0D1A"/>
    <w:rsid w:val="004D1422"/>
    <w:rsid w:val="004D169F"/>
    <w:rsid w:val="004D18CF"/>
    <w:rsid w:val="004D30CE"/>
    <w:rsid w:val="004D4071"/>
    <w:rsid w:val="004D421A"/>
    <w:rsid w:val="004D4D0C"/>
    <w:rsid w:val="004D6144"/>
    <w:rsid w:val="004D678F"/>
    <w:rsid w:val="004E1264"/>
    <w:rsid w:val="004E1F5D"/>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E1C"/>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24B"/>
    <w:rsid w:val="0056248F"/>
    <w:rsid w:val="00564985"/>
    <w:rsid w:val="00565379"/>
    <w:rsid w:val="00566B96"/>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0D17"/>
    <w:rsid w:val="005B115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8AF"/>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79D"/>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92E"/>
    <w:rsid w:val="00664C9F"/>
    <w:rsid w:val="00666548"/>
    <w:rsid w:val="00666A71"/>
    <w:rsid w:val="00667537"/>
    <w:rsid w:val="00670865"/>
    <w:rsid w:val="00671AED"/>
    <w:rsid w:val="006725B5"/>
    <w:rsid w:val="00673521"/>
    <w:rsid w:val="00673767"/>
    <w:rsid w:val="00673792"/>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3C2A"/>
    <w:rsid w:val="006A4462"/>
    <w:rsid w:val="006A5019"/>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51B8"/>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4C37"/>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6935"/>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D46"/>
    <w:rsid w:val="00795460"/>
    <w:rsid w:val="00796CF7"/>
    <w:rsid w:val="007A0313"/>
    <w:rsid w:val="007A0A83"/>
    <w:rsid w:val="007A4BB3"/>
    <w:rsid w:val="007A6307"/>
    <w:rsid w:val="007A6822"/>
    <w:rsid w:val="007A69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F9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105"/>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6B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5B8E"/>
    <w:rsid w:val="00897566"/>
    <w:rsid w:val="0089757B"/>
    <w:rsid w:val="008A1594"/>
    <w:rsid w:val="008A1757"/>
    <w:rsid w:val="008A1CE6"/>
    <w:rsid w:val="008A1F25"/>
    <w:rsid w:val="008A252C"/>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98C"/>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719"/>
    <w:rsid w:val="00901900"/>
    <w:rsid w:val="00901B7A"/>
    <w:rsid w:val="00901EE8"/>
    <w:rsid w:val="00901F6C"/>
    <w:rsid w:val="0090266B"/>
    <w:rsid w:val="00902F06"/>
    <w:rsid w:val="009035DB"/>
    <w:rsid w:val="00904671"/>
    <w:rsid w:val="00905BC5"/>
    <w:rsid w:val="009064AA"/>
    <w:rsid w:val="00912257"/>
    <w:rsid w:val="00913495"/>
    <w:rsid w:val="00913874"/>
    <w:rsid w:val="00916269"/>
    <w:rsid w:val="009163CC"/>
    <w:rsid w:val="0091674C"/>
    <w:rsid w:val="00916862"/>
    <w:rsid w:val="00916B2A"/>
    <w:rsid w:val="00916D96"/>
    <w:rsid w:val="009174F7"/>
    <w:rsid w:val="00917E76"/>
    <w:rsid w:val="00920167"/>
    <w:rsid w:val="00921BB8"/>
    <w:rsid w:val="00921D28"/>
    <w:rsid w:val="00922034"/>
    <w:rsid w:val="0092266C"/>
    <w:rsid w:val="009241E8"/>
    <w:rsid w:val="00925254"/>
    <w:rsid w:val="00925956"/>
    <w:rsid w:val="00925DD2"/>
    <w:rsid w:val="00926344"/>
    <w:rsid w:val="00926929"/>
    <w:rsid w:val="00927301"/>
    <w:rsid w:val="00927E9D"/>
    <w:rsid w:val="0093075C"/>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36D"/>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4A0"/>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B4C"/>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3DB3"/>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9E4"/>
    <w:rsid w:val="00AD7D05"/>
    <w:rsid w:val="00AD7D37"/>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157"/>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D9F"/>
    <w:rsid w:val="00B2713B"/>
    <w:rsid w:val="00B2769B"/>
    <w:rsid w:val="00B307D2"/>
    <w:rsid w:val="00B30C24"/>
    <w:rsid w:val="00B3398B"/>
    <w:rsid w:val="00B33B1E"/>
    <w:rsid w:val="00B362D9"/>
    <w:rsid w:val="00B36B99"/>
    <w:rsid w:val="00B36D20"/>
    <w:rsid w:val="00B36F67"/>
    <w:rsid w:val="00B40633"/>
    <w:rsid w:val="00B44049"/>
    <w:rsid w:val="00B44318"/>
    <w:rsid w:val="00B44C4B"/>
    <w:rsid w:val="00B477CB"/>
    <w:rsid w:val="00B4791F"/>
    <w:rsid w:val="00B508A7"/>
    <w:rsid w:val="00B52081"/>
    <w:rsid w:val="00B52695"/>
    <w:rsid w:val="00B53CB6"/>
    <w:rsid w:val="00B545AF"/>
    <w:rsid w:val="00B55743"/>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658F"/>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371"/>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147"/>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6AB9"/>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23"/>
    <w:rsid w:val="00C40DE4"/>
    <w:rsid w:val="00C40E63"/>
    <w:rsid w:val="00C41A06"/>
    <w:rsid w:val="00C4261B"/>
    <w:rsid w:val="00C42BFB"/>
    <w:rsid w:val="00C44DDC"/>
    <w:rsid w:val="00C5128B"/>
    <w:rsid w:val="00C51423"/>
    <w:rsid w:val="00C5294D"/>
    <w:rsid w:val="00C52B2E"/>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65"/>
    <w:rsid w:val="00CB79E4"/>
    <w:rsid w:val="00CB7BD7"/>
    <w:rsid w:val="00CC4CB6"/>
    <w:rsid w:val="00CC4DB0"/>
    <w:rsid w:val="00CC5038"/>
    <w:rsid w:val="00CC5326"/>
    <w:rsid w:val="00CC7426"/>
    <w:rsid w:val="00CC7910"/>
    <w:rsid w:val="00CD0C20"/>
    <w:rsid w:val="00CD1BE4"/>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0E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DD6"/>
    <w:rsid w:val="00D263AE"/>
    <w:rsid w:val="00D27855"/>
    <w:rsid w:val="00D27E5A"/>
    <w:rsid w:val="00D31021"/>
    <w:rsid w:val="00D32438"/>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2EC0"/>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18B"/>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628"/>
    <w:rsid w:val="00DB0066"/>
    <w:rsid w:val="00DB0F9E"/>
    <w:rsid w:val="00DB1307"/>
    <w:rsid w:val="00DB1E1A"/>
    <w:rsid w:val="00DB2AF6"/>
    <w:rsid w:val="00DB364F"/>
    <w:rsid w:val="00DB39E7"/>
    <w:rsid w:val="00DB3B3E"/>
    <w:rsid w:val="00DB71DB"/>
    <w:rsid w:val="00DB71E1"/>
    <w:rsid w:val="00DB7B0F"/>
    <w:rsid w:val="00DB7CB3"/>
    <w:rsid w:val="00DC04D2"/>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7B6"/>
    <w:rsid w:val="00E018AF"/>
    <w:rsid w:val="00E03FE3"/>
    <w:rsid w:val="00E06951"/>
    <w:rsid w:val="00E10C94"/>
    <w:rsid w:val="00E10EC4"/>
    <w:rsid w:val="00E118D7"/>
    <w:rsid w:val="00E13F46"/>
    <w:rsid w:val="00E15BD4"/>
    <w:rsid w:val="00E16458"/>
    <w:rsid w:val="00E16FB6"/>
    <w:rsid w:val="00E17001"/>
    <w:rsid w:val="00E1745A"/>
    <w:rsid w:val="00E17541"/>
    <w:rsid w:val="00E17814"/>
    <w:rsid w:val="00E17CEF"/>
    <w:rsid w:val="00E20FBC"/>
    <w:rsid w:val="00E2103F"/>
    <w:rsid w:val="00E244CA"/>
    <w:rsid w:val="00E2512D"/>
    <w:rsid w:val="00E2548C"/>
    <w:rsid w:val="00E2662B"/>
    <w:rsid w:val="00E26736"/>
    <w:rsid w:val="00E268AC"/>
    <w:rsid w:val="00E2741A"/>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B02"/>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45FB"/>
    <w:rsid w:val="00E65301"/>
    <w:rsid w:val="00E6598A"/>
    <w:rsid w:val="00E667A7"/>
    <w:rsid w:val="00E679B3"/>
    <w:rsid w:val="00E70819"/>
    <w:rsid w:val="00E7190A"/>
    <w:rsid w:val="00E71CAD"/>
    <w:rsid w:val="00E71E5C"/>
    <w:rsid w:val="00E7245E"/>
    <w:rsid w:val="00E73831"/>
    <w:rsid w:val="00E73B66"/>
    <w:rsid w:val="00E7498E"/>
    <w:rsid w:val="00E74BB9"/>
    <w:rsid w:val="00E74FF5"/>
    <w:rsid w:val="00E7584A"/>
    <w:rsid w:val="00E760D0"/>
    <w:rsid w:val="00E76D85"/>
    <w:rsid w:val="00E7780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F25"/>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70B"/>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AB4"/>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265"/>
    <w:rsid w:val="00F633E5"/>
    <w:rsid w:val="00F64A3A"/>
    <w:rsid w:val="00F64F35"/>
    <w:rsid w:val="00F64FC4"/>
    <w:rsid w:val="00F65DE3"/>
    <w:rsid w:val="00F67E6A"/>
    <w:rsid w:val="00F70472"/>
    <w:rsid w:val="00F71430"/>
    <w:rsid w:val="00F71A8A"/>
    <w:rsid w:val="00F73D67"/>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0F38"/>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B00"/>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rsid w:val="00B30C24"/>
    <w:rPr>
      <w:color w:val="0000FF" w:themeColor="hyperlink"/>
      <w:u w:val="single"/>
    </w:rPr>
  </w:style>
  <w:style w:type="character" w:customStyle="1" w:styleId="HeaderChar">
    <w:name w:val="Header Char"/>
    <w:basedOn w:val="DefaultParagraphFont"/>
    <w:link w:val="Header"/>
    <w:uiPriority w:val="99"/>
    <w:rsid w:val="006D51B8"/>
    <w:rPr>
      <w:rFonts w:ascii="Arial" w:hAnsi="Arial" w:cs="Arial"/>
      <w:sz w:val="22"/>
    </w:rPr>
  </w:style>
  <w:style w:type="paragraph" w:styleId="TOC1">
    <w:name w:val="toc 1"/>
    <w:basedOn w:val="Normal"/>
    <w:next w:val="Normal"/>
    <w:autoRedefine/>
    <w:uiPriority w:val="39"/>
    <w:rsid w:val="00486B98"/>
    <w:pPr>
      <w:tabs>
        <w:tab w:val="right" w:leader="dot" w:pos="9345"/>
      </w:tabs>
      <w:bidi/>
      <w:spacing w:after="100"/>
    </w:pPr>
  </w:style>
  <w:style w:type="paragraph" w:styleId="TOC2">
    <w:name w:val="toc 2"/>
    <w:basedOn w:val="Normal"/>
    <w:next w:val="Normal"/>
    <w:autoRedefine/>
    <w:uiPriority w:val="39"/>
    <w:rsid w:val="0091626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rsid w:val="00B30C24"/>
    <w:rPr>
      <w:color w:val="0000FF" w:themeColor="hyperlink"/>
      <w:u w:val="single"/>
    </w:rPr>
  </w:style>
  <w:style w:type="character" w:customStyle="1" w:styleId="HeaderChar">
    <w:name w:val="Header Char"/>
    <w:basedOn w:val="DefaultParagraphFont"/>
    <w:link w:val="Header"/>
    <w:uiPriority w:val="99"/>
    <w:rsid w:val="006D51B8"/>
    <w:rPr>
      <w:rFonts w:ascii="Arial" w:hAnsi="Arial" w:cs="Arial"/>
      <w:sz w:val="22"/>
    </w:rPr>
  </w:style>
  <w:style w:type="paragraph" w:styleId="TOC1">
    <w:name w:val="toc 1"/>
    <w:basedOn w:val="Normal"/>
    <w:next w:val="Normal"/>
    <w:autoRedefine/>
    <w:uiPriority w:val="39"/>
    <w:rsid w:val="00486B98"/>
    <w:pPr>
      <w:tabs>
        <w:tab w:val="right" w:leader="dot" w:pos="9345"/>
      </w:tabs>
      <w:bidi/>
      <w:spacing w:after="100"/>
    </w:pPr>
  </w:style>
  <w:style w:type="paragraph" w:styleId="TOC2">
    <w:name w:val="toc 2"/>
    <w:basedOn w:val="Normal"/>
    <w:next w:val="Normal"/>
    <w:autoRedefine/>
    <w:uiPriority w:val="39"/>
    <w:rsid w:val="0091626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atentscope/en/data/national_phase/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25EDC-530D-432D-BF80-875A7294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1987</Words>
  <Characters>11326</Characters>
  <Application>Microsoft Office Word</Application>
  <DocSecurity>4</DocSecurity>
  <Lines>94</Lines>
  <Paragraphs>26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PCT/WG/8/8 (Arabic)</vt:lpstr>
      <vt:lpstr>القاعدة 86   الجريدة</vt:lpstr>
      <vt:lpstr>    1.86  المحتويات</vt:lpstr>
      <vt:lpstr>    من 2.86 إلى 6.86  [دون تغيير]</vt:lpstr>
      <vt:lpstr>القاعدة 95   الاستحصال على صور عن النصوص المترجمة تلقي المعلومات والنصوص المترجم</vt:lpstr>
      <vt:lpstr>    1.95  المعلومات المتعلقة بحدوث الإجراءات في المكاتب المعيّنة والمكاتب المختارة</vt:lpstr>
      <vt:lpstr>    1.95 2.95  الالتزام بتقديم صور عن النصوص المترجمة</vt:lpstr>
    </vt:vector>
  </TitlesOfParts>
  <Company>World Intellectual Property Organization</Company>
  <LinksUpToDate>false</LinksUpToDate>
  <CharactersWithSpaces>13287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PCT/WG/8/8 (Arabic)</dc:title>
  <dc:creator>وثيقة من إعداد المكتب الدولي</dc:creator>
  <cp:lastModifiedBy>MARLOW Thomas</cp:lastModifiedBy>
  <cp:revision>2</cp:revision>
  <cp:lastPrinted>2015-04-07T09:00:00Z</cp:lastPrinted>
  <dcterms:created xsi:type="dcterms:W3CDTF">2015-04-07T09:37:00Z</dcterms:created>
  <dcterms:modified xsi:type="dcterms:W3CDTF">2015-04-07T09:37:00Z</dcterms:modified>
</cp:coreProperties>
</file>