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AB54AE" w:rsidP="001E3F88">
            <w:pPr>
              <w:pStyle w:val="DocumentCodeAR"/>
              <w:bidi/>
              <w:rPr>
                <w:rtl/>
              </w:rPr>
            </w:pPr>
            <w:r>
              <w:t>PCT</w:t>
            </w:r>
            <w:r w:rsidR="00772E46">
              <w:t>/</w:t>
            </w:r>
            <w:r w:rsidR="00C742C5">
              <w:t>WG</w:t>
            </w:r>
            <w:r w:rsidR="00100F97">
              <w:t>/</w:t>
            </w:r>
            <w:r w:rsidR="001E3F88">
              <w:t>9</w:t>
            </w:r>
            <w:r w:rsidR="00553489">
              <w:t>/16</w:t>
            </w:r>
          </w:p>
        </w:tc>
      </w:tr>
      <w:tr w:rsidR="001667B6" w:rsidTr="00BF164F">
        <w:tc>
          <w:tcPr>
            <w:tcW w:w="9571" w:type="dxa"/>
            <w:gridSpan w:val="3"/>
          </w:tcPr>
          <w:p w:rsidR="001667B6" w:rsidRPr="00B6101C" w:rsidRDefault="00B6101C" w:rsidP="00553489">
            <w:pPr>
              <w:pStyle w:val="DocumentLanguageAR"/>
              <w:bidi/>
              <w:rPr>
                <w:rtl/>
              </w:rPr>
            </w:pPr>
            <w:r w:rsidRPr="00B6101C">
              <w:rPr>
                <w:rFonts w:hint="cs"/>
                <w:rtl/>
              </w:rPr>
              <w:t xml:space="preserve">الأصل: </w:t>
            </w:r>
            <w:r w:rsidR="00553489">
              <w:rPr>
                <w:rFonts w:hint="cs"/>
                <w:rtl/>
              </w:rPr>
              <w:t>بالإنكليزية</w:t>
            </w:r>
          </w:p>
        </w:tc>
      </w:tr>
      <w:tr w:rsidR="001667B6" w:rsidTr="00BF164F">
        <w:tc>
          <w:tcPr>
            <w:tcW w:w="9571" w:type="dxa"/>
            <w:gridSpan w:val="3"/>
          </w:tcPr>
          <w:p w:rsidR="001667B6" w:rsidRPr="00B6101C" w:rsidRDefault="00B6101C" w:rsidP="00553489">
            <w:pPr>
              <w:pStyle w:val="DocumentDateAR"/>
              <w:bidi/>
              <w:rPr>
                <w:rtl/>
              </w:rPr>
            </w:pPr>
            <w:r w:rsidRPr="00B6101C">
              <w:rPr>
                <w:rFonts w:hint="cs"/>
                <w:rtl/>
              </w:rPr>
              <w:t xml:space="preserve">التاريخ: </w:t>
            </w:r>
            <w:r w:rsidR="00553489">
              <w:rPr>
                <w:rFonts w:hint="cs"/>
                <w:rtl/>
              </w:rPr>
              <w:t>11</w:t>
            </w:r>
            <w:r w:rsidRPr="00B6101C">
              <w:rPr>
                <w:rFonts w:hint="cs"/>
                <w:rtl/>
              </w:rPr>
              <w:t xml:space="preserve"> </w:t>
            </w:r>
            <w:r w:rsidR="00553489">
              <w:rPr>
                <w:rFonts w:hint="cs"/>
                <w:rtl/>
              </w:rPr>
              <w:t>أبريل</w:t>
            </w:r>
            <w:r w:rsidRPr="00B6101C">
              <w:rPr>
                <w:rFonts w:hint="cs"/>
                <w:rtl/>
              </w:rPr>
              <w:t xml:space="preserve"> </w:t>
            </w:r>
            <w:r w:rsidR="005C64F7">
              <w:rPr>
                <w:rFonts w:hint="cs"/>
                <w:rtl/>
              </w:rPr>
              <w:t>201</w:t>
            </w:r>
            <w:r w:rsidR="001E3F88">
              <w:rPr>
                <w:rFonts w:hint="cs"/>
                <w:rtl/>
              </w:rPr>
              <w:t>6</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Pr>
      </w:pPr>
    </w:p>
    <w:p w:rsidR="001667B6" w:rsidRDefault="00AB54AE" w:rsidP="00983389">
      <w:pPr>
        <w:pStyle w:val="MeetingTitleAR"/>
        <w:bidi/>
        <w:ind w:right="550"/>
        <w:rPr>
          <w:rtl/>
        </w:rPr>
      </w:pPr>
      <w:r>
        <w:rPr>
          <w:rFonts w:hint="cs"/>
          <w:rtl/>
        </w:rPr>
        <w:t>معاهدة التعاون بشأن البراءات</w:t>
      </w:r>
    </w:p>
    <w:p w:rsidR="00AB54AE" w:rsidRPr="00AB54AE" w:rsidRDefault="00C742C5" w:rsidP="00AB54AE">
      <w:pPr>
        <w:pStyle w:val="MeetingTitleAR"/>
        <w:bidi/>
        <w:ind w:right="550"/>
        <w:rPr>
          <w:rtl/>
        </w:rPr>
      </w:pPr>
      <w:r>
        <w:rPr>
          <w:rFonts w:hint="cs"/>
          <w:rtl/>
        </w:rPr>
        <w:t>الفريق العامل</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1E3F88">
      <w:pPr>
        <w:pStyle w:val="MeetingSessionAR"/>
        <w:bidi/>
        <w:rPr>
          <w:rFonts w:ascii="Cambria Math" w:hAnsi="Cambria Math"/>
          <w:rtl/>
        </w:rPr>
      </w:pPr>
      <w:r w:rsidRPr="00783D11">
        <w:rPr>
          <w:rFonts w:ascii="Cambria Math" w:hAnsi="Cambria Math"/>
          <w:rtl/>
        </w:rPr>
        <w:t xml:space="preserve">الدورة </w:t>
      </w:r>
      <w:r w:rsidR="001E3F88">
        <w:rPr>
          <w:rFonts w:ascii="Cambria Math" w:hAnsi="Cambria Math" w:hint="cs"/>
          <w:rtl/>
        </w:rPr>
        <w:t>التاسعة</w:t>
      </w:r>
    </w:p>
    <w:p w:rsidR="00D61541" w:rsidRPr="00D61541" w:rsidRDefault="00D61541" w:rsidP="00D07291">
      <w:pPr>
        <w:pStyle w:val="MeetingDatesAR"/>
        <w:bidi/>
        <w:rPr>
          <w:rtl/>
        </w:rPr>
      </w:pPr>
      <w:r w:rsidRPr="00D61541">
        <w:rPr>
          <w:rFonts w:hint="cs"/>
          <w:rtl/>
        </w:rPr>
        <w:t xml:space="preserve">جنيف، من </w:t>
      </w:r>
      <w:r w:rsidR="00D07291">
        <w:rPr>
          <w:rFonts w:hint="cs"/>
          <w:rtl/>
        </w:rPr>
        <w:t>17</w:t>
      </w:r>
      <w:r w:rsidR="00C742C5">
        <w:rPr>
          <w:rFonts w:hint="cs"/>
          <w:rtl/>
        </w:rPr>
        <w:t xml:space="preserve"> إلى </w:t>
      </w:r>
      <w:r w:rsidR="00D07291">
        <w:rPr>
          <w:rFonts w:hint="cs"/>
          <w:rtl/>
        </w:rPr>
        <w:t>20 مايو</w:t>
      </w:r>
      <w:r w:rsidR="00C742C5">
        <w:rPr>
          <w:rFonts w:hint="cs"/>
          <w:rtl/>
        </w:rPr>
        <w:t xml:space="preserve"> </w:t>
      </w:r>
      <w:r w:rsidR="005C64F7">
        <w:rPr>
          <w:rFonts w:hint="cs"/>
          <w:rtl/>
        </w:rPr>
        <w:t>201</w:t>
      </w:r>
      <w:r w:rsidR="00D07291">
        <w:rPr>
          <w:rFonts w:hint="cs"/>
          <w:rtl/>
        </w:rPr>
        <w:t>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5961B9" w:rsidP="00FB7EC9">
      <w:pPr>
        <w:pStyle w:val="DocumentTitleAR"/>
        <w:bidi/>
        <w:rPr>
          <w:rtl/>
        </w:rPr>
      </w:pPr>
      <w:r w:rsidRPr="005961B9">
        <w:rPr>
          <w:rtl/>
        </w:rPr>
        <w:t>عدد الكلمات في الملخصات ورسوم صفحات الغلاف</w:t>
      </w:r>
    </w:p>
    <w:p w:rsidR="00D61541" w:rsidRPr="00D61541" w:rsidRDefault="005961B9" w:rsidP="00931859">
      <w:pPr>
        <w:pStyle w:val="PreparedbyAR"/>
        <w:bidi/>
        <w:rPr>
          <w:rtl/>
        </w:rPr>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المكتب الدولي</w:t>
      </w:r>
    </w:p>
    <w:p w:rsidR="00D61541" w:rsidRPr="005961B9" w:rsidRDefault="005961B9" w:rsidP="005961B9">
      <w:pPr>
        <w:pStyle w:val="NormalParaAR"/>
        <w:keepNext/>
        <w:rPr>
          <w:b/>
          <w:bCs/>
          <w:sz w:val="40"/>
          <w:szCs w:val="40"/>
        </w:rPr>
      </w:pPr>
      <w:r w:rsidRPr="005961B9">
        <w:rPr>
          <w:rFonts w:hint="cs"/>
          <w:b/>
          <w:bCs/>
          <w:sz w:val="40"/>
          <w:szCs w:val="40"/>
          <w:rtl/>
        </w:rPr>
        <w:t>ملخص</w:t>
      </w:r>
    </w:p>
    <w:p w:rsidR="005C64F7" w:rsidRDefault="00BD70A0" w:rsidP="002D69FC">
      <w:pPr>
        <w:pStyle w:val="NumberedParaAR"/>
      </w:pPr>
      <w:r>
        <w:rPr>
          <w:rFonts w:hint="cs"/>
          <w:rtl/>
        </w:rPr>
        <w:t xml:space="preserve">يُنشر عدد كبير من الطلبات الدولية مع ملخصات تخرج بقدر كبير عن نطاق الطول </w:t>
      </w:r>
      <w:proofErr w:type="spellStart"/>
      <w:r>
        <w:rPr>
          <w:rFonts w:hint="cs"/>
          <w:rtl/>
        </w:rPr>
        <w:t>الموصى</w:t>
      </w:r>
      <w:proofErr w:type="spellEnd"/>
      <w:r>
        <w:rPr>
          <w:rFonts w:hint="cs"/>
          <w:rtl/>
        </w:rPr>
        <w:t xml:space="preserve"> به ومع </w:t>
      </w:r>
      <w:r w:rsidR="002D69FC">
        <w:rPr>
          <w:rFonts w:hint="cs"/>
          <w:rtl/>
        </w:rPr>
        <w:t>كمية</w:t>
      </w:r>
      <w:r>
        <w:rPr>
          <w:rFonts w:hint="cs"/>
          <w:rtl/>
        </w:rPr>
        <w:t xml:space="preserve"> نص كبيرة في الرسم المختار</w:t>
      </w:r>
      <w:r w:rsidR="006D2CED">
        <w:rPr>
          <w:rFonts w:hint="cs"/>
          <w:rtl/>
        </w:rPr>
        <w:t xml:space="preserve"> لصفحة غلاف الطلب الدولي المنشور.</w:t>
      </w:r>
      <w:r w:rsidR="007C1645">
        <w:rPr>
          <w:rFonts w:hint="cs"/>
          <w:rtl/>
        </w:rPr>
        <w:t xml:space="preserve"> ويسفر ذلك عن زيادة تكاليف الترجمة والمعالجة ويعني احتمال ألا يكون الملخص والرسم المنشورين على صفحة الغلاف بالنسق الأفضل لغرض البحث الفعال.</w:t>
      </w:r>
    </w:p>
    <w:p w:rsidR="007C1645" w:rsidRDefault="007C1645" w:rsidP="00975AD7">
      <w:pPr>
        <w:pStyle w:val="NumberedParaAR"/>
      </w:pPr>
      <w:r>
        <w:rPr>
          <w:rFonts w:hint="cs"/>
          <w:rtl/>
        </w:rPr>
        <w:t xml:space="preserve">وينبغي، كنهج مثالي، أن يعد المودعون ملخصات ورسوما </w:t>
      </w:r>
      <w:r w:rsidR="008B1422">
        <w:rPr>
          <w:rFonts w:hint="cs"/>
          <w:rtl/>
        </w:rPr>
        <w:t>تمتثل</w:t>
      </w:r>
      <w:r>
        <w:rPr>
          <w:rFonts w:hint="cs"/>
          <w:rtl/>
        </w:rPr>
        <w:t xml:space="preserve"> بشكل أفضل </w:t>
      </w:r>
      <w:r w:rsidR="008B1422">
        <w:rPr>
          <w:rFonts w:hint="cs"/>
          <w:rtl/>
        </w:rPr>
        <w:t>لأحكام القاعدتين</w:t>
      </w:r>
      <w:r w:rsidR="008B1422">
        <w:rPr>
          <w:rFonts w:hint="eastAsia"/>
          <w:rtl/>
        </w:rPr>
        <w:t> </w:t>
      </w:r>
      <w:r w:rsidR="008B1422">
        <w:rPr>
          <w:rFonts w:hint="cs"/>
          <w:rtl/>
        </w:rPr>
        <w:t>8 و11 من اللائحة التنفيذية لمعاهدة التعاون بشأن البراءات</w:t>
      </w:r>
      <w:r w:rsidR="002D69FC">
        <w:rPr>
          <w:rFonts w:hint="cs"/>
          <w:rtl/>
        </w:rPr>
        <w:t xml:space="preserve"> (اللائحة التنفيذية للمعاهدة)</w:t>
      </w:r>
      <w:r w:rsidR="008B1422">
        <w:rPr>
          <w:rFonts w:hint="cs"/>
          <w:rtl/>
        </w:rPr>
        <w:t xml:space="preserve">. </w:t>
      </w:r>
      <w:r w:rsidR="00975AD7">
        <w:rPr>
          <w:rFonts w:hint="cs"/>
          <w:rtl/>
        </w:rPr>
        <w:t>وقد ترغب الدول الأعضاء في النظر في مدى تناسب الملخصات والرسم المختار لمرافقة الملخص، حاليا، مع الأغراض المشار إليها في القاعدتين المذكورتين. ويُلتمس إبداء آراء أولية حول مدى فائدة المنتجات الراهنة والخطوات التي يمكن اتخاذها لزيادة النتائج المفيدة بأكبر قدر ممكن وخفض التكاليف إلى أدنى مستوى ممكن.</w:t>
      </w:r>
    </w:p>
    <w:p w:rsidR="00975AD7" w:rsidRPr="00975AD7" w:rsidRDefault="00975AD7" w:rsidP="00975AD7">
      <w:pPr>
        <w:pStyle w:val="NormalParaAR"/>
        <w:keepNext/>
        <w:rPr>
          <w:b/>
          <w:bCs/>
          <w:sz w:val="40"/>
          <w:szCs w:val="40"/>
          <w:rtl/>
        </w:rPr>
      </w:pPr>
      <w:r w:rsidRPr="00975AD7">
        <w:rPr>
          <w:rFonts w:hint="cs"/>
          <w:b/>
          <w:bCs/>
          <w:sz w:val="40"/>
          <w:szCs w:val="40"/>
          <w:rtl/>
        </w:rPr>
        <w:t>معلومات أساسية</w:t>
      </w:r>
    </w:p>
    <w:p w:rsidR="00975AD7" w:rsidRDefault="009B1EB1" w:rsidP="002D69FC">
      <w:pPr>
        <w:pStyle w:val="NumberedParaAR"/>
      </w:pPr>
      <w:r>
        <w:rPr>
          <w:rFonts w:hint="cs"/>
          <w:rtl/>
        </w:rPr>
        <w:t>أحاط المكتب الدولي علما بأن عددا كبيرا من الطلبات الدولية يحتوي على ملخصات تتعدى بكثير 150</w:t>
      </w:r>
      <w:r w:rsidR="002D69FC">
        <w:rPr>
          <w:rFonts w:hint="eastAsia"/>
          <w:rtl/>
        </w:rPr>
        <w:t> </w:t>
      </w:r>
      <w:r>
        <w:rPr>
          <w:rFonts w:hint="cs"/>
          <w:rtl/>
        </w:rPr>
        <w:t>كلمة عندما تُترجم إلى الإنكليزية (على عكس ما يرد في التوصية المنصوص عليها في القاعدة</w:t>
      </w:r>
      <w:r>
        <w:rPr>
          <w:rFonts w:hint="eastAsia"/>
          <w:rtl/>
        </w:rPr>
        <w:t> </w:t>
      </w:r>
      <w:r>
        <w:rPr>
          <w:rFonts w:hint="cs"/>
          <w:rtl/>
        </w:rPr>
        <w:t xml:space="preserve">1.8(ب)) ورسوما </w:t>
      </w:r>
      <w:r w:rsidR="00D9502D">
        <w:rPr>
          <w:rFonts w:hint="cs"/>
          <w:rtl/>
        </w:rPr>
        <w:t>تتضمن نصا كبير الحجم (على عكس ما يرد في القاعدة</w:t>
      </w:r>
      <w:r w:rsidR="00D9502D">
        <w:rPr>
          <w:rFonts w:hint="eastAsia"/>
          <w:rtl/>
        </w:rPr>
        <w:t> </w:t>
      </w:r>
      <w:r w:rsidR="00D9502D">
        <w:rPr>
          <w:rFonts w:hint="cs"/>
          <w:rtl/>
        </w:rPr>
        <w:t>11.11) يحتاج أيضا، إذا ما كان واردا في الرسم المختار لمرافقة الملخص على صفحة الغلاف، إلى أن يُترجم من قبل المكتب الدولي, ويت</w:t>
      </w:r>
      <w:r w:rsidR="00F10391">
        <w:rPr>
          <w:rFonts w:hint="cs"/>
          <w:rtl/>
        </w:rPr>
        <w:t xml:space="preserve">سبّب ذلك في </w:t>
      </w:r>
      <w:r w:rsidR="00CD4483">
        <w:rPr>
          <w:rFonts w:hint="cs"/>
          <w:rtl/>
        </w:rPr>
        <w:t>تكبّد المكتب الدولي لمصروفات كبيرة ومواجهته لصعوبات في العقود المُبرمة مع جهات خارجية لترجمة الملخصات، والتي تم التفاوض عليها استنادا إلى ملخصات يُتوقّع طولها بين 50 و150</w:t>
      </w:r>
      <w:r w:rsidR="0073354E">
        <w:rPr>
          <w:rFonts w:hint="eastAsia"/>
          <w:rtl/>
        </w:rPr>
        <w:t> </w:t>
      </w:r>
      <w:r w:rsidR="00CD4483">
        <w:rPr>
          <w:rFonts w:hint="cs"/>
          <w:rtl/>
        </w:rPr>
        <w:t>كلمة عند</w:t>
      </w:r>
      <w:r w:rsidR="0073354E">
        <w:rPr>
          <w:rFonts w:hint="cs"/>
          <w:rtl/>
        </w:rPr>
        <w:t>ما تُترجم إلى الإنكليزية.</w:t>
      </w:r>
    </w:p>
    <w:p w:rsidR="0073354E" w:rsidRDefault="0073354E" w:rsidP="0073354E">
      <w:pPr>
        <w:pStyle w:val="NumberedParaAR"/>
      </w:pPr>
      <w:r>
        <w:rPr>
          <w:rFonts w:hint="cs"/>
          <w:rtl/>
        </w:rPr>
        <w:lastRenderedPageBreak/>
        <w:t>وعند تحرّي المسألة، لوحظ أولا تباين كبير في حجم الاختلاف بين التوقعات والواقع، ليس بحسب مجال التكنولوجيا فقط بل كذلك بحسب لغة النشر. ولوحظ أيضا نشر عدد كبير من الملخصات القصيرة للغاية.</w:t>
      </w:r>
    </w:p>
    <w:p w:rsidR="0073354E" w:rsidRDefault="0073354E" w:rsidP="0073354E">
      <w:pPr>
        <w:pStyle w:val="NumberedParaAR"/>
      </w:pPr>
      <w:r>
        <w:rPr>
          <w:rFonts w:hint="cs"/>
          <w:rtl/>
        </w:rPr>
        <w:t xml:space="preserve">وفي الحالات التي تحتوي فيها الرسوم على نص، يُعد المكتب الدولي الترجمات التالية </w:t>
      </w:r>
      <w:proofErr w:type="spellStart"/>
      <w:r>
        <w:rPr>
          <w:rFonts w:hint="cs"/>
          <w:rtl/>
        </w:rPr>
        <w:t>ويتيحها</w:t>
      </w:r>
      <w:proofErr w:type="spellEnd"/>
      <w:r>
        <w:rPr>
          <w:rFonts w:hint="cs"/>
          <w:rtl/>
        </w:rPr>
        <w:t>:</w:t>
      </w:r>
    </w:p>
    <w:p w:rsidR="0073354E" w:rsidRDefault="0073354E" w:rsidP="004114C7">
      <w:pPr>
        <w:pStyle w:val="NormalParaAR"/>
        <w:ind w:left="566"/>
        <w:rPr>
          <w:rtl/>
        </w:rPr>
      </w:pPr>
      <w:r>
        <w:rPr>
          <w:rFonts w:hint="cs"/>
          <w:rtl/>
        </w:rPr>
        <w:t>(أ)</w:t>
      </w:r>
      <w:r>
        <w:rPr>
          <w:rtl/>
        </w:rPr>
        <w:tab/>
      </w:r>
      <w:r w:rsidR="001171ED">
        <w:rPr>
          <w:rFonts w:hint="cs"/>
          <w:rtl/>
        </w:rPr>
        <w:t>الطلبات الدولية المودعة بالإنكليزية: يظهر الملخص والنص الوارد في الرسم المرافق للملخص</w:t>
      </w:r>
      <w:r w:rsidR="004114C7">
        <w:rPr>
          <w:rFonts w:hint="cs"/>
          <w:rtl/>
        </w:rPr>
        <w:t>،</w:t>
      </w:r>
      <w:r w:rsidR="001171ED">
        <w:rPr>
          <w:rFonts w:hint="cs"/>
          <w:rtl/>
        </w:rPr>
        <w:t xml:space="preserve"> على صفحة غلاف الطلب الدولي المنشور</w:t>
      </w:r>
      <w:r w:rsidR="004114C7">
        <w:rPr>
          <w:rFonts w:hint="cs"/>
          <w:rtl/>
        </w:rPr>
        <w:t>،</w:t>
      </w:r>
      <w:r w:rsidR="001171ED">
        <w:rPr>
          <w:rFonts w:hint="cs"/>
          <w:rtl/>
        </w:rPr>
        <w:t xml:space="preserve"> بالإنكليزية فقط. ويتولى المكتب الدولي إعداد الترجمة الفرنسية لكل من الملخص والنص الوارد في الرسم ونشرها في الجريدة (الصفحات المتاحة باللغة الفرنسية من ركن البراءات). ونص الملخص متا</w:t>
      </w:r>
      <w:r w:rsidR="004114C7">
        <w:rPr>
          <w:rFonts w:hint="cs"/>
          <w:rtl/>
        </w:rPr>
        <w:t>ح ويمكن ال</w:t>
      </w:r>
      <w:r w:rsidR="001171ED">
        <w:rPr>
          <w:rFonts w:hint="cs"/>
          <w:rtl/>
        </w:rPr>
        <w:t xml:space="preserve">بحث </w:t>
      </w:r>
      <w:r w:rsidR="004114C7">
        <w:rPr>
          <w:rFonts w:hint="cs"/>
          <w:rtl/>
        </w:rPr>
        <w:t xml:space="preserve">فيه </w:t>
      </w:r>
      <w:r w:rsidR="001171ED">
        <w:rPr>
          <w:rFonts w:hint="cs"/>
          <w:rtl/>
        </w:rPr>
        <w:t>بنسق النص الكامل. و</w:t>
      </w:r>
      <w:r w:rsidR="004114C7">
        <w:rPr>
          <w:rFonts w:hint="cs"/>
          <w:rtl/>
        </w:rPr>
        <w:t xml:space="preserve">لا </w:t>
      </w:r>
      <w:r w:rsidR="001171ED">
        <w:rPr>
          <w:rFonts w:hint="cs"/>
          <w:rtl/>
        </w:rPr>
        <w:t xml:space="preserve">يظهر النص الوارد في الرسم </w:t>
      </w:r>
      <w:r w:rsidR="004114C7">
        <w:rPr>
          <w:rFonts w:hint="cs"/>
          <w:rtl/>
        </w:rPr>
        <w:t xml:space="preserve">سوى </w:t>
      </w:r>
      <w:r w:rsidR="001171ED">
        <w:rPr>
          <w:rFonts w:hint="cs"/>
          <w:rtl/>
        </w:rPr>
        <w:t xml:space="preserve">في </w:t>
      </w:r>
      <w:r w:rsidR="004114C7">
        <w:rPr>
          <w:rFonts w:hint="cs"/>
          <w:rtl/>
        </w:rPr>
        <w:t>نسق</w:t>
      </w:r>
      <w:r w:rsidR="001171ED">
        <w:rPr>
          <w:rFonts w:hint="cs"/>
          <w:rtl/>
        </w:rPr>
        <w:t xml:space="preserve"> صورة ضمن الرسم المرافق للملخص.</w:t>
      </w:r>
    </w:p>
    <w:p w:rsidR="001171ED" w:rsidRDefault="001171ED" w:rsidP="004114C7">
      <w:pPr>
        <w:pStyle w:val="NormalParaAR"/>
        <w:ind w:left="566"/>
        <w:rPr>
          <w:rtl/>
        </w:rPr>
      </w:pPr>
      <w:r>
        <w:rPr>
          <w:rFonts w:hint="cs"/>
          <w:rtl/>
        </w:rPr>
        <w:t>(ب)</w:t>
      </w:r>
      <w:r>
        <w:rPr>
          <w:rtl/>
        </w:rPr>
        <w:tab/>
      </w:r>
      <w:r>
        <w:rPr>
          <w:rFonts w:hint="cs"/>
          <w:rtl/>
        </w:rPr>
        <w:t xml:space="preserve">الطلبات الدولية المودعة بالفرنسية: </w:t>
      </w:r>
      <w:r w:rsidR="004114C7">
        <w:rPr>
          <w:rFonts w:hint="cs"/>
          <w:rtl/>
        </w:rPr>
        <w:t>يظهر الملخص والنص الوارد في الرسم المرافق للملخص، على صفحة غلاف الطلب الدولي المنشور، بالإنكليزية والفرنسية. ونص الملخص متاح ويمكن البحث فيه في الجريدة (ركن البراءات) بنسق النص الكامل بكلا اللغتين. ولا يظهر النص الوارد في الرسم سوى في نسق صورة ضمن الرسم المرافق للملخص.</w:t>
      </w:r>
    </w:p>
    <w:p w:rsidR="004114C7" w:rsidRDefault="004114C7" w:rsidP="004114C7">
      <w:pPr>
        <w:pStyle w:val="NormalParaAR"/>
        <w:ind w:left="566"/>
        <w:rPr>
          <w:rtl/>
        </w:rPr>
      </w:pPr>
      <w:r>
        <w:rPr>
          <w:rFonts w:hint="cs"/>
          <w:rtl/>
        </w:rPr>
        <w:t>(ج)</w:t>
      </w:r>
      <w:r>
        <w:rPr>
          <w:rtl/>
        </w:rPr>
        <w:tab/>
      </w:r>
      <w:r>
        <w:rPr>
          <w:rFonts w:hint="cs"/>
          <w:rtl/>
        </w:rPr>
        <w:t>الطلبات الدولية المودعة بلغات أخرى: يظهر الملخص والنص الوارد في الرسم المرافق للملخص، على صفحة غلاف الطلب الدولي المنشور، بالإنكلي</w:t>
      </w:r>
      <w:r w:rsidR="002D69FC">
        <w:rPr>
          <w:rFonts w:hint="cs"/>
          <w:rtl/>
        </w:rPr>
        <w:t xml:space="preserve">زية ولغة </w:t>
      </w:r>
      <w:r>
        <w:rPr>
          <w:rFonts w:hint="cs"/>
          <w:rtl/>
        </w:rPr>
        <w:t>النشر. ويتولى المكتب الدولي إعداد الترجمة الفرنسية لكل من الملخص والنص الوارد في الرسم ونشرها في الجريدة (الصفحات المتاحة باللغة الفرنسية من ركن البراءات). ونص الملخص متاح ويمكن البحث فيه بالإنكليزية والفرنسية ولغة النشر. ولا يظهر النص الوارد في الرسم سوى في نسق صورة ضمن الرسم المرافق للملخص</w:t>
      </w:r>
      <w:r w:rsidR="00A951C8">
        <w:rPr>
          <w:rFonts w:hint="cs"/>
          <w:rtl/>
        </w:rPr>
        <w:t>، بالإنكليزية ولغة النشر على صفحة غلاف الطلب الدولي المنشور، وبالفرنسية ولغة النشر في الجريدة.</w:t>
      </w:r>
    </w:p>
    <w:p w:rsidR="00A951C8" w:rsidRDefault="0086158A" w:rsidP="002D69FC">
      <w:pPr>
        <w:pStyle w:val="NumberedParaAR"/>
      </w:pPr>
      <w:r>
        <w:rPr>
          <w:rFonts w:hint="cs"/>
          <w:rtl/>
        </w:rPr>
        <w:t>ويمثّل استخراج النص الوارد في الرسم المرافق للملخص و"استحداث" رسم "جديد" يحتوي على النص المترجم عملية تستهلك الكثير من وقت المكتب الدولي وقد لا تفضي دوما إلى جني نتائج مفيدة لأغراض البحث. فعندما يحتوي الرسم على كلمة واحدة أو كلمتين، قد يوضع النص المترجم إلى الإنكليزية أو الفرنسية، أحيانا، مباشرة بج</w:t>
      </w:r>
      <w:r w:rsidR="00E527C7">
        <w:rPr>
          <w:rFonts w:hint="cs"/>
          <w:rtl/>
        </w:rPr>
        <w:t>ا</w:t>
      </w:r>
      <w:r>
        <w:rPr>
          <w:rFonts w:hint="cs"/>
          <w:rtl/>
        </w:rPr>
        <w:t xml:space="preserve">نب النص الوارد باللغة الأصلية إذا كان هناك مكان كاف للقيام بذلك. وعندما </w:t>
      </w:r>
      <w:r w:rsidR="008456B2">
        <w:rPr>
          <w:rFonts w:hint="cs"/>
          <w:rtl/>
        </w:rPr>
        <w:t xml:space="preserve">يحتوي الرسم على </w:t>
      </w:r>
      <w:r w:rsidR="002D69FC">
        <w:rPr>
          <w:rFonts w:hint="cs"/>
          <w:rtl/>
        </w:rPr>
        <w:t>كمية</w:t>
      </w:r>
      <w:r>
        <w:rPr>
          <w:rFonts w:hint="cs"/>
          <w:rtl/>
        </w:rPr>
        <w:t xml:space="preserve"> نص كبيرة، عادة ما تُضاف حروف مرجعية لتكملة الأرقام المرجعية في النص. وتظهر الترجمات في قائمة ترد في أدنى الرسم</w:t>
      </w:r>
      <w:r w:rsidR="008456B2">
        <w:rPr>
          <w:rFonts w:hint="cs"/>
          <w:rtl/>
        </w:rPr>
        <w:t xml:space="preserve"> الأصلي أو في جانبه، مقابل المرجع الوجيه. وعندما تُستخدم أعداد كبيرة من الكلمات، قد يكون من الصعب قراءة الكلمات بالحجم المطبوع على صفحة غلاف الطلب الدولي المنشور. وبالإضافة إلى ذلك، قد يكون من الصعب قراءة المخططات الانسيابية (التي تمثّل معظم الأشكال وتحتوي على أعداد كبيرة من الكلمات) عندما لا يكون النص المترجم في الموضع المناسب من </w:t>
      </w:r>
      <w:r w:rsidR="00ED5E11">
        <w:rPr>
          <w:rFonts w:hint="cs"/>
          <w:rtl/>
        </w:rPr>
        <w:t>الرسم البياني</w:t>
      </w:r>
      <w:r w:rsidR="008456B2">
        <w:rPr>
          <w:rFonts w:hint="cs"/>
          <w:rtl/>
        </w:rPr>
        <w:t>.</w:t>
      </w:r>
    </w:p>
    <w:p w:rsidR="008456B2" w:rsidRDefault="008456B2" w:rsidP="00F51F2E">
      <w:pPr>
        <w:pStyle w:val="NumberedParaAR"/>
      </w:pPr>
      <w:r>
        <w:rPr>
          <w:rFonts w:hint="cs"/>
          <w:rtl/>
        </w:rPr>
        <w:t xml:space="preserve">ويتضمن مرفق هذه الوثيقة </w:t>
      </w:r>
      <w:r w:rsidR="002737BE">
        <w:rPr>
          <w:rFonts w:hint="cs"/>
          <w:rtl/>
        </w:rPr>
        <w:t xml:space="preserve">أمثلة على الملخصات والرسوم المرافقة للملخص على صفحة غلاف الطلب الدولي المنشور بلغات نشر متنوعة </w:t>
      </w:r>
      <w:r w:rsidR="002D69FC">
        <w:rPr>
          <w:rFonts w:hint="cs"/>
          <w:rtl/>
        </w:rPr>
        <w:t>وبكميات</w:t>
      </w:r>
      <w:r w:rsidR="002737BE">
        <w:rPr>
          <w:rFonts w:hint="cs"/>
          <w:rtl/>
        </w:rPr>
        <w:t xml:space="preserve"> نص مختلفة، وهي مُقتطفة من صفحات </w:t>
      </w:r>
      <w:r w:rsidR="00F51F2E">
        <w:rPr>
          <w:rFonts w:hint="cs"/>
          <w:rtl/>
        </w:rPr>
        <w:t>غلاف</w:t>
      </w:r>
      <w:r w:rsidR="002737BE">
        <w:rPr>
          <w:rFonts w:hint="cs"/>
          <w:rtl/>
        </w:rPr>
        <w:t xml:space="preserve"> طلبات دولية منشورة</w:t>
      </w:r>
      <w:r w:rsidR="002F155A">
        <w:rPr>
          <w:rFonts w:hint="cs"/>
          <w:rtl/>
        </w:rPr>
        <w:t xml:space="preserve"> </w:t>
      </w:r>
      <w:r w:rsidR="00B35457">
        <w:rPr>
          <w:rFonts w:hint="cs"/>
          <w:rtl/>
        </w:rPr>
        <w:t>ترد في</w:t>
      </w:r>
      <w:r w:rsidR="002F155A">
        <w:rPr>
          <w:rFonts w:hint="cs"/>
          <w:rtl/>
        </w:rPr>
        <w:t xml:space="preserve"> </w:t>
      </w:r>
      <w:r w:rsidR="00B35457">
        <w:rPr>
          <w:rFonts w:hint="cs"/>
          <w:rtl/>
        </w:rPr>
        <w:t xml:space="preserve">العيّنة </w:t>
      </w:r>
      <w:r w:rsidR="002F155A">
        <w:rPr>
          <w:rFonts w:hint="cs"/>
          <w:rtl/>
        </w:rPr>
        <w:t>ومعروضة بحجمها الأصلي تقريبا.</w:t>
      </w:r>
    </w:p>
    <w:p w:rsidR="002F155A" w:rsidRPr="002F155A" w:rsidRDefault="002F155A" w:rsidP="006A4083">
      <w:pPr>
        <w:pStyle w:val="NormalParaAR"/>
        <w:keepNext/>
        <w:rPr>
          <w:b/>
          <w:bCs/>
          <w:sz w:val="40"/>
          <w:szCs w:val="40"/>
          <w:rtl/>
        </w:rPr>
      </w:pPr>
      <w:r w:rsidRPr="002F155A">
        <w:rPr>
          <w:rFonts w:hint="cs"/>
          <w:b/>
          <w:bCs/>
          <w:sz w:val="40"/>
          <w:szCs w:val="40"/>
          <w:rtl/>
        </w:rPr>
        <w:t xml:space="preserve">توزيع </w:t>
      </w:r>
      <w:r w:rsidR="006A4083">
        <w:rPr>
          <w:rFonts w:hint="cs"/>
          <w:b/>
          <w:bCs/>
          <w:sz w:val="40"/>
          <w:szCs w:val="40"/>
          <w:rtl/>
        </w:rPr>
        <w:t>أطوال</w:t>
      </w:r>
      <w:r w:rsidRPr="002F155A">
        <w:rPr>
          <w:rFonts w:hint="cs"/>
          <w:b/>
          <w:bCs/>
          <w:sz w:val="40"/>
          <w:szCs w:val="40"/>
          <w:rtl/>
        </w:rPr>
        <w:t xml:space="preserve"> الملخصات</w:t>
      </w:r>
    </w:p>
    <w:p w:rsidR="002F155A" w:rsidRDefault="00ED5E11" w:rsidP="00ED5E11">
      <w:pPr>
        <w:pStyle w:val="NumberedParaAR"/>
      </w:pPr>
      <w:r>
        <w:rPr>
          <w:rFonts w:hint="cs"/>
          <w:rtl/>
        </w:rPr>
        <w:t>حُلّل طول الملخصات الواردة بالإنكليزية أو بنصوص مترجمة إلى الإنكليزية فيما يخص الطلبات الدولية المنشورة في الأشهر الستة الأولى من عام</w:t>
      </w:r>
      <w:r>
        <w:rPr>
          <w:rFonts w:hint="eastAsia"/>
          <w:rtl/>
        </w:rPr>
        <w:t> </w:t>
      </w:r>
      <w:r>
        <w:rPr>
          <w:rFonts w:hint="cs"/>
          <w:rtl/>
        </w:rPr>
        <w:t>2015. وقد اختير ذلك باعتباره عيّنة كبيرة وحديثة نسبيا من المفترض ألا توجد بشأنها تقارير بحث عالقة قد تؤدي إلى إعادة نشرها مع ملخص م</w:t>
      </w:r>
      <w:r w:rsidR="000228D6">
        <w:rPr>
          <w:rFonts w:hint="cs"/>
          <w:rtl/>
        </w:rPr>
        <w:t>ُ</w:t>
      </w:r>
      <w:r>
        <w:rPr>
          <w:rFonts w:hint="cs"/>
          <w:rtl/>
        </w:rPr>
        <w:t>راجع على رسم صفحة الغلاف.</w:t>
      </w:r>
    </w:p>
    <w:p w:rsidR="00ED5E11" w:rsidRDefault="00ED5E11" w:rsidP="00AB4C54">
      <w:pPr>
        <w:pStyle w:val="NumberedParaAR"/>
      </w:pPr>
      <w:r>
        <w:rPr>
          <w:rFonts w:hint="cs"/>
          <w:rtl/>
        </w:rPr>
        <w:lastRenderedPageBreak/>
        <w:t>ويبيّن الرسم البياني الوارد أدناه مجموعا تراكميا لأطوال الملخصات، مقسّما بحسب اللغة وبحسب مجموع اللغات (لا يظهر الخط الخاص بمنشورات اللغة العربية لأنه لا توجد سوى نقطة واحدة ضمن الموضع المبيّن). بما يعني أن</w:t>
      </w:r>
      <w:r w:rsidR="00B35457">
        <w:rPr>
          <w:rFonts w:hint="cs"/>
          <w:rtl/>
        </w:rPr>
        <w:t xml:space="preserve"> القيمة -</w:t>
      </w:r>
      <w:r>
        <w:rPr>
          <w:rFonts w:hint="cs"/>
          <w:rtl/>
        </w:rPr>
        <w:t xml:space="preserve"> </w:t>
      </w:r>
      <w:r>
        <w:t>Y</w:t>
      </w:r>
      <w:r w:rsidR="00B35457">
        <w:rPr>
          <w:rFonts w:hint="cs"/>
          <w:rtl/>
        </w:rPr>
        <w:t xml:space="preserve"> تبيّن </w:t>
      </w:r>
      <w:r w:rsidR="00905295">
        <w:rPr>
          <w:rFonts w:hint="cs"/>
          <w:rtl/>
        </w:rPr>
        <w:t>نسبة</w:t>
      </w:r>
      <w:r w:rsidR="00B35457">
        <w:rPr>
          <w:rFonts w:hint="cs"/>
          <w:rtl/>
        </w:rPr>
        <w:t xml:space="preserve"> الطلبات الدولية الواردة في العيّنة والتي لها عدد الكلمات المبيّن في المحور </w:t>
      </w:r>
      <w:r w:rsidR="00B35457">
        <w:rPr>
          <w:rtl/>
        </w:rPr>
        <w:t>–</w:t>
      </w:r>
      <w:r w:rsidR="00B35457">
        <w:rPr>
          <w:rFonts w:hint="cs"/>
          <w:rtl/>
        </w:rPr>
        <w:t xml:space="preserve"> </w:t>
      </w:r>
      <w:r w:rsidR="00B35457">
        <w:t>X</w:t>
      </w:r>
      <w:r w:rsidR="00B35457">
        <w:rPr>
          <w:rFonts w:hint="cs"/>
          <w:rtl/>
        </w:rPr>
        <w:t xml:space="preserve"> أو أقلّ من ذلك. وبشكل عام يندرج ثلث الملخصات تقريبا خارج نطاق الأطوال </w:t>
      </w:r>
      <w:proofErr w:type="spellStart"/>
      <w:r w:rsidR="00B35457">
        <w:rPr>
          <w:rFonts w:hint="cs"/>
          <w:rtl/>
        </w:rPr>
        <w:t>الموصى</w:t>
      </w:r>
      <w:proofErr w:type="spellEnd"/>
      <w:r w:rsidR="00B35457">
        <w:rPr>
          <w:rFonts w:hint="cs"/>
          <w:rtl/>
        </w:rPr>
        <w:t xml:space="preserve"> به، ويخرج البعض منها عن النطاق بهامش كبير. وي</w:t>
      </w:r>
      <w:r w:rsidR="00CF54A5">
        <w:rPr>
          <w:rFonts w:hint="cs"/>
          <w:rtl/>
        </w:rPr>
        <w:t>توقف</w:t>
      </w:r>
      <w:r w:rsidR="00B35457">
        <w:rPr>
          <w:rFonts w:hint="cs"/>
          <w:rtl/>
        </w:rPr>
        <w:t xml:space="preserve"> المحور </w:t>
      </w:r>
      <w:r w:rsidR="00B35457">
        <w:rPr>
          <w:rtl/>
        </w:rPr>
        <w:t>–</w:t>
      </w:r>
      <w:r w:rsidR="00B35457">
        <w:rPr>
          <w:rFonts w:hint="cs"/>
          <w:rtl/>
        </w:rPr>
        <w:t xml:space="preserve"> </w:t>
      </w:r>
      <w:r w:rsidR="00B35457">
        <w:t>X</w:t>
      </w:r>
      <w:r w:rsidR="00B35457">
        <w:rPr>
          <w:rFonts w:hint="cs"/>
          <w:rtl/>
        </w:rPr>
        <w:t xml:space="preserve"> عند نقطة 300</w:t>
      </w:r>
      <w:r w:rsidR="00B35457">
        <w:rPr>
          <w:rFonts w:hint="eastAsia"/>
          <w:rtl/>
        </w:rPr>
        <w:t> </w:t>
      </w:r>
      <w:r w:rsidR="00B35457">
        <w:rPr>
          <w:rFonts w:hint="cs"/>
          <w:rtl/>
        </w:rPr>
        <w:t xml:space="preserve">كلمة، </w:t>
      </w:r>
      <w:r w:rsidR="00CF54A5">
        <w:rPr>
          <w:rFonts w:hint="cs"/>
          <w:rtl/>
        </w:rPr>
        <w:t>ولكن ينبغي الالتفات إلى أن الخطوط لم تبلغ جميعا المستوى</w:t>
      </w:r>
      <w:r w:rsidR="00CF54A5">
        <w:rPr>
          <w:rFonts w:hint="eastAsia"/>
          <w:rtl/>
        </w:rPr>
        <w:t> </w:t>
      </w:r>
      <w:r w:rsidR="00CF54A5">
        <w:rPr>
          <w:rFonts w:hint="cs"/>
          <w:rtl/>
        </w:rPr>
        <w:t>1. وهناك عدد قليل ومهم</w:t>
      </w:r>
      <w:r w:rsidR="00AB4C54">
        <w:rPr>
          <w:rFonts w:hint="cs"/>
          <w:rtl/>
        </w:rPr>
        <w:t>ّ</w:t>
      </w:r>
      <w:r w:rsidR="00CF54A5">
        <w:rPr>
          <w:rFonts w:hint="cs"/>
          <w:rtl/>
        </w:rPr>
        <w:t xml:space="preserve"> (أكثر من 600 في عيّنة الستة الأشهر) من الملخصات التي يتعدى طولها 300</w:t>
      </w:r>
      <w:r w:rsidR="00CF54A5">
        <w:rPr>
          <w:rFonts w:hint="eastAsia"/>
          <w:rtl/>
        </w:rPr>
        <w:t> </w:t>
      </w:r>
      <w:r w:rsidR="00CF54A5">
        <w:rPr>
          <w:rFonts w:hint="cs"/>
          <w:rtl/>
        </w:rPr>
        <w:t>كلمة، ويتجاوز بضع منها 500</w:t>
      </w:r>
      <w:r w:rsidR="00AB4C54">
        <w:rPr>
          <w:rFonts w:hint="eastAsia"/>
          <w:rtl/>
        </w:rPr>
        <w:t> </w:t>
      </w:r>
      <w:r w:rsidR="00CF54A5">
        <w:rPr>
          <w:rFonts w:hint="cs"/>
          <w:rtl/>
        </w:rPr>
        <w:t>كلمة.</w:t>
      </w:r>
    </w:p>
    <w:p w:rsidR="00CF54A5" w:rsidRPr="00CF54A5" w:rsidRDefault="00CF54A5" w:rsidP="00CF54A5">
      <w:pPr>
        <w:pStyle w:val="NumberedParaAR"/>
        <w:numPr>
          <w:ilvl w:val="0"/>
          <w:numId w:val="0"/>
        </w:numPr>
        <w:spacing w:after="0"/>
        <w:rPr>
          <w:i/>
          <w:iCs/>
          <w:rtl/>
        </w:rPr>
      </w:pPr>
      <w:r w:rsidRPr="00CF54A5">
        <w:rPr>
          <w:rFonts w:hint="cs"/>
          <w:i/>
          <w:iCs/>
          <w:rtl/>
        </w:rPr>
        <w:t>الشكل 1: المجموع التراكمي لأطوال الملخصات عند ترجمتها إلى الإنكليزية</w:t>
      </w:r>
    </w:p>
    <w:p w:rsidR="00CF54A5" w:rsidRDefault="00CF54A5" w:rsidP="00CF54A5">
      <w:pPr>
        <w:pStyle w:val="NumberedParaAR"/>
        <w:numPr>
          <w:ilvl w:val="0"/>
          <w:numId w:val="0"/>
        </w:numPr>
        <w:spacing w:line="240" w:lineRule="auto"/>
        <w:rPr>
          <w:rtl/>
        </w:rPr>
      </w:pPr>
      <w:r w:rsidRPr="00CF54A5">
        <w:rPr>
          <w:rFonts w:hint="cs"/>
          <w:noProof/>
          <w:rtl/>
        </w:rPr>
        <w:drawing>
          <wp:inline distT="0" distB="0" distL="0" distR="0">
            <wp:extent cx="5800725" cy="2238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2238375"/>
                    </a:xfrm>
                    <a:prstGeom prst="rect">
                      <a:avLst/>
                    </a:prstGeom>
                    <a:noFill/>
                    <a:ln>
                      <a:noFill/>
                    </a:ln>
                  </pic:spPr>
                </pic:pic>
              </a:graphicData>
            </a:graphic>
          </wp:inline>
        </w:drawing>
      </w:r>
    </w:p>
    <w:p w:rsidR="00CF54A5" w:rsidRPr="00CF54A5" w:rsidRDefault="00CF54A5" w:rsidP="00CF54A5">
      <w:pPr>
        <w:pStyle w:val="NumberedParaAR"/>
        <w:numPr>
          <w:ilvl w:val="0"/>
          <w:numId w:val="0"/>
        </w:numPr>
        <w:spacing w:after="0"/>
        <w:rPr>
          <w:i/>
          <w:iCs/>
          <w:rtl/>
        </w:rPr>
      </w:pPr>
      <w:r w:rsidRPr="00CF54A5">
        <w:rPr>
          <w:rFonts w:hint="cs"/>
          <w:i/>
          <w:iCs/>
          <w:rtl/>
        </w:rPr>
        <w:t>الجدول 1: توزيع أطوال الملخصات عند ترجمتها إلى الإنكليزية</w:t>
      </w:r>
    </w:p>
    <w:tbl>
      <w:tblPr>
        <w:tblStyle w:val="TableGrid"/>
        <w:bidiVisual/>
        <w:tblW w:w="9571" w:type="dxa"/>
        <w:tblLook w:val="04A0" w:firstRow="1" w:lastRow="0" w:firstColumn="1" w:lastColumn="0" w:noHBand="0" w:noVBand="1"/>
      </w:tblPr>
      <w:tblGrid>
        <w:gridCol w:w="1635"/>
        <w:gridCol w:w="1025"/>
        <w:gridCol w:w="1208"/>
        <w:gridCol w:w="1331"/>
        <w:gridCol w:w="842"/>
        <w:gridCol w:w="1194"/>
        <w:gridCol w:w="1255"/>
        <w:gridCol w:w="1081"/>
      </w:tblGrid>
      <w:tr w:rsidR="00CF54A5" w:rsidRPr="00CF54A5" w:rsidTr="00CF54A5">
        <w:trPr>
          <w:trHeight w:val="255"/>
        </w:trPr>
        <w:tc>
          <w:tcPr>
            <w:tcW w:w="1635" w:type="dxa"/>
            <w:noWrap/>
          </w:tcPr>
          <w:p w:rsidR="00CF54A5" w:rsidRPr="00CF54A5" w:rsidRDefault="00CF54A5" w:rsidP="00CF54A5">
            <w:pPr>
              <w:bidi/>
              <w:rPr>
                <w:rFonts w:ascii="Arabic Typesetting" w:eastAsia="SimSun" w:hAnsi="Arabic Typesetting" w:cs="Arabic Typesetting"/>
                <w:b/>
                <w:bCs/>
                <w:sz w:val="32"/>
                <w:szCs w:val="32"/>
                <w:lang w:eastAsia="zh-CN"/>
              </w:rPr>
            </w:pPr>
          </w:p>
        </w:tc>
        <w:tc>
          <w:tcPr>
            <w:tcW w:w="3564" w:type="dxa"/>
            <w:gridSpan w:val="3"/>
            <w:noWrap/>
          </w:tcPr>
          <w:p w:rsidR="00CF54A5" w:rsidRPr="00CF54A5" w:rsidRDefault="00905295" w:rsidP="00CF54A5">
            <w:pPr>
              <w:bidi/>
              <w:jc w:val="center"/>
              <w:rPr>
                <w:rFonts w:ascii="Arabic Typesetting" w:eastAsia="SimSun" w:hAnsi="Arabic Typesetting" w:cs="Arabic Typesetting"/>
                <w:b/>
                <w:bCs/>
                <w:sz w:val="32"/>
                <w:szCs w:val="32"/>
                <w:lang w:eastAsia="zh-CN"/>
              </w:rPr>
            </w:pPr>
            <w:r>
              <w:rPr>
                <w:rFonts w:ascii="Arabic Typesetting" w:eastAsia="SimSun" w:hAnsi="Arabic Typesetting" w:cs="Arabic Typesetting" w:hint="cs"/>
                <w:b/>
                <w:bCs/>
                <w:sz w:val="32"/>
                <w:szCs w:val="32"/>
                <w:rtl/>
                <w:lang w:eastAsia="zh-CN"/>
              </w:rPr>
              <w:t>نسبة</w:t>
            </w:r>
            <w:r w:rsidR="003F43A9" w:rsidRPr="00905295">
              <w:rPr>
                <w:rFonts w:ascii="Arabic Typesetting" w:eastAsia="SimSun" w:hAnsi="Arabic Typesetting" w:cs="Arabic Typesetting"/>
                <w:b/>
                <w:bCs/>
                <w:sz w:val="32"/>
                <w:szCs w:val="32"/>
                <w:rtl/>
                <w:lang w:eastAsia="zh-CN"/>
              </w:rPr>
              <w:t xml:space="preserve"> الملخصات الموجودة خارج الأطوال </w:t>
            </w:r>
            <w:proofErr w:type="spellStart"/>
            <w:r w:rsidR="003F43A9" w:rsidRPr="00905295">
              <w:rPr>
                <w:rFonts w:ascii="Arabic Typesetting" w:eastAsia="SimSun" w:hAnsi="Arabic Typesetting" w:cs="Arabic Typesetting"/>
                <w:b/>
                <w:bCs/>
                <w:sz w:val="32"/>
                <w:szCs w:val="32"/>
                <w:rtl/>
                <w:lang w:eastAsia="zh-CN"/>
              </w:rPr>
              <w:t>الموصى</w:t>
            </w:r>
            <w:proofErr w:type="spellEnd"/>
            <w:r w:rsidR="003F43A9" w:rsidRPr="00905295">
              <w:rPr>
                <w:rFonts w:ascii="Arabic Typesetting" w:eastAsia="SimSun" w:hAnsi="Arabic Typesetting" w:cs="Arabic Typesetting"/>
                <w:b/>
                <w:bCs/>
                <w:sz w:val="32"/>
                <w:szCs w:val="32"/>
                <w:rtl/>
                <w:lang w:eastAsia="zh-CN"/>
              </w:rPr>
              <w:t xml:space="preserve"> بها</w:t>
            </w:r>
          </w:p>
        </w:tc>
        <w:tc>
          <w:tcPr>
            <w:tcW w:w="4372" w:type="dxa"/>
            <w:gridSpan w:val="4"/>
            <w:noWrap/>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أعداد الكلمات في العيّنة</w:t>
            </w:r>
          </w:p>
        </w:tc>
      </w:tr>
      <w:tr w:rsidR="00CF54A5" w:rsidRPr="00CF54A5" w:rsidTr="00CF54A5">
        <w:trPr>
          <w:trHeight w:val="255"/>
        </w:trPr>
        <w:tc>
          <w:tcPr>
            <w:tcW w:w="1635" w:type="dxa"/>
            <w:tcBorders>
              <w:bottom w:val="single" w:sz="4" w:space="0" w:color="auto"/>
            </w:tcBorders>
            <w:noWrap/>
            <w:hideMark/>
          </w:tcPr>
          <w:p w:rsidR="00CF54A5" w:rsidRPr="00CF54A5" w:rsidRDefault="00CF54A5" w:rsidP="00CF54A5">
            <w:pPr>
              <w:bidi/>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اللغة</w:t>
            </w:r>
          </w:p>
        </w:tc>
        <w:tc>
          <w:tcPr>
            <w:tcW w:w="1025"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المجموع</w:t>
            </w:r>
          </w:p>
        </w:tc>
        <w:tc>
          <w:tcPr>
            <w:tcW w:w="1208"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lang w:eastAsia="zh-CN"/>
              </w:rPr>
              <w:t>&gt;</w:t>
            </w:r>
            <w:r w:rsidRPr="00905295">
              <w:rPr>
                <w:rFonts w:ascii="Arabic Typesetting" w:eastAsia="SimSun" w:hAnsi="Arabic Typesetting" w:cs="Arabic Typesetting"/>
                <w:b/>
                <w:bCs/>
                <w:sz w:val="32"/>
                <w:szCs w:val="32"/>
                <w:rtl/>
                <w:lang w:eastAsia="zh-CN"/>
              </w:rPr>
              <w:t>50 كلمة</w:t>
            </w:r>
          </w:p>
        </w:tc>
        <w:tc>
          <w:tcPr>
            <w:tcW w:w="1331"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lang w:eastAsia="zh-CN"/>
              </w:rPr>
              <w:t>&lt;</w:t>
            </w:r>
            <w:r w:rsidRPr="00905295">
              <w:rPr>
                <w:rFonts w:ascii="Arabic Typesetting" w:eastAsia="SimSun" w:hAnsi="Arabic Typesetting" w:cs="Arabic Typesetting"/>
                <w:b/>
                <w:bCs/>
                <w:sz w:val="32"/>
                <w:szCs w:val="32"/>
                <w:rtl/>
                <w:lang w:eastAsia="zh-CN"/>
              </w:rPr>
              <w:t>150 كلمة</w:t>
            </w:r>
          </w:p>
        </w:tc>
        <w:tc>
          <w:tcPr>
            <w:tcW w:w="842"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المتوسط</w:t>
            </w:r>
          </w:p>
        </w:tc>
        <w:tc>
          <w:tcPr>
            <w:tcW w:w="1194"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الأدنى</w:t>
            </w:r>
          </w:p>
        </w:tc>
        <w:tc>
          <w:tcPr>
            <w:tcW w:w="1255"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الأقصى</w:t>
            </w:r>
          </w:p>
        </w:tc>
        <w:tc>
          <w:tcPr>
            <w:tcW w:w="1081" w:type="dxa"/>
            <w:tcBorders>
              <w:bottom w:val="single" w:sz="4" w:space="0" w:color="auto"/>
            </w:tcBorders>
            <w:noWrap/>
            <w:hideMark/>
          </w:tcPr>
          <w:p w:rsidR="00CF54A5" w:rsidRPr="00CF54A5" w:rsidRDefault="003F43A9" w:rsidP="00CF54A5">
            <w:pPr>
              <w:bidi/>
              <w:jc w:val="center"/>
              <w:rPr>
                <w:rFonts w:ascii="Arabic Typesetting" w:eastAsia="SimSun" w:hAnsi="Arabic Typesetting" w:cs="Arabic Typesetting"/>
                <w:b/>
                <w:bCs/>
                <w:sz w:val="32"/>
                <w:szCs w:val="32"/>
                <w:lang w:eastAsia="zh-CN"/>
              </w:rPr>
            </w:pPr>
            <w:r w:rsidRPr="00905295">
              <w:rPr>
                <w:rFonts w:ascii="Arabic Typesetting" w:eastAsia="SimSun" w:hAnsi="Arabic Typesetting" w:cs="Arabic Typesetting"/>
                <w:b/>
                <w:bCs/>
                <w:sz w:val="32"/>
                <w:szCs w:val="32"/>
                <w:rtl/>
                <w:lang w:eastAsia="zh-CN"/>
              </w:rPr>
              <w:t>الوسيط</w:t>
            </w:r>
          </w:p>
        </w:tc>
      </w:tr>
      <w:tr w:rsidR="00CF54A5" w:rsidRPr="00CF54A5" w:rsidTr="00CF54A5">
        <w:trPr>
          <w:trHeight w:val="255"/>
        </w:trPr>
        <w:tc>
          <w:tcPr>
            <w:tcW w:w="1635" w:type="dxa"/>
            <w:tcBorders>
              <w:top w:val="single"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الروسية</w:t>
            </w:r>
          </w:p>
        </w:tc>
        <w:tc>
          <w:tcPr>
            <w:tcW w:w="1025" w:type="dxa"/>
            <w:tcBorders>
              <w:top w:val="single" w:sz="4" w:space="0" w:color="auto"/>
              <w:bottom w:val="dashSmallGap" w:sz="4" w:space="0" w:color="auto"/>
            </w:tcBorders>
            <w:noWrap/>
            <w:vAlign w:val="bottom"/>
          </w:tcPr>
          <w:p w:rsidR="00CF54A5" w:rsidRPr="00CF54A5" w:rsidRDefault="003F43A9" w:rsidP="003F43A9">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64.3%</w:t>
            </w:r>
          </w:p>
        </w:tc>
        <w:tc>
          <w:tcPr>
            <w:tcW w:w="1208" w:type="dxa"/>
            <w:tcBorders>
              <w:top w:val="single"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2.0%</w:t>
            </w:r>
          </w:p>
        </w:tc>
        <w:tc>
          <w:tcPr>
            <w:tcW w:w="1331" w:type="dxa"/>
            <w:tcBorders>
              <w:top w:val="single"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62.3%</w:t>
            </w:r>
          </w:p>
        </w:tc>
        <w:tc>
          <w:tcPr>
            <w:tcW w:w="842" w:type="dxa"/>
            <w:tcBorders>
              <w:top w:val="single"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170</w:t>
            </w:r>
          </w:p>
        </w:tc>
        <w:tc>
          <w:tcPr>
            <w:tcW w:w="1194" w:type="dxa"/>
            <w:tcBorders>
              <w:top w:val="single"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22</w:t>
            </w:r>
          </w:p>
        </w:tc>
        <w:tc>
          <w:tcPr>
            <w:tcW w:w="1255" w:type="dxa"/>
            <w:tcBorders>
              <w:top w:val="single"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584</w:t>
            </w:r>
          </w:p>
        </w:tc>
        <w:tc>
          <w:tcPr>
            <w:tcW w:w="1081" w:type="dxa"/>
            <w:tcBorders>
              <w:top w:val="single"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172</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الصينية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55.7%</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1.6%</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54.1%</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154</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14</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441</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156</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العربية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50.0%</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0.0%</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50.0%</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225</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111</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338</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225</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الألمانية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45.2%</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6.1%</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39.1%</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139</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669</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132</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اليابانية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41.1%</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2.0%</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39.1%</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138</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14</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461</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137</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الكورية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36.3%</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5.8%</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30.4%</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130</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720</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118</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البرتغالية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34.5%</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6.1%</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28.4%</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129</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25</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501</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118</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الفرنسية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32.8%</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4.4%</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28.3%</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127</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7</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452</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126</w:t>
            </w:r>
          </w:p>
        </w:tc>
      </w:tr>
      <w:tr w:rsidR="00CF54A5" w:rsidRPr="00CF54A5" w:rsidTr="00CF54A5">
        <w:trPr>
          <w:trHeight w:val="255"/>
        </w:trPr>
        <w:tc>
          <w:tcPr>
            <w:tcW w:w="1635" w:type="dxa"/>
            <w:tcBorders>
              <w:top w:val="dashSmallGap" w:sz="4" w:space="0" w:color="auto"/>
              <w:bottom w:val="dashSmallGap"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الإسبانية</w:t>
            </w:r>
          </w:p>
        </w:tc>
        <w:tc>
          <w:tcPr>
            <w:tcW w:w="1025" w:type="dxa"/>
            <w:tcBorders>
              <w:top w:val="dashSmallGap" w:sz="4" w:space="0" w:color="auto"/>
              <w:bottom w:val="dashSmallGap"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23.3%</w:t>
            </w:r>
          </w:p>
        </w:tc>
        <w:tc>
          <w:tcPr>
            <w:tcW w:w="1208" w:type="dxa"/>
            <w:tcBorders>
              <w:top w:val="dashSmallGap" w:sz="4" w:space="0" w:color="auto"/>
              <w:bottom w:val="dashSmallGap"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5.8%</w:t>
            </w:r>
          </w:p>
        </w:tc>
        <w:tc>
          <w:tcPr>
            <w:tcW w:w="1331" w:type="dxa"/>
            <w:tcBorders>
              <w:top w:val="dashSmallGap" w:sz="4" w:space="0" w:color="auto"/>
              <w:bottom w:val="dashSmallGap"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17.5%</w:t>
            </w:r>
          </w:p>
        </w:tc>
        <w:tc>
          <w:tcPr>
            <w:tcW w:w="842"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117</w:t>
            </w:r>
          </w:p>
        </w:tc>
        <w:tc>
          <w:tcPr>
            <w:tcW w:w="1194"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16</w:t>
            </w:r>
          </w:p>
        </w:tc>
        <w:tc>
          <w:tcPr>
            <w:tcW w:w="1255"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379</w:t>
            </w:r>
          </w:p>
        </w:tc>
        <w:tc>
          <w:tcPr>
            <w:tcW w:w="1081" w:type="dxa"/>
            <w:tcBorders>
              <w:top w:val="dashSmallGap" w:sz="4" w:space="0" w:color="auto"/>
              <w:bottom w:val="dashSmallGap"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118</w:t>
            </w:r>
          </w:p>
        </w:tc>
      </w:tr>
      <w:tr w:rsidR="00CF54A5" w:rsidRPr="00CF54A5" w:rsidTr="00CF54A5">
        <w:trPr>
          <w:trHeight w:val="255"/>
        </w:trPr>
        <w:tc>
          <w:tcPr>
            <w:tcW w:w="1635" w:type="dxa"/>
            <w:tcBorders>
              <w:top w:val="dashSmallGap" w:sz="4" w:space="0" w:color="auto"/>
              <w:bottom w:val="single" w:sz="4" w:space="0" w:color="auto"/>
            </w:tcBorders>
            <w:noWrap/>
            <w:vAlign w:val="bottom"/>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الإنكليزية</w:t>
            </w:r>
          </w:p>
        </w:tc>
        <w:tc>
          <w:tcPr>
            <w:tcW w:w="1025" w:type="dxa"/>
            <w:tcBorders>
              <w:top w:val="dashSmallGap" w:sz="4" w:space="0" w:color="auto"/>
              <w:bottom w:val="single" w:sz="4" w:space="0" w:color="auto"/>
            </w:tcBorders>
            <w:noWrap/>
            <w:vAlign w:val="bottom"/>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22.5%</w:t>
            </w:r>
          </w:p>
        </w:tc>
        <w:tc>
          <w:tcPr>
            <w:tcW w:w="1208" w:type="dxa"/>
            <w:tcBorders>
              <w:top w:val="dashSmallGap" w:sz="4" w:space="0" w:color="auto"/>
              <w:bottom w:val="single" w:sz="4" w:space="0" w:color="auto"/>
            </w:tcBorders>
            <w:noWrap/>
            <w:vAlign w:val="bottom"/>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10.9%</w:t>
            </w:r>
          </w:p>
        </w:tc>
        <w:tc>
          <w:tcPr>
            <w:tcW w:w="1331" w:type="dxa"/>
            <w:tcBorders>
              <w:top w:val="dashSmallGap" w:sz="4" w:space="0" w:color="auto"/>
              <w:bottom w:val="single" w:sz="4" w:space="0" w:color="auto"/>
            </w:tcBorders>
            <w:noWrap/>
            <w:vAlign w:val="bottom"/>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11.6%</w:t>
            </w:r>
          </w:p>
        </w:tc>
        <w:tc>
          <w:tcPr>
            <w:tcW w:w="842" w:type="dxa"/>
            <w:tcBorders>
              <w:top w:val="dashSmallGap" w:sz="4" w:space="0" w:color="auto"/>
              <w:bottom w:val="single"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107</w:t>
            </w:r>
          </w:p>
        </w:tc>
        <w:tc>
          <w:tcPr>
            <w:tcW w:w="1194" w:type="dxa"/>
            <w:tcBorders>
              <w:top w:val="dashSmallGap" w:sz="4" w:space="0" w:color="auto"/>
              <w:bottom w:val="single"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5</w:t>
            </w:r>
          </w:p>
        </w:tc>
        <w:tc>
          <w:tcPr>
            <w:tcW w:w="1255" w:type="dxa"/>
            <w:tcBorders>
              <w:top w:val="dashSmallGap" w:sz="4" w:space="0" w:color="auto"/>
              <w:bottom w:val="single"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636</w:t>
            </w:r>
          </w:p>
        </w:tc>
        <w:tc>
          <w:tcPr>
            <w:tcW w:w="1081" w:type="dxa"/>
            <w:tcBorders>
              <w:top w:val="dashSmallGap" w:sz="4" w:space="0" w:color="auto"/>
              <w:bottom w:val="single" w:sz="4" w:space="0" w:color="auto"/>
            </w:tcBorders>
            <w:noWrap/>
            <w:vAlign w:val="bottom"/>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105</w:t>
            </w:r>
          </w:p>
        </w:tc>
      </w:tr>
      <w:tr w:rsidR="00CF54A5" w:rsidRPr="00CF54A5" w:rsidTr="00CF54A5">
        <w:trPr>
          <w:trHeight w:val="255"/>
        </w:trPr>
        <w:tc>
          <w:tcPr>
            <w:tcW w:w="1635" w:type="dxa"/>
            <w:tcBorders>
              <w:top w:val="single" w:sz="4" w:space="0" w:color="auto"/>
            </w:tcBorders>
            <w:noWrap/>
          </w:tcPr>
          <w:p w:rsidR="00CF54A5" w:rsidRPr="00CF54A5" w:rsidRDefault="003F43A9" w:rsidP="00CF54A5">
            <w:pPr>
              <w:bidi/>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جميع اللغات</w:t>
            </w:r>
          </w:p>
        </w:tc>
        <w:tc>
          <w:tcPr>
            <w:tcW w:w="1025" w:type="dxa"/>
            <w:tcBorders>
              <w:top w:val="single" w:sz="4" w:space="0" w:color="auto"/>
            </w:tcBorders>
            <w:noWrap/>
          </w:tcPr>
          <w:p w:rsidR="00CF54A5" w:rsidRPr="00CF54A5" w:rsidRDefault="003F43A9" w:rsidP="00CF54A5">
            <w:pPr>
              <w:bidi/>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32.7%</w:t>
            </w:r>
          </w:p>
        </w:tc>
        <w:tc>
          <w:tcPr>
            <w:tcW w:w="1208" w:type="dxa"/>
            <w:tcBorders>
              <w:top w:val="single" w:sz="4" w:space="0" w:color="auto"/>
            </w:tcBorders>
            <w:noWrap/>
          </w:tcPr>
          <w:p w:rsidR="00CF54A5" w:rsidRPr="00CF54A5" w:rsidRDefault="003F43A9"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7.2%</w:t>
            </w:r>
          </w:p>
        </w:tc>
        <w:tc>
          <w:tcPr>
            <w:tcW w:w="1331" w:type="dxa"/>
            <w:tcBorders>
              <w:top w:val="single" w:sz="4" w:space="0" w:color="auto"/>
            </w:tcBorders>
            <w:noWrap/>
          </w:tcPr>
          <w:p w:rsidR="00CF54A5" w:rsidRPr="00CF54A5" w:rsidRDefault="00B17B92" w:rsidP="00CF54A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rtl/>
                <w:lang w:eastAsia="zh-CN"/>
              </w:rPr>
              <w:t>25.5%</w:t>
            </w:r>
          </w:p>
        </w:tc>
        <w:tc>
          <w:tcPr>
            <w:tcW w:w="842" w:type="dxa"/>
            <w:tcBorders>
              <w:top w:val="single" w:sz="4" w:space="0" w:color="auto"/>
            </w:tcBorders>
            <w:noWrap/>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123</w:t>
            </w:r>
          </w:p>
        </w:tc>
        <w:tc>
          <w:tcPr>
            <w:tcW w:w="1194" w:type="dxa"/>
            <w:tcBorders>
              <w:top w:val="single" w:sz="4" w:space="0" w:color="auto"/>
            </w:tcBorders>
            <w:noWrap/>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5</w:t>
            </w:r>
          </w:p>
        </w:tc>
        <w:tc>
          <w:tcPr>
            <w:tcW w:w="1255" w:type="dxa"/>
            <w:tcBorders>
              <w:top w:val="single" w:sz="4" w:space="0" w:color="auto"/>
            </w:tcBorders>
            <w:noWrap/>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720</w:t>
            </w:r>
          </w:p>
        </w:tc>
        <w:tc>
          <w:tcPr>
            <w:tcW w:w="1081" w:type="dxa"/>
            <w:tcBorders>
              <w:top w:val="single" w:sz="4" w:space="0" w:color="auto"/>
            </w:tcBorders>
            <w:noWrap/>
          </w:tcPr>
          <w:p w:rsidR="00CF54A5" w:rsidRPr="00CF54A5" w:rsidRDefault="00CF54A5" w:rsidP="00CF54A5">
            <w:pPr>
              <w:bidi/>
              <w:jc w:val="right"/>
              <w:rPr>
                <w:rFonts w:ascii="Arabic Typesetting" w:eastAsia="SimSun" w:hAnsi="Arabic Typesetting" w:cs="Arabic Typesetting"/>
                <w:sz w:val="32"/>
                <w:szCs w:val="32"/>
                <w:lang w:eastAsia="zh-CN"/>
              </w:rPr>
            </w:pPr>
            <w:r w:rsidRPr="00CF54A5">
              <w:rPr>
                <w:rFonts w:ascii="Arabic Typesetting" w:eastAsia="SimSun" w:hAnsi="Arabic Typesetting" w:cs="Arabic Typesetting"/>
                <w:sz w:val="32"/>
                <w:szCs w:val="32"/>
                <w:lang w:eastAsia="zh-CN"/>
              </w:rPr>
              <w:t>120</w:t>
            </w:r>
          </w:p>
        </w:tc>
      </w:tr>
    </w:tbl>
    <w:p w:rsidR="00CF54A5" w:rsidRPr="00B17B92" w:rsidRDefault="00B17B92" w:rsidP="00B17B92">
      <w:pPr>
        <w:pStyle w:val="NormalParaAR"/>
        <w:keepNext/>
        <w:spacing w:before="240"/>
        <w:rPr>
          <w:b/>
          <w:bCs/>
          <w:sz w:val="40"/>
          <w:szCs w:val="40"/>
          <w:rtl/>
        </w:rPr>
      </w:pPr>
      <w:r w:rsidRPr="00B17B92">
        <w:rPr>
          <w:rFonts w:hint="cs"/>
          <w:b/>
          <w:bCs/>
          <w:sz w:val="40"/>
          <w:szCs w:val="40"/>
          <w:rtl/>
        </w:rPr>
        <w:t>توزيع النص في الرسوم المرافقة للملخص</w:t>
      </w:r>
    </w:p>
    <w:p w:rsidR="00B17B92" w:rsidRDefault="00A7271C" w:rsidP="00A7271C">
      <w:pPr>
        <w:pStyle w:val="NumberedParaAR"/>
      </w:pPr>
      <w:r>
        <w:rPr>
          <w:rFonts w:hint="cs"/>
          <w:rtl/>
        </w:rPr>
        <w:t>وفي عيّنة المنشورات ذاتها، حُسب عدد الكلمات الواردة في الرسم المرافق للملخص، بالصيغة المترجمة إلى الإنكليزية (فيما يخص المنشورات الواردة باللغة الإنكليزية، حُسب عدد الكلمات الواردة في الترجمة الفرنسية بدلا من الإنكليزية لأن النص الإنكليزي الأصلي غير مُدوّن في النظام ذي الصلة).</w:t>
      </w:r>
    </w:p>
    <w:p w:rsidR="00A7271C" w:rsidRDefault="00AB4C54" w:rsidP="00AB4C54">
      <w:pPr>
        <w:pStyle w:val="NumberedParaAR"/>
      </w:pPr>
      <w:r>
        <w:rPr>
          <w:rFonts w:hint="cs"/>
          <w:rtl/>
        </w:rPr>
        <w:t>و</w:t>
      </w:r>
      <w:r w:rsidR="00A7271C">
        <w:rPr>
          <w:rFonts w:hint="cs"/>
          <w:rtl/>
        </w:rPr>
        <w:t xml:space="preserve">تعكس الأرقام </w:t>
      </w:r>
      <w:r w:rsidR="00905295">
        <w:rPr>
          <w:rFonts w:hint="cs"/>
          <w:rtl/>
        </w:rPr>
        <w:t>نسبة</w:t>
      </w:r>
      <w:r w:rsidR="00967A41">
        <w:rPr>
          <w:rFonts w:hint="cs"/>
          <w:rtl/>
        </w:rPr>
        <w:t xml:space="preserve"> تقلّ بعض الشيء عن </w:t>
      </w:r>
      <w:r w:rsidR="00905295">
        <w:rPr>
          <w:rFonts w:hint="cs"/>
          <w:rtl/>
        </w:rPr>
        <w:t>نسبة</w:t>
      </w:r>
      <w:r w:rsidR="00BA6280">
        <w:rPr>
          <w:rFonts w:hint="cs"/>
          <w:rtl/>
        </w:rPr>
        <w:t xml:space="preserve"> الطلبات الدولية التي ت</w:t>
      </w:r>
      <w:r w:rsidR="00A7271C">
        <w:rPr>
          <w:rFonts w:hint="cs"/>
          <w:rtl/>
        </w:rPr>
        <w:t xml:space="preserve">حتوي فيها </w:t>
      </w:r>
      <w:r w:rsidR="00BA6280">
        <w:rPr>
          <w:rFonts w:hint="cs"/>
          <w:rtl/>
        </w:rPr>
        <w:t xml:space="preserve">الصورة </w:t>
      </w:r>
      <w:r w:rsidR="00A7271C">
        <w:rPr>
          <w:rFonts w:hint="cs"/>
          <w:rtl/>
        </w:rPr>
        <w:t>على نص (بالإضافة إلى المصطلح "</w:t>
      </w:r>
      <w:r w:rsidR="00A7271C">
        <w:t>Fig</w:t>
      </w:r>
      <w:r w:rsidR="00A7271C">
        <w:rPr>
          <w:rFonts w:hint="cs"/>
          <w:rtl/>
        </w:rPr>
        <w:t>"، الذي لا تُشترط ترجمته وفقا للقاعدة</w:t>
      </w:r>
      <w:r w:rsidR="00A7271C">
        <w:rPr>
          <w:rFonts w:hint="eastAsia"/>
          <w:rtl/>
        </w:rPr>
        <w:t> </w:t>
      </w:r>
      <w:r w:rsidR="00A7271C">
        <w:rPr>
          <w:rFonts w:hint="cs"/>
          <w:rtl/>
        </w:rPr>
        <w:t xml:space="preserve">5.49)، </w:t>
      </w:r>
      <w:r w:rsidR="00967A41">
        <w:rPr>
          <w:rFonts w:hint="cs"/>
          <w:rtl/>
        </w:rPr>
        <w:t xml:space="preserve">لأن المكتب الدولي يقتصر عادة على نقل النص حرفيا لأغراض الترجمة عندما يبدو ذلك مفيدا </w:t>
      </w:r>
      <w:r w:rsidR="00967A41">
        <w:rPr>
          <w:rtl/>
        </w:rPr>
        <w:t>–</w:t>
      </w:r>
      <w:r w:rsidR="00967A41">
        <w:rPr>
          <w:rFonts w:hint="cs"/>
          <w:rtl/>
        </w:rPr>
        <w:t xml:space="preserve"> العناصر النصية من قبيل "</w:t>
      </w:r>
      <w:r w:rsidR="003B1200">
        <w:rPr>
          <w:rFonts w:hint="cs"/>
          <w:rtl/>
        </w:rPr>
        <w:t>مقطع</w:t>
      </w:r>
      <w:r w:rsidR="00967A41">
        <w:rPr>
          <w:rFonts w:hint="cs"/>
          <w:rtl/>
        </w:rPr>
        <w:t xml:space="preserve"> </w:t>
      </w:r>
      <w:r w:rsidR="003B1200">
        <w:t>A-B</w:t>
      </w:r>
      <w:r w:rsidR="00967A41">
        <w:rPr>
          <w:rFonts w:hint="cs"/>
          <w:rtl/>
        </w:rPr>
        <w:t xml:space="preserve">" والمختصرات القصيرة لا تُدوّن عادة. وضمن الطلبات التي يُدوّن فيها النص الوارد في الرسم المرافق للملخص، يتجاوز عدد الكلمات بعض الشيء العدد الوارد في الرسم الأصلي لأن الحساب يشتمل على حروف مرجعية تقتضي، في كثير من الأحيان، إضافتها للربط بين النص وجزء الصفحة المعني. غير أن الأرقام توفر مؤشرا عاما جيدا على </w:t>
      </w:r>
      <w:r>
        <w:rPr>
          <w:rFonts w:hint="cs"/>
          <w:rtl/>
        </w:rPr>
        <w:t>كمية</w:t>
      </w:r>
      <w:r w:rsidR="00967A41">
        <w:rPr>
          <w:rFonts w:hint="cs"/>
          <w:rtl/>
        </w:rPr>
        <w:t xml:space="preserve"> النص الذي يجب تر</w:t>
      </w:r>
      <w:r w:rsidR="00736E39">
        <w:rPr>
          <w:rFonts w:hint="cs"/>
          <w:rtl/>
        </w:rPr>
        <w:t xml:space="preserve">جمته من </w:t>
      </w:r>
      <w:r w:rsidR="00BA6280">
        <w:rPr>
          <w:rFonts w:hint="cs"/>
          <w:rtl/>
        </w:rPr>
        <w:t>الصور</w:t>
      </w:r>
      <w:r w:rsidR="00736E39">
        <w:rPr>
          <w:rFonts w:hint="cs"/>
          <w:rtl/>
        </w:rPr>
        <w:t xml:space="preserve"> المرافقة للملخص.</w:t>
      </w:r>
    </w:p>
    <w:p w:rsidR="00736E39" w:rsidRDefault="00AB4C54" w:rsidP="00D57F27">
      <w:pPr>
        <w:pStyle w:val="NumberedParaAR"/>
      </w:pPr>
      <w:r>
        <w:rPr>
          <w:rFonts w:hint="cs"/>
          <w:rtl/>
        </w:rPr>
        <w:t>و</w:t>
      </w:r>
      <w:r w:rsidR="0075260D">
        <w:rPr>
          <w:rFonts w:hint="cs"/>
          <w:rtl/>
        </w:rPr>
        <w:t>يرد أدناه رسم بياني معادل للرسم البياني الخاص بطول الملخصات يُظهر العدد الإجمالي للكلمات الواردة في الرسم المرافق لل</w:t>
      </w:r>
      <w:r w:rsidR="00D57F27">
        <w:rPr>
          <w:rFonts w:hint="cs"/>
          <w:rtl/>
        </w:rPr>
        <w:t>ملخص. وكما يمكن ملاحظته، يشتمل نحو 40</w:t>
      </w:r>
      <w:r w:rsidR="00D57F27">
        <w:rPr>
          <w:rFonts w:hint="eastAsia"/>
          <w:rtl/>
        </w:rPr>
        <w:t> </w:t>
      </w:r>
      <w:r w:rsidR="00D57F27">
        <w:rPr>
          <w:rFonts w:hint="cs"/>
          <w:rtl/>
        </w:rPr>
        <w:t>بالمائة من كل الرسوم المختارة لمرافقة ملخص على كلمات تقتضي ترجمتها. وفي معظم تلك الحالات، يشتمل الرسم على عدد كبير من الكلمات. فقد اشتمل نحو 000</w:t>
      </w:r>
      <w:r w:rsidR="00D57F27">
        <w:rPr>
          <w:rFonts w:hint="eastAsia"/>
          <w:rtl/>
        </w:rPr>
        <w:t> </w:t>
      </w:r>
      <w:r w:rsidR="00D57F27">
        <w:rPr>
          <w:rFonts w:hint="cs"/>
          <w:rtl/>
        </w:rPr>
        <w:t>14 رسم في عيّنة الستة أشهر على أكثر من 50</w:t>
      </w:r>
      <w:r w:rsidR="00D57F27">
        <w:rPr>
          <w:rFonts w:hint="eastAsia"/>
          <w:rtl/>
        </w:rPr>
        <w:t> </w:t>
      </w:r>
      <w:r w:rsidR="00D57F27">
        <w:rPr>
          <w:rFonts w:hint="cs"/>
          <w:rtl/>
        </w:rPr>
        <w:t>كلمة واشتمل ما يزيد على  000</w:t>
      </w:r>
      <w:r w:rsidR="00D57F27">
        <w:rPr>
          <w:rFonts w:hint="eastAsia"/>
          <w:rtl/>
        </w:rPr>
        <w:t> </w:t>
      </w:r>
      <w:r w:rsidR="00D57F27">
        <w:rPr>
          <w:rFonts w:hint="cs"/>
          <w:rtl/>
        </w:rPr>
        <w:t>4 رسم على أكثر من 100</w:t>
      </w:r>
      <w:r w:rsidR="00D57F27">
        <w:rPr>
          <w:rFonts w:hint="eastAsia"/>
          <w:rtl/>
        </w:rPr>
        <w:t> </w:t>
      </w:r>
      <w:r w:rsidR="00D57F27">
        <w:rPr>
          <w:rFonts w:hint="cs"/>
          <w:rtl/>
        </w:rPr>
        <w:t>كلمة؛ وفي ما يفوق 000</w:t>
      </w:r>
      <w:r w:rsidR="00D57F27">
        <w:rPr>
          <w:rFonts w:hint="eastAsia"/>
          <w:rtl/>
        </w:rPr>
        <w:t> </w:t>
      </w:r>
      <w:r w:rsidR="00D57F27">
        <w:rPr>
          <w:rFonts w:hint="cs"/>
          <w:rtl/>
        </w:rPr>
        <w:t>3 حالة، تجاوز عدد الكلمات في الرسم (الذي لا يمكن البحث فيه) عدد الكلمات في الملخص (الذي يمكن البحث فيه).</w:t>
      </w:r>
    </w:p>
    <w:p w:rsidR="00D57F27" w:rsidRPr="008C3C27" w:rsidRDefault="00D57F27" w:rsidP="00BA6280">
      <w:pPr>
        <w:pStyle w:val="NumberedParaAR"/>
        <w:numPr>
          <w:ilvl w:val="0"/>
          <w:numId w:val="0"/>
        </w:numPr>
        <w:spacing w:after="0"/>
        <w:rPr>
          <w:i/>
          <w:iCs/>
          <w:rtl/>
        </w:rPr>
      </w:pPr>
      <w:r w:rsidRPr="008C3C27">
        <w:rPr>
          <w:rFonts w:hint="cs"/>
          <w:i/>
          <w:iCs/>
          <w:rtl/>
        </w:rPr>
        <w:t xml:space="preserve">الشكل 2: المجموع التراكمي لعدد الكلمات الواردة في </w:t>
      </w:r>
      <w:r w:rsidR="00BA6280">
        <w:rPr>
          <w:rFonts w:hint="cs"/>
          <w:i/>
          <w:iCs/>
          <w:rtl/>
        </w:rPr>
        <w:t>الصورة</w:t>
      </w:r>
      <w:r w:rsidRPr="008C3C27">
        <w:rPr>
          <w:rFonts w:hint="cs"/>
          <w:i/>
          <w:iCs/>
          <w:rtl/>
        </w:rPr>
        <w:t xml:space="preserve"> المرافق</w:t>
      </w:r>
      <w:r w:rsidR="00BA6280">
        <w:rPr>
          <w:rFonts w:hint="cs"/>
          <w:i/>
          <w:iCs/>
          <w:rtl/>
        </w:rPr>
        <w:t>ة</w:t>
      </w:r>
      <w:r w:rsidRPr="008C3C27">
        <w:rPr>
          <w:rFonts w:hint="cs"/>
          <w:i/>
          <w:iCs/>
          <w:rtl/>
        </w:rPr>
        <w:t xml:space="preserve"> للملخص عند ترجمته</w:t>
      </w:r>
      <w:r w:rsidR="008C3C27" w:rsidRPr="008C3C27">
        <w:rPr>
          <w:rFonts w:hint="cs"/>
          <w:i/>
          <w:iCs/>
          <w:rtl/>
        </w:rPr>
        <w:t>ا إلى الإنكليزية (أو الفرنسية)</w:t>
      </w:r>
    </w:p>
    <w:p w:rsidR="00905295" w:rsidRDefault="008C3C27" w:rsidP="008C3C27">
      <w:pPr>
        <w:pStyle w:val="NumberedParaAR"/>
        <w:numPr>
          <w:ilvl w:val="0"/>
          <w:numId w:val="0"/>
        </w:numPr>
        <w:spacing w:line="240" w:lineRule="auto"/>
        <w:rPr>
          <w:rtl/>
        </w:rPr>
      </w:pPr>
      <w:r w:rsidRPr="008C3C27">
        <w:rPr>
          <w:rFonts w:hint="cs"/>
          <w:noProof/>
          <w:rtl/>
        </w:rPr>
        <w:drawing>
          <wp:inline distT="0" distB="0" distL="0" distR="0">
            <wp:extent cx="5808345" cy="22383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2238375"/>
                    </a:xfrm>
                    <a:prstGeom prst="rect">
                      <a:avLst/>
                    </a:prstGeom>
                    <a:noFill/>
                    <a:ln>
                      <a:noFill/>
                    </a:ln>
                  </pic:spPr>
                </pic:pic>
              </a:graphicData>
            </a:graphic>
          </wp:inline>
        </w:drawing>
      </w:r>
    </w:p>
    <w:p w:rsidR="00905295" w:rsidRDefault="00905295">
      <w:pPr>
        <w:rPr>
          <w:rFonts w:ascii="Arabic Typesetting" w:hAnsi="Arabic Typesetting" w:cs="Arabic Typesetting"/>
          <w:sz w:val="36"/>
          <w:szCs w:val="36"/>
          <w:rtl/>
        </w:rPr>
      </w:pPr>
      <w:r>
        <w:rPr>
          <w:rtl/>
        </w:rPr>
        <w:br w:type="page"/>
      </w:r>
    </w:p>
    <w:p w:rsidR="008C3C27" w:rsidRPr="00905295" w:rsidRDefault="00905295" w:rsidP="00BA6280">
      <w:pPr>
        <w:pStyle w:val="NumberedParaAR"/>
        <w:numPr>
          <w:ilvl w:val="0"/>
          <w:numId w:val="0"/>
        </w:numPr>
        <w:spacing w:after="0"/>
        <w:rPr>
          <w:i/>
          <w:iCs/>
          <w:rtl/>
        </w:rPr>
      </w:pPr>
      <w:r w:rsidRPr="00905295">
        <w:rPr>
          <w:rFonts w:hint="cs"/>
          <w:i/>
          <w:iCs/>
          <w:rtl/>
        </w:rPr>
        <w:t xml:space="preserve">الجدول 2: توزيع عدد الكلمات الواردة في </w:t>
      </w:r>
      <w:r w:rsidR="00BA6280">
        <w:rPr>
          <w:rFonts w:hint="cs"/>
          <w:i/>
          <w:iCs/>
          <w:rtl/>
        </w:rPr>
        <w:t xml:space="preserve">الصورة </w:t>
      </w:r>
      <w:r w:rsidRPr="00905295">
        <w:rPr>
          <w:rFonts w:hint="cs"/>
          <w:i/>
          <w:iCs/>
          <w:rtl/>
        </w:rPr>
        <w:t>المرافق</w:t>
      </w:r>
      <w:r w:rsidR="00BA6280">
        <w:rPr>
          <w:rFonts w:hint="cs"/>
          <w:i/>
          <w:iCs/>
          <w:rtl/>
        </w:rPr>
        <w:t>ة</w:t>
      </w:r>
      <w:r w:rsidRPr="00905295">
        <w:rPr>
          <w:rFonts w:hint="cs"/>
          <w:i/>
          <w:iCs/>
          <w:rtl/>
        </w:rPr>
        <w:t xml:space="preserve"> للملخص عند ترجمتها إلى الإنكليزية (أو الفرنسية)</w:t>
      </w:r>
    </w:p>
    <w:tbl>
      <w:tblPr>
        <w:tblStyle w:val="TableGrid"/>
        <w:bidiVisual/>
        <w:tblW w:w="8620" w:type="dxa"/>
        <w:tblLook w:val="04A0" w:firstRow="1" w:lastRow="0" w:firstColumn="1" w:lastColumn="0" w:noHBand="0" w:noVBand="1"/>
      </w:tblPr>
      <w:tblGrid>
        <w:gridCol w:w="1668"/>
        <w:gridCol w:w="1891"/>
        <w:gridCol w:w="2410"/>
        <w:gridCol w:w="1276"/>
        <w:gridCol w:w="1375"/>
      </w:tblGrid>
      <w:tr w:rsidR="00905295" w:rsidRPr="00905295" w:rsidTr="00905295">
        <w:trPr>
          <w:trHeight w:val="255"/>
        </w:trPr>
        <w:tc>
          <w:tcPr>
            <w:tcW w:w="1668" w:type="dxa"/>
            <w:tcBorders>
              <w:bottom w:val="single" w:sz="4" w:space="0" w:color="auto"/>
            </w:tcBorders>
            <w:noWrap/>
            <w:hideMark/>
          </w:tcPr>
          <w:p w:rsidR="00905295" w:rsidRPr="00905295" w:rsidRDefault="00905295" w:rsidP="00905295">
            <w:pPr>
              <w:bidi/>
              <w:rPr>
                <w:rFonts w:ascii="Arabic Typesetting" w:hAnsi="Arabic Typesetting" w:cs="Arabic Typesetting"/>
                <w:b/>
                <w:bCs/>
                <w:color w:val="000000"/>
                <w:sz w:val="32"/>
                <w:szCs w:val="32"/>
              </w:rPr>
            </w:pPr>
            <w:r>
              <w:rPr>
                <w:rFonts w:ascii="Arabic Typesetting" w:hAnsi="Arabic Typesetting" w:cs="Arabic Typesetting" w:hint="cs"/>
                <w:b/>
                <w:bCs/>
                <w:color w:val="000000"/>
                <w:sz w:val="32"/>
                <w:szCs w:val="32"/>
                <w:rtl/>
              </w:rPr>
              <w:t>اللغة</w:t>
            </w:r>
          </w:p>
        </w:tc>
        <w:tc>
          <w:tcPr>
            <w:tcW w:w="1891" w:type="dxa"/>
            <w:tcBorders>
              <w:bottom w:val="single" w:sz="4" w:space="0" w:color="auto"/>
            </w:tcBorders>
            <w:noWrap/>
            <w:hideMark/>
          </w:tcPr>
          <w:p w:rsidR="00905295" w:rsidRPr="00905295" w:rsidRDefault="00905295" w:rsidP="00BA6280">
            <w:pPr>
              <w:bidi/>
              <w:rPr>
                <w:rFonts w:ascii="Arabic Typesetting" w:hAnsi="Arabic Typesetting" w:cs="Arabic Typesetting"/>
                <w:b/>
                <w:bCs/>
                <w:color w:val="000000"/>
                <w:sz w:val="32"/>
                <w:szCs w:val="32"/>
              </w:rPr>
            </w:pPr>
            <w:r>
              <w:rPr>
                <w:rFonts w:ascii="Arabic Typesetting" w:hAnsi="Arabic Typesetting" w:cs="Arabic Typesetting" w:hint="cs"/>
                <w:b/>
                <w:bCs/>
                <w:color w:val="000000"/>
                <w:sz w:val="32"/>
                <w:szCs w:val="32"/>
                <w:rtl/>
              </w:rPr>
              <w:t xml:space="preserve">نسبة المنشورات المشتملة على نص في </w:t>
            </w:r>
            <w:r w:rsidR="00BA6280">
              <w:rPr>
                <w:rFonts w:ascii="Arabic Typesetting" w:hAnsi="Arabic Typesetting" w:cs="Arabic Typesetting" w:hint="cs"/>
                <w:b/>
                <w:bCs/>
                <w:color w:val="000000"/>
                <w:sz w:val="32"/>
                <w:szCs w:val="32"/>
                <w:rtl/>
              </w:rPr>
              <w:t>الصورة</w:t>
            </w:r>
          </w:p>
        </w:tc>
        <w:tc>
          <w:tcPr>
            <w:tcW w:w="2410" w:type="dxa"/>
            <w:tcBorders>
              <w:bottom w:val="single" w:sz="4" w:space="0" w:color="auto"/>
            </w:tcBorders>
            <w:noWrap/>
            <w:hideMark/>
          </w:tcPr>
          <w:p w:rsidR="00905295" w:rsidRPr="00905295" w:rsidRDefault="00905295" w:rsidP="00BA6280">
            <w:pPr>
              <w:bidi/>
              <w:rPr>
                <w:rFonts w:ascii="Arabic Typesetting" w:hAnsi="Arabic Typesetting" w:cs="Arabic Typesetting"/>
                <w:b/>
                <w:bCs/>
                <w:color w:val="000000"/>
                <w:sz w:val="32"/>
                <w:szCs w:val="32"/>
              </w:rPr>
            </w:pPr>
            <w:r>
              <w:rPr>
                <w:rFonts w:ascii="Arabic Typesetting" w:hAnsi="Arabic Typesetting" w:cs="Arabic Typesetting" w:hint="cs"/>
                <w:b/>
                <w:bCs/>
                <w:color w:val="000000"/>
                <w:sz w:val="32"/>
                <w:szCs w:val="32"/>
                <w:rtl/>
              </w:rPr>
              <w:t xml:space="preserve">نسبة المنشورات حيث يزيد عدد الكلمات الوارد في </w:t>
            </w:r>
            <w:r w:rsidR="00BA6280">
              <w:rPr>
                <w:rFonts w:ascii="Arabic Typesetting" w:hAnsi="Arabic Typesetting" w:cs="Arabic Typesetting" w:hint="cs"/>
                <w:b/>
                <w:bCs/>
                <w:color w:val="000000"/>
                <w:sz w:val="32"/>
                <w:szCs w:val="32"/>
                <w:rtl/>
              </w:rPr>
              <w:t>الصورة</w:t>
            </w:r>
            <w:r>
              <w:rPr>
                <w:rFonts w:ascii="Arabic Typesetting" w:hAnsi="Arabic Typesetting" w:cs="Arabic Typesetting" w:hint="cs"/>
                <w:b/>
                <w:bCs/>
                <w:color w:val="000000"/>
                <w:sz w:val="32"/>
                <w:szCs w:val="32"/>
                <w:rtl/>
              </w:rPr>
              <w:t xml:space="preserve"> على 100 كلمة</w:t>
            </w:r>
          </w:p>
        </w:tc>
        <w:tc>
          <w:tcPr>
            <w:tcW w:w="1276" w:type="dxa"/>
            <w:tcBorders>
              <w:bottom w:val="single" w:sz="4" w:space="0" w:color="auto"/>
            </w:tcBorders>
            <w:noWrap/>
            <w:hideMark/>
          </w:tcPr>
          <w:p w:rsidR="00905295" w:rsidRPr="00905295" w:rsidRDefault="00905295" w:rsidP="00905295">
            <w:pPr>
              <w:bidi/>
              <w:rPr>
                <w:rFonts w:ascii="Arabic Typesetting" w:hAnsi="Arabic Typesetting" w:cs="Arabic Typesetting"/>
                <w:b/>
                <w:bCs/>
                <w:color w:val="000000"/>
                <w:sz w:val="32"/>
                <w:szCs w:val="32"/>
              </w:rPr>
            </w:pPr>
            <w:r>
              <w:rPr>
                <w:rFonts w:ascii="Arabic Typesetting" w:hAnsi="Arabic Typesetting" w:cs="Arabic Typesetting" w:hint="cs"/>
                <w:b/>
                <w:bCs/>
                <w:color w:val="000000"/>
                <w:sz w:val="32"/>
                <w:szCs w:val="32"/>
                <w:rtl/>
              </w:rPr>
              <w:t>العدد الوسيط للكلمات</w:t>
            </w:r>
          </w:p>
        </w:tc>
        <w:tc>
          <w:tcPr>
            <w:tcW w:w="1375" w:type="dxa"/>
            <w:tcBorders>
              <w:bottom w:val="single" w:sz="4" w:space="0" w:color="auto"/>
            </w:tcBorders>
            <w:noWrap/>
            <w:hideMark/>
          </w:tcPr>
          <w:p w:rsidR="00905295" w:rsidRPr="00905295" w:rsidRDefault="00905295" w:rsidP="00905295">
            <w:pPr>
              <w:bidi/>
              <w:rPr>
                <w:rFonts w:ascii="Arabic Typesetting" w:hAnsi="Arabic Typesetting" w:cs="Arabic Typesetting"/>
                <w:b/>
                <w:bCs/>
                <w:color w:val="000000"/>
                <w:sz w:val="32"/>
                <w:szCs w:val="32"/>
              </w:rPr>
            </w:pPr>
            <w:r>
              <w:rPr>
                <w:rFonts w:ascii="Arabic Typesetting" w:hAnsi="Arabic Typesetting" w:cs="Arabic Typesetting" w:hint="cs"/>
                <w:b/>
                <w:bCs/>
                <w:color w:val="000000"/>
                <w:sz w:val="32"/>
                <w:szCs w:val="32"/>
                <w:rtl/>
              </w:rPr>
              <w:t>العدد الأقصى للكلمات</w:t>
            </w:r>
          </w:p>
        </w:tc>
      </w:tr>
      <w:tr w:rsidR="00905295" w:rsidRPr="00905295" w:rsidTr="00905295">
        <w:trPr>
          <w:trHeight w:val="255"/>
        </w:trPr>
        <w:tc>
          <w:tcPr>
            <w:tcW w:w="1668" w:type="dxa"/>
            <w:tcBorders>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الصينية</w:t>
            </w:r>
          </w:p>
        </w:tc>
        <w:tc>
          <w:tcPr>
            <w:tcW w:w="1891" w:type="dxa"/>
            <w:tcBorders>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51.2%</w:t>
            </w:r>
          </w:p>
        </w:tc>
        <w:tc>
          <w:tcPr>
            <w:tcW w:w="2410" w:type="dxa"/>
            <w:tcBorders>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12.6%</w:t>
            </w:r>
          </w:p>
        </w:tc>
        <w:tc>
          <w:tcPr>
            <w:tcW w:w="1276" w:type="dxa"/>
            <w:tcBorders>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36.6</w:t>
            </w:r>
          </w:p>
        </w:tc>
        <w:tc>
          <w:tcPr>
            <w:tcW w:w="1375" w:type="dxa"/>
            <w:tcBorders>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564</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الكورية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49.0%</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1.5%</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15.6</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288</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اليابانية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41.9%</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1.4%</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14.1</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301</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الإنكليزية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40.5%</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3.9%</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18.2</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574</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البرتغالية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16.6%</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0.7%</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5.0</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303</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الإسبانية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12.0%</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0.1%</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2.8</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140</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الفرنسية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11.8%</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0.4%</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3.0</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609</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الروسية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10.4%</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0.9%</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3.1</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142</w:t>
            </w:r>
          </w:p>
        </w:tc>
      </w:tr>
      <w:tr w:rsidR="00905295" w:rsidRPr="00905295" w:rsidTr="00905295">
        <w:trPr>
          <w:trHeight w:val="255"/>
        </w:trPr>
        <w:tc>
          <w:tcPr>
            <w:tcW w:w="1668" w:type="dxa"/>
            <w:tcBorders>
              <w:top w:val="dashSmallGap" w:sz="4" w:space="0" w:color="auto"/>
              <w:bottom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الألمانية</w:t>
            </w:r>
          </w:p>
        </w:tc>
        <w:tc>
          <w:tcPr>
            <w:tcW w:w="1891" w:type="dxa"/>
            <w:tcBorders>
              <w:top w:val="dashSmallGap" w:sz="4" w:space="0" w:color="auto"/>
              <w:bottom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7.2%</w:t>
            </w:r>
          </w:p>
        </w:tc>
        <w:tc>
          <w:tcPr>
            <w:tcW w:w="2410" w:type="dxa"/>
            <w:tcBorders>
              <w:top w:val="dashSmallGap" w:sz="4" w:space="0" w:color="auto"/>
              <w:bottom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0.1%</w:t>
            </w:r>
          </w:p>
        </w:tc>
        <w:tc>
          <w:tcPr>
            <w:tcW w:w="1276"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1.5</w:t>
            </w:r>
          </w:p>
        </w:tc>
        <w:tc>
          <w:tcPr>
            <w:tcW w:w="1375" w:type="dxa"/>
            <w:tcBorders>
              <w:top w:val="dashSmallGap" w:sz="4" w:space="0" w:color="auto"/>
              <w:bottom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193</w:t>
            </w:r>
          </w:p>
        </w:tc>
      </w:tr>
      <w:tr w:rsidR="00905295" w:rsidRPr="00905295" w:rsidTr="00905295">
        <w:trPr>
          <w:trHeight w:val="255"/>
        </w:trPr>
        <w:tc>
          <w:tcPr>
            <w:tcW w:w="1668" w:type="dxa"/>
            <w:tcBorders>
              <w:top w:val="dashSmallGap" w:sz="4" w:space="0" w:color="auto"/>
            </w:tcBorders>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العربية</w:t>
            </w:r>
          </w:p>
        </w:tc>
        <w:tc>
          <w:tcPr>
            <w:tcW w:w="1891" w:type="dxa"/>
            <w:tcBorders>
              <w:top w:val="dashSmallGap" w:sz="4" w:space="0" w:color="auto"/>
            </w:tcBorders>
            <w:noWrap/>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0.0%</w:t>
            </w:r>
          </w:p>
        </w:tc>
        <w:tc>
          <w:tcPr>
            <w:tcW w:w="2410" w:type="dxa"/>
            <w:tcBorders>
              <w:top w:val="dashSmallGap" w:sz="4" w:space="0" w:color="auto"/>
            </w:tcBorders>
            <w:noWrap/>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0.0%</w:t>
            </w:r>
          </w:p>
        </w:tc>
        <w:tc>
          <w:tcPr>
            <w:tcW w:w="1276" w:type="dxa"/>
            <w:tcBorders>
              <w:top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0.0</w:t>
            </w:r>
          </w:p>
        </w:tc>
        <w:tc>
          <w:tcPr>
            <w:tcW w:w="1375" w:type="dxa"/>
            <w:tcBorders>
              <w:top w:val="dashSmallGap" w:sz="4" w:space="0" w:color="auto"/>
            </w:tcBorders>
            <w:noWrap/>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0</w:t>
            </w:r>
          </w:p>
        </w:tc>
      </w:tr>
      <w:tr w:rsidR="00905295" w:rsidRPr="00905295" w:rsidTr="00905295">
        <w:trPr>
          <w:trHeight w:val="255"/>
        </w:trPr>
        <w:tc>
          <w:tcPr>
            <w:tcW w:w="1668" w:type="dxa"/>
            <w:noWrap/>
            <w:vAlign w:val="bottom"/>
          </w:tcPr>
          <w:p w:rsidR="00905295" w:rsidRPr="00905295" w:rsidRDefault="00905295" w:rsidP="00905295">
            <w:pPr>
              <w:bidi/>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جميع اللغات</w:t>
            </w:r>
          </w:p>
        </w:tc>
        <w:tc>
          <w:tcPr>
            <w:tcW w:w="1891" w:type="dxa"/>
            <w:noWrap/>
            <w:vAlign w:val="bottom"/>
          </w:tcPr>
          <w:p w:rsidR="00905295" w:rsidRPr="00905295" w:rsidRDefault="0006795C" w:rsidP="00905295">
            <w:pPr>
              <w:bidi/>
              <w:ind w:right="366"/>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38.3%</w:t>
            </w:r>
          </w:p>
        </w:tc>
        <w:tc>
          <w:tcPr>
            <w:tcW w:w="2410" w:type="dxa"/>
            <w:noWrap/>
            <w:vAlign w:val="bottom"/>
          </w:tcPr>
          <w:p w:rsidR="00905295" w:rsidRPr="00905295" w:rsidRDefault="0006795C" w:rsidP="00905295">
            <w:pPr>
              <w:bidi/>
              <w:ind w:right="650"/>
              <w:jc w:val="right"/>
              <w:rPr>
                <w:rFonts w:ascii="Arabic Typesetting" w:eastAsia="SimSun" w:hAnsi="Arabic Typesetting" w:cs="Arabic Typesetting"/>
                <w:sz w:val="32"/>
                <w:szCs w:val="32"/>
                <w:lang w:eastAsia="zh-CN"/>
              </w:rPr>
            </w:pPr>
            <w:r>
              <w:rPr>
                <w:rFonts w:ascii="Arabic Typesetting" w:eastAsia="SimSun" w:hAnsi="Arabic Typesetting" w:cs="Arabic Typesetting" w:hint="cs"/>
                <w:sz w:val="32"/>
                <w:szCs w:val="32"/>
                <w:rtl/>
                <w:lang w:eastAsia="zh-CN"/>
              </w:rPr>
              <w:t>3.7%</w:t>
            </w:r>
          </w:p>
        </w:tc>
        <w:tc>
          <w:tcPr>
            <w:tcW w:w="1276" w:type="dxa"/>
            <w:noWrap/>
            <w:vAlign w:val="bottom"/>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17.1</w:t>
            </w:r>
          </w:p>
        </w:tc>
        <w:tc>
          <w:tcPr>
            <w:tcW w:w="1375" w:type="dxa"/>
            <w:noWrap/>
            <w:vAlign w:val="bottom"/>
          </w:tcPr>
          <w:p w:rsidR="00905295" w:rsidRPr="00905295" w:rsidRDefault="00905295" w:rsidP="00905295">
            <w:pPr>
              <w:bidi/>
              <w:ind w:right="224"/>
              <w:jc w:val="right"/>
              <w:rPr>
                <w:rFonts w:ascii="Arabic Typesetting" w:eastAsia="SimSun" w:hAnsi="Arabic Typesetting" w:cs="Arabic Typesetting"/>
                <w:sz w:val="32"/>
                <w:szCs w:val="32"/>
                <w:lang w:eastAsia="zh-CN"/>
              </w:rPr>
            </w:pPr>
            <w:r w:rsidRPr="00905295">
              <w:rPr>
                <w:rFonts w:ascii="Arabic Typesetting" w:eastAsia="SimSun" w:hAnsi="Arabic Typesetting" w:cs="Arabic Typesetting"/>
                <w:sz w:val="32"/>
                <w:szCs w:val="32"/>
                <w:lang w:eastAsia="zh-CN"/>
              </w:rPr>
              <w:t>564</w:t>
            </w:r>
          </w:p>
        </w:tc>
      </w:tr>
    </w:tbl>
    <w:p w:rsidR="00905295" w:rsidRPr="00E46A69" w:rsidRDefault="00E46A69" w:rsidP="00E46A69">
      <w:pPr>
        <w:pStyle w:val="NormalParaAR"/>
        <w:keepNext/>
        <w:spacing w:before="240"/>
        <w:rPr>
          <w:b/>
          <w:bCs/>
          <w:sz w:val="40"/>
          <w:szCs w:val="40"/>
          <w:rtl/>
        </w:rPr>
      </w:pPr>
      <w:r w:rsidRPr="00E46A69">
        <w:rPr>
          <w:rFonts w:hint="cs"/>
          <w:b/>
          <w:bCs/>
          <w:sz w:val="40"/>
          <w:szCs w:val="40"/>
          <w:rtl/>
        </w:rPr>
        <w:t>الشروط الخاصة بالملخصات والرسوم</w:t>
      </w:r>
    </w:p>
    <w:p w:rsidR="00E46A69" w:rsidRDefault="00E46A69" w:rsidP="00AB4C54">
      <w:pPr>
        <w:pStyle w:val="NumberedParaAR"/>
      </w:pPr>
      <w:r>
        <w:rPr>
          <w:rFonts w:hint="cs"/>
          <w:rtl/>
        </w:rPr>
        <w:t>تنص القاعدة</w:t>
      </w:r>
      <w:r w:rsidR="00AB4C54">
        <w:rPr>
          <w:rFonts w:hint="eastAsia"/>
          <w:rtl/>
        </w:rPr>
        <w:t> </w:t>
      </w:r>
      <w:r>
        <w:rPr>
          <w:rFonts w:hint="cs"/>
          <w:rtl/>
        </w:rPr>
        <w:t xml:space="preserve">8 من اللائحة التنفيذية </w:t>
      </w:r>
      <w:r w:rsidR="00AB4C54">
        <w:rPr>
          <w:rFonts w:hint="cs"/>
          <w:rtl/>
        </w:rPr>
        <w:t>ل</w:t>
      </w:r>
      <w:r>
        <w:rPr>
          <w:rFonts w:hint="cs"/>
          <w:rtl/>
        </w:rPr>
        <w:t xml:space="preserve">لمعاهدة على ما يلي فيما يخص </w:t>
      </w:r>
      <w:r w:rsidR="00BA6280">
        <w:rPr>
          <w:rFonts w:hint="cs"/>
          <w:rtl/>
        </w:rPr>
        <w:t>محتويات</w:t>
      </w:r>
      <w:r>
        <w:rPr>
          <w:rFonts w:hint="cs"/>
          <w:rtl/>
        </w:rPr>
        <w:t xml:space="preserve"> الملخص والرسم المرافق للملخص وطوله</w:t>
      </w:r>
      <w:r w:rsidR="00BA6280">
        <w:rPr>
          <w:rFonts w:hint="cs"/>
          <w:rtl/>
        </w:rPr>
        <w:t>م</w:t>
      </w:r>
      <w:r>
        <w:rPr>
          <w:rFonts w:hint="cs"/>
          <w:rtl/>
        </w:rPr>
        <w:t>ا والغرض منهما:</w:t>
      </w:r>
    </w:p>
    <w:p w:rsidR="00BA6280" w:rsidRPr="00BA6280" w:rsidRDefault="00BA6280" w:rsidP="00BA6280">
      <w:pPr>
        <w:pStyle w:val="NormalParaAR"/>
        <w:keepNext/>
        <w:spacing w:after="0"/>
        <w:jc w:val="center"/>
        <w:rPr>
          <w:b/>
          <w:bCs/>
          <w:rtl/>
        </w:rPr>
      </w:pPr>
      <w:r w:rsidRPr="00BA6280">
        <w:rPr>
          <w:b/>
          <w:bCs/>
          <w:rtl/>
        </w:rPr>
        <w:t>القاعدة 8</w:t>
      </w:r>
    </w:p>
    <w:p w:rsidR="00BA6280" w:rsidRPr="00BA6280" w:rsidRDefault="00BA6280" w:rsidP="00BA6280">
      <w:pPr>
        <w:pStyle w:val="NormalParaAR"/>
        <w:keepNext/>
        <w:jc w:val="center"/>
        <w:rPr>
          <w:b/>
          <w:bCs/>
          <w:rtl/>
        </w:rPr>
      </w:pPr>
      <w:r w:rsidRPr="00BA6280">
        <w:rPr>
          <w:b/>
          <w:bCs/>
          <w:rtl/>
        </w:rPr>
        <w:t>الملخص</w:t>
      </w:r>
    </w:p>
    <w:p w:rsidR="00BA6280" w:rsidRDefault="008754F3" w:rsidP="00BA6280">
      <w:pPr>
        <w:pStyle w:val="NormalParaAR"/>
        <w:ind w:left="566"/>
        <w:rPr>
          <w:rtl/>
        </w:rPr>
      </w:pPr>
      <w:r>
        <w:rPr>
          <w:rFonts w:hint="cs"/>
          <w:rtl/>
        </w:rPr>
        <w:t>1.8</w:t>
      </w:r>
      <w:r w:rsidR="00BA6280">
        <w:rPr>
          <w:rFonts w:hint="cs"/>
          <w:rtl/>
        </w:rPr>
        <w:t xml:space="preserve">   </w:t>
      </w:r>
      <w:r w:rsidR="00BA6280" w:rsidRPr="00BA6280">
        <w:rPr>
          <w:i/>
          <w:iCs/>
          <w:rtl/>
        </w:rPr>
        <w:t>محتويات الملخص وشكله</w:t>
      </w:r>
    </w:p>
    <w:p w:rsidR="00BA6280" w:rsidRDefault="00BA6280" w:rsidP="00BA6280">
      <w:pPr>
        <w:pStyle w:val="NormalParaAR"/>
        <w:ind w:left="566"/>
        <w:rPr>
          <w:rtl/>
        </w:rPr>
      </w:pPr>
      <w:r>
        <w:rPr>
          <w:rtl/>
        </w:rPr>
        <w:t>(أ)</w:t>
      </w:r>
      <w:r>
        <w:rPr>
          <w:rFonts w:hint="cs"/>
          <w:rtl/>
        </w:rPr>
        <w:t xml:space="preserve">  </w:t>
      </w:r>
      <w:r>
        <w:rPr>
          <w:rtl/>
        </w:rPr>
        <w:t>يجب أن يشتمل الملخص على ما يأتي:</w:t>
      </w:r>
    </w:p>
    <w:p w:rsidR="00BA6280" w:rsidRDefault="00BA6280" w:rsidP="00BA6280">
      <w:pPr>
        <w:pStyle w:val="NormalParaAR"/>
        <w:ind w:left="850"/>
        <w:rPr>
          <w:rtl/>
        </w:rPr>
      </w:pPr>
      <w:r>
        <w:rPr>
          <w:rtl/>
        </w:rPr>
        <w:t>"1"</w:t>
      </w:r>
      <w:r>
        <w:rPr>
          <w:rtl/>
        </w:rPr>
        <w:tab/>
        <w:t>موجز ما هو مكشوف عنه في الوصف ومطالب الحماية وأية رسوم. ويجب أن يبيَّن في الموجز المجال التقني الذي ينتمي إليه الاختراع، كما يجب تحريره بشكل يسمح بتكوين فكرة واضحة عن المشكلة التقنية، وجوهر حل هذه المشكلة بوساطة الاختراع والاستعمال الرئيسي أو الاستعمالات الرئيسية للاختراع؛</w:t>
      </w:r>
    </w:p>
    <w:p w:rsidR="00BA6280" w:rsidRDefault="00BA6280" w:rsidP="00BA6280">
      <w:pPr>
        <w:pStyle w:val="NormalParaAR"/>
        <w:ind w:left="850"/>
        <w:rPr>
          <w:rtl/>
        </w:rPr>
      </w:pPr>
      <w:r>
        <w:rPr>
          <w:rtl/>
        </w:rPr>
        <w:t>"2"</w:t>
      </w:r>
      <w:r>
        <w:rPr>
          <w:rtl/>
        </w:rPr>
        <w:tab/>
        <w:t>عند الاقتضاء، الصيغة الكيميائية التي تميز الاختراع على أفضل وجه بالمقارنة بكل الصيغ الأخرى الواردة في الطلب الدولي.</w:t>
      </w:r>
    </w:p>
    <w:p w:rsidR="00BA6280" w:rsidRDefault="00BA6280" w:rsidP="00BA6280">
      <w:pPr>
        <w:pStyle w:val="NormalParaAR"/>
        <w:ind w:left="566"/>
        <w:rPr>
          <w:rtl/>
        </w:rPr>
      </w:pPr>
      <w:r>
        <w:rPr>
          <w:rtl/>
        </w:rPr>
        <w:t>(ب)</w:t>
      </w:r>
      <w:r>
        <w:rPr>
          <w:rFonts w:hint="cs"/>
          <w:rtl/>
        </w:rPr>
        <w:t xml:space="preserve">  </w:t>
      </w:r>
      <w:r>
        <w:rPr>
          <w:rtl/>
        </w:rPr>
        <w:t>يجب أن يكون الملخص مقتضبا بقدر ما يسمح به الكشف (ويستحسن أن يتراوح بين خمسين ومائة وخمسين كلمة إذا حرر بالإنكليزية أو ترجم إلى هذه اللغة).</w:t>
      </w:r>
    </w:p>
    <w:p w:rsidR="00BA6280" w:rsidRDefault="00BA6280" w:rsidP="00BA6280">
      <w:pPr>
        <w:pStyle w:val="NormalParaAR"/>
        <w:ind w:left="566"/>
        <w:rPr>
          <w:rtl/>
        </w:rPr>
      </w:pPr>
      <w:r>
        <w:rPr>
          <w:rtl/>
        </w:rPr>
        <w:t>(ج)</w:t>
      </w:r>
      <w:r>
        <w:rPr>
          <w:rFonts w:hint="cs"/>
          <w:rtl/>
        </w:rPr>
        <w:t xml:space="preserve">  </w:t>
      </w:r>
      <w:r>
        <w:rPr>
          <w:rtl/>
        </w:rPr>
        <w:t>يجب ألا يتضمن الملخص أي إعلان بشأن المزايا أو القيمة المزعومة للاختراع المطلوب حمايته، أو بشأن تطبيقاته المتوقعة.</w:t>
      </w:r>
    </w:p>
    <w:p w:rsidR="00BA6280" w:rsidRDefault="00BA6280" w:rsidP="00BA6280">
      <w:pPr>
        <w:pStyle w:val="NormalParaAR"/>
        <w:ind w:left="566"/>
        <w:rPr>
          <w:rtl/>
        </w:rPr>
      </w:pPr>
      <w:r>
        <w:rPr>
          <w:rtl/>
        </w:rPr>
        <w:t>(د)</w:t>
      </w:r>
      <w:r>
        <w:rPr>
          <w:rFonts w:hint="cs"/>
          <w:rtl/>
        </w:rPr>
        <w:t xml:space="preserve">  </w:t>
      </w:r>
      <w:r>
        <w:rPr>
          <w:rtl/>
        </w:rPr>
        <w:t>كل خاصية من الخصائص التقنية الرئيسية المذكورة في الملخص والموضحة برسم في الطلب الدولي، يجب أن تتبع بإشارة مرجعية موضوعة بين قوسين.</w:t>
      </w:r>
    </w:p>
    <w:p w:rsidR="00BA6280" w:rsidRPr="00837A96" w:rsidRDefault="008754F3" w:rsidP="00BA6280">
      <w:pPr>
        <w:pStyle w:val="NormalParaAR"/>
        <w:ind w:left="566"/>
        <w:rPr>
          <w:rtl/>
        </w:rPr>
      </w:pPr>
      <w:r>
        <w:rPr>
          <w:rFonts w:hint="cs"/>
          <w:rtl/>
        </w:rPr>
        <w:t>2.8</w:t>
      </w:r>
      <w:r w:rsidR="00BA6280" w:rsidRPr="00837A96">
        <w:rPr>
          <w:rFonts w:hint="cs"/>
          <w:rtl/>
        </w:rPr>
        <w:t xml:space="preserve">   </w:t>
      </w:r>
      <w:r w:rsidR="00BA6280" w:rsidRPr="00837A96">
        <w:rPr>
          <w:i/>
          <w:iCs/>
          <w:rtl/>
        </w:rPr>
        <w:t>الصورة</w:t>
      </w:r>
    </w:p>
    <w:p w:rsidR="00BA6280" w:rsidRDefault="00BA6280" w:rsidP="00BA6280">
      <w:pPr>
        <w:pStyle w:val="NormalParaAR"/>
        <w:ind w:left="566"/>
        <w:rPr>
          <w:rtl/>
        </w:rPr>
      </w:pPr>
      <w:r>
        <w:rPr>
          <w:rtl/>
        </w:rPr>
        <w:t>(أ)</w:t>
      </w:r>
      <w:r>
        <w:rPr>
          <w:rFonts w:hint="cs"/>
          <w:rtl/>
        </w:rPr>
        <w:t xml:space="preserve">  </w:t>
      </w:r>
      <w:r>
        <w:rPr>
          <w:rtl/>
        </w:rPr>
        <w:t>إذا لم يقدم مودع الطلب البيان المشار إليه في القاعدة 3.3(أ)"3"، أو إذا رأت إدارة البحث الدولي أن أية صورة أو صور خلاف تلك التي يقترحها مودع الطلب قد تسمح بتمييز الاختراع على وجه أفضل بالمقارنة بكل صور الرسوم، وجب على الإدارة المذكورة أن تبين الصورة أو الصور التي يجب أن تصحب الملخص عندما ينشره المكتب الدولي، مع مراعاة الفقرة (ب). وفي هذه الحالة، يصحب الملخص بالصورة أو بالصور التي تحددها إدارة البحث الدولي، وإلا صحب الملخص بالصورة أو بالصور التي اقترحها مودع الطلب، مع مراعاة الفقرة (ب).</w:t>
      </w:r>
    </w:p>
    <w:p w:rsidR="00BA6280" w:rsidRDefault="00BA6280" w:rsidP="00BA6280">
      <w:pPr>
        <w:pStyle w:val="NormalParaAR"/>
        <w:ind w:left="566"/>
        <w:rPr>
          <w:rtl/>
        </w:rPr>
      </w:pPr>
      <w:r>
        <w:rPr>
          <w:rtl/>
        </w:rPr>
        <w:t>(ب)</w:t>
      </w:r>
      <w:r>
        <w:rPr>
          <w:rFonts w:hint="cs"/>
          <w:rtl/>
        </w:rPr>
        <w:t xml:space="preserve">  </w:t>
      </w:r>
      <w:r>
        <w:rPr>
          <w:rtl/>
        </w:rPr>
        <w:t>إذا رأت إدارة البحث الدولي أن صور الرسوم لا تفيد في فهم الملخص، وجب عليها أن تبلغ ذلك للمكتب الدولي. وفي هذه الحالة، لا يصحب الملخص عندما ينشره المكتب الدولي بأية صورة للرسوم، حتى إذا قدم مودع الطلب اقتراحا بناء على القاعدة 3.3(أ)"3".</w:t>
      </w:r>
    </w:p>
    <w:p w:rsidR="00BA6280" w:rsidRPr="00837A96" w:rsidRDefault="008754F3" w:rsidP="00BA6280">
      <w:pPr>
        <w:pStyle w:val="NormalParaAR"/>
        <w:ind w:left="566"/>
        <w:rPr>
          <w:rtl/>
        </w:rPr>
      </w:pPr>
      <w:r>
        <w:rPr>
          <w:rFonts w:hint="cs"/>
          <w:rtl/>
        </w:rPr>
        <w:t>3.8</w:t>
      </w:r>
      <w:r w:rsidR="00BA6280" w:rsidRPr="00837A96">
        <w:rPr>
          <w:rFonts w:hint="cs"/>
          <w:rtl/>
        </w:rPr>
        <w:t xml:space="preserve">   </w:t>
      </w:r>
      <w:r w:rsidR="00BA6280" w:rsidRPr="00837A96">
        <w:rPr>
          <w:i/>
          <w:iCs/>
          <w:rtl/>
        </w:rPr>
        <w:t>المبادئ الواجب الاسترشاد بها لتحرير الملخص</w:t>
      </w:r>
    </w:p>
    <w:p w:rsidR="00E46A69" w:rsidRDefault="00BA6280" w:rsidP="003B1200">
      <w:pPr>
        <w:pStyle w:val="NormalParaAR"/>
        <w:ind w:left="566"/>
        <w:rPr>
          <w:rtl/>
        </w:rPr>
      </w:pPr>
      <w:r>
        <w:rPr>
          <w:rtl/>
        </w:rPr>
        <w:t>يجب تحرير الملخص بشكل يسمح باستعماله على نحو فعال كأداة مسح لأغراض البحث في أي مجال تقني محدد، ولا</w:t>
      </w:r>
      <w:r w:rsidR="003B1200">
        <w:rPr>
          <w:rFonts w:hint="cs"/>
          <w:rtl/>
        </w:rPr>
        <w:t> </w:t>
      </w:r>
      <w:r>
        <w:rPr>
          <w:rtl/>
        </w:rPr>
        <w:t>سيما لمساعدة رجال العلم أو الهندسة أو البحث في معرفة ما إذا كان من الضروري الاطلاع على الطلب الدولي بالذات.</w:t>
      </w:r>
    </w:p>
    <w:p w:rsidR="00BA6280" w:rsidRDefault="00837A96" w:rsidP="00AB4C54">
      <w:pPr>
        <w:pStyle w:val="NumberedParaAR"/>
      </w:pPr>
      <w:r>
        <w:rPr>
          <w:rFonts w:hint="cs"/>
          <w:rtl/>
        </w:rPr>
        <w:t>وعلاوة على ذلك، تنص القاعدة</w:t>
      </w:r>
      <w:r w:rsidR="00AB4C54">
        <w:rPr>
          <w:rFonts w:hint="eastAsia"/>
          <w:rtl/>
        </w:rPr>
        <w:t> </w:t>
      </w:r>
      <w:r>
        <w:rPr>
          <w:rFonts w:hint="cs"/>
          <w:rtl/>
        </w:rPr>
        <w:t>11.11 من اللائحة التنفيذية ل</w:t>
      </w:r>
      <w:r w:rsidR="00AB4C54">
        <w:rPr>
          <w:rFonts w:hint="cs"/>
          <w:rtl/>
        </w:rPr>
        <w:t>ل</w:t>
      </w:r>
      <w:r>
        <w:rPr>
          <w:rFonts w:hint="cs"/>
          <w:rtl/>
        </w:rPr>
        <w:t>معاهدة على ما يلي:</w:t>
      </w:r>
    </w:p>
    <w:p w:rsidR="00837A96" w:rsidRDefault="00837A96" w:rsidP="00837A96">
      <w:pPr>
        <w:pStyle w:val="NormalParaAR"/>
        <w:rPr>
          <w:rtl/>
        </w:rPr>
      </w:pPr>
      <w:r>
        <w:rPr>
          <w:rFonts w:hint="cs"/>
          <w:rtl/>
        </w:rPr>
        <w:t xml:space="preserve">11.11   </w:t>
      </w:r>
      <w:r w:rsidRPr="00837A96">
        <w:rPr>
          <w:i/>
          <w:iCs/>
          <w:rtl/>
        </w:rPr>
        <w:t>الكلمات الواردة في الرسوم</w:t>
      </w:r>
    </w:p>
    <w:p w:rsidR="00837A96" w:rsidRDefault="00837A96" w:rsidP="00837A96">
      <w:pPr>
        <w:pStyle w:val="NormalParaAR"/>
        <w:ind w:left="566"/>
        <w:rPr>
          <w:rtl/>
        </w:rPr>
      </w:pPr>
      <w:r>
        <w:rPr>
          <w:rtl/>
        </w:rPr>
        <w:t>(أ)</w:t>
      </w:r>
      <w:r>
        <w:rPr>
          <w:rFonts w:hint="cs"/>
          <w:rtl/>
        </w:rPr>
        <w:t xml:space="preserve">  </w:t>
      </w:r>
      <w:r>
        <w:rPr>
          <w:rtl/>
        </w:rPr>
        <w:t xml:space="preserve">يجب ألا تشتمل الرسوم على أية نصوص، باستثناء كلمة واحدة أو بضع كلمات إذا تطلبت الضرورة القصوى ذلك، مثل "ماء" أو "بخار" أو "مفتوح" أو "مغلق" أو "مقطع حسب </w:t>
      </w:r>
      <w:r>
        <w:t>AB</w:t>
      </w:r>
      <w:r>
        <w:rPr>
          <w:rtl/>
        </w:rPr>
        <w:t>"، وعدد قليل من الكلمات الأساسية الضرورية لفهم الرسوم التخطيطية للدورات الكهربائية أو للمنشآت أو لسير العمل.</w:t>
      </w:r>
    </w:p>
    <w:p w:rsidR="00837A96" w:rsidRDefault="00837A96" w:rsidP="00837A96">
      <w:pPr>
        <w:pStyle w:val="NormalParaAR"/>
        <w:ind w:left="566"/>
        <w:rPr>
          <w:rtl/>
        </w:rPr>
      </w:pPr>
      <w:r>
        <w:rPr>
          <w:rtl/>
        </w:rPr>
        <w:t>(ب)</w:t>
      </w:r>
      <w:r>
        <w:rPr>
          <w:rFonts w:hint="cs"/>
          <w:rtl/>
        </w:rPr>
        <w:t xml:space="preserve">  </w:t>
      </w:r>
      <w:r>
        <w:rPr>
          <w:rtl/>
        </w:rPr>
        <w:t>يجب بيان كل كلمة مستعملة بحيث يمكن لصق ترجمتها عليها دون إخفاء أي خط من الرسوم.</w:t>
      </w:r>
    </w:p>
    <w:p w:rsidR="00837A96" w:rsidRDefault="00837A96">
      <w:pPr>
        <w:rPr>
          <w:rFonts w:ascii="Arabic Typesetting" w:hAnsi="Arabic Typesetting" w:cs="Arabic Typesetting"/>
          <w:sz w:val="36"/>
          <w:szCs w:val="36"/>
          <w:rtl/>
        </w:rPr>
      </w:pPr>
      <w:r>
        <w:rPr>
          <w:rtl/>
        </w:rPr>
        <w:br w:type="page"/>
      </w:r>
    </w:p>
    <w:p w:rsidR="00837A96" w:rsidRPr="00837A96" w:rsidRDefault="00837A96" w:rsidP="00837A96">
      <w:pPr>
        <w:pStyle w:val="NormalParaAR"/>
        <w:keepNext/>
        <w:rPr>
          <w:b/>
          <w:bCs/>
          <w:sz w:val="40"/>
          <w:szCs w:val="40"/>
          <w:rtl/>
        </w:rPr>
      </w:pPr>
      <w:r w:rsidRPr="00837A96">
        <w:rPr>
          <w:rFonts w:hint="cs"/>
          <w:b/>
          <w:bCs/>
          <w:sz w:val="40"/>
          <w:szCs w:val="40"/>
          <w:rtl/>
        </w:rPr>
        <w:t>القضايا المطروحة</w:t>
      </w:r>
    </w:p>
    <w:p w:rsidR="00837A96" w:rsidRDefault="003A4858" w:rsidP="00AB4C54">
      <w:pPr>
        <w:pStyle w:val="NumberedParaAR"/>
      </w:pPr>
      <w:r>
        <w:rPr>
          <w:rFonts w:hint="cs"/>
          <w:rtl/>
        </w:rPr>
        <w:t xml:space="preserve">تسفر ترجمة الملخصات </w:t>
      </w:r>
      <w:r w:rsidR="00AB4C54">
        <w:rPr>
          <w:rFonts w:hint="cs"/>
          <w:rtl/>
        </w:rPr>
        <w:t>الطويلة</w:t>
      </w:r>
      <w:r>
        <w:rPr>
          <w:rFonts w:hint="cs"/>
          <w:rtl/>
        </w:rPr>
        <w:t xml:space="preserve"> والعدد الكبير من الكلمات الواردة في الرسم المرافق </w:t>
      </w:r>
      <w:r w:rsidR="003B1200">
        <w:rPr>
          <w:rFonts w:hint="cs"/>
          <w:rtl/>
        </w:rPr>
        <w:t xml:space="preserve">للملخص </w:t>
      </w:r>
      <w:r w:rsidR="00517ECD">
        <w:rPr>
          <w:rFonts w:hint="cs"/>
          <w:rtl/>
        </w:rPr>
        <w:t>عن تكبّد المكتب الدولي لتكاليف باهظة تتجاوز ما كان متوقّعا عند وضع ترتيبات الترجمة. ولا يُفترض أن تُستوعب تلك التكاليف كجزء من رسم الإيداع الدولي إلا عندما تكون تلك الترجمات مفيدة بالفعل وتجلب قيمة مضافة. وإذا لم تكن بتلك الصفة فينبغي اتخاذ خطوات للتحكّم في التكاليف أو ضمان أن تتحقق فعلا المنافع المنشودة من إعداد الترجمات.</w:t>
      </w:r>
    </w:p>
    <w:p w:rsidR="00517ECD" w:rsidRDefault="00517ECD" w:rsidP="001A2513">
      <w:pPr>
        <w:pStyle w:val="NumberedParaAR"/>
      </w:pPr>
      <w:r>
        <w:rPr>
          <w:rFonts w:hint="cs"/>
          <w:rtl/>
        </w:rPr>
        <w:t>ويُلاحظ أيضا حجم ترجمة إضافي في حال إعادة العمل، وذلك يحدث في الحالات التي تُجرى فيها ترجمة الملخص الأصلي والرسم المرافق قبل استلام تقرير البحث الدولي من أجل التقيّد بالمهل المحدّدة للنشر، وتقوم فيها إدارة البحث الدو</w:t>
      </w:r>
      <w:r w:rsidR="001A2513">
        <w:rPr>
          <w:rFonts w:hint="cs"/>
          <w:rtl/>
        </w:rPr>
        <w:t>ل</w:t>
      </w:r>
      <w:r>
        <w:rPr>
          <w:rFonts w:hint="cs"/>
          <w:rtl/>
        </w:rPr>
        <w:t xml:space="preserve">ي بتعديل الملخص أو تغيير الرسم المرافق. ويجب </w:t>
      </w:r>
      <w:r w:rsidR="00980CF3">
        <w:rPr>
          <w:rFonts w:hint="cs"/>
          <w:rtl/>
        </w:rPr>
        <w:t>اعتبار ذلك سببا آخر يبرّر لزوم إعداد تقرير البحث الدولي في الوقت المحدّد.</w:t>
      </w:r>
    </w:p>
    <w:p w:rsidR="00980CF3" w:rsidRDefault="003A24E5" w:rsidP="001A2513">
      <w:pPr>
        <w:pStyle w:val="NumberedParaAR"/>
      </w:pPr>
      <w:r>
        <w:rPr>
          <w:rFonts w:hint="cs"/>
          <w:rtl/>
        </w:rPr>
        <w:t>ولا يمثّل طول الملخص المشار إليه في القاعدة</w:t>
      </w:r>
      <w:r>
        <w:rPr>
          <w:rFonts w:hint="eastAsia"/>
          <w:rtl/>
        </w:rPr>
        <w:t> </w:t>
      </w:r>
      <w:r>
        <w:rPr>
          <w:rFonts w:hint="cs"/>
          <w:rtl/>
        </w:rPr>
        <w:t xml:space="preserve">1.8(ب) سوى توصية تشمل توقعات حالة "نمطية". </w:t>
      </w:r>
      <w:r w:rsidR="008754F3">
        <w:rPr>
          <w:rFonts w:hint="cs"/>
          <w:rtl/>
        </w:rPr>
        <w:t>ومن المسل</w:t>
      </w:r>
      <w:r w:rsidR="001A2513">
        <w:rPr>
          <w:rFonts w:hint="cs"/>
          <w:rtl/>
        </w:rPr>
        <w:t>ّ</w:t>
      </w:r>
      <w:r w:rsidR="008754F3">
        <w:rPr>
          <w:rFonts w:hint="cs"/>
          <w:rtl/>
        </w:rPr>
        <w:t>م</w:t>
      </w:r>
      <w:r w:rsidR="001A2513">
        <w:rPr>
          <w:rFonts w:hint="cs"/>
          <w:rtl/>
        </w:rPr>
        <w:t xml:space="preserve"> به</w:t>
      </w:r>
      <w:r w:rsidR="008754F3">
        <w:rPr>
          <w:rFonts w:hint="cs"/>
          <w:rtl/>
        </w:rPr>
        <w:t>، علاوة على ذلك، أن القاعدة</w:t>
      </w:r>
      <w:r w:rsidR="001A2513">
        <w:rPr>
          <w:rFonts w:hint="eastAsia"/>
          <w:rtl/>
        </w:rPr>
        <w:t> </w:t>
      </w:r>
      <w:r w:rsidR="008754F3">
        <w:rPr>
          <w:rFonts w:hint="cs"/>
          <w:rtl/>
        </w:rPr>
        <w:t xml:space="preserve">11.11 صيغت كي تتناول بعض الاختراعات، مثل الأجهزة الكهربائية والدورات الكهربائية، </w:t>
      </w:r>
      <w:r w:rsidR="001A2513">
        <w:rPr>
          <w:rFonts w:hint="cs"/>
          <w:rtl/>
        </w:rPr>
        <w:t xml:space="preserve">وأن الاختراعات تُشرح على </w:t>
      </w:r>
      <w:r w:rsidR="008754F3">
        <w:rPr>
          <w:rFonts w:hint="cs"/>
          <w:rtl/>
        </w:rPr>
        <w:t>نحو أفضل في بعض الأحيان بوسائط من قبيل المخططات الانسيابية. غير أن تجاوز أحجام النصوص بقدر كبير وفي غالب الأحيان المعايير المرتقبة يوحي بأن الملخص (والرسوم المرافقة) قد لا تستوفي الغرض المحدّد في القاعدة</w:t>
      </w:r>
      <w:r w:rsidR="001A2513">
        <w:rPr>
          <w:rFonts w:hint="eastAsia"/>
          <w:rtl/>
        </w:rPr>
        <w:t> </w:t>
      </w:r>
      <w:r w:rsidR="008754F3">
        <w:rPr>
          <w:rFonts w:hint="cs"/>
          <w:rtl/>
        </w:rPr>
        <w:t>3.8 أعلاه، أي "</w:t>
      </w:r>
      <w:r w:rsidR="008754F3" w:rsidRPr="008754F3">
        <w:rPr>
          <w:rFonts w:ascii="Arial" w:hAnsi="Arial"/>
          <w:sz w:val="22"/>
          <w:szCs w:val="20"/>
          <w:rtl/>
        </w:rPr>
        <w:t xml:space="preserve"> </w:t>
      </w:r>
      <w:r w:rsidR="008754F3" w:rsidRPr="008754F3">
        <w:rPr>
          <w:rtl/>
        </w:rPr>
        <w:t>بشكل يسمح باستعماله على نحو فعال كأداة مسح لأغراض البحث</w:t>
      </w:r>
      <w:r w:rsidR="008754F3">
        <w:rPr>
          <w:rFonts w:hint="cs"/>
          <w:rtl/>
        </w:rPr>
        <w:t>...".</w:t>
      </w:r>
    </w:p>
    <w:p w:rsidR="008754F3" w:rsidRDefault="008754F3" w:rsidP="00DB69B5">
      <w:pPr>
        <w:pStyle w:val="NumberedParaAR"/>
      </w:pPr>
      <w:r>
        <w:rPr>
          <w:rFonts w:hint="cs"/>
          <w:rtl/>
        </w:rPr>
        <w:t>وفيما يخص الملخصات في حد</w:t>
      </w:r>
      <w:r w:rsidR="00DB69B5">
        <w:rPr>
          <w:rFonts w:hint="cs"/>
          <w:rtl/>
        </w:rPr>
        <w:t xml:space="preserve"> ذاتها، فإن الكشف المقتضب للغاية قد يؤدي إلى عدم تمكّن القارئ من تحديد طبيعة الاختراع. بينما قد يخفي الكشف المطوّل بشكل مفرط المعلومات المهمة مما يزيل فعاليته كأداة مسح.</w:t>
      </w:r>
    </w:p>
    <w:p w:rsidR="00DB69B5" w:rsidRDefault="008D49F2" w:rsidP="001A2513">
      <w:pPr>
        <w:pStyle w:val="NumberedParaAR"/>
      </w:pPr>
      <w:r>
        <w:rPr>
          <w:rFonts w:hint="cs"/>
          <w:rtl/>
        </w:rPr>
        <w:t>وعلى الرغم من نص القاعدة</w:t>
      </w:r>
      <w:r w:rsidR="001A2513">
        <w:rPr>
          <w:rFonts w:hint="eastAsia"/>
          <w:rtl/>
        </w:rPr>
        <w:t> </w:t>
      </w:r>
      <w:r>
        <w:rPr>
          <w:rFonts w:hint="cs"/>
          <w:rtl/>
        </w:rPr>
        <w:t>11.11 على أنه "</w:t>
      </w:r>
      <w:r w:rsidRPr="008D49F2">
        <w:rPr>
          <w:rFonts w:ascii="Arial" w:hAnsi="Arial"/>
          <w:sz w:val="22"/>
          <w:szCs w:val="20"/>
          <w:rtl/>
        </w:rPr>
        <w:t xml:space="preserve"> </w:t>
      </w:r>
      <w:r w:rsidRPr="008D49F2">
        <w:rPr>
          <w:rtl/>
        </w:rPr>
        <w:t xml:space="preserve">يجب بيان كل كلمة مستعملة </w:t>
      </w:r>
      <w:r>
        <w:rPr>
          <w:rFonts w:hint="cs"/>
          <w:rtl/>
        </w:rPr>
        <w:t xml:space="preserve">[في الرسوم] </w:t>
      </w:r>
      <w:r w:rsidRPr="008D49F2">
        <w:rPr>
          <w:rtl/>
        </w:rPr>
        <w:t>بحيث يمكن لصق ترجمتها عليها دون إخفاء أي خط من الرسوم.</w:t>
      </w:r>
      <w:r w:rsidR="00B17815">
        <w:rPr>
          <w:rFonts w:hint="cs"/>
          <w:rtl/>
        </w:rPr>
        <w:t xml:space="preserve">"، فإن ذلك الأسلوب لم يعد مستخدما في الواقع إلا في حالات نادرة في نظام </w:t>
      </w:r>
      <w:r w:rsidR="001A2513">
        <w:rPr>
          <w:rFonts w:hint="cs"/>
          <w:rtl/>
        </w:rPr>
        <w:t>ال</w:t>
      </w:r>
      <w:r w:rsidR="00B17815">
        <w:rPr>
          <w:rFonts w:hint="cs"/>
          <w:rtl/>
        </w:rPr>
        <w:t>معاهدة. وتُوف</w:t>
      </w:r>
      <w:r w:rsidR="001A2513">
        <w:rPr>
          <w:rFonts w:hint="cs"/>
          <w:rtl/>
        </w:rPr>
        <w:t>َ</w:t>
      </w:r>
      <w:r w:rsidR="00B17815">
        <w:rPr>
          <w:rFonts w:hint="cs"/>
          <w:rtl/>
        </w:rPr>
        <w:t>ر، بدلا من ذلك، حروف مرجعية أو أرقام مرجعية مقابل الكلمات الأصلية وتوضع النصوص المترجمة بج</w:t>
      </w:r>
      <w:r w:rsidR="00E527C7">
        <w:rPr>
          <w:rFonts w:hint="cs"/>
          <w:rtl/>
        </w:rPr>
        <w:t>ا</w:t>
      </w:r>
      <w:r w:rsidR="00B17815">
        <w:rPr>
          <w:rFonts w:hint="cs"/>
          <w:rtl/>
        </w:rPr>
        <w:t>نب النص الأصلي. وفي حين قد يسمح الرسم المشتمل على كمية نص كبيرة "</w:t>
      </w:r>
      <w:r w:rsidR="00B17815" w:rsidRPr="00B17815">
        <w:rPr>
          <w:rtl/>
        </w:rPr>
        <w:t xml:space="preserve"> </w:t>
      </w:r>
      <w:r w:rsidR="00B17815">
        <w:rPr>
          <w:rtl/>
        </w:rPr>
        <w:t>بتمييز الاختراع</w:t>
      </w:r>
      <w:r w:rsidR="00B17815">
        <w:rPr>
          <w:rFonts w:hint="cs"/>
          <w:rtl/>
        </w:rPr>
        <w:t>"، فإن من غير المحتمل أن "</w:t>
      </w:r>
      <w:r w:rsidR="00B17815" w:rsidRPr="00B17815">
        <w:rPr>
          <w:rFonts w:ascii="Arial" w:hAnsi="Arial"/>
          <w:sz w:val="22"/>
          <w:szCs w:val="20"/>
          <w:rtl/>
        </w:rPr>
        <w:t xml:space="preserve"> </w:t>
      </w:r>
      <w:r w:rsidR="00B17815">
        <w:rPr>
          <w:rFonts w:hint="cs"/>
          <w:rtl/>
        </w:rPr>
        <w:t>ي</w:t>
      </w:r>
      <w:r w:rsidR="00B17815" w:rsidRPr="00B17815">
        <w:rPr>
          <w:rtl/>
        </w:rPr>
        <w:t>فيد في فهم الملخص</w:t>
      </w:r>
      <w:r w:rsidR="00B17815">
        <w:rPr>
          <w:rFonts w:hint="cs"/>
          <w:rtl/>
        </w:rPr>
        <w:t>" لأنه إن خُفّض إلى حجم بحيث يتناسب مع صفحة الغلاف وأرفِق بنص يوضع بج</w:t>
      </w:r>
      <w:r w:rsidR="00E527C7">
        <w:rPr>
          <w:rFonts w:hint="cs"/>
          <w:rtl/>
        </w:rPr>
        <w:t>ا</w:t>
      </w:r>
      <w:r w:rsidR="00B17815">
        <w:rPr>
          <w:rFonts w:hint="cs"/>
          <w:rtl/>
        </w:rPr>
        <w:t>نبه</w:t>
      </w:r>
      <w:r w:rsidR="009653D3">
        <w:rPr>
          <w:rFonts w:hint="cs"/>
          <w:rtl/>
        </w:rPr>
        <w:t xml:space="preserve"> ولا يخضع لأي تهيئة، ستتراجع بكثير قيمة المخطط الانسيابي أو أي رسم آخر ينطوي على كلمات باعتباره وسيلة كشف فعالة.</w:t>
      </w:r>
    </w:p>
    <w:p w:rsidR="009653D3" w:rsidRDefault="009653D3" w:rsidP="001A2513">
      <w:pPr>
        <w:pStyle w:val="NumberedParaAR"/>
      </w:pPr>
      <w:r>
        <w:rPr>
          <w:rFonts w:hint="cs"/>
          <w:rtl/>
        </w:rPr>
        <w:t xml:space="preserve">ومن القضايا الأعم التي تتجاوز مجرّد الرسم المرافق للملخص ما يشير إلى وجود عدد متزايد من الطلبات حيث </w:t>
      </w:r>
      <w:r w:rsidR="006751A5">
        <w:rPr>
          <w:rFonts w:hint="cs"/>
          <w:rtl/>
        </w:rPr>
        <w:t>تشتمل</w:t>
      </w:r>
      <w:r>
        <w:rPr>
          <w:rFonts w:hint="cs"/>
          <w:rtl/>
        </w:rPr>
        <w:t xml:space="preserve"> الرسوم </w:t>
      </w:r>
      <w:r w:rsidR="006751A5">
        <w:rPr>
          <w:rFonts w:hint="cs"/>
          <w:rtl/>
        </w:rPr>
        <w:t xml:space="preserve">الوحيدة التي </w:t>
      </w:r>
      <w:r>
        <w:rPr>
          <w:rFonts w:hint="cs"/>
          <w:rtl/>
        </w:rPr>
        <w:t>يمكن اعتبار أنها تمي</w:t>
      </w:r>
      <w:r w:rsidR="006751A5">
        <w:rPr>
          <w:rFonts w:hint="cs"/>
          <w:rtl/>
        </w:rPr>
        <w:t xml:space="preserve">ّز الاختراع على كميات نص كبيرة. وإذا ارتأى المودعون لزوم صياغة طلبات من هذا القبيل، على الرغم من احتمال أن يُطالبوا في بعض الدول بتصحيح هذا </w:t>
      </w:r>
      <w:r w:rsidR="00C576E5">
        <w:rPr>
          <w:rFonts w:hint="cs"/>
          <w:rtl/>
        </w:rPr>
        <w:t>العيب</w:t>
      </w:r>
      <w:r w:rsidR="006751A5">
        <w:rPr>
          <w:rFonts w:hint="cs"/>
          <w:rtl/>
        </w:rPr>
        <w:t xml:space="preserve"> </w:t>
      </w:r>
      <w:r w:rsidR="00C576E5">
        <w:rPr>
          <w:rFonts w:hint="cs"/>
          <w:rtl/>
        </w:rPr>
        <w:t>الشكلي</w:t>
      </w:r>
      <w:r w:rsidR="006751A5">
        <w:rPr>
          <w:rFonts w:hint="cs"/>
          <w:rtl/>
        </w:rPr>
        <w:t xml:space="preserve"> (مما قد يكون صعبا للغاية دون إضافة موضوع)، فإن السؤال اللازم طرحه هو مدى إمكانية أن تظلّ القاعدة</w:t>
      </w:r>
      <w:r w:rsidR="006751A5">
        <w:rPr>
          <w:rFonts w:hint="eastAsia"/>
          <w:rtl/>
        </w:rPr>
        <w:t> </w:t>
      </w:r>
      <w:r w:rsidR="006751A5">
        <w:rPr>
          <w:rFonts w:hint="cs"/>
          <w:rtl/>
        </w:rPr>
        <w:t>11.11 ملائمة لطائفة الاختراعات التي هي موضوع طلبات البراءات حاليا. وعندما تكون المخططات الانسيابية المشتملة على نص ضرورية لأغراض الكشف الفعال، يُفضّل عرضها بطريقة تسمح بنشر النص الكامل والبحث فيه، بدلا من عرضها في شكل صور لا يمكن البحث فيها وغالبا ما تصعب قراءتها.</w:t>
      </w:r>
    </w:p>
    <w:p w:rsidR="006751A5" w:rsidRDefault="006751A5" w:rsidP="001A2513">
      <w:pPr>
        <w:pStyle w:val="NumberedParaAR"/>
      </w:pPr>
      <w:r>
        <w:rPr>
          <w:rFonts w:hint="cs"/>
          <w:rtl/>
        </w:rPr>
        <w:t xml:space="preserve">ومن المستحسن، في أفضل الأحوال، أن يودع المودعون طلبات دولية تشتمل على ملخصات </w:t>
      </w:r>
      <w:r w:rsidR="00FB1B7A">
        <w:rPr>
          <w:rFonts w:hint="cs"/>
          <w:rtl/>
        </w:rPr>
        <w:t>ورسوم تمتثل للقاعدة</w:t>
      </w:r>
      <w:r w:rsidR="00FB1B7A">
        <w:rPr>
          <w:rFonts w:hint="eastAsia"/>
          <w:rtl/>
        </w:rPr>
        <w:t> </w:t>
      </w:r>
      <w:r w:rsidR="00FB1B7A">
        <w:rPr>
          <w:rFonts w:hint="cs"/>
          <w:rtl/>
        </w:rPr>
        <w:t xml:space="preserve">11.11. </w:t>
      </w:r>
      <w:r w:rsidR="003367AA">
        <w:rPr>
          <w:rFonts w:hint="cs"/>
          <w:rtl/>
        </w:rPr>
        <w:t>ولكن لا يبدو أن هناك طريقة فعالة لإنفاذ ذلك في المرحلة الدولية نظرا للأسباب التالية:</w:t>
      </w:r>
    </w:p>
    <w:p w:rsidR="003367AA" w:rsidRDefault="003367AA" w:rsidP="00C576E5">
      <w:pPr>
        <w:pStyle w:val="NormalParaAR"/>
        <w:ind w:left="566"/>
        <w:rPr>
          <w:rtl/>
        </w:rPr>
      </w:pPr>
      <w:r>
        <w:rPr>
          <w:rFonts w:hint="cs"/>
          <w:rtl/>
        </w:rPr>
        <w:t>(أ)</w:t>
      </w:r>
      <w:r>
        <w:rPr>
          <w:rtl/>
        </w:rPr>
        <w:tab/>
      </w:r>
      <w:r>
        <w:rPr>
          <w:rFonts w:hint="cs"/>
          <w:rtl/>
        </w:rPr>
        <w:t xml:space="preserve">سحب الطلب الدولي يبدو </w:t>
      </w:r>
      <w:r w:rsidR="00C576E5">
        <w:rPr>
          <w:rFonts w:hint="cs"/>
          <w:rtl/>
        </w:rPr>
        <w:t>عقوبة مفرطة</w:t>
      </w:r>
      <w:r>
        <w:rPr>
          <w:rFonts w:hint="cs"/>
          <w:rtl/>
        </w:rPr>
        <w:t>؛</w:t>
      </w:r>
    </w:p>
    <w:p w:rsidR="003367AA" w:rsidRDefault="003367AA" w:rsidP="00C576E5">
      <w:pPr>
        <w:pStyle w:val="NormalParaAR"/>
        <w:ind w:left="566"/>
        <w:rPr>
          <w:rtl/>
        </w:rPr>
      </w:pPr>
      <w:r>
        <w:rPr>
          <w:rFonts w:hint="cs"/>
          <w:rtl/>
        </w:rPr>
        <w:t>(ب)</w:t>
      </w:r>
      <w:r>
        <w:rPr>
          <w:rtl/>
        </w:rPr>
        <w:tab/>
      </w:r>
      <w:r w:rsidR="00C576E5">
        <w:rPr>
          <w:rFonts w:hint="cs"/>
          <w:rtl/>
        </w:rPr>
        <w:t>ومن غير العملي بالنسبة لمكاتب تسلّم الطلبات الحكم على نوعية ملخص ومن غير السهل استخدام أحكام القاعدة 38</w:t>
      </w:r>
      <w:r w:rsidR="00C576E5">
        <w:rPr>
          <w:rFonts w:hint="eastAsia"/>
          <w:rtl/>
        </w:rPr>
        <w:t> </w:t>
      </w:r>
      <w:r w:rsidR="00C576E5">
        <w:rPr>
          <w:rFonts w:hint="cs"/>
          <w:rtl/>
        </w:rPr>
        <w:t>للسماح للمودع بتعديل الملخص، إلا إذا اكتُشفت المشكلة في وقت قصير للغاية؛</w:t>
      </w:r>
    </w:p>
    <w:p w:rsidR="00C576E5" w:rsidRDefault="00C576E5" w:rsidP="001A2513">
      <w:pPr>
        <w:pStyle w:val="NormalParaAR"/>
        <w:ind w:left="566"/>
        <w:rPr>
          <w:rtl/>
        </w:rPr>
      </w:pPr>
      <w:r>
        <w:rPr>
          <w:rFonts w:hint="cs"/>
          <w:rtl/>
        </w:rPr>
        <w:t>(ج)</w:t>
      </w:r>
      <w:r>
        <w:rPr>
          <w:rtl/>
        </w:rPr>
        <w:tab/>
      </w:r>
      <w:r>
        <w:rPr>
          <w:rFonts w:hint="cs"/>
          <w:rtl/>
        </w:rPr>
        <w:t>وم</w:t>
      </w:r>
      <w:r w:rsidR="00850980">
        <w:rPr>
          <w:rFonts w:hint="cs"/>
          <w:rtl/>
        </w:rPr>
        <w:t>ن غير العملي اشتراط تصحيح عيوب وفقا للقاعدة</w:t>
      </w:r>
      <w:r w:rsidR="001A2513">
        <w:rPr>
          <w:rFonts w:hint="eastAsia"/>
          <w:rtl/>
        </w:rPr>
        <w:t> </w:t>
      </w:r>
      <w:r w:rsidR="00850980">
        <w:rPr>
          <w:rFonts w:hint="cs"/>
          <w:rtl/>
        </w:rPr>
        <w:t>11.11 في إطار استعراض يجريه مكتب تسلّم الطلبات، لأن محاولات القيام بذلك ستنطوي عموما على صعوبة البتّ فيما إذا أضيف موضوع أم لا.</w:t>
      </w:r>
    </w:p>
    <w:p w:rsidR="00850980" w:rsidRPr="00850980" w:rsidRDefault="00850980" w:rsidP="00850980">
      <w:pPr>
        <w:pStyle w:val="NormalParaAR"/>
        <w:keepNext/>
        <w:rPr>
          <w:b/>
          <w:bCs/>
          <w:sz w:val="40"/>
          <w:szCs w:val="40"/>
          <w:rtl/>
        </w:rPr>
      </w:pPr>
      <w:r w:rsidRPr="00850980">
        <w:rPr>
          <w:rFonts w:hint="cs"/>
          <w:b/>
          <w:bCs/>
          <w:sz w:val="40"/>
          <w:szCs w:val="40"/>
          <w:rtl/>
        </w:rPr>
        <w:t>العمل الممكن</w:t>
      </w:r>
    </w:p>
    <w:p w:rsidR="00850980" w:rsidRDefault="00717525" w:rsidP="00343967">
      <w:pPr>
        <w:pStyle w:val="NumberedParaAR"/>
      </w:pPr>
      <w:r>
        <w:rPr>
          <w:rFonts w:hint="cs"/>
          <w:rtl/>
        </w:rPr>
        <w:t>يعتزم المكتب الدولي طرح هذا الموضوع في الاجتماع القادم للإدارات الدولية، لأن إدارات البحث الدولي مسؤولة عن ضمان كل من محتوى وجودة الملخصات المنشورة مع الطلبات الدولية وتُعد من بين أهم مستخدمي الملخصات عند اضطلاعها بأبحاث تتعلق بطلبات لاحقة.</w:t>
      </w:r>
    </w:p>
    <w:p w:rsidR="00717525" w:rsidRDefault="00717525" w:rsidP="00343967">
      <w:pPr>
        <w:pStyle w:val="NumberedParaAR"/>
      </w:pPr>
      <w:r>
        <w:rPr>
          <w:rFonts w:hint="cs"/>
          <w:rtl/>
        </w:rPr>
        <w:t>وللمساعدة في هذا الإجراء، يرحّب المكتب الدولي بتعليقات واقتراحات أولية من المكاتب (بما في ذلك بصفتها مكاتب لتسلّم الطلبات أو مكاتب معيّنة) ومن مجموعات المستخدمين حول القضايا الوجيهة، بما في ذلك ما يلي:</w:t>
      </w:r>
    </w:p>
    <w:p w:rsidR="00717525" w:rsidRDefault="00717525" w:rsidP="00F342D8">
      <w:pPr>
        <w:pStyle w:val="NormalParaAR"/>
        <w:ind w:left="566"/>
        <w:rPr>
          <w:rtl/>
        </w:rPr>
      </w:pPr>
      <w:r>
        <w:rPr>
          <w:rFonts w:hint="cs"/>
          <w:rtl/>
        </w:rPr>
        <w:t>(أ)</w:t>
      </w:r>
      <w:r>
        <w:rPr>
          <w:rtl/>
        </w:rPr>
        <w:tab/>
      </w:r>
      <w:r w:rsidR="00F342D8">
        <w:rPr>
          <w:rFonts w:hint="cs"/>
          <w:rtl/>
        </w:rPr>
        <w:t>هل تتسم الملخصات عادة بجودة كافية لاستيفاء الأغراض المحدّدة في القاعدة</w:t>
      </w:r>
      <w:r w:rsidR="00F342D8">
        <w:rPr>
          <w:rFonts w:hint="eastAsia"/>
          <w:rtl/>
        </w:rPr>
        <w:t> </w:t>
      </w:r>
      <w:r w:rsidR="00F342D8">
        <w:rPr>
          <w:rFonts w:hint="cs"/>
          <w:rtl/>
        </w:rPr>
        <w:t>3.8؟</w:t>
      </w:r>
    </w:p>
    <w:p w:rsidR="00F342D8" w:rsidRDefault="00F342D8" w:rsidP="001A2513">
      <w:pPr>
        <w:pStyle w:val="NormalParaAR"/>
        <w:ind w:left="566"/>
        <w:rPr>
          <w:rtl/>
        </w:rPr>
      </w:pPr>
      <w:r>
        <w:rPr>
          <w:rFonts w:hint="cs"/>
          <w:rtl/>
        </w:rPr>
        <w:t>(ب)</w:t>
      </w:r>
      <w:r>
        <w:rPr>
          <w:rtl/>
        </w:rPr>
        <w:tab/>
      </w:r>
      <w:r>
        <w:rPr>
          <w:rFonts w:hint="cs"/>
          <w:rtl/>
        </w:rPr>
        <w:t xml:space="preserve">هل يُعد طول الملخص دليلا مفيدا </w:t>
      </w:r>
      <w:r w:rsidR="001A2513">
        <w:rPr>
          <w:rFonts w:hint="cs"/>
          <w:rtl/>
        </w:rPr>
        <w:t>على</w:t>
      </w:r>
      <w:r>
        <w:rPr>
          <w:rFonts w:hint="cs"/>
          <w:rtl/>
        </w:rPr>
        <w:t xml:space="preserve"> مدى فائدته المحتملة، وفي تلك الحالة هل يُعد قيّما لوضع أنظمة لإحالة الحالات الواقعة خارج المبادئ التوجيهية الخاصة بالتأكيد أو التعديل؟</w:t>
      </w:r>
    </w:p>
    <w:p w:rsidR="00E527C7" w:rsidRDefault="00E527C7" w:rsidP="00E527C7">
      <w:pPr>
        <w:pStyle w:val="NormalParaAR"/>
        <w:ind w:left="566"/>
        <w:rPr>
          <w:rtl/>
        </w:rPr>
      </w:pPr>
      <w:r>
        <w:rPr>
          <w:rFonts w:hint="cs"/>
          <w:rtl/>
        </w:rPr>
        <w:t>(ج)</w:t>
      </w:r>
      <w:r>
        <w:rPr>
          <w:rtl/>
        </w:rPr>
        <w:tab/>
      </w:r>
      <w:r>
        <w:rPr>
          <w:rFonts w:hint="cs"/>
          <w:rtl/>
        </w:rPr>
        <w:t>هل يُعد الرسم المشتمل على كميات نص كبيرة مفيدا كعنصر مرافق للملخص تحقيقا للغرض المحدّد في القاعدة</w:t>
      </w:r>
      <w:r>
        <w:rPr>
          <w:rFonts w:hint="eastAsia"/>
          <w:rtl/>
        </w:rPr>
        <w:t> </w:t>
      </w:r>
      <w:r>
        <w:rPr>
          <w:rFonts w:hint="cs"/>
          <w:rtl/>
        </w:rPr>
        <w:t xml:space="preserve">3.8 إذا تم، كما هو الحال الآن، وضع النص المترجم في الجانب مع حروف وأرقام مرجعية للربط بينه وبين النص </w:t>
      </w:r>
      <w:r w:rsidR="00BA51BE">
        <w:rPr>
          <w:rFonts w:hint="cs"/>
          <w:rtl/>
        </w:rPr>
        <w:t>الوجيه الوارد في الرسم باللغة الأصلية؟</w:t>
      </w:r>
    </w:p>
    <w:p w:rsidR="00F342D8" w:rsidRDefault="00F342D8" w:rsidP="001A2513">
      <w:pPr>
        <w:pStyle w:val="NormalParaAR"/>
        <w:ind w:left="566"/>
        <w:rPr>
          <w:rtl/>
        </w:rPr>
      </w:pPr>
      <w:r>
        <w:rPr>
          <w:rFonts w:hint="cs"/>
          <w:rtl/>
        </w:rPr>
        <w:t>(</w:t>
      </w:r>
      <w:r w:rsidR="00E527C7">
        <w:rPr>
          <w:rFonts w:hint="cs"/>
          <w:rtl/>
        </w:rPr>
        <w:t>د</w:t>
      </w:r>
      <w:r>
        <w:rPr>
          <w:rFonts w:hint="cs"/>
          <w:rtl/>
        </w:rPr>
        <w:t>)</w:t>
      </w:r>
      <w:r>
        <w:rPr>
          <w:rtl/>
        </w:rPr>
        <w:tab/>
      </w:r>
      <w:r>
        <w:rPr>
          <w:rFonts w:hint="cs"/>
          <w:rtl/>
        </w:rPr>
        <w:t>هل ما</w:t>
      </w:r>
      <w:r w:rsidR="001A2513">
        <w:rPr>
          <w:rFonts w:hint="eastAsia"/>
          <w:rtl/>
        </w:rPr>
        <w:t> </w:t>
      </w:r>
      <w:r>
        <w:rPr>
          <w:rFonts w:hint="cs"/>
          <w:rtl/>
        </w:rPr>
        <w:t xml:space="preserve">زالت الملخصات تُستخدم </w:t>
      </w:r>
      <w:r w:rsidR="00154631">
        <w:rPr>
          <w:rFonts w:hint="cs"/>
          <w:rtl/>
        </w:rPr>
        <w:t xml:space="preserve">لأغراض البحث والتصفّح </w:t>
      </w:r>
      <w:r>
        <w:rPr>
          <w:rFonts w:hint="cs"/>
          <w:rtl/>
        </w:rPr>
        <w:t xml:space="preserve">بالطريقة ذاتها </w:t>
      </w:r>
      <w:r w:rsidR="00154631">
        <w:rPr>
          <w:rFonts w:hint="cs"/>
          <w:rtl/>
        </w:rPr>
        <w:t>التي كانت تُستخدم بها عندما صيغت اللائحة التنفيذ</w:t>
      </w:r>
      <w:r w:rsidR="001A2513">
        <w:rPr>
          <w:rFonts w:hint="cs"/>
          <w:rtl/>
        </w:rPr>
        <w:t>ية للمعاهدة</w:t>
      </w:r>
      <w:r w:rsidR="00154631">
        <w:rPr>
          <w:rFonts w:hint="cs"/>
          <w:rtl/>
        </w:rPr>
        <w:t>؟</w:t>
      </w:r>
    </w:p>
    <w:p w:rsidR="00154631" w:rsidRDefault="00154631" w:rsidP="00E527C7">
      <w:pPr>
        <w:pStyle w:val="NormalParaAR"/>
        <w:ind w:left="566"/>
        <w:rPr>
          <w:rtl/>
        </w:rPr>
      </w:pPr>
      <w:r>
        <w:rPr>
          <w:rFonts w:hint="cs"/>
          <w:rtl/>
        </w:rPr>
        <w:t>(</w:t>
      </w:r>
      <w:r w:rsidR="00E527C7">
        <w:rPr>
          <w:rFonts w:hint="cs"/>
          <w:rtl/>
        </w:rPr>
        <w:t>ه</w:t>
      </w:r>
      <w:r>
        <w:rPr>
          <w:rFonts w:hint="cs"/>
          <w:rtl/>
        </w:rPr>
        <w:t>)</w:t>
      </w:r>
      <w:r>
        <w:rPr>
          <w:rtl/>
        </w:rPr>
        <w:tab/>
      </w:r>
      <w:r w:rsidR="00F51F2E">
        <w:rPr>
          <w:rFonts w:hint="cs"/>
          <w:rtl/>
        </w:rPr>
        <w:t xml:space="preserve">هل تُستخدم النُسخ الفرنسية لرسوم صفحات الغلاف </w:t>
      </w:r>
      <w:r w:rsidR="00BA51BE">
        <w:rPr>
          <w:rFonts w:hint="cs"/>
          <w:rtl/>
        </w:rPr>
        <w:t>بشكل كبير فيما يخص الطلبات الدولية المنشورة بلغات أخرى؟</w:t>
      </w:r>
    </w:p>
    <w:p w:rsidR="00BA51BE" w:rsidRDefault="00BA51BE" w:rsidP="00BA51BE">
      <w:pPr>
        <w:pStyle w:val="NormalParaAR"/>
        <w:ind w:left="566"/>
        <w:rPr>
          <w:rtl/>
        </w:rPr>
      </w:pPr>
      <w:r>
        <w:rPr>
          <w:rFonts w:hint="cs"/>
          <w:rtl/>
        </w:rPr>
        <w:t>(و)</w:t>
      </w:r>
      <w:r>
        <w:rPr>
          <w:rtl/>
        </w:rPr>
        <w:tab/>
      </w:r>
      <w:r>
        <w:rPr>
          <w:rFonts w:hint="cs"/>
          <w:rtl/>
        </w:rPr>
        <w:t>ما الذي يمكن فعله لتشجيع المودعين على إيداع ملخصات ورسوم أكثر جودة تشتمل على أدنى قدر ممكن من النص؟</w:t>
      </w:r>
    </w:p>
    <w:p w:rsidR="00BA51BE" w:rsidRDefault="00BA51BE" w:rsidP="00BA51BE">
      <w:pPr>
        <w:pStyle w:val="NormalParaAR"/>
        <w:ind w:left="566"/>
        <w:rPr>
          <w:rtl/>
        </w:rPr>
      </w:pPr>
      <w:r>
        <w:rPr>
          <w:rFonts w:hint="cs"/>
          <w:rtl/>
        </w:rPr>
        <w:t>(ز)</w:t>
      </w:r>
      <w:r>
        <w:rPr>
          <w:rtl/>
        </w:rPr>
        <w:tab/>
      </w:r>
      <w:r>
        <w:rPr>
          <w:rFonts w:hint="cs"/>
          <w:rtl/>
        </w:rPr>
        <w:t>ما هو التحليل الإضافي الذي قد يكون ضروريا لفهم المشكلة ومعالجتها بطريقة سليمة؟</w:t>
      </w:r>
    </w:p>
    <w:p w:rsidR="001A2513" w:rsidRDefault="00A01332" w:rsidP="001A2513">
      <w:pPr>
        <w:pStyle w:val="NumberedParaAR"/>
        <w:rPr>
          <w:rtl/>
        </w:rPr>
      </w:pPr>
      <w:r>
        <w:rPr>
          <w:rFonts w:hint="cs"/>
          <w:rtl/>
        </w:rPr>
        <w:t xml:space="preserve">وحسب الأجوبة على تلك الأسئلة، </w:t>
      </w:r>
      <w:r w:rsidR="00D569C8">
        <w:rPr>
          <w:rFonts w:hint="cs"/>
          <w:rtl/>
        </w:rPr>
        <w:t xml:space="preserve">قد يكون من </w:t>
      </w:r>
      <w:proofErr w:type="spellStart"/>
      <w:r w:rsidR="00D569C8">
        <w:rPr>
          <w:rFonts w:hint="cs"/>
          <w:rtl/>
        </w:rPr>
        <w:t>المستصوب</w:t>
      </w:r>
      <w:proofErr w:type="spellEnd"/>
      <w:r w:rsidR="00D569C8">
        <w:rPr>
          <w:rFonts w:hint="cs"/>
          <w:rtl/>
        </w:rPr>
        <w:t xml:space="preserve"> اتخاذ إجراءات في مجال واحد أو أكثر،</w:t>
      </w:r>
      <w:r w:rsidR="001A2513">
        <w:rPr>
          <w:rFonts w:hint="cs"/>
          <w:rtl/>
        </w:rPr>
        <w:t xml:space="preserve"> مثل تعديل اللائحة التنفيذية للمعاهدة</w:t>
      </w:r>
      <w:r w:rsidR="00D569C8">
        <w:rPr>
          <w:rFonts w:hint="cs"/>
          <w:rtl/>
        </w:rPr>
        <w:t>، أو تشجيع إدارات البحث الدولي على تعديل الملخصات واختيار صور وفق معايير محسّنة، أو</w:t>
      </w:r>
      <w:r w:rsidR="001A2513">
        <w:rPr>
          <w:rFonts w:hint="eastAsia"/>
          <w:rtl/>
        </w:rPr>
        <w:t> </w:t>
      </w:r>
      <w:r w:rsidR="00D569C8">
        <w:rPr>
          <w:rFonts w:hint="cs"/>
          <w:rtl/>
        </w:rPr>
        <w:t>تغيير طريقة نشر صور صفحات الغلاف.</w:t>
      </w:r>
    </w:p>
    <w:p w:rsidR="001A2513" w:rsidRDefault="001A2513">
      <w:pPr>
        <w:rPr>
          <w:rFonts w:ascii="Arabic Typesetting" w:hAnsi="Arabic Typesetting" w:cs="Arabic Typesetting"/>
          <w:sz w:val="36"/>
          <w:szCs w:val="36"/>
          <w:rtl/>
        </w:rPr>
      </w:pPr>
      <w:r>
        <w:rPr>
          <w:rtl/>
        </w:rPr>
        <w:br w:type="page"/>
      </w:r>
    </w:p>
    <w:p w:rsidR="00D569C8" w:rsidRDefault="00D569C8" w:rsidP="00894FCE">
      <w:pPr>
        <w:pStyle w:val="NumberedParaAR"/>
        <w:rPr>
          <w:rFonts w:hint="cs"/>
        </w:rPr>
      </w:pPr>
      <w:r>
        <w:rPr>
          <w:rFonts w:hint="cs"/>
          <w:rtl/>
        </w:rPr>
        <w:t xml:space="preserve">ومن غير المفاجئ أن يكون للمنشورات المُعدة باللغة الإنكليزية أكبر نسبة من الملخصات التي </w:t>
      </w:r>
      <w:r w:rsidR="00894FCE">
        <w:rPr>
          <w:rFonts w:hint="cs"/>
          <w:rtl/>
        </w:rPr>
        <w:t>تدخل ضمن</w:t>
      </w:r>
      <w:r>
        <w:rPr>
          <w:rFonts w:hint="cs"/>
          <w:rtl/>
        </w:rPr>
        <w:t xml:space="preserve"> الطول </w:t>
      </w:r>
      <w:proofErr w:type="spellStart"/>
      <w:r>
        <w:rPr>
          <w:rFonts w:hint="cs"/>
          <w:rtl/>
        </w:rPr>
        <w:t>الموصى</w:t>
      </w:r>
      <w:proofErr w:type="spellEnd"/>
      <w:r>
        <w:rPr>
          <w:rFonts w:hint="cs"/>
          <w:rtl/>
        </w:rPr>
        <w:t xml:space="preserve"> به</w:t>
      </w:r>
      <w:r w:rsidR="00235195">
        <w:rPr>
          <w:rFonts w:hint="cs"/>
          <w:rtl/>
        </w:rPr>
        <w:t xml:space="preserve"> (ولو أنها تمثّل كذلك أكبر نسبة من المنشورات التي يقلّ عدد كلماتها عن العدد الأدنى </w:t>
      </w:r>
      <w:proofErr w:type="spellStart"/>
      <w:r w:rsidR="00235195">
        <w:rPr>
          <w:rFonts w:hint="cs"/>
          <w:rtl/>
        </w:rPr>
        <w:t>الموصى</w:t>
      </w:r>
      <w:proofErr w:type="spellEnd"/>
      <w:r w:rsidR="00235195">
        <w:rPr>
          <w:rFonts w:hint="cs"/>
          <w:rtl/>
        </w:rPr>
        <w:t xml:space="preserve"> به من الكلمات). ومن الصعب بالنسبة للمودع أو الفاحص أن يقدِّر بشكل موثوق عدد الكلمات التي ستنتُج عن ترجمة ملخص إلى الإنكليزية، لا</w:t>
      </w:r>
      <w:r w:rsidR="00235195">
        <w:rPr>
          <w:rFonts w:hint="eastAsia"/>
          <w:rtl/>
        </w:rPr>
        <w:t> </w:t>
      </w:r>
      <w:r w:rsidR="00235195">
        <w:rPr>
          <w:rFonts w:hint="cs"/>
          <w:rtl/>
        </w:rPr>
        <w:t xml:space="preserve">سيما من اللغات الآسيوية التي تختلف كثيرا عنها من حيث البنية اللغوية. ومن الإجراءات التي يمكن اتخاذها في مراحل مبكّرة وضع مبادئ توجيهية </w:t>
      </w:r>
      <w:bookmarkStart w:id="2" w:name="_GoBack"/>
      <w:r w:rsidR="00235195">
        <w:rPr>
          <w:rFonts w:hint="cs"/>
          <w:rtl/>
        </w:rPr>
        <w:t xml:space="preserve">توفر </w:t>
      </w:r>
      <w:bookmarkEnd w:id="2"/>
      <w:r w:rsidR="00235195">
        <w:rPr>
          <w:rFonts w:hint="cs"/>
          <w:rtl/>
        </w:rPr>
        <w:t>توصيات ذات صلة مباشرة أوثق مع صياغة الملخصات بلغات نشر أخرى.</w:t>
      </w:r>
    </w:p>
    <w:p w:rsidR="00235195" w:rsidRDefault="00235195" w:rsidP="00836655">
      <w:pPr>
        <w:pStyle w:val="DecisionParaAR"/>
        <w:spacing w:after="480"/>
        <w:rPr>
          <w:rFonts w:hint="cs"/>
        </w:rPr>
      </w:pPr>
      <w:r>
        <w:rPr>
          <w:rFonts w:hint="cs"/>
          <w:rtl/>
        </w:rPr>
        <w:t>إن الفريق العامل مدعو</w:t>
      </w:r>
      <w:r>
        <w:rPr>
          <w:rtl/>
        </w:rPr>
        <w:t>ٌ</w:t>
      </w:r>
      <w:r>
        <w:rPr>
          <w:rFonts w:hint="cs"/>
          <w:rtl/>
        </w:rPr>
        <w:t xml:space="preserve"> إلى التعليق على القضايا المبيّنة في الفقرات من 23 إلى 25 أعلاه.</w:t>
      </w:r>
    </w:p>
    <w:p w:rsidR="00836655" w:rsidRDefault="00836655" w:rsidP="00836655">
      <w:pPr>
        <w:pStyle w:val="EndofDocumentAR"/>
        <w:rPr>
          <w:rtl/>
        </w:rPr>
        <w:sectPr w:rsidR="00836655" w:rsidSect="00EB7752">
          <w:headerReference w:type="default" r:id="rId12"/>
          <w:pgSz w:w="11907" w:h="16840" w:code="9"/>
          <w:pgMar w:top="567" w:right="1418" w:bottom="1418" w:left="1134" w:header="510" w:footer="1021" w:gutter="0"/>
          <w:cols w:space="720"/>
          <w:titlePg/>
          <w:docGrid w:linePitch="299"/>
        </w:sectPr>
      </w:pPr>
      <w:r>
        <w:rPr>
          <w:rFonts w:hint="cs"/>
          <w:rtl/>
        </w:rPr>
        <w:t>[يلي ذلك المرفق]</w:t>
      </w:r>
    </w:p>
    <w:p w:rsidR="00235195" w:rsidRPr="00894FCE" w:rsidRDefault="00894FCE" w:rsidP="00894FCE">
      <w:pPr>
        <w:pStyle w:val="NormalParaAR"/>
        <w:jc w:val="center"/>
        <w:rPr>
          <w:rFonts w:hint="cs"/>
          <w:sz w:val="40"/>
          <w:szCs w:val="40"/>
          <w:rtl/>
        </w:rPr>
      </w:pPr>
      <w:r w:rsidRPr="00894FCE">
        <w:rPr>
          <w:rFonts w:hint="cs"/>
          <w:sz w:val="40"/>
          <w:szCs w:val="40"/>
          <w:rtl/>
        </w:rPr>
        <w:t>المرفق</w:t>
      </w:r>
    </w:p>
    <w:p w:rsidR="00894FCE" w:rsidRPr="00894FCE" w:rsidRDefault="00894FCE" w:rsidP="00894FCE">
      <w:pPr>
        <w:pStyle w:val="NormalParaAR"/>
        <w:jc w:val="center"/>
        <w:rPr>
          <w:rFonts w:hint="cs"/>
          <w:sz w:val="40"/>
          <w:szCs w:val="40"/>
          <w:rtl/>
        </w:rPr>
      </w:pPr>
      <w:r w:rsidRPr="00894FCE">
        <w:rPr>
          <w:rFonts w:hint="cs"/>
          <w:sz w:val="40"/>
          <w:szCs w:val="40"/>
          <w:rtl/>
        </w:rPr>
        <w:t>أمثلة على ملخصات ورسوم</w:t>
      </w:r>
      <w:r w:rsidRPr="00894FCE">
        <w:rPr>
          <w:sz w:val="40"/>
          <w:szCs w:val="40"/>
          <w:rtl/>
        </w:rPr>
        <w:br/>
      </w:r>
      <w:r w:rsidRPr="00894FCE">
        <w:rPr>
          <w:rFonts w:hint="cs"/>
          <w:sz w:val="40"/>
          <w:szCs w:val="40"/>
          <w:rtl/>
        </w:rPr>
        <w:t>مقتطفة من صفحات غلاف طلبات دولية</w:t>
      </w:r>
      <w:r w:rsidRPr="00894FCE">
        <w:rPr>
          <w:sz w:val="40"/>
          <w:szCs w:val="40"/>
          <w:rtl/>
        </w:rPr>
        <w:br/>
      </w:r>
      <w:r w:rsidRPr="00894FCE">
        <w:rPr>
          <w:rFonts w:hint="cs"/>
          <w:sz w:val="40"/>
          <w:szCs w:val="40"/>
          <w:rtl/>
        </w:rPr>
        <w:t>تحتوي فيها الرسوم على كميات نص مختلفة</w:t>
      </w:r>
    </w:p>
    <w:p w:rsidR="00894FCE" w:rsidRPr="00894FCE" w:rsidRDefault="00894FCE" w:rsidP="00894FCE">
      <w:pPr>
        <w:pStyle w:val="NormalParaAR"/>
        <w:keepNext/>
        <w:rPr>
          <w:rFonts w:hint="cs"/>
          <w:b/>
          <w:bCs/>
          <w:sz w:val="40"/>
          <w:szCs w:val="40"/>
          <w:rtl/>
        </w:rPr>
      </w:pPr>
      <w:r w:rsidRPr="00894FCE">
        <w:rPr>
          <w:rFonts w:hint="cs"/>
          <w:b/>
          <w:bCs/>
          <w:sz w:val="40"/>
          <w:szCs w:val="40"/>
          <w:rtl/>
        </w:rPr>
        <w:t xml:space="preserve">المثال 1: نص ملخص يدخل ضمن النطاق </w:t>
      </w:r>
      <w:proofErr w:type="spellStart"/>
      <w:r w:rsidRPr="00894FCE">
        <w:rPr>
          <w:rFonts w:hint="cs"/>
          <w:b/>
          <w:bCs/>
          <w:sz w:val="40"/>
          <w:szCs w:val="40"/>
          <w:rtl/>
        </w:rPr>
        <w:t>الموصى</w:t>
      </w:r>
      <w:proofErr w:type="spellEnd"/>
      <w:r w:rsidRPr="00894FCE">
        <w:rPr>
          <w:rFonts w:hint="cs"/>
          <w:b/>
          <w:bCs/>
          <w:sz w:val="40"/>
          <w:szCs w:val="40"/>
          <w:rtl/>
        </w:rPr>
        <w:t xml:space="preserve"> به؛ كلمة مترجمة واحدة في الصورة المرافقة</w:t>
      </w:r>
    </w:p>
    <w:p w:rsidR="00894FCE" w:rsidRDefault="00894FCE" w:rsidP="00894FCE">
      <w:pPr>
        <w:pStyle w:val="NormalParaAR"/>
        <w:spacing w:line="240" w:lineRule="auto"/>
        <w:rPr>
          <w:rFonts w:hint="cs"/>
          <w:rtl/>
        </w:rPr>
      </w:pPr>
      <w:r w:rsidRPr="00894FCE">
        <w:rPr>
          <w:rFonts w:hint="cs"/>
          <w:rtl/>
        </w:rPr>
        <w:drawing>
          <wp:inline distT="0" distB="0" distL="0" distR="0" wp14:anchorId="2E34ADA4" wp14:editId="35F63F90">
            <wp:extent cx="5940425" cy="400055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000552"/>
                    </a:xfrm>
                    <a:prstGeom prst="rect">
                      <a:avLst/>
                    </a:prstGeom>
                    <a:noFill/>
                    <a:ln>
                      <a:noFill/>
                    </a:ln>
                  </pic:spPr>
                </pic:pic>
              </a:graphicData>
            </a:graphic>
          </wp:inline>
        </w:drawing>
      </w:r>
    </w:p>
    <w:p w:rsidR="00894FCE" w:rsidRPr="00894FCE" w:rsidRDefault="00894FCE" w:rsidP="00894FCE">
      <w:pPr>
        <w:pStyle w:val="NormalParaAR"/>
        <w:keepNext/>
        <w:rPr>
          <w:rFonts w:hint="cs"/>
          <w:b/>
          <w:bCs/>
          <w:sz w:val="40"/>
          <w:szCs w:val="40"/>
          <w:rtl/>
        </w:rPr>
      </w:pPr>
      <w:r w:rsidRPr="00894FCE">
        <w:rPr>
          <w:rFonts w:hint="cs"/>
          <w:b/>
          <w:bCs/>
          <w:sz w:val="40"/>
          <w:szCs w:val="40"/>
          <w:rtl/>
        </w:rPr>
        <w:t>المثال 2: نص ملخص يتجاوز حجمه 400 كلمة</w:t>
      </w:r>
    </w:p>
    <w:p w:rsidR="00894FCE" w:rsidRDefault="00894FCE" w:rsidP="00894FCE">
      <w:pPr>
        <w:pStyle w:val="NormalParaAR"/>
        <w:spacing w:line="240" w:lineRule="auto"/>
        <w:rPr>
          <w:rFonts w:hint="cs"/>
          <w:rtl/>
        </w:rPr>
      </w:pPr>
      <w:r w:rsidRPr="00894FCE">
        <w:rPr>
          <w:rFonts w:hint="cs"/>
          <w:rtl/>
        </w:rPr>
        <w:drawing>
          <wp:inline distT="0" distB="0" distL="0" distR="0" wp14:anchorId="59ABE759" wp14:editId="32D71900">
            <wp:extent cx="5940425" cy="448157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81578"/>
                    </a:xfrm>
                    <a:prstGeom prst="rect">
                      <a:avLst/>
                    </a:prstGeom>
                    <a:noFill/>
                    <a:ln>
                      <a:noFill/>
                    </a:ln>
                  </pic:spPr>
                </pic:pic>
              </a:graphicData>
            </a:graphic>
          </wp:inline>
        </w:drawing>
      </w:r>
    </w:p>
    <w:p w:rsidR="00894FCE" w:rsidRPr="00894FCE" w:rsidRDefault="00894FCE" w:rsidP="00894FCE">
      <w:pPr>
        <w:pStyle w:val="NormalParaAR"/>
        <w:keepNext/>
        <w:rPr>
          <w:rFonts w:hint="cs"/>
          <w:b/>
          <w:bCs/>
          <w:sz w:val="40"/>
          <w:szCs w:val="40"/>
          <w:rtl/>
        </w:rPr>
      </w:pPr>
      <w:r w:rsidRPr="00894FCE">
        <w:rPr>
          <w:rFonts w:hint="cs"/>
          <w:b/>
          <w:bCs/>
          <w:sz w:val="40"/>
          <w:szCs w:val="40"/>
          <w:rtl/>
        </w:rPr>
        <w:t>المثال 3: ملخص قصير للغاية، كمية أكبر من النص في الرسم المرافق</w:t>
      </w:r>
    </w:p>
    <w:p w:rsidR="009F6BD8" w:rsidRDefault="00894FCE" w:rsidP="00894FCE">
      <w:pPr>
        <w:pStyle w:val="NormalParaAR"/>
        <w:spacing w:line="240" w:lineRule="auto"/>
        <w:rPr>
          <w:rtl/>
        </w:rPr>
      </w:pPr>
      <w:r w:rsidRPr="00894FCE">
        <w:rPr>
          <w:rFonts w:hint="cs"/>
          <w:rtl/>
        </w:rPr>
        <w:drawing>
          <wp:inline distT="0" distB="0" distL="0" distR="0" wp14:anchorId="07CE1A79" wp14:editId="08DA3813">
            <wp:extent cx="5940425" cy="3859269"/>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859269"/>
                    </a:xfrm>
                    <a:prstGeom prst="rect">
                      <a:avLst/>
                    </a:prstGeom>
                    <a:noFill/>
                    <a:ln>
                      <a:noFill/>
                    </a:ln>
                  </pic:spPr>
                </pic:pic>
              </a:graphicData>
            </a:graphic>
          </wp:inline>
        </w:drawing>
      </w:r>
    </w:p>
    <w:p w:rsidR="009F6BD8" w:rsidRDefault="009F6BD8">
      <w:pPr>
        <w:rPr>
          <w:rFonts w:ascii="Arabic Typesetting" w:hAnsi="Arabic Typesetting" w:cs="Arabic Typesetting"/>
          <w:sz w:val="36"/>
          <w:szCs w:val="36"/>
          <w:rtl/>
        </w:rPr>
      </w:pPr>
      <w:r>
        <w:rPr>
          <w:rtl/>
        </w:rPr>
        <w:br w:type="page"/>
      </w:r>
    </w:p>
    <w:p w:rsidR="00894FCE" w:rsidRPr="009F6BD8" w:rsidRDefault="009F6BD8" w:rsidP="009F6BD8">
      <w:pPr>
        <w:pStyle w:val="NormalParaAR"/>
        <w:keepNext/>
        <w:rPr>
          <w:rFonts w:hint="cs"/>
          <w:b/>
          <w:bCs/>
          <w:sz w:val="40"/>
          <w:szCs w:val="40"/>
          <w:rtl/>
        </w:rPr>
      </w:pPr>
      <w:r w:rsidRPr="009F6BD8">
        <w:rPr>
          <w:rFonts w:hint="cs"/>
          <w:b/>
          <w:bCs/>
          <w:sz w:val="40"/>
          <w:szCs w:val="40"/>
          <w:rtl/>
        </w:rPr>
        <w:t>المثال 4: كميات نص كبيرة للغاية في الرسم المرافق</w:t>
      </w:r>
    </w:p>
    <w:p w:rsidR="009F6BD8" w:rsidRDefault="009F6BD8" w:rsidP="009F6BD8">
      <w:pPr>
        <w:pStyle w:val="NormalParaAR"/>
        <w:spacing w:after="480" w:line="240" w:lineRule="auto"/>
        <w:rPr>
          <w:rFonts w:hint="cs"/>
          <w:rtl/>
        </w:rPr>
      </w:pPr>
      <w:r w:rsidRPr="009F6BD8">
        <w:rPr>
          <w:rFonts w:hint="cs"/>
          <w:rtl/>
        </w:rPr>
        <w:drawing>
          <wp:inline distT="0" distB="0" distL="0" distR="0" wp14:anchorId="481D86BA" wp14:editId="2FC665C3">
            <wp:extent cx="5940425" cy="4107903"/>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07903"/>
                    </a:xfrm>
                    <a:prstGeom prst="rect">
                      <a:avLst/>
                    </a:prstGeom>
                    <a:noFill/>
                    <a:ln>
                      <a:noFill/>
                    </a:ln>
                  </pic:spPr>
                </pic:pic>
              </a:graphicData>
            </a:graphic>
          </wp:inline>
        </w:drawing>
      </w:r>
    </w:p>
    <w:p w:rsidR="009F6BD8" w:rsidRPr="00894FCE" w:rsidRDefault="009F6BD8" w:rsidP="009F6BD8">
      <w:pPr>
        <w:pStyle w:val="EndofDocumentAR"/>
        <w:rPr>
          <w:rtl/>
        </w:rPr>
      </w:pPr>
      <w:r>
        <w:rPr>
          <w:rFonts w:hint="cs"/>
          <w:rtl/>
        </w:rPr>
        <w:t>[نهاية المرفق والوثيقة]</w:t>
      </w:r>
    </w:p>
    <w:sectPr w:rsidR="009F6BD8" w:rsidRPr="00894FCE" w:rsidSect="00CF66CA">
      <w:headerReference w:type="default" r:id="rId17"/>
      <w:headerReference w:type="first" r:id="rId18"/>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6E5" w:rsidRDefault="00C576E5">
      <w:r>
        <w:separator/>
      </w:r>
    </w:p>
  </w:endnote>
  <w:endnote w:type="continuationSeparator" w:id="0">
    <w:p w:rsidR="00C576E5" w:rsidRDefault="00C5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6E5" w:rsidRDefault="00C576E5" w:rsidP="009622BF">
      <w:pPr>
        <w:bidi/>
      </w:pPr>
      <w:bookmarkStart w:id="0" w:name="OLE_LINK1"/>
      <w:bookmarkStart w:id="1" w:name="OLE_LINK2"/>
      <w:r>
        <w:separator/>
      </w:r>
      <w:bookmarkEnd w:id="0"/>
      <w:bookmarkEnd w:id="1"/>
    </w:p>
  </w:footnote>
  <w:footnote w:type="continuationSeparator" w:id="0">
    <w:p w:rsidR="00C576E5" w:rsidRDefault="00C576E5"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6E5" w:rsidRDefault="00C576E5" w:rsidP="001E3F88">
    <w:r>
      <w:t>PCT/WG/9/16</w:t>
    </w:r>
  </w:p>
  <w:p w:rsidR="00C576E5" w:rsidRDefault="00C576E5" w:rsidP="00CF66CA">
    <w:pPr>
      <w:tabs>
        <w:tab w:val="left" w:pos="1440"/>
      </w:tabs>
    </w:pPr>
    <w:r>
      <w:fldChar w:fldCharType="begin"/>
    </w:r>
    <w:r>
      <w:instrText xml:space="preserve"> PAGE  \* MERGEFORMAT </w:instrText>
    </w:r>
    <w:r>
      <w:fldChar w:fldCharType="separate"/>
    </w:r>
    <w:r w:rsidR="00E3137A">
      <w:rPr>
        <w:noProof/>
      </w:rPr>
      <w:t>9</w:t>
    </w:r>
    <w:r>
      <w:fldChar w:fldCharType="end"/>
    </w:r>
  </w:p>
  <w:p w:rsidR="00C576E5" w:rsidRDefault="00C576E5"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CA" w:rsidRDefault="00CF66CA" w:rsidP="001E3F88">
    <w:r>
      <w:t>PCT/WG/9/16</w:t>
    </w:r>
  </w:p>
  <w:p w:rsidR="00CF66CA" w:rsidRDefault="0018324B" w:rsidP="00CF66CA">
    <w:pPr>
      <w:tabs>
        <w:tab w:val="left" w:pos="1440"/>
      </w:tabs>
    </w:pPr>
    <w:r>
      <w:t>Annex</w:t>
    </w:r>
  </w:p>
  <w:p w:rsidR="00CF66CA" w:rsidRDefault="00CF66CA" w:rsidP="00D61541">
    <w:r>
      <w:fldChar w:fldCharType="begin"/>
    </w:r>
    <w:r>
      <w:instrText xml:space="preserve"> PAGE   \* MERGEFORMAT </w:instrText>
    </w:r>
    <w:r>
      <w:fldChar w:fldCharType="separate"/>
    </w:r>
    <w:r w:rsidR="00E3137A">
      <w:rPr>
        <w:noProof/>
      </w:rPr>
      <w:t>4</w:t>
    </w:r>
    <w:r>
      <w:rPr>
        <w:noProof/>
      </w:rPr>
      <w:fldChar w:fldCharType="end"/>
    </w:r>
  </w:p>
  <w:p w:rsidR="00CF66CA" w:rsidRDefault="00CF66CA"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6CA" w:rsidRDefault="00CF66CA" w:rsidP="00CF66CA">
    <w:r>
      <w:t>PCT/WG/9/16</w:t>
    </w:r>
  </w:p>
  <w:p w:rsidR="00CF66CA" w:rsidRDefault="00CF66CA" w:rsidP="00CF66CA">
    <w:pPr>
      <w:pStyle w:val="Header"/>
    </w:pPr>
    <w:r>
      <w:t>ANNEX</w:t>
    </w:r>
  </w:p>
  <w:p w:rsidR="00CF66CA" w:rsidRPr="00CF66CA" w:rsidRDefault="00CF66CA" w:rsidP="00CF66CA">
    <w:pPr>
      <w:pStyle w:val="Header"/>
      <w:bidi/>
      <w:jc w:val="right"/>
      <w:rPr>
        <w:rFonts w:ascii="Arabic Typesetting" w:hAnsi="Arabic Typesetting" w:cs="Arabic Typesetting"/>
        <w:sz w:val="36"/>
        <w:szCs w:val="36"/>
        <w:rtl/>
      </w:rPr>
    </w:pPr>
    <w:r w:rsidRPr="00CF66CA">
      <w:rPr>
        <w:rFonts w:ascii="Arabic Typesetting" w:hAnsi="Arabic Typesetting" w:cs="Arabic Typesetting"/>
        <w:sz w:val="36"/>
        <w:szCs w:val="36"/>
        <w:rtl/>
      </w:rPr>
      <w:t>المرفق</w:t>
    </w:r>
  </w:p>
  <w:p w:rsidR="00CF66CA" w:rsidRDefault="00CF66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177D5000"/>
    <w:multiLevelType w:val="singleLevel"/>
    <w:tmpl w:val="0409000F"/>
    <w:lvl w:ilvl="0">
      <w:start w:val="1"/>
      <w:numFmt w:val="decimal"/>
      <w:lvlText w:val="%1."/>
      <w:lvlJc w:val="left"/>
      <w:pPr>
        <w:tabs>
          <w:tab w:val="num" w:pos="360"/>
        </w:tabs>
        <w:ind w:left="360" w:hanging="360"/>
      </w:pPr>
    </w:lvl>
  </w:abstractNum>
  <w:abstractNum w:abstractNumId="1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4"/>
  </w:num>
  <w:num w:numId="3">
    <w:abstractNumId w:val="10"/>
  </w:num>
  <w:num w:numId="4">
    <w:abstractNumId w:val="17"/>
  </w:num>
  <w:num w:numId="5">
    <w:abstractNumId w:val="8"/>
  </w:num>
  <w:num w:numId="6">
    <w:abstractNumId w:val="18"/>
  </w:num>
  <w:num w:numId="7">
    <w:abstractNumId w:val="13"/>
  </w:num>
  <w:num w:numId="8">
    <w:abstractNumId w:val="16"/>
  </w:num>
  <w:num w:numId="9">
    <w:abstractNumId w:val="15"/>
  </w:num>
  <w:num w:numId="10">
    <w:abstractNumId w:val="19"/>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89"/>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28D6"/>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95C"/>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5B00"/>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D"/>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4631"/>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324B"/>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513"/>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88"/>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D50"/>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195"/>
    <w:rsid w:val="00235C9D"/>
    <w:rsid w:val="002412D4"/>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7BE"/>
    <w:rsid w:val="00273941"/>
    <w:rsid w:val="00273D91"/>
    <w:rsid w:val="002743E2"/>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9FC"/>
    <w:rsid w:val="002D6FD8"/>
    <w:rsid w:val="002D727B"/>
    <w:rsid w:val="002D7EAD"/>
    <w:rsid w:val="002E1169"/>
    <w:rsid w:val="002E1218"/>
    <w:rsid w:val="002E28F3"/>
    <w:rsid w:val="002E7615"/>
    <w:rsid w:val="002E7A2A"/>
    <w:rsid w:val="002E7F16"/>
    <w:rsid w:val="002F1425"/>
    <w:rsid w:val="002F155A"/>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7AA"/>
    <w:rsid w:val="00336C50"/>
    <w:rsid w:val="00337388"/>
    <w:rsid w:val="0034007D"/>
    <w:rsid w:val="003433E5"/>
    <w:rsid w:val="00343967"/>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87DBD"/>
    <w:rsid w:val="00390FC0"/>
    <w:rsid w:val="003911B2"/>
    <w:rsid w:val="00391AFE"/>
    <w:rsid w:val="00392705"/>
    <w:rsid w:val="00393A79"/>
    <w:rsid w:val="0039419C"/>
    <w:rsid w:val="00395987"/>
    <w:rsid w:val="00396375"/>
    <w:rsid w:val="00396801"/>
    <w:rsid w:val="00396E82"/>
    <w:rsid w:val="003A07FF"/>
    <w:rsid w:val="003A146E"/>
    <w:rsid w:val="003A24E5"/>
    <w:rsid w:val="003A26CD"/>
    <w:rsid w:val="003A37F7"/>
    <w:rsid w:val="003A4858"/>
    <w:rsid w:val="003A54E9"/>
    <w:rsid w:val="003A5E7C"/>
    <w:rsid w:val="003A78C7"/>
    <w:rsid w:val="003A7E9A"/>
    <w:rsid w:val="003B1200"/>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3A9"/>
    <w:rsid w:val="003F4C37"/>
    <w:rsid w:val="003F67AE"/>
    <w:rsid w:val="003F6BBB"/>
    <w:rsid w:val="003F719F"/>
    <w:rsid w:val="0040033D"/>
    <w:rsid w:val="004007E1"/>
    <w:rsid w:val="00400B1F"/>
    <w:rsid w:val="004032D2"/>
    <w:rsid w:val="00403C4F"/>
    <w:rsid w:val="00404201"/>
    <w:rsid w:val="004058B4"/>
    <w:rsid w:val="00405C45"/>
    <w:rsid w:val="004062EF"/>
    <w:rsid w:val="004062F0"/>
    <w:rsid w:val="00406CB5"/>
    <w:rsid w:val="00410B8F"/>
    <w:rsid w:val="004114C7"/>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957"/>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43FC"/>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EC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489"/>
    <w:rsid w:val="005536E6"/>
    <w:rsid w:val="00553AC3"/>
    <w:rsid w:val="00553DBA"/>
    <w:rsid w:val="00554335"/>
    <w:rsid w:val="00555631"/>
    <w:rsid w:val="0055621D"/>
    <w:rsid w:val="0055764D"/>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1B9"/>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4F7"/>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1A5"/>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083"/>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C746B"/>
    <w:rsid w:val="006D0636"/>
    <w:rsid w:val="006D06DC"/>
    <w:rsid w:val="006D2CED"/>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17525"/>
    <w:rsid w:val="00720860"/>
    <w:rsid w:val="00721087"/>
    <w:rsid w:val="00721530"/>
    <w:rsid w:val="00723422"/>
    <w:rsid w:val="007260FE"/>
    <w:rsid w:val="00726DD6"/>
    <w:rsid w:val="0073076E"/>
    <w:rsid w:val="00733416"/>
    <w:rsid w:val="0073354E"/>
    <w:rsid w:val="0073377E"/>
    <w:rsid w:val="00733E05"/>
    <w:rsid w:val="00735C8A"/>
    <w:rsid w:val="00735FE2"/>
    <w:rsid w:val="00736E39"/>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60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1645"/>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6655"/>
    <w:rsid w:val="00837719"/>
    <w:rsid w:val="00837A96"/>
    <w:rsid w:val="00840419"/>
    <w:rsid w:val="00840A24"/>
    <w:rsid w:val="00840F1B"/>
    <w:rsid w:val="0084117A"/>
    <w:rsid w:val="00842827"/>
    <w:rsid w:val="00842965"/>
    <w:rsid w:val="00844300"/>
    <w:rsid w:val="008456B2"/>
    <w:rsid w:val="008458BD"/>
    <w:rsid w:val="00846956"/>
    <w:rsid w:val="00846CF1"/>
    <w:rsid w:val="00847622"/>
    <w:rsid w:val="008505B8"/>
    <w:rsid w:val="00850980"/>
    <w:rsid w:val="00851005"/>
    <w:rsid w:val="00851ADD"/>
    <w:rsid w:val="00855CA6"/>
    <w:rsid w:val="00860323"/>
    <w:rsid w:val="00860F4F"/>
    <w:rsid w:val="008610B9"/>
    <w:rsid w:val="0086158A"/>
    <w:rsid w:val="00862656"/>
    <w:rsid w:val="00863013"/>
    <w:rsid w:val="00863F67"/>
    <w:rsid w:val="0086483A"/>
    <w:rsid w:val="0087049C"/>
    <w:rsid w:val="00870AAD"/>
    <w:rsid w:val="00870EDE"/>
    <w:rsid w:val="00871DA0"/>
    <w:rsid w:val="00872030"/>
    <w:rsid w:val="00873973"/>
    <w:rsid w:val="008754F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4FCE"/>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422"/>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3C27"/>
    <w:rsid w:val="008C43BF"/>
    <w:rsid w:val="008C532F"/>
    <w:rsid w:val="008C60C3"/>
    <w:rsid w:val="008C7736"/>
    <w:rsid w:val="008D0948"/>
    <w:rsid w:val="008D311C"/>
    <w:rsid w:val="008D31D2"/>
    <w:rsid w:val="008D3CC5"/>
    <w:rsid w:val="008D49F2"/>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295"/>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2E9"/>
    <w:rsid w:val="009653D3"/>
    <w:rsid w:val="009653F3"/>
    <w:rsid w:val="0096587A"/>
    <w:rsid w:val="009666E7"/>
    <w:rsid w:val="00967278"/>
    <w:rsid w:val="00967A41"/>
    <w:rsid w:val="00971568"/>
    <w:rsid w:val="009728F2"/>
    <w:rsid w:val="00972BEF"/>
    <w:rsid w:val="00973BCF"/>
    <w:rsid w:val="009744BC"/>
    <w:rsid w:val="00974E60"/>
    <w:rsid w:val="00975896"/>
    <w:rsid w:val="00975AD7"/>
    <w:rsid w:val="00975DF1"/>
    <w:rsid w:val="00976AFE"/>
    <w:rsid w:val="00980CF3"/>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1EB1"/>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9F6BD8"/>
    <w:rsid w:val="00A0042C"/>
    <w:rsid w:val="00A00495"/>
    <w:rsid w:val="00A01332"/>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71C"/>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51C8"/>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4C54"/>
    <w:rsid w:val="00AB54AE"/>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17815"/>
    <w:rsid w:val="00B17B92"/>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5457"/>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1BE"/>
    <w:rsid w:val="00BA524B"/>
    <w:rsid w:val="00BA54F7"/>
    <w:rsid w:val="00BA576C"/>
    <w:rsid w:val="00BA6205"/>
    <w:rsid w:val="00BA6280"/>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0A0"/>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6789"/>
    <w:rsid w:val="00C374AD"/>
    <w:rsid w:val="00C40DE4"/>
    <w:rsid w:val="00C40E63"/>
    <w:rsid w:val="00C41A06"/>
    <w:rsid w:val="00C4261B"/>
    <w:rsid w:val="00C42BFB"/>
    <w:rsid w:val="00C44DDC"/>
    <w:rsid w:val="00C501DD"/>
    <w:rsid w:val="00C5128B"/>
    <w:rsid w:val="00C51423"/>
    <w:rsid w:val="00C5294D"/>
    <w:rsid w:val="00C52F83"/>
    <w:rsid w:val="00C54C1B"/>
    <w:rsid w:val="00C54DBA"/>
    <w:rsid w:val="00C576E5"/>
    <w:rsid w:val="00C57ED3"/>
    <w:rsid w:val="00C61640"/>
    <w:rsid w:val="00C61AA7"/>
    <w:rsid w:val="00C61B8E"/>
    <w:rsid w:val="00C668DE"/>
    <w:rsid w:val="00C7044F"/>
    <w:rsid w:val="00C720F8"/>
    <w:rsid w:val="00C7294B"/>
    <w:rsid w:val="00C742C5"/>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04"/>
    <w:rsid w:val="00C974CB"/>
    <w:rsid w:val="00C97929"/>
    <w:rsid w:val="00CA0049"/>
    <w:rsid w:val="00CA0980"/>
    <w:rsid w:val="00CA2A98"/>
    <w:rsid w:val="00CA2BAE"/>
    <w:rsid w:val="00CA34BA"/>
    <w:rsid w:val="00CA4503"/>
    <w:rsid w:val="00CA5A66"/>
    <w:rsid w:val="00CA651B"/>
    <w:rsid w:val="00CA796A"/>
    <w:rsid w:val="00CB016E"/>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4483"/>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4A5"/>
    <w:rsid w:val="00CF5597"/>
    <w:rsid w:val="00CF57B4"/>
    <w:rsid w:val="00CF5CA5"/>
    <w:rsid w:val="00CF658A"/>
    <w:rsid w:val="00CF66B6"/>
    <w:rsid w:val="00CF66CA"/>
    <w:rsid w:val="00D007D6"/>
    <w:rsid w:val="00D01A9F"/>
    <w:rsid w:val="00D01CED"/>
    <w:rsid w:val="00D01E38"/>
    <w:rsid w:val="00D022B5"/>
    <w:rsid w:val="00D039B5"/>
    <w:rsid w:val="00D04AA9"/>
    <w:rsid w:val="00D04F76"/>
    <w:rsid w:val="00D053D2"/>
    <w:rsid w:val="00D07291"/>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76D"/>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9C8"/>
    <w:rsid w:val="00D56EDF"/>
    <w:rsid w:val="00D56F08"/>
    <w:rsid w:val="00D57361"/>
    <w:rsid w:val="00D57F27"/>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02D"/>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69B5"/>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2BC1"/>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37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A69"/>
    <w:rsid w:val="00E46B7D"/>
    <w:rsid w:val="00E5091C"/>
    <w:rsid w:val="00E50E42"/>
    <w:rsid w:val="00E51009"/>
    <w:rsid w:val="00E511AB"/>
    <w:rsid w:val="00E51350"/>
    <w:rsid w:val="00E51C5E"/>
    <w:rsid w:val="00E523FB"/>
    <w:rsid w:val="00E527C7"/>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E11"/>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0391"/>
    <w:rsid w:val="00F11800"/>
    <w:rsid w:val="00F11B61"/>
    <w:rsid w:val="00F135D6"/>
    <w:rsid w:val="00F13922"/>
    <w:rsid w:val="00F13DBC"/>
    <w:rsid w:val="00F15FCF"/>
    <w:rsid w:val="00F16613"/>
    <w:rsid w:val="00F1738D"/>
    <w:rsid w:val="00F20706"/>
    <w:rsid w:val="00F21496"/>
    <w:rsid w:val="00F21E77"/>
    <w:rsid w:val="00F24D27"/>
    <w:rsid w:val="00F2520C"/>
    <w:rsid w:val="00F25BCB"/>
    <w:rsid w:val="00F25ECC"/>
    <w:rsid w:val="00F264C1"/>
    <w:rsid w:val="00F26D7F"/>
    <w:rsid w:val="00F27305"/>
    <w:rsid w:val="00F3057F"/>
    <w:rsid w:val="00F30790"/>
    <w:rsid w:val="00F31570"/>
    <w:rsid w:val="00F33355"/>
    <w:rsid w:val="00F342D8"/>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1F2E"/>
    <w:rsid w:val="00F53775"/>
    <w:rsid w:val="00F539A6"/>
    <w:rsid w:val="00F55E0E"/>
    <w:rsid w:val="00F5611D"/>
    <w:rsid w:val="00F56E3E"/>
    <w:rsid w:val="00F578A8"/>
    <w:rsid w:val="00F57EEB"/>
    <w:rsid w:val="00F57F67"/>
    <w:rsid w:val="00F57FAA"/>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1B7A"/>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D77E1"/>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CF66CA"/>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HeaderChar">
    <w:name w:val="Header Char"/>
    <w:basedOn w:val="DefaultParagraphFont"/>
    <w:link w:val="Header"/>
    <w:uiPriority w:val="99"/>
    <w:rsid w:val="00CF66CA"/>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PCT_WG_9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3AC1-A04A-4E5F-B9E7-9D66A5C4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PCT_WG_9_AR.dotx</Template>
  <TotalTime>750</TotalTime>
  <Pages>13</Pages>
  <Words>2849</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PCT/WG/9/16 (Arabic)</vt:lpstr>
    </vt:vector>
  </TitlesOfParts>
  <Company>World Intellectual Property Organization</Company>
  <LinksUpToDate>false</LinksUpToDate>
  <CharactersWithSpaces>16491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PCT/WG/9/16 (Arabic)</dc:title>
  <dc:creator>وثيقة من إعداد المكتب الدولي</dc:creator>
  <cp:lastModifiedBy>MERZOUK Fawzi</cp:lastModifiedBy>
  <cp:revision>51</cp:revision>
  <cp:lastPrinted>2016-04-20T08:37:00Z</cp:lastPrinted>
  <dcterms:created xsi:type="dcterms:W3CDTF">2016-04-18T12:35:00Z</dcterms:created>
  <dcterms:modified xsi:type="dcterms:W3CDTF">2016-04-20T08:38:00Z</dcterms:modified>
</cp:coreProperties>
</file>