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bookmarkStart w:id="0" w:name="Code"/>
            <w:bookmarkEnd w:id="0"/>
            <w:r w:rsidR="00F8158F">
              <w:rPr>
                <w:rFonts w:ascii="Arial Black" w:hAnsi="Arial Black"/>
                <w:caps/>
                <w:sz w:val="15"/>
              </w:rPr>
              <w:t>18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F2C48">
            <w:pPr>
              <w:jc w:val="right"/>
              <w:rPr>
                <w:rFonts w:ascii="Arial Black" w:hAnsi="Arial Black"/>
                <w:caps/>
                <w:sz w:val="15"/>
              </w:rPr>
            </w:pPr>
            <w:r w:rsidRPr="0090731E">
              <w:rPr>
                <w:rFonts w:ascii="Arial Black" w:hAnsi="Arial Black"/>
                <w:caps/>
                <w:sz w:val="15"/>
              </w:rPr>
              <w:t xml:space="preserve">DATE: </w:t>
            </w:r>
            <w:bookmarkStart w:id="2" w:name="Date"/>
            <w:bookmarkEnd w:id="2"/>
            <w:r w:rsidR="00C650A4">
              <w:rPr>
                <w:rFonts w:ascii="Arial Black" w:hAnsi="Arial Black"/>
                <w:caps/>
                <w:sz w:val="15"/>
              </w:rPr>
              <w:t xml:space="preserve">March </w:t>
            </w:r>
            <w:r w:rsidR="001443A5">
              <w:rPr>
                <w:rFonts w:ascii="Arial Black" w:hAnsi="Arial Black"/>
                <w:caps/>
                <w:sz w:val="15"/>
              </w:rPr>
              <w:t>16</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F8158F">
        <w:rPr>
          <w:caps/>
          <w:sz w:val="24"/>
        </w:rPr>
        <w:t>the Swedish Patent and Registration Office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5"/>
      <w:r w:rsidR="0035027E">
        <w:t xml:space="preserve">  </w:t>
      </w:r>
      <w:r w:rsidR="004F74E6">
        <w:t>I</w:t>
      </w:r>
      <w:r w:rsidR="0035027E">
        <w:t>nformation concerning this process and the role of the Committee is set out in document PCT/CT</w:t>
      </w:r>
      <w:bookmarkStart w:id="6" w:name="_GoBack"/>
      <w:bookmarkEnd w:id="6"/>
      <w:r w:rsidR="0035027E">
        <w:t>C/30/INF/1.</w:t>
      </w:r>
    </w:p>
    <w:p w:rsidR="005C40A3" w:rsidRDefault="00F8158F" w:rsidP="005C40A3">
      <w:pPr>
        <w:pStyle w:val="ONUME"/>
      </w:pPr>
      <w:r>
        <w:t>On March 1</w:t>
      </w:r>
      <w:r w:rsidR="00AA5F79">
        <w:t>, 2017, t</w:t>
      </w:r>
      <w:r w:rsidR="005C40A3">
        <w:t xml:space="preserve">he </w:t>
      </w:r>
      <w:r>
        <w:t>Swedish Patent and Registration Office</w:t>
      </w:r>
      <w:r w:rsidR="005C40A3">
        <w:t xml:space="preserve"> 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732AB6" w:rsidRPr="00732AB6" w:rsidRDefault="00AA5F79" w:rsidP="00732AB6">
      <w:pPr>
        <w:pStyle w:val="ONUME"/>
        <w:numPr>
          <w:ilvl w:val="0"/>
          <w:numId w:val="0"/>
        </w:numPr>
        <w:jc w:val="center"/>
        <w:rPr>
          <w:caps/>
        </w:rPr>
      </w:pPr>
      <w:r w:rsidRPr="00AA5F79">
        <w:rPr>
          <w:caps/>
        </w:rPr>
        <w:lastRenderedPageBreak/>
        <w:t xml:space="preserve">Application of </w:t>
      </w:r>
      <w:r w:rsidR="00732AB6">
        <w:rPr>
          <w:caps/>
        </w:rPr>
        <w:t>the Swedish Patent and REgistration Office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8418E" w:rsidRPr="00A8418E" w:rsidRDefault="00A8418E" w:rsidP="00A8418E">
      <w:pPr>
        <w:pStyle w:val="SectionHeading"/>
        <w:rPr>
          <w:sz w:val="22"/>
          <w:szCs w:val="22"/>
          <w:lang w:val="en-GB"/>
        </w:rPr>
      </w:pPr>
      <w:r w:rsidRPr="00A8418E">
        <w:rPr>
          <w:sz w:val="22"/>
          <w:szCs w:val="22"/>
          <w:lang w:val="en-GB"/>
        </w:rPr>
        <w:t>1 – General</w:t>
      </w:r>
    </w:p>
    <w:p w:rsidR="00A8418E" w:rsidRDefault="00A8418E" w:rsidP="00A8418E">
      <w:pPr>
        <w:rPr>
          <w:b/>
          <w:bCs/>
          <w:szCs w:val="22"/>
        </w:rPr>
      </w:pPr>
      <w:r>
        <w:rPr>
          <w:b/>
          <w:bCs/>
          <w:szCs w:val="22"/>
        </w:rPr>
        <w:t xml:space="preserve">Name of Office or </w:t>
      </w:r>
      <w:r>
        <w:rPr>
          <w:b/>
          <w:bCs/>
        </w:rPr>
        <w:t>intergovernmental organization</w:t>
      </w:r>
      <w:r>
        <w:rPr>
          <w:b/>
          <w:bCs/>
          <w:szCs w:val="22"/>
        </w:rPr>
        <w:t xml:space="preserve">:  </w:t>
      </w:r>
    </w:p>
    <w:p w:rsidR="00A8418E" w:rsidRPr="00A8418E" w:rsidRDefault="00A8418E" w:rsidP="00A8418E">
      <w:pPr>
        <w:rPr>
          <w:lang w:val="en-GB"/>
        </w:rPr>
      </w:pPr>
      <w:r w:rsidRPr="00A8418E">
        <w:rPr>
          <w:lang w:val="en-GB"/>
        </w:rPr>
        <w:t xml:space="preserve">Patent- </w:t>
      </w:r>
      <w:proofErr w:type="spellStart"/>
      <w:r w:rsidRPr="00A8418E">
        <w:rPr>
          <w:lang w:val="en-GB"/>
        </w:rPr>
        <w:t>och</w:t>
      </w:r>
      <w:proofErr w:type="spellEnd"/>
      <w:r w:rsidRPr="00A8418E">
        <w:rPr>
          <w:lang w:val="en-GB"/>
        </w:rPr>
        <w:t xml:space="preserve"> </w:t>
      </w:r>
      <w:proofErr w:type="spellStart"/>
      <w:r w:rsidRPr="00A8418E">
        <w:rPr>
          <w:lang w:val="en-GB"/>
        </w:rPr>
        <w:t>Registreringsverket</w:t>
      </w:r>
      <w:proofErr w:type="spellEnd"/>
      <w:r w:rsidRPr="00A8418E">
        <w:rPr>
          <w:lang w:val="en-GB"/>
        </w:rPr>
        <w:t xml:space="preserve"> (PRV)</w:t>
      </w:r>
    </w:p>
    <w:p w:rsidR="00A8418E" w:rsidRDefault="00A8418E" w:rsidP="00A8418E">
      <w:pPr>
        <w:rPr>
          <w:b/>
          <w:bCs/>
          <w:color w:val="1F497D" w:themeColor="text2"/>
          <w:lang w:val="en-GB"/>
        </w:rPr>
      </w:pPr>
      <w:r>
        <w:rPr>
          <w:lang w:val="en-GB"/>
        </w:rPr>
        <w:t>Swedish Patent</w:t>
      </w:r>
      <w:r w:rsidRPr="00A8418E">
        <w:rPr>
          <w:lang w:val="en-GB"/>
        </w:rPr>
        <w:t xml:space="preserve"> and Registration Office (PRV</w:t>
      </w:r>
      <w:r>
        <w:rPr>
          <w:color w:val="4F81BD" w:themeColor="accent1"/>
          <w:lang w:val="en-GB"/>
        </w:rPr>
        <w:t>)</w:t>
      </w:r>
    </w:p>
    <w:p w:rsidR="00A8418E" w:rsidRDefault="00A8418E" w:rsidP="00A8418E">
      <w:pPr>
        <w:rPr>
          <w:b/>
          <w:bCs/>
          <w:szCs w:val="22"/>
        </w:rPr>
      </w:pPr>
    </w:p>
    <w:p w:rsidR="00A8418E" w:rsidRDefault="00A8418E" w:rsidP="00A8418E">
      <w:pPr>
        <w:rPr>
          <w:szCs w:val="22"/>
        </w:rPr>
      </w:pPr>
    </w:p>
    <w:p w:rsidR="00A8418E" w:rsidRDefault="00A8418E" w:rsidP="00A8418E">
      <w:r>
        <w:rPr>
          <w:b/>
          <w:bCs/>
        </w:rPr>
        <w:t>Date on which application for appointment was received by the Director General:</w:t>
      </w:r>
      <w:r>
        <w:t xml:space="preserve"> </w:t>
      </w:r>
    </w:p>
    <w:p w:rsidR="00A8418E" w:rsidRDefault="00A8418E" w:rsidP="00A8418E">
      <w:r>
        <w:t>March 1, 2017</w:t>
      </w:r>
    </w:p>
    <w:p w:rsidR="00A8418E" w:rsidRDefault="00A8418E" w:rsidP="00A8418E">
      <w:pPr>
        <w:rPr>
          <w:szCs w:val="22"/>
        </w:rPr>
      </w:pPr>
    </w:p>
    <w:p w:rsidR="00A8418E" w:rsidRDefault="00A8418E" w:rsidP="00A8418E">
      <w:pPr>
        <w:rPr>
          <w:szCs w:val="22"/>
        </w:rPr>
      </w:pPr>
      <w:r>
        <w:rPr>
          <w:b/>
          <w:bCs/>
          <w:szCs w:val="22"/>
        </w:rPr>
        <w:t>Session of the Assembly at which appointment is to be sought:</w:t>
      </w:r>
      <w:r>
        <w:rPr>
          <w:szCs w:val="22"/>
        </w:rPr>
        <w:t xml:space="preserve">  </w:t>
      </w:r>
    </w:p>
    <w:p w:rsidR="00A8418E" w:rsidRPr="00A8418E" w:rsidRDefault="00A8418E" w:rsidP="00A8418E">
      <w:pPr>
        <w:rPr>
          <w:lang w:val="en-GB"/>
        </w:rPr>
      </w:pPr>
      <w:r>
        <w:rPr>
          <w:lang w:val="en-GB"/>
        </w:rPr>
        <w:t>PCT</w:t>
      </w:r>
      <w:r w:rsidRPr="00A8418E">
        <w:rPr>
          <w:lang w:val="en-GB"/>
        </w:rPr>
        <w:t xml:space="preserve"> Assembly Forty-Ninth Session (2017)</w:t>
      </w:r>
    </w:p>
    <w:p w:rsidR="00A8418E" w:rsidRDefault="00A8418E" w:rsidP="00A8418E">
      <w:pPr>
        <w:rPr>
          <w:szCs w:val="22"/>
          <w:lang w:val="en-GB"/>
        </w:rPr>
      </w:pPr>
    </w:p>
    <w:p w:rsidR="00A8418E" w:rsidRDefault="00A8418E" w:rsidP="00A8418E">
      <w:pPr>
        <w:rPr>
          <w:szCs w:val="22"/>
        </w:rPr>
      </w:pPr>
    </w:p>
    <w:p w:rsidR="00A8418E" w:rsidRDefault="00A8418E" w:rsidP="00A8418E">
      <w:pPr>
        <w:rPr>
          <w:b/>
          <w:bCs/>
          <w:szCs w:val="22"/>
        </w:rPr>
      </w:pPr>
      <w:r>
        <w:rPr>
          <w:b/>
          <w:bCs/>
          <w:szCs w:val="22"/>
        </w:rPr>
        <w:t>Expected date at which operation as ISA/IPEA could commence:</w:t>
      </w:r>
    </w:p>
    <w:p w:rsidR="00A8418E" w:rsidRPr="00A8418E" w:rsidRDefault="00A8418E" w:rsidP="00A8418E">
      <w:pPr>
        <w:rPr>
          <w:lang w:val="en-GB"/>
        </w:rPr>
      </w:pPr>
      <w:r w:rsidRPr="00A8418E">
        <w:rPr>
          <w:lang w:val="en-GB"/>
        </w:rPr>
        <w:t>Ongoing</w:t>
      </w:r>
    </w:p>
    <w:p w:rsidR="00A8418E" w:rsidRDefault="00A8418E" w:rsidP="00A8418E">
      <w:pPr>
        <w:rPr>
          <w:szCs w:val="22"/>
        </w:rPr>
      </w:pPr>
    </w:p>
    <w:p w:rsidR="00A8418E" w:rsidRDefault="00A8418E" w:rsidP="00A8418E">
      <w:pPr>
        <w:rPr>
          <w:b/>
          <w:bCs/>
          <w:szCs w:val="22"/>
        </w:rPr>
      </w:pPr>
      <w:r>
        <w:rPr>
          <w:b/>
          <w:bCs/>
          <w:szCs w:val="22"/>
        </w:rPr>
        <w:t>Existing ISA/IPEA(s) assisting in assessment of extent to which criteria met</w:t>
      </w:r>
    </w:p>
    <w:p w:rsidR="00A8418E" w:rsidRPr="00A8418E" w:rsidRDefault="00A8418E" w:rsidP="00A8418E">
      <w:pPr>
        <w:rPr>
          <w:szCs w:val="22"/>
        </w:rPr>
      </w:pPr>
      <w:r w:rsidRPr="00A8418E">
        <w:t>Not applicable for extension of appointment, but see note in Section 9.</w:t>
      </w:r>
    </w:p>
    <w:p w:rsidR="00AA5F79" w:rsidRPr="00F241A3" w:rsidRDefault="00AA5F79" w:rsidP="00F241A3"/>
    <w:p w:rsidR="00A8418E" w:rsidRPr="00A8418E" w:rsidRDefault="00A8418E" w:rsidP="00A8418E">
      <w:pPr>
        <w:pStyle w:val="SectionHeading"/>
        <w:rPr>
          <w:sz w:val="22"/>
          <w:szCs w:val="22"/>
          <w:lang w:val="en-GB"/>
        </w:rPr>
      </w:pPr>
      <w:r>
        <w:rPr>
          <w:lang w:val="en-GB"/>
        </w:rPr>
        <w:t xml:space="preserve">2 </w:t>
      </w:r>
      <w:r w:rsidRPr="00A8418E">
        <w:rPr>
          <w:sz w:val="22"/>
          <w:szCs w:val="22"/>
          <w:lang w:val="en-GB"/>
        </w:rPr>
        <w:t>– Substantive Criteria:  Minimum Requirements for Appointment</w:t>
      </w:r>
    </w:p>
    <w:p w:rsidR="00A8418E" w:rsidRPr="00A8418E" w:rsidRDefault="00A8418E" w:rsidP="00A8418E">
      <w:pPr>
        <w:rPr>
          <w:szCs w:val="22"/>
        </w:rPr>
      </w:pPr>
    </w:p>
    <w:p w:rsidR="00A8418E" w:rsidRPr="00A8418E" w:rsidRDefault="00A8418E" w:rsidP="00A8418E">
      <w:pPr>
        <w:pStyle w:val="SectionHeading"/>
        <w:rPr>
          <w:sz w:val="22"/>
          <w:szCs w:val="22"/>
          <w:lang w:val="en-GB"/>
        </w:rPr>
      </w:pPr>
      <w:r>
        <w:rPr>
          <w:lang w:val="en-GB"/>
        </w:rPr>
        <w:t>2</w:t>
      </w:r>
      <w:r w:rsidRPr="00A8418E">
        <w:rPr>
          <w:sz w:val="22"/>
          <w:szCs w:val="22"/>
          <w:lang w:val="en-GB"/>
        </w:rPr>
        <w:t>.1 – Search and Examination Capacity</w:t>
      </w:r>
    </w:p>
    <w:p w:rsidR="00A8418E" w:rsidRDefault="00A8418E" w:rsidP="00A8418E">
      <w:pPr>
        <w:rPr>
          <w:b/>
          <w:bCs/>
          <w:i/>
          <w:iCs/>
        </w:rPr>
      </w:pPr>
      <w:r>
        <w:rPr>
          <w:b/>
          <w:bCs/>
          <w:i/>
          <w:iCs/>
        </w:rPr>
        <w:t>Rules 36.1(</w:t>
      </w:r>
      <w:proofErr w:type="spellStart"/>
      <w:r>
        <w:rPr>
          <w:b/>
          <w:bCs/>
          <w:i/>
          <w:iCs/>
        </w:rPr>
        <w:t>i</w:t>
      </w:r>
      <w:proofErr w:type="spellEnd"/>
      <w:r>
        <w:rPr>
          <w:b/>
          <w:bCs/>
          <w:i/>
          <w:iCs/>
        </w:rPr>
        <w:t>) and 63.1(</w:t>
      </w:r>
      <w:proofErr w:type="spellStart"/>
      <w:r>
        <w:rPr>
          <w:b/>
          <w:bCs/>
          <w:i/>
          <w:iCs/>
        </w:rPr>
        <w:t>i</w:t>
      </w:r>
      <w:proofErr w:type="spellEnd"/>
      <w:r>
        <w:rPr>
          <w:b/>
          <w:bCs/>
          <w:i/>
          <w:iCs/>
        </w:rPr>
        <w:t>):  The national Office or intergovernmental organization must have at least 100 full-time employees with sufficient technical qualifications to carry out searches and examinations.</w:t>
      </w:r>
    </w:p>
    <w:p w:rsidR="00A8418E" w:rsidRDefault="00A8418E" w:rsidP="00A8418E">
      <w:pPr>
        <w:keepNext/>
        <w:keepLines/>
        <w:rPr>
          <w:b/>
          <w:bCs/>
          <w:szCs w:val="22"/>
        </w:rPr>
      </w:pPr>
    </w:p>
    <w:p w:rsidR="00A8418E" w:rsidRDefault="00A8418E" w:rsidP="00A8418E">
      <w:pPr>
        <w:keepNext/>
        <w:keepLines/>
        <w:rPr>
          <w:szCs w:val="22"/>
        </w:rPr>
      </w:pPr>
      <w:r>
        <w:rPr>
          <w:b/>
          <w:bCs/>
          <w:szCs w:val="22"/>
        </w:rPr>
        <w:t>Employees qualified to carry out search and examination:</w:t>
      </w:r>
      <w:r>
        <w:rPr>
          <w:szCs w:val="22"/>
        </w:rPr>
        <w:t xml:space="preserve">  </w:t>
      </w:r>
    </w:p>
    <w:tbl>
      <w:tblPr>
        <w:tblW w:w="5778" w:type="dxa"/>
        <w:tblCellMar>
          <w:left w:w="0" w:type="dxa"/>
          <w:right w:w="0" w:type="dxa"/>
        </w:tblCellMar>
        <w:tblLook w:val="04A0" w:firstRow="1" w:lastRow="0" w:firstColumn="1" w:lastColumn="0" w:noHBand="0" w:noVBand="1"/>
      </w:tblPr>
      <w:tblGrid>
        <w:gridCol w:w="3527"/>
        <w:gridCol w:w="2251"/>
      </w:tblGrid>
      <w:tr w:rsidR="00A8418E" w:rsidTr="00A8418E">
        <w:trPr>
          <w:cantSplit/>
        </w:trPr>
        <w:tc>
          <w:tcPr>
            <w:tcW w:w="3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b/>
                <w:bCs/>
                <w:szCs w:val="22"/>
                <w:lang w:val="en-GB"/>
              </w:rPr>
            </w:pPr>
            <w:r w:rsidRPr="00A8418E">
              <w:rPr>
                <w:b/>
                <w:bCs/>
                <w:szCs w:val="22"/>
                <w:lang w:val="en-GB"/>
              </w:rPr>
              <w:t>Technical field</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b/>
                <w:bCs/>
                <w:szCs w:val="22"/>
                <w:lang w:val="en-GB"/>
              </w:rPr>
            </w:pPr>
            <w:r w:rsidRPr="00A8418E">
              <w:rPr>
                <w:b/>
                <w:bCs/>
                <w:szCs w:val="22"/>
                <w:lang w:val="en-GB"/>
              </w:rPr>
              <w:t>Number (in full-time equivalent)</w:t>
            </w:r>
          </w:p>
        </w:tc>
      </w:tr>
      <w:tr w:rsidR="00A8418E"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szCs w:val="22"/>
                <w:lang w:val="en-GB"/>
              </w:rPr>
            </w:pPr>
            <w:r w:rsidRPr="00A8418E">
              <w:rPr>
                <w:szCs w:val="22"/>
                <w:lang w:val="en-GB"/>
              </w:rPr>
              <w:t>Mechanical</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szCs w:val="22"/>
                <w:lang w:val="en-GB"/>
              </w:rPr>
            </w:pPr>
            <w:r w:rsidRPr="00A8418E">
              <w:rPr>
                <w:szCs w:val="22"/>
                <w:lang w:val="en-GB"/>
              </w:rPr>
              <w:t>42</w:t>
            </w:r>
          </w:p>
        </w:tc>
      </w:tr>
      <w:tr w:rsidR="00A8418E"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szCs w:val="22"/>
                <w:lang w:val="en-GB"/>
              </w:rPr>
            </w:pPr>
            <w:r w:rsidRPr="00A8418E">
              <w:rPr>
                <w:szCs w:val="22"/>
                <w:lang w:val="en-GB"/>
              </w:rPr>
              <w:t>Electrical/electronic</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szCs w:val="22"/>
                <w:lang w:val="en-GB"/>
              </w:rPr>
            </w:pPr>
            <w:r w:rsidRPr="00A8418E">
              <w:rPr>
                <w:szCs w:val="22"/>
                <w:lang w:val="en-GB"/>
              </w:rPr>
              <w:t>40</w:t>
            </w:r>
          </w:p>
        </w:tc>
      </w:tr>
      <w:tr w:rsidR="00A8418E"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szCs w:val="22"/>
                <w:lang w:val="en-GB"/>
              </w:rPr>
            </w:pPr>
            <w:r w:rsidRPr="00A8418E">
              <w:rPr>
                <w:szCs w:val="22"/>
                <w:lang w:val="en-GB"/>
              </w:rPr>
              <w:t>Chemistry</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szCs w:val="22"/>
                <w:lang w:val="en-GB"/>
              </w:rPr>
            </w:pPr>
            <w:r w:rsidRPr="00A8418E">
              <w:rPr>
                <w:szCs w:val="22"/>
                <w:lang w:val="en-GB"/>
              </w:rPr>
              <w:t>27</w:t>
            </w:r>
          </w:p>
        </w:tc>
      </w:tr>
      <w:tr w:rsidR="00A8418E"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szCs w:val="22"/>
                <w:lang w:val="en-GB"/>
              </w:rPr>
            </w:pPr>
            <w:r w:rsidRPr="00A8418E">
              <w:rPr>
                <w:szCs w:val="22"/>
                <w:lang w:val="en-GB"/>
              </w:rPr>
              <w:t>Biotech</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A8418E" w:rsidRDefault="00A8418E">
            <w:pPr>
              <w:keepNext/>
              <w:spacing w:line="256" w:lineRule="auto"/>
              <w:rPr>
                <w:szCs w:val="22"/>
                <w:lang w:val="en-GB"/>
              </w:rPr>
            </w:pPr>
            <w:r w:rsidRPr="00A8418E">
              <w:rPr>
                <w:szCs w:val="22"/>
                <w:lang w:val="en-GB"/>
              </w:rPr>
              <w:t>5</w:t>
            </w:r>
          </w:p>
        </w:tc>
      </w:tr>
      <w:tr w:rsidR="00A8418E"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A8418E" w:rsidRDefault="00A8418E">
            <w:pPr>
              <w:spacing w:line="256" w:lineRule="auto"/>
              <w:rPr>
                <w:i/>
                <w:iCs/>
                <w:szCs w:val="22"/>
                <w:lang w:val="en-GB"/>
              </w:rPr>
            </w:pPr>
            <w:r w:rsidRPr="00A8418E">
              <w:rPr>
                <w:i/>
                <w:iCs/>
                <w:szCs w:val="22"/>
                <w:lang w:val="en-GB"/>
              </w:rPr>
              <w:t>Total</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A8418E" w:rsidRDefault="00A8418E">
            <w:pPr>
              <w:spacing w:line="256" w:lineRule="auto"/>
              <w:rPr>
                <w:i/>
                <w:iCs/>
                <w:szCs w:val="22"/>
                <w:lang w:val="en-GB"/>
              </w:rPr>
            </w:pPr>
            <w:r w:rsidRPr="00A8418E">
              <w:rPr>
                <w:i/>
                <w:iCs/>
                <w:szCs w:val="22"/>
                <w:lang w:val="en-GB"/>
              </w:rPr>
              <w:t>114</w:t>
            </w:r>
          </w:p>
        </w:tc>
      </w:tr>
    </w:tbl>
    <w:p w:rsidR="00A8418E" w:rsidRPr="00A8418E" w:rsidRDefault="00A8418E" w:rsidP="005F02F6">
      <w:pPr>
        <w:rPr>
          <w:bCs/>
          <w:lang w:val="en-GB"/>
        </w:rPr>
      </w:pPr>
      <w:r w:rsidRPr="00A8418E">
        <w:rPr>
          <w:bCs/>
          <w:lang w:val="en-GB"/>
        </w:rPr>
        <w:t>The number of qualified emp</w:t>
      </w:r>
      <w:r>
        <w:rPr>
          <w:bCs/>
          <w:lang w:val="en-GB"/>
        </w:rPr>
        <w:t>loyees has varied between 110 and 180 in</w:t>
      </w:r>
      <w:r w:rsidRPr="00A8418E">
        <w:rPr>
          <w:bCs/>
          <w:lang w:val="en-GB"/>
        </w:rPr>
        <w:t xml:space="preserve"> recent </w:t>
      </w:r>
      <w:r>
        <w:rPr>
          <w:bCs/>
          <w:lang w:val="en-GB"/>
        </w:rPr>
        <w:t>years</w:t>
      </w:r>
      <w:proofErr w:type="gramStart"/>
      <w:r>
        <w:rPr>
          <w:bCs/>
          <w:lang w:val="en-GB"/>
        </w:rPr>
        <w:t xml:space="preserve">; </w:t>
      </w:r>
      <w:r w:rsidR="009352E3">
        <w:rPr>
          <w:bCs/>
          <w:lang w:val="en-GB"/>
        </w:rPr>
        <w:t xml:space="preserve"> for</w:t>
      </w:r>
      <w:proofErr w:type="gramEnd"/>
      <w:r w:rsidR="009352E3">
        <w:rPr>
          <w:bCs/>
          <w:lang w:val="en-GB"/>
        </w:rPr>
        <w:t xml:space="preserve"> 2017 the O</w:t>
      </w:r>
      <w:r w:rsidRPr="00A8418E">
        <w:rPr>
          <w:bCs/>
          <w:lang w:val="en-GB"/>
        </w:rPr>
        <w:t>ffice is expanding the number by 23 full</w:t>
      </w:r>
      <w:r>
        <w:rPr>
          <w:bCs/>
          <w:lang w:val="en-GB"/>
        </w:rPr>
        <w:t xml:space="preserve"> </w:t>
      </w:r>
      <w:r w:rsidRPr="00A8418E">
        <w:rPr>
          <w:bCs/>
          <w:lang w:val="en-GB"/>
        </w:rPr>
        <w:t xml:space="preserve">time examiners to be added to the numbers above. </w:t>
      </w:r>
    </w:p>
    <w:p w:rsidR="00A8418E" w:rsidRPr="00A8418E" w:rsidRDefault="00A8418E" w:rsidP="005F02F6">
      <w:pPr>
        <w:rPr>
          <w:bCs/>
          <w:lang w:val="en-GB"/>
        </w:rPr>
      </w:pPr>
    </w:p>
    <w:p w:rsidR="00A8418E" w:rsidRPr="00A8418E" w:rsidRDefault="00A8418E" w:rsidP="005F02F6">
      <w:pPr>
        <w:rPr>
          <w:bCs/>
          <w:lang w:val="en-GB"/>
        </w:rPr>
      </w:pPr>
      <w:r w:rsidRPr="00A8418E">
        <w:rPr>
          <w:bCs/>
          <w:lang w:val="en-GB"/>
        </w:rPr>
        <w:t xml:space="preserve">*To become qualified the minimum qualifications are: </w:t>
      </w:r>
      <w:r>
        <w:rPr>
          <w:bCs/>
          <w:lang w:val="en-GB"/>
        </w:rPr>
        <w:t xml:space="preserve"> </w:t>
      </w:r>
      <w:r w:rsidRPr="00A8418E">
        <w:rPr>
          <w:bCs/>
          <w:lang w:val="en-GB"/>
        </w:rPr>
        <w:t>Master of Science or equivalent, C level l</w:t>
      </w:r>
      <w:r w:rsidR="009352E3">
        <w:rPr>
          <w:bCs/>
          <w:lang w:val="en-GB"/>
        </w:rPr>
        <w:t>anguage in Swedish and English,</w:t>
      </w:r>
      <w:r w:rsidR="000A7B95">
        <w:rPr>
          <w:bCs/>
          <w:lang w:val="en-GB"/>
        </w:rPr>
        <w:t xml:space="preserve"> </w:t>
      </w:r>
      <w:r w:rsidRPr="00A8418E">
        <w:rPr>
          <w:bCs/>
          <w:lang w:val="en-GB"/>
        </w:rPr>
        <w:t>B level of German or French and ability to understand the other, and past the written exams of our internal, 18 months, examiner training</w:t>
      </w:r>
      <w:r w:rsidR="009352E3">
        <w:rPr>
          <w:bCs/>
          <w:lang w:val="en-GB"/>
        </w:rPr>
        <w:t>,</w:t>
      </w:r>
      <w:r w:rsidRPr="00A8418E">
        <w:rPr>
          <w:bCs/>
          <w:lang w:val="en-GB"/>
        </w:rPr>
        <w:t xml:space="preserve"> see below.</w:t>
      </w:r>
    </w:p>
    <w:p w:rsidR="00A8418E" w:rsidRDefault="00A8418E" w:rsidP="005F02F6">
      <w:pPr>
        <w:rPr>
          <w:szCs w:val="22"/>
        </w:rPr>
      </w:pPr>
    </w:p>
    <w:p w:rsidR="00A8418E" w:rsidRDefault="00A8418E" w:rsidP="005F02F6">
      <w:pPr>
        <w:keepNext/>
        <w:rPr>
          <w:b/>
          <w:bCs/>
        </w:rPr>
      </w:pPr>
      <w:r>
        <w:rPr>
          <w:b/>
          <w:bCs/>
        </w:rPr>
        <w:lastRenderedPageBreak/>
        <w:t>Training Programs</w:t>
      </w:r>
    </w:p>
    <w:p w:rsidR="00A8418E" w:rsidRDefault="00A8418E" w:rsidP="005F02F6">
      <w:pPr>
        <w:keepNext/>
        <w:rPr>
          <w:b/>
          <w:bCs/>
        </w:rPr>
      </w:pPr>
    </w:p>
    <w:p w:rsidR="00A8418E" w:rsidRPr="00F92EC8" w:rsidRDefault="00A8418E" w:rsidP="005F02F6">
      <w:pPr>
        <w:keepNext/>
        <w:rPr>
          <w:lang w:val="en-GB"/>
        </w:rPr>
      </w:pPr>
      <w:r w:rsidRPr="00F92EC8">
        <w:rPr>
          <w:lang w:val="en-GB"/>
        </w:rPr>
        <w:t xml:space="preserve">Examiners and Formality staff take part in effective initial training and development programs. </w:t>
      </w:r>
      <w:r w:rsidR="000A7B95">
        <w:rPr>
          <w:lang w:val="en-GB"/>
        </w:rPr>
        <w:t xml:space="preserve"> </w:t>
      </w:r>
      <w:r w:rsidRPr="00F92EC8">
        <w:rPr>
          <w:lang w:val="en-GB"/>
        </w:rPr>
        <w:t xml:space="preserve">They are approved through different level examination tests to ensure they acquire and maintain the necessary competence requirements. </w:t>
      </w:r>
      <w:r w:rsidR="00F92EC8">
        <w:rPr>
          <w:lang w:val="en-GB"/>
        </w:rPr>
        <w:t xml:space="preserve"> </w:t>
      </w:r>
      <w:r w:rsidRPr="00F92EC8">
        <w:rPr>
          <w:lang w:val="en-GB"/>
        </w:rPr>
        <w:t xml:space="preserve">During the training program to become an examiner, which is at least 18 months long and comprises about 150 lesson hours, the examiner is under the guidance of several tutors, which are responsible for the results of the examiner. </w:t>
      </w:r>
      <w:r w:rsidR="00F92EC8">
        <w:rPr>
          <w:lang w:val="en-GB"/>
        </w:rPr>
        <w:t xml:space="preserve"> </w:t>
      </w:r>
      <w:r w:rsidRPr="00F92EC8">
        <w:rPr>
          <w:lang w:val="en-GB"/>
        </w:rPr>
        <w:t xml:space="preserve">Detailed written training material and online training programs support the in-house training. </w:t>
      </w:r>
      <w:r w:rsidR="00F92EC8">
        <w:rPr>
          <w:lang w:val="en-GB"/>
        </w:rPr>
        <w:t xml:space="preserve"> </w:t>
      </w:r>
      <w:r w:rsidRPr="00F92EC8">
        <w:rPr>
          <w:lang w:val="en-GB"/>
        </w:rPr>
        <w:t>The training program to become an examiner also comprises language courses (German, French and formal English writing).</w:t>
      </w:r>
    </w:p>
    <w:p w:rsidR="00A8418E" w:rsidRPr="00F92EC8" w:rsidRDefault="00A8418E" w:rsidP="00A8418E">
      <w:pPr>
        <w:rPr>
          <w:lang w:val="en-GB"/>
        </w:rPr>
      </w:pPr>
    </w:p>
    <w:p w:rsidR="00A8418E" w:rsidRPr="00F92EC8" w:rsidRDefault="00A8418E" w:rsidP="00A8418E">
      <w:pPr>
        <w:rPr>
          <w:lang w:val="en-GB"/>
        </w:rPr>
      </w:pPr>
      <w:r w:rsidRPr="00F92EC8">
        <w:rPr>
          <w:lang w:val="en-GB"/>
        </w:rPr>
        <w:t>Every examiner attends a compre</w:t>
      </w:r>
      <w:r w:rsidR="009352E3">
        <w:rPr>
          <w:lang w:val="en-GB"/>
        </w:rPr>
        <w:t xml:space="preserve">hensive refresher course every five </w:t>
      </w:r>
      <w:r w:rsidRPr="00F92EC8">
        <w:rPr>
          <w:lang w:val="en-GB"/>
        </w:rPr>
        <w:t>year</w:t>
      </w:r>
      <w:r w:rsidR="00F92EC8">
        <w:rPr>
          <w:lang w:val="en-GB"/>
        </w:rPr>
        <w:t>s</w:t>
      </w:r>
      <w:r w:rsidRPr="00F92EC8">
        <w:rPr>
          <w:lang w:val="en-GB"/>
        </w:rPr>
        <w:t xml:space="preserve">. </w:t>
      </w:r>
      <w:r w:rsidR="00F92EC8">
        <w:rPr>
          <w:lang w:val="en-GB"/>
        </w:rPr>
        <w:t xml:space="preserve"> </w:t>
      </w:r>
      <w:r w:rsidRPr="00F92EC8">
        <w:rPr>
          <w:lang w:val="en-GB"/>
        </w:rPr>
        <w:t xml:space="preserve">Additionally, seminars are given as a result of annual quality checks or in response to new situations or guidelines. </w:t>
      </w:r>
      <w:r w:rsidR="00F92EC8">
        <w:rPr>
          <w:lang w:val="en-GB"/>
        </w:rPr>
        <w:t xml:space="preserve"> </w:t>
      </w:r>
      <w:r w:rsidRPr="00F92EC8">
        <w:rPr>
          <w:lang w:val="en-GB"/>
        </w:rPr>
        <w:t xml:space="preserve">Directors provide individual educational programs, in consultation with the individual, concerning both Intellectual Property Law and technical aspects. </w:t>
      </w:r>
      <w:r w:rsidR="00F92EC8">
        <w:rPr>
          <w:lang w:val="en-GB"/>
        </w:rPr>
        <w:t xml:space="preserve"> </w:t>
      </w:r>
      <w:r w:rsidRPr="00F92EC8">
        <w:rPr>
          <w:lang w:val="en-GB"/>
        </w:rPr>
        <w:t>The educational programs include:</w:t>
      </w:r>
      <w:r w:rsidR="00F92EC8">
        <w:rPr>
          <w:lang w:val="en-GB"/>
        </w:rPr>
        <w:t xml:space="preserve"> </w:t>
      </w:r>
      <w:r w:rsidRPr="00F92EC8">
        <w:rPr>
          <w:lang w:val="en-GB"/>
        </w:rPr>
        <w:t xml:space="preserve"> workshops (in-house), examiner exchange, in-house/ external seminars and courses. </w:t>
      </w:r>
      <w:r w:rsidR="00F92EC8">
        <w:rPr>
          <w:lang w:val="en-GB"/>
        </w:rPr>
        <w:t xml:space="preserve"> </w:t>
      </w:r>
      <w:r w:rsidRPr="00F92EC8">
        <w:rPr>
          <w:lang w:val="en-GB"/>
        </w:rPr>
        <w:t xml:space="preserve">An extensive cross search/examining program has been developed to ensure continuity and quality. </w:t>
      </w:r>
    </w:p>
    <w:p w:rsidR="00A8418E" w:rsidRPr="00F92EC8" w:rsidRDefault="00A8418E" w:rsidP="00A8418E">
      <w:pPr>
        <w:rPr>
          <w:lang w:val="en-GB"/>
        </w:rPr>
      </w:pPr>
    </w:p>
    <w:p w:rsidR="00A8418E" w:rsidRPr="00F92EC8" w:rsidRDefault="00A8418E" w:rsidP="00A8418E">
      <w:pPr>
        <w:rPr>
          <w:lang w:val="en-GB"/>
        </w:rPr>
      </w:pPr>
      <w:r w:rsidRPr="00F92EC8">
        <w:rPr>
          <w:lang w:val="en-GB"/>
        </w:rPr>
        <w:t xml:space="preserve">Patent experts are trained within a special expert program attended by highly qualified examiners. </w:t>
      </w:r>
      <w:r w:rsidR="00F92EC8">
        <w:rPr>
          <w:lang w:val="en-GB"/>
        </w:rPr>
        <w:t xml:space="preserve"> </w:t>
      </w:r>
      <w:r w:rsidRPr="00F92EC8">
        <w:rPr>
          <w:lang w:val="en-GB"/>
        </w:rPr>
        <w:t xml:space="preserve">The program is extensive and runs over several years combined with normal search and examination duties. </w:t>
      </w:r>
      <w:r w:rsidR="000A7B95">
        <w:rPr>
          <w:lang w:val="en-GB"/>
        </w:rPr>
        <w:t xml:space="preserve"> </w:t>
      </w:r>
      <w:r w:rsidRPr="00F92EC8">
        <w:rPr>
          <w:lang w:val="en-GB"/>
        </w:rPr>
        <w:t>The program ends with an examination and oral presentation of an examination thesis.</w:t>
      </w:r>
    </w:p>
    <w:p w:rsidR="00A8418E" w:rsidRPr="00F92EC8" w:rsidRDefault="00A8418E" w:rsidP="00A8418E">
      <w:pPr>
        <w:rPr>
          <w:lang w:val="en-GB"/>
        </w:rPr>
      </w:pPr>
    </w:p>
    <w:p w:rsidR="00A8418E" w:rsidRPr="00F92EC8" w:rsidRDefault="00A8418E" w:rsidP="00A8418E">
      <w:pPr>
        <w:rPr>
          <w:lang w:val="en-GB"/>
        </w:rPr>
      </w:pPr>
      <w:r w:rsidRPr="00F92EC8">
        <w:rPr>
          <w:lang w:val="en-GB"/>
        </w:rPr>
        <w:t xml:space="preserve">All staff </w:t>
      </w:r>
      <w:proofErr w:type="gramStart"/>
      <w:r w:rsidRPr="00F92EC8">
        <w:rPr>
          <w:lang w:val="en-GB"/>
        </w:rPr>
        <w:t>are</w:t>
      </w:r>
      <w:proofErr w:type="gramEnd"/>
      <w:r w:rsidRPr="00F92EC8">
        <w:rPr>
          <w:lang w:val="en-GB"/>
        </w:rPr>
        <w:t xml:space="preserve"> informed of the importance of complying with the quality criteria and standards as a part of the introduction course at PRV when they start their employment. </w:t>
      </w:r>
      <w:r w:rsidR="00F92EC8">
        <w:rPr>
          <w:lang w:val="en-GB"/>
        </w:rPr>
        <w:t xml:space="preserve"> </w:t>
      </w:r>
      <w:r w:rsidRPr="00F92EC8">
        <w:rPr>
          <w:lang w:val="en-GB"/>
        </w:rPr>
        <w:t>The Director of quality management has a main responsibility to ensure that this knowledge is maintained.</w:t>
      </w:r>
    </w:p>
    <w:p w:rsidR="00A8418E" w:rsidRPr="00F92EC8" w:rsidRDefault="00A8418E" w:rsidP="00A8418E">
      <w:pPr>
        <w:rPr>
          <w:szCs w:val="22"/>
        </w:rPr>
      </w:pPr>
    </w:p>
    <w:p w:rsidR="00A8418E" w:rsidRDefault="00A8418E" w:rsidP="00A8418E">
      <w:pPr>
        <w:rPr>
          <w:szCs w:val="22"/>
        </w:rPr>
      </w:pPr>
    </w:p>
    <w:p w:rsidR="00A8418E" w:rsidRPr="00F92EC8" w:rsidRDefault="00A8418E" w:rsidP="00A8418E">
      <w:pPr>
        <w:rPr>
          <w:b/>
          <w:bCs/>
          <w:i/>
          <w:szCs w:val="24"/>
        </w:rPr>
      </w:pPr>
      <w:r w:rsidRPr="00F92EC8">
        <w:rPr>
          <w:b/>
          <w:bCs/>
          <w:i/>
        </w:rPr>
        <w:t>Rules 36.1(ii) and 63.1(ii):  That Office or organization must have in its possession, or have access to, at least the minimum documentation referred to in Rule 34, properly arranged for search purposes, on paper, in microform or stored on electronic media.</w:t>
      </w:r>
    </w:p>
    <w:p w:rsidR="00A8418E" w:rsidRDefault="00A8418E" w:rsidP="00A8418E">
      <w:pPr>
        <w:rPr>
          <w:szCs w:val="22"/>
        </w:rPr>
      </w:pPr>
    </w:p>
    <w:p w:rsidR="00A8418E" w:rsidRDefault="00A8418E" w:rsidP="00A8418E">
      <w:pPr>
        <w:keepNext/>
        <w:rPr>
          <w:b/>
          <w:bCs/>
          <w:szCs w:val="22"/>
        </w:rPr>
      </w:pPr>
      <w:r>
        <w:rPr>
          <w:b/>
          <w:bCs/>
          <w:szCs w:val="22"/>
        </w:rPr>
        <w:t>Access to the minimum documentation for search purposes:</w:t>
      </w:r>
      <w:r>
        <w:rPr>
          <w:szCs w:val="22"/>
        </w:rPr>
        <w:t xml:space="preserve">  </w:t>
      </w:r>
    </w:p>
    <w:p w:rsidR="00A8418E" w:rsidRDefault="00A8418E" w:rsidP="00A8418E">
      <w:pPr>
        <w:rPr>
          <w:szCs w:val="22"/>
        </w:rPr>
      </w:pPr>
      <w:proofErr w:type="gramStart"/>
      <w:r>
        <w:rPr>
          <w:szCs w:val="22"/>
        </w:rPr>
        <w:t>(</w:t>
      </w:r>
      <w:r w:rsidRPr="00F92EC8">
        <w:rPr>
          <w:szCs w:val="22"/>
        </w:rPr>
        <w:t xml:space="preserve"> x</w:t>
      </w:r>
      <w:proofErr w:type="gramEnd"/>
      <w:r w:rsidRPr="00F92EC8">
        <w:rPr>
          <w:szCs w:val="22"/>
        </w:rPr>
        <w:t xml:space="preserve"> </w:t>
      </w:r>
      <w:r>
        <w:rPr>
          <w:szCs w:val="22"/>
        </w:rPr>
        <w:t>)</w:t>
      </w:r>
      <w:r>
        <w:rPr>
          <w:szCs w:val="22"/>
        </w:rPr>
        <w:tab/>
        <w:t>Full access</w:t>
      </w:r>
    </w:p>
    <w:p w:rsidR="00A8418E" w:rsidRDefault="00A8418E" w:rsidP="00A8418E">
      <w:pPr>
        <w:rPr>
          <w:szCs w:val="22"/>
        </w:rPr>
      </w:pPr>
    </w:p>
    <w:p w:rsidR="00A8418E" w:rsidRDefault="00A8418E" w:rsidP="00A8418E">
      <w:pPr>
        <w:rPr>
          <w:szCs w:val="22"/>
        </w:rPr>
      </w:pPr>
      <w:r>
        <w:rPr>
          <w:b/>
          <w:bCs/>
          <w:szCs w:val="22"/>
        </w:rPr>
        <w:t>Search systems:</w:t>
      </w:r>
      <w:r>
        <w:rPr>
          <w:szCs w:val="22"/>
        </w:rPr>
        <w:t xml:space="preserve">  </w:t>
      </w:r>
    </w:p>
    <w:p w:rsidR="00A8418E" w:rsidRPr="00F92EC8" w:rsidRDefault="00F92EC8" w:rsidP="00A8418E">
      <w:pPr>
        <w:rPr>
          <w:iCs/>
          <w:lang w:val="en-GB"/>
        </w:rPr>
      </w:pPr>
      <w:proofErr w:type="spellStart"/>
      <w:proofErr w:type="gramStart"/>
      <w:r w:rsidRPr="00F92EC8">
        <w:rPr>
          <w:iCs/>
          <w:lang w:val="en-GB"/>
        </w:rPr>
        <w:t>EPOQUENet</w:t>
      </w:r>
      <w:proofErr w:type="spellEnd"/>
      <w:r w:rsidR="00A8418E" w:rsidRPr="00F92EC8">
        <w:rPr>
          <w:iCs/>
          <w:lang w:val="en-GB"/>
        </w:rPr>
        <w:t xml:space="preserve">, STN, </w:t>
      </w:r>
      <w:proofErr w:type="spellStart"/>
      <w:r w:rsidR="00A8418E" w:rsidRPr="00F92EC8">
        <w:rPr>
          <w:iCs/>
          <w:lang w:val="en-GB"/>
        </w:rPr>
        <w:t>Questel</w:t>
      </w:r>
      <w:proofErr w:type="spellEnd"/>
      <w:r w:rsidR="00A8418E" w:rsidRPr="00F92EC8">
        <w:rPr>
          <w:iCs/>
          <w:lang w:val="en-GB"/>
        </w:rPr>
        <w:t>, Mintel GNDP, Internal Library search service.</w:t>
      </w:r>
      <w:proofErr w:type="gramEnd"/>
    </w:p>
    <w:p w:rsidR="00A8418E" w:rsidRDefault="00A8418E" w:rsidP="00A8418E">
      <w:pPr>
        <w:rPr>
          <w:szCs w:val="22"/>
        </w:rPr>
      </w:pPr>
    </w:p>
    <w:p w:rsidR="00F92EC8" w:rsidRDefault="00F92EC8" w:rsidP="00A8418E">
      <w:pPr>
        <w:rPr>
          <w:szCs w:val="22"/>
        </w:rPr>
      </w:pPr>
    </w:p>
    <w:p w:rsidR="00A8418E" w:rsidRPr="00F92EC8" w:rsidRDefault="00A8418E" w:rsidP="00A8418E">
      <w:pPr>
        <w:rPr>
          <w:b/>
          <w:bCs/>
          <w:i/>
          <w:szCs w:val="24"/>
        </w:rPr>
      </w:pPr>
      <w:r w:rsidRPr="00F92EC8">
        <w:rPr>
          <w:b/>
          <w:bCs/>
          <w:i/>
        </w:rP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F92EC8" w:rsidRDefault="00F92EC8" w:rsidP="00A8418E">
      <w:pPr>
        <w:rPr>
          <w:szCs w:val="22"/>
        </w:rPr>
      </w:pPr>
    </w:p>
    <w:p w:rsidR="00A8418E" w:rsidRDefault="00A8418E" w:rsidP="00A8418E">
      <w:pPr>
        <w:rPr>
          <w:b/>
          <w:bCs/>
          <w:szCs w:val="22"/>
        </w:rPr>
      </w:pPr>
      <w:r>
        <w:rPr>
          <w:b/>
          <w:bCs/>
          <w:szCs w:val="22"/>
        </w:rPr>
        <w:t>Language(s) in which national applications may be filed and processed:</w:t>
      </w:r>
      <w:r>
        <w:rPr>
          <w:szCs w:val="22"/>
        </w:rPr>
        <w:t xml:space="preserve">  </w:t>
      </w:r>
    </w:p>
    <w:p w:rsidR="00A8418E" w:rsidRPr="00F92EC8" w:rsidRDefault="00A8418E" w:rsidP="00A8418E">
      <w:pPr>
        <w:rPr>
          <w:lang w:val="en-GB"/>
        </w:rPr>
      </w:pPr>
      <w:r w:rsidRPr="00F92EC8">
        <w:rPr>
          <w:lang w:val="en-GB"/>
        </w:rPr>
        <w:t>Swedish, English.</w:t>
      </w:r>
    </w:p>
    <w:p w:rsidR="00A8418E" w:rsidRDefault="00A8418E" w:rsidP="00A8418E">
      <w:pPr>
        <w:rPr>
          <w:b/>
          <w:bCs/>
          <w:color w:val="4F81BD" w:themeColor="accent1"/>
          <w:lang w:val="en-GB"/>
        </w:rPr>
      </w:pPr>
      <w:r w:rsidRPr="00F92EC8">
        <w:rPr>
          <w:lang w:val="en-GB"/>
        </w:rPr>
        <w:t>Applications filed in all Scandinavian languages are accepted, se</w:t>
      </w:r>
      <w:r w:rsidR="009352E3">
        <w:rPr>
          <w:lang w:val="en-GB"/>
        </w:rPr>
        <w:t>e</w:t>
      </w:r>
      <w:r w:rsidRPr="00F92EC8">
        <w:rPr>
          <w:lang w:val="en-GB"/>
        </w:rPr>
        <w:t xml:space="preserve"> point 3 below</w:t>
      </w:r>
      <w:r>
        <w:rPr>
          <w:color w:val="4F81BD" w:themeColor="accent1"/>
          <w:lang w:val="en-GB"/>
        </w:rPr>
        <w:t>.</w:t>
      </w:r>
    </w:p>
    <w:p w:rsidR="00A8418E" w:rsidRDefault="00A8418E" w:rsidP="00A8418E">
      <w:pPr>
        <w:rPr>
          <w:szCs w:val="22"/>
        </w:rPr>
      </w:pPr>
    </w:p>
    <w:p w:rsidR="00A8418E" w:rsidRDefault="00A8418E" w:rsidP="00A8418E">
      <w:pPr>
        <w:rPr>
          <w:b/>
          <w:bCs/>
          <w:szCs w:val="22"/>
        </w:rPr>
      </w:pPr>
      <w:r>
        <w:rPr>
          <w:b/>
          <w:bCs/>
          <w:szCs w:val="22"/>
        </w:rPr>
        <w:t>Other languages in which large numbers of examiners are proficient:</w:t>
      </w:r>
      <w:r>
        <w:rPr>
          <w:szCs w:val="22"/>
        </w:rPr>
        <w:t xml:space="preserve">  </w:t>
      </w:r>
    </w:p>
    <w:p w:rsidR="00A8418E" w:rsidRPr="00F92EC8" w:rsidRDefault="00A8418E" w:rsidP="00A8418E">
      <w:pPr>
        <w:rPr>
          <w:lang w:val="en-GB"/>
        </w:rPr>
      </w:pPr>
      <w:r w:rsidRPr="00F92EC8">
        <w:rPr>
          <w:lang w:val="en-GB"/>
        </w:rPr>
        <w:t>German, French.</w:t>
      </w:r>
    </w:p>
    <w:p w:rsidR="00A8418E" w:rsidRDefault="00A8418E" w:rsidP="00A8418E">
      <w:pPr>
        <w:rPr>
          <w:szCs w:val="22"/>
        </w:rPr>
      </w:pPr>
    </w:p>
    <w:p w:rsidR="00A8418E" w:rsidRDefault="00A8418E" w:rsidP="00A8418E">
      <w:pPr>
        <w:rPr>
          <w:szCs w:val="22"/>
        </w:rPr>
      </w:pPr>
      <w:r>
        <w:rPr>
          <w:b/>
          <w:bCs/>
          <w:szCs w:val="22"/>
        </w:rPr>
        <w:t>Services available to assist search or understanding of prior art in other languages:</w:t>
      </w:r>
      <w:r>
        <w:rPr>
          <w:szCs w:val="22"/>
        </w:rPr>
        <w:t xml:space="preserve">  </w:t>
      </w:r>
    </w:p>
    <w:p w:rsidR="00A8418E" w:rsidRPr="00F92EC8" w:rsidRDefault="000A7B95" w:rsidP="00A8418E">
      <w:pPr>
        <w:rPr>
          <w:lang w:val="en-GB"/>
        </w:rPr>
      </w:pPr>
      <w:proofErr w:type="gramStart"/>
      <w:r>
        <w:rPr>
          <w:lang w:val="en-GB"/>
        </w:rPr>
        <w:t>Language Translation Machines,</w:t>
      </w:r>
      <w:r w:rsidR="00A8418E" w:rsidRPr="00F92EC8">
        <w:rPr>
          <w:lang w:val="en-GB"/>
        </w:rPr>
        <w:t xml:space="preserve"> CPMT, K-PION, PAJ.</w:t>
      </w:r>
      <w:proofErr w:type="gramEnd"/>
    </w:p>
    <w:p w:rsidR="00A8418E" w:rsidRDefault="00A8418E" w:rsidP="00A8418E">
      <w:pPr>
        <w:rPr>
          <w:szCs w:val="22"/>
        </w:rPr>
      </w:pPr>
    </w:p>
    <w:p w:rsidR="00A8418E" w:rsidRPr="00F92EC8" w:rsidRDefault="00A8418E" w:rsidP="00A8418E">
      <w:pPr>
        <w:rPr>
          <w:szCs w:val="22"/>
        </w:rPr>
      </w:pPr>
    </w:p>
    <w:p w:rsidR="00A8418E" w:rsidRPr="00F92EC8" w:rsidRDefault="00A8418E" w:rsidP="00A8418E">
      <w:pPr>
        <w:pStyle w:val="SectionHeading"/>
        <w:rPr>
          <w:sz w:val="22"/>
          <w:szCs w:val="22"/>
          <w:lang w:val="en-GB"/>
        </w:rPr>
      </w:pPr>
      <w:r w:rsidRPr="00F92EC8">
        <w:rPr>
          <w:sz w:val="22"/>
          <w:szCs w:val="22"/>
          <w:lang w:val="en-GB"/>
        </w:rPr>
        <w:t>2.2 – Quality Management</w:t>
      </w:r>
    </w:p>
    <w:p w:rsidR="00A8418E" w:rsidRDefault="00A8418E" w:rsidP="00A8418E">
      <w:pPr>
        <w:rPr>
          <w:b/>
          <w:bCs/>
        </w:rPr>
      </w:pPr>
      <w:r>
        <w:rPr>
          <w:b/>
          <w:bCs/>
        </w:rPr>
        <w:t>Rules 36.1(iv) and 63.1(iv):  That Office or organization must have in place a quality management system and internal review arrangements in accordance with the common rules of international search,</w:t>
      </w:r>
    </w:p>
    <w:p w:rsidR="00A8418E" w:rsidRDefault="00A8418E" w:rsidP="00A8418E">
      <w:pPr>
        <w:rPr>
          <w:b/>
          <w:bCs/>
          <w:szCs w:val="22"/>
        </w:rPr>
      </w:pPr>
    </w:p>
    <w:p w:rsidR="00A8418E" w:rsidRPr="00F92EC8" w:rsidRDefault="00A8418E" w:rsidP="00A8418E">
      <w:pPr>
        <w:rPr>
          <w:bCs/>
          <w:lang w:val="en-GB"/>
        </w:rPr>
      </w:pPr>
      <w:r w:rsidRPr="00F92EC8">
        <w:rPr>
          <w:bCs/>
          <w:lang w:val="en-GB"/>
        </w:rPr>
        <w:t xml:space="preserve">PRV has a long history of quality work and has followed international standards for quality management since the mid-1990s. </w:t>
      </w:r>
      <w:r w:rsidR="000A7B95">
        <w:rPr>
          <w:bCs/>
          <w:lang w:val="en-GB"/>
        </w:rPr>
        <w:t xml:space="preserve"> </w:t>
      </w:r>
      <w:r w:rsidRPr="00F92EC8">
        <w:rPr>
          <w:bCs/>
          <w:lang w:val="en-GB"/>
        </w:rPr>
        <w:t xml:space="preserve">At the end of 1990 we adjusted our Patent processes to the TQM (Total Quality Management) principles and also started working with continuous improvement plans and assessment according to CAF (Common Assessment Framework). </w:t>
      </w:r>
      <w:r w:rsidR="000A7B95">
        <w:rPr>
          <w:bCs/>
          <w:lang w:val="en-GB"/>
        </w:rPr>
        <w:t xml:space="preserve"> </w:t>
      </w:r>
      <w:r w:rsidRPr="00F92EC8">
        <w:rPr>
          <w:bCs/>
          <w:lang w:val="en-GB"/>
        </w:rPr>
        <w:t>In 2006 PRV decided to start using the ISO</w:t>
      </w:r>
      <w:r w:rsidR="00570030">
        <w:rPr>
          <w:bCs/>
          <w:lang w:val="en-GB"/>
        </w:rPr>
        <w:t> </w:t>
      </w:r>
      <w:r w:rsidRPr="00F92EC8">
        <w:rPr>
          <w:bCs/>
          <w:lang w:val="en-GB"/>
        </w:rPr>
        <w:t>9001:2000 quality management standard and the entire office and all processes, including of course the national and international (PCT) patent processes, were certified according to the ISO</w:t>
      </w:r>
      <w:r w:rsidR="00570030">
        <w:rPr>
          <w:bCs/>
          <w:lang w:val="en-GB"/>
        </w:rPr>
        <w:t> </w:t>
      </w:r>
      <w:r w:rsidRPr="00F92EC8">
        <w:rPr>
          <w:bCs/>
          <w:lang w:val="en-GB"/>
        </w:rPr>
        <w:t xml:space="preserve">9001 standard in October 2007. </w:t>
      </w:r>
    </w:p>
    <w:p w:rsidR="00A8418E" w:rsidRPr="00F92EC8" w:rsidRDefault="00A8418E" w:rsidP="00A8418E">
      <w:pPr>
        <w:rPr>
          <w:bCs/>
          <w:lang w:val="en-GB"/>
        </w:rPr>
      </w:pPr>
    </w:p>
    <w:p w:rsidR="00A8418E" w:rsidRPr="00F92EC8" w:rsidRDefault="00A8418E" w:rsidP="00A8418E">
      <w:pPr>
        <w:rPr>
          <w:bCs/>
          <w:i/>
          <w:lang w:val="en-GB"/>
        </w:rPr>
      </w:pPr>
      <w:r w:rsidRPr="00F92EC8">
        <w:rPr>
          <w:bCs/>
          <w:lang w:val="en-GB"/>
        </w:rPr>
        <w:t>In 2015 we did our last external review according to the standard ISO</w:t>
      </w:r>
      <w:r w:rsidR="00570030">
        <w:t> </w:t>
      </w:r>
      <w:r w:rsidRPr="00F92EC8">
        <w:rPr>
          <w:bCs/>
          <w:lang w:val="en-GB"/>
        </w:rPr>
        <w:t xml:space="preserve">9001:2008 and the quality management system was then regarded by the external reviewers as: </w:t>
      </w:r>
      <w:r w:rsidRPr="00F92EC8">
        <w:rPr>
          <w:bCs/>
          <w:i/>
          <w:lang w:val="en-GB"/>
        </w:rPr>
        <w:t>“The Quality Management system fully complies with the ISO</w:t>
      </w:r>
      <w:r w:rsidR="00570030">
        <w:rPr>
          <w:bCs/>
          <w:i/>
          <w:lang w:val="en-GB"/>
        </w:rPr>
        <w:t> </w:t>
      </w:r>
      <w:r w:rsidRPr="00F92EC8">
        <w:rPr>
          <w:bCs/>
          <w:i/>
          <w:lang w:val="en-GB"/>
        </w:rPr>
        <w:t>9001:2008 standard, is a mature management system, and is exemplary to quality management in the public sector”</w:t>
      </w:r>
    </w:p>
    <w:p w:rsidR="00A8418E" w:rsidRPr="00F92EC8" w:rsidRDefault="00A8418E" w:rsidP="00A8418E">
      <w:pPr>
        <w:rPr>
          <w:bCs/>
          <w:lang w:val="en-GB"/>
        </w:rPr>
      </w:pPr>
    </w:p>
    <w:p w:rsidR="00A8418E" w:rsidRPr="00F92EC8" w:rsidRDefault="00F92EC8" w:rsidP="00A8418E">
      <w:pPr>
        <w:rPr>
          <w:bCs/>
          <w:lang w:val="en-GB"/>
        </w:rPr>
      </w:pPr>
      <w:r>
        <w:rPr>
          <w:bCs/>
          <w:lang w:val="en-GB"/>
        </w:rPr>
        <w:t>In September 2016, t</w:t>
      </w:r>
      <w:r w:rsidR="00A8418E" w:rsidRPr="00F92EC8">
        <w:rPr>
          <w:bCs/>
          <w:lang w:val="en-GB"/>
        </w:rPr>
        <w:t>he entire Office was recertified according to the new standard ISO</w:t>
      </w:r>
      <w:r w:rsidR="009352E3">
        <w:rPr>
          <w:bCs/>
          <w:lang w:val="en-GB"/>
        </w:rPr>
        <w:t> </w:t>
      </w:r>
      <w:r w:rsidR="00A8418E" w:rsidRPr="00F92EC8">
        <w:rPr>
          <w:bCs/>
          <w:lang w:val="en-GB"/>
        </w:rPr>
        <w:t>9001:2015.</w:t>
      </w:r>
    </w:p>
    <w:p w:rsidR="00A8418E" w:rsidRPr="00F92EC8" w:rsidRDefault="00A8418E" w:rsidP="00A8418E">
      <w:pPr>
        <w:rPr>
          <w:bCs/>
          <w:lang w:val="en-GB"/>
        </w:rPr>
      </w:pPr>
    </w:p>
    <w:p w:rsidR="00A8418E" w:rsidRPr="00F92EC8" w:rsidRDefault="00A8418E" w:rsidP="00A8418E">
      <w:pPr>
        <w:rPr>
          <w:bCs/>
          <w:lang w:val="en-GB"/>
        </w:rPr>
      </w:pPr>
      <w:r w:rsidRPr="00F92EC8">
        <w:rPr>
          <w:lang w:val="en-GB"/>
        </w:rPr>
        <w:t>QMS reports according to the template used by International Authorities regarding the requirements of Chapter 21 of the PCT International Search and Preliminary Guidelines can be found on the WIPO webpage</w:t>
      </w:r>
      <w:r w:rsidR="00DF53ED">
        <w:rPr>
          <w:bCs/>
          <w:lang w:val="en-GB"/>
        </w:rPr>
        <w:t xml:space="preserve"> at </w:t>
      </w:r>
      <w:hyperlink r:id="rId11" w:history="1">
        <w:r w:rsidR="00DF53ED" w:rsidRPr="00DF53ED">
          <w:rPr>
            <w:rStyle w:val="Hyperlink"/>
            <w:bCs/>
            <w:color w:val="auto"/>
            <w:u w:val="none"/>
            <w:lang w:val="en-GB"/>
          </w:rPr>
          <w:t>http://www.wipo.int/pct/en/quality/authorities.html</w:t>
        </w:r>
      </w:hyperlink>
      <w:r w:rsidR="00DF53ED" w:rsidRPr="00DF53ED">
        <w:rPr>
          <w:bCs/>
          <w:lang w:val="en-GB"/>
        </w:rPr>
        <w:t xml:space="preserve">. </w:t>
      </w:r>
    </w:p>
    <w:p w:rsidR="00A8418E" w:rsidRDefault="00A8418E" w:rsidP="00A8418E">
      <w:pPr>
        <w:rPr>
          <w:b/>
          <w:bCs/>
          <w:lang w:val="en-GB"/>
        </w:rPr>
      </w:pPr>
    </w:p>
    <w:p w:rsidR="00A8418E" w:rsidRPr="00DF53ED" w:rsidRDefault="00A8418E" w:rsidP="00A8418E">
      <w:pPr>
        <w:rPr>
          <w:szCs w:val="22"/>
          <w:lang w:val="en-GB"/>
        </w:rPr>
      </w:pPr>
    </w:p>
    <w:p w:rsidR="00A8418E" w:rsidRPr="00DF53ED" w:rsidRDefault="00A8418E" w:rsidP="00A8418E">
      <w:pPr>
        <w:pStyle w:val="SectionHeading"/>
        <w:rPr>
          <w:sz w:val="22"/>
          <w:szCs w:val="22"/>
          <w:lang w:val="en-GB"/>
        </w:rPr>
      </w:pPr>
      <w:r w:rsidRPr="00DF53ED">
        <w:rPr>
          <w:sz w:val="22"/>
          <w:szCs w:val="22"/>
          <w:lang w:val="en-GB"/>
        </w:rPr>
        <w:t>3 – Intended Scope of Operation</w:t>
      </w:r>
    </w:p>
    <w:p w:rsidR="00A8418E" w:rsidRDefault="00A8418E" w:rsidP="00A8418E">
      <w:pPr>
        <w:rPr>
          <w:b/>
          <w:bCs/>
          <w:szCs w:val="22"/>
        </w:rPr>
      </w:pPr>
      <w:r>
        <w:rPr>
          <w:b/>
          <w:bCs/>
          <w:szCs w:val="22"/>
        </w:rPr>
        <w:t>Language(s) in which services would be offered:</w:t>
      </w:r>
    </w:p>
    <w:p w:rsidR="00A8418E" w:rsidRDefault="00A8418E" w:rsidP="00A8418E">
      <w:pPr>
        <w:rPr>
          <w:b/>
          <w:bCs/>
          <w:szCs w:val="22"/>
        </w:rPr>
      </w:pPr>
    </w:p>
    <w:p w:rsidR="00A8418E" w:rsidRPr="00DF53ED" w:rsidRDefault="00A8418E" w:rsidP="00A8418E">
      <w:pPr>
        <w:rPr>
          <w:lang w:val="en-GB"/>
        </w:rPr>
      </w:pPr>
      <w:proofErr w:type="gramStart"/>
      <w:r w:rsidRPr="00DF53ED">
        <w:rPr>
          <w:lang w:val="en-GB"/>
        </w:rPr>
        <w:t>Danish, English, Finnish, Norwegian and Swedish for any international application.</w:t>
      </w:r>
      <w:proofErr w:type="gramEnd"/>
      <w:r w:rsidRPr="00DF53ED">
        <w:rPr>
          <w:lang w:val="en-GB"/>
        </w:rPr>
        <w:t xml:space="preserve">  </w:t>
      </w:r>
      <w:r w:rsidR="00DF53ED">
        <w:rPr>
          <w:lang w:val="en-GB"/>
        </w:rPr>
        <w:t xml:space="preserve"> </w:t>
      </w:r>
      <w:r w:rsidRPr="00DF53ED">
        <w:rPr>
          <w:lang w:val="en-GB"/>
        </w:rPr>
        <w:t>In addition, French, in the case of applications from the States referred to in paragraph (b), below.</w:t>
      </w:r>
    </w:p>
    <w:p w:rsidR="00A8418E" w:rsidRDefault="00A8418E" w:rsidP="00A8418E">
      <w:pPr>
        <w:rPr>
          <w:szCs w:val="22"/>
        </w:rPr>
      </w:pPr>
    </w:p>
    <w:p w:rsidR="00A8418E" w:rsidRDefault="00A8418E" w:rsidP="00A8418E">
      <w:pPr>
        <w:rPr>
          <w:b/>
          <w:bCs/>
          <w:szCs w:val="22"/>
        </w:rPr>
      </w:pPr>
      <w:r>
        <w:rPr>
          <w:b/>
          <w:bCs/>
          <w:szCs w:val="22"/>
        </w:rPr>
        <w:t>State(s) or receiving Office(s) for which Authority would offer to be competent:</w:t>
      </w:r>
    </w:p>
    <w:p w:rsidR="00A8418E" w:rsidRDefault="00A8418E" w:rsidP="00A8418E">
      <w:pPr>
        <w:rPr>
          <w:b/>
          <w:bCs/>
          <w:szCs w:val="22"/>
        </w:rPr>
      </w:pPr>
    </w:p>
    <w:p w:rsidR="00A8418E" w:rsidRPr="00DF53ED" w:rsidRDefault="00A8418E" w:rsidP="00A8418E">
      <w:pPr>
        <w:rPr>
          <w:lang w:val="en-GB"/>
        </w:rPr>
      </w:pPr>
      <w:r w:rsidRPr="00DF53ED">
        <w:rPr>
          <w:lang w:val="en-GB"/>
        </w:rPr>
        <w:t xml:space="preserve">The following States for which it will act: </w:t>
      </w:r>
    </w:p>
    <w:p w:rsidR="00A8418E" w:rsidRPr="00DF53ED" w:rsidRDefault="00A8418E" w:rsidP="00A8418E">
      <w:pPr>
        <w:rPr>
          <w:lang w:val="en-GB"/>
        </w:rPr>
      </w:pPr>
      <w:r w:rsidRPr="00DF53ED">
        <w:rPr>
          <w:lang w:val="en-GB"/>
        </w:rPr>
        <w:t xml:space="preserve">(a) Denmark, Finland, Iceland, Norway, Sweden; </w:t>
      </w:r>
    </w:p>
    <w:p w:rsidR="00A8418E" w:rsidRPr="00DF53ED" w:rsidRDefault="00A8418E" w:rsidP="00A8418E">
      <w:pPr>
        <w:rPr>
          <w:lang w:val="en-GB"/>
        </w:rPr>
      </w:pPr>
    </w:p>
    <w:p w:rsidR="00A8418E" w:rsidRPr="00DF53ED" w:rsidRDefault="00A8418E" w:rsidP="00A8418E">
      <w:pPr>
        <w:rPr>
          <w:lang w:val="en-GB"/>
        </w:rPr>
      </w:pPr>
      <w:r w:rsidRPr="00DF53ED">
        <w:rPr>
          <w:lang w:val="en-GB"/>
        </w:rPr>
        <w:t xml:space="preserve">(b) </w:t>
      </w:r>
      <w:proofErr w:type="gramStart"/>
      <w:r w:rsidRPr="00DF53ED">
        <w:rPr>
          <w:lang w:val="en-GB"/>
        </w:rPr>
        <w:t>the</w:t>
      </w:r>
      <w:proofErr w:type="gramEnd"/>
      <w:r w:rsidRPr="00DF53ED">
        <w:rPr>
          <w:lang w:val="en-GB"/>
        </w:rPr>
        <w:t xml:space="preserve"> States regarded as developing countries in conformity with the established practice of the General Assembly of the United Nations, provided that Sweden, in accordance with its obligations undertaken within the framework of the European Patent Organisation, has concluded with those States an agreement for that purpose;</w:t>
      </w:r>
    </w:p>
    <w:p w:rsidR="00A8418E" w:rsidRDefault="00A8418E" w:rsidP="00A8418E">
      <w:pPr>
        <w:rPr>
          <w:szCs w:val="22"/>
        </w:rPr>
      </w:pPr>
    </w:p>
    <w:p w:rsidR="00A8418E" w:rsidRDefault="00A8418E" w:rsidP="005F02F6">
      <w:pPr>
        <w:rPr>
          <w:szCs w:val="22"/>
        </w:rPr>
      </w:pPr>
      <w:r>
        <w:rPr>
          <w:b/>
          <w:bCs/>
          <w:szCs w:val="22"/>
        </w:rPr>
        <w:t>Limitations on scope of operation:</w:t>
      </w:r>
    </w:p>
    <w:p w:rsidR="00A8418E" w:rsidRDefault="00A8418E" w:rsidP="005F02F6">
      <w:pPr>
        <w:rPr>
          <w:szCs w:val="22"/>
        </w:rPr>
      </w:pPr>
    </w:p>
    <w:p w:rsidR="00A8418E" w:rsidRPr="00DF53ED" w:rsidRDefault="00A8418E" w:rsidP="005F02F6">
      <w:pPr>
        <w:rPr>
          <w:lang w:val="en-GB"/>
        </w:rPr>
      </w:pPr>
      <w:r w:rsidRPr="00DF53ED">
        <w:rPr>
          <w:lang w:val="en-GB"/>
        </w:rPr>
        <w:t>None</w:t>
      </w:r>
    </w:p>
    <w:p w:rsidR="00A8418E" w:rsidRDefault="00A8418E" w:rsidP="00A8418E">
      <w:pPr>
        <w:pStyle w:val="SectionHeading"/>
        <w:rPr>
          <w:lang w:val="en-GB"/>
        </w:rPr>
      </w:pPr>
      <w:r>
        <w:rPr>
          <w:lang w:val="en-GB"/>
        </w:rPr>
        <w:lastRenderedPageBreak/>
        <w:t>4 – Statement of Motivation</w:t>
      </w:r>
    </w:p>
    <w:p w:rsidR="00A8418E" w:rsidRPr="00DF53ED" w:rsidRDefault="00A8418E" w:rsidP="00A8418E">
      <w:pPr>
        <w:rPr>
          <w:lang w:val="en-GB"/>
        </w:rPr>
      </w:pPr>
      <w:proofErr w:type="gramStart"/>
      <w:r w:rsidRPr="00DF53ED">
        <w:rPr>
          <w:lang w:val="en-GB"/>
        </w:rPr>
        <w:t>PRV,</w:t>
      </w:r>
      <w:proofErr w:type="gramEnd"/>
      <w:r w:rsidR="00DF53ED" w:rsidRPr="00DF53ED">
        <w:rPr>
          <w:lang w:val="en-GB"/>
        </w:rPr>
        <w:t xml:space="preserve"> </w:t>
      </w:r>
      <w:r w:rsidRPr="00DF53ED">
        <w:rPr>
          <w:lang w:val="en-GB"/>
        </w:rPr>
        <w:t>has been an Office of National Patent Filings since 1885 and an active PCT-ISA and PCT-IPEA since 1978.</w:t>
      </w:r>
    </w:p>
    <w:p w:rsidR="00A8418E" w:rsidRPr="00DF53ED" w:rsidRDefault="00A8418E" w:rsidP="00A8418E">
      <w:pPr>
        <w:rPr>
          <w:lang w:val="en-GB"/>
        </w:rPr>
      </w:pPr>
    </w:p>
    <w:p w:rsidR="00A8418E" w:rsidRPr="00DF53ED" w:rsidRDefault="00A8418E" w:rsidP="00A8418E">
      <w:pPr>
        <w:rPr>
          <w:lang w:val="en-GB"/>
        </w:rPr>
      </w:pPr>
      <w:r w:rsidRPr="00DF53ED">
        <w:rPr>
          <w:lang w:val="en-GB"/>
        </w:rPr>
        <w:t>Sweden is and has been one of the most innovative countries in the world, and was 2016 ranked as no 2 by the Global Innovation Index.</w:t>
      </w:r>
    </w:p>
    <w:p w:rsidR="00A8418E" w:rsidRPr="00DF53ED" w:rsidRDefault="00A8418E" w:rsidP="00A8418E">
      <w:pPr>
        <w:rPr>
          <w:lang w:val="en-GB"/>
        </w:rPr>
      </w:pPr>
    </w:p>
    <w:p w:rsidR="00A8418E" w:rsidRPr="00DF53ED" w:rsidRDefault="00A8418E" w:rsidP="00A8418E">
      <w:pPr>
        <w:rPr>
          <w:lang w:val="en-GB"/>
        </w:rPr>
      </w:pPr>
      <w:r w:rsidRPr="00DF53ED">
        <w:rPr>
          <w:lang w:val="en-GB"/>
        </w:rPr>
        <w:t>There is a significant demand for locally based services in the Nordic region, delivered in the local languages.  Swedish, Danish, Finnish and Norwegian are all among the most used languages of filing other than the languages of publication.  PRV continues to be the ISA chosen by a significant number of applicants from the region, including from Denmark, Finland and Norway as well as Sweden.</w:t>
      </w:r>
    </w:p>
    <w:p w:rsidR="00A8418E" w:rsidRPr="00DF53ED" w:rsidRDefault="00A8418E" w:rsidP="00A8418E">
      <w:pPr>
        <w:rPr>
          <w:lang w:val="en-GB"/>
        </w:rPr>
      </w:pPr>
      <w:r w:rsidRPr="00DF53ED">
        <w:rPr>
          <w:lang w:val="en-GB"/>
        </w:rPr>
        <w:t> </w:t>
      </w:r>
    </w:p>
    <w:p w:rsidR="00A8418E" w:rsidRPr="00005FD7" w:rsidRDefault="00A8418E" w:rsidP="00A8418E">
      <w:pPr>
        <w:rPr>
          <w:lang w:val="en-GB"/>
        </w:rPr>
      </w:pPr>
      <w:r w:rsidRPr="00DF53ED">
        <w:rPr>
          <w:lang w:val="en-GB"/>
        </w:rPr>
        <w:t>The Office’s position as an International Authority is also mutually supportive with the activities undertaken in relation to patent information and training, referred to in Section 5.</w:t>
      </w:r>
    </w:p>
    <w:p w:rsidR="00A8418E" w:rsidRPr="00DF53ED" w:rsidRDefault="00A8418E" w:rsidP="00A8418E">
      <w:pPr>
        <w:pStyle w:val="SectionHeading"/>
        <w:rPr>
          <w:sz w:val="22"/>
          <w:szCs w:val="22"/>
          <w:lang w:val="en-GB"/>
        </w:rPr>
      </w:pPr>
      <w:r w:rsidRPr="00DF53ED">
        <w:rPr>
          <w:sz w:val="22"/>
          <w:szCs w:val="22"/>
          <w:lang w:val="en-GB"/>
        </w:rPr>
        <w:t>5 – Applicant State(s)</w:t>
      </w:r>
    </w:p>
    <w:p w:rsidR="00A8418E" w:rsidRDefault="00A8418E" w:rsidP="00A8418E">
      <w:pPr>
        <w:rPr>
          <w:b/>
          <w:bCs/>
          <w:szCs w:val="22"/>
        </w:rPr>
      </w:pPr>
      <w:r>
        <w:rPr>
          <w:b/>
          <w:bCs/>
          <w:szCs w:val="22"/>
        </w:rPr>
        <w:t>Regional location</w:t>
      </w:r>
    </w:p>
    <w:p w:rsidR="00AA5F79" w:rsidRDefault="00AA5F79" w:rsidP="00F241A3"/>
    <w:p w:rsidR="00DF53ED" w:rsidRDefault="00DF53ED" w:rsidP="00DF53ED">
      <w:pPr>
        <w:jc w:val="center"/>
      </w:pPr>
      <w:r>
        <w:rPr>
          <w:noProof/>
          <w:lang w:eastAsia="en-US"/>
        </w:rPr>
        <w:drawing>
          <wp:inline distT="0" distB="0" distL="0" distR="0" wp14:anchorId="44EA2431" wp14:editId="47F4562D">
            <wp:extent cx="3784600" cy="2672080"/>
            <wp:effectExtent l="0" t="0" r="6350" b="0"/>
            <wp:docPr id="2" name="Bild 2" descr="https://upload.wikimedia.org/wikipedia/commons/thumb/0/06/EU-Sweden.svg/250px-EU-Sweden.svg.png"/>
            <wp:cNvGraphicFramePr/>
            <a:graphic xmlns:a="http://schemas.openxmlformats.org/drawingml/2006/main">
              <a:graphicData uri="http://schemas.openxmlformats.org/drawingml/2006/picture">
                <pic:pic xmlns:pic="http://schemas.openxmlformats.org/drawingml/2006/picture">
                  <pic:nvPicPr>
                    <pic:cNvPr id="2" name="Bild 2" descr="https://upload.wikimedia.org/wikipedia/commons/thumb/0/06/EU-Sweden.svg/250px-EU-Sweden.svg.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4600" cy="2672080"/>
                    </a:xfrm>
                    <a:prstGeom prst="rect">
                      <a:avLst/>
                    </a:prstGeom>
                    <a:noFill/>
                    <a:ln>
                      <a:noFill/>
                    </a:ln>
                  </pic:spPr>
                </pic:pic>
              </a:graphicData>
            </a:graphic>
          </wp:inline>
        </w:drawing>
      </w:r>
    </w:p>
    <w:p w:rsidR="00DF53ED" w:rsidRDefault="00DF53ED" w:rsidP="00DF53ED">
      <w:pPr>
        <w:jc w:val="center"/>
        <w:rPr>
          <w:rFonts w:eastAsia="Times New Roman"/>
          <w:i/>
          <w:iCs/>
          <w:szCs w:val="22"/>
        </w:rPr>
      </w:pPr>
      <w:r>
        <w:rPr>
          <w:i/>
          <w:iCs/>
          <w:szCs w:val="22"/>
        </w:rPr>
        <w:t>[Map showing Sweden and neighboring States]</w:t>
      </w:r>
    </w:p>
    <w:p w:rsidR="002D5802" w:rsidRDefault="002D5802" w:rsidP="00F241A3"/>
    <w:p w:rsidR="002D5802" w:rsidRDefault="002D5802" w:rsidP="002D5802">
      <w:pPr>
        <w:rPr>
          <w:szCs w:val="22"/>
        </w:rPr>
      </w:pPr>
      <w:r>
        <w:rPr>
          <w:b/>
          <w:bCs/>
          <w:szCs w:val="22"/>
        </w:rPr>
        <w:t>Regional organization memberships:</w:t>
      </w:r>
      <w:r>
        <w:rPr>
          <w:szCs w:val="22"/>
        </w:rPr>
        <w:t xml:space="preserve">  </w:t>
      </w:r>
    </w:p>
    <w:p w:rsidR="002D5802" w:rsidRPr="002D5802" w:rsidRDefault="002D5802" w:rsidP="002D5802">
      <w:pPr>
        <w:rPr>
          <w:lang w:val="en-GB"/>
        </w:rPr>
      </w:pPr>
      <w:r w:rsidRPr="002D5802">
        <w:rPr>
          <w:lang w:val="en-GB"/>
        </w:rPr>
        <w:t>EU, EPC, EUIPO</w:t>
      </w:r>
    </w:p>
    <w:p w:rsidR="002D5802" w:rsidRPr="002D5802" w:rsidRDefault="002D5802" w:rsidP="002D5802">
      <w:pPr>
        <w:rPr>
          <w:lang w:val="en-GB"/>
        </w:rPr>
      </w:pPr>
    </w:p>
    <w:p w:rsidR="002D5802" w:rsidRPr="002D5802" w:rsidRDefault="002D5802" w:rsidP="002D5802">
      <w:pPr>
        <w:rPr>
          <w:szCs w:val="22"/>
        </w:rPr>
      </w:pPr>
      <w:r w:rsidRPr="002D5802">
        <w:rPr>
          <w:b/>
          <w:bCs/>
          <w:szCs w:val="22"/>
        </w:rPr>
        <w:t>Population:</w:t>
      </w:r>
      <w:r w:rsidRPr="002D5802">
        <w:rPr>
          <w:szCs w:val="22"/>
        </w:rPr>
        <w:t xml:space="preserve">  </w:t>
      </w:r>
    </w:p>
    <w:p w:rsidR="002D5802" w:rsidRPr="002D5802" w:rsidRDefault="002D5802" w:rsidP="002D5802">
      <w:pPr>
        <w:rPr>
          <w:lang w:val="en-GB"/>
        </w:rPr>
      </w:pPr>
      <w:r w:rsidRPr="002D5802">
        <w:rPr>
          <w:lang w:val="en-GB"/>
        </w:rPr>
        <w:t>10 000 000+ (2017)</w:t>
      </w:r>
    </w:p>
    <w:p w:rsidR="002D5802" w:rsidRPr="002D5802" w:rsidRDefault="002D5802" w:rsidP="002D5802">
      <w:pPr>
        <w:rPr>
          <w:szCs w:val="22"/>
        </w:rPr>
      </w:pPr>
    </w:p>
    <w:p w:rsidR="002D5802" w:rsidRPr="002D5802" w:rsidRDefault="002D5802" w:rsidP="002D5802">
      <w:pPr>
        <w:rPr>
          <w:b/>
          <w:bCs/>
          <w:szCs w:val="22"/>
        </w:rPr>
      </w:pPr>
      <w:r w:rsidRPr="002D5802">
        <w:rPr>
          <w:b/>
          <w:bCs/>
          <w:szCs w:val="22"/>
        </w:rPr>
        <w:t xml:space="preserve">GDP </w:t>
      </w:r>
      <w:r w:rsidRPr="002D5802">
        <w:rPr>
          <w:b/>
          <w:bCs/>
          <w:i/>
          <w:iCs/>
          <w:szCs w:val="22"/>
        </w:rPr>
        <w:t>per capita</w:t>
      </w:r>
      <w:r w:rsidRPr="002D5802">
        <w:rPr>
          <w:b/>
          <w:bCs/>
          <w:szCs w:val="22"/>
        </w:rPr>
        <w:t xml:space="preserve">:  </w:t>
      </w:r>
    </w:p>
    <w:p w:rsidR="002D5802" w:rsidRDefault="002D5802" w:rsidP="002D5802">
      <w:pPr>
        <w:rPr>
          <w:bCs/>
          <w:lang w:val="en-GB"/>
        </w:rPr>
      </w:pPr>
      <w:r>
        <w:rPr>
          <w:bCs/>
          <w:lang w:val="en-GB"/>
        </w:rPr>
        <w:t>424,400 Swedish kronor</w:t>
      </w:r>
      <w:proofErr w:type="gramStart"/>
      <w:r>
        <w:rPr>
          <w:bCs/>
          <w:lang w:val="en-GB"/>
        </w:rPr>
        <w:t>;  44,761</w:t>
      </w:r>
      <w:proofErr w:type="gramEnd"/>
      <w:r>
        <w:rPr>
          <w:bCs/>
          <w:lang w:val="en-GB"/>
        </w:rPr>
        <w:t xml:space="preserve"> euros;  47,395 United States dollars</w:t>
      </w:r>
    </w:p>
    <w:p w:rsidR="002D5802" w:rsidRPr="002D5802" w:rsidRDefault="002D5802" w:rsidP="002D5802">
      <w:pPr>
        <w:rPr>
          <w:bCs/>
          <w:lang w:val="en-GB"/>
        </w:rPr>
      </w:pPr>
    </w:p>
    <w:p w:rsidR="002D5802" w:rsidRDefault="002D5802" w:rsidP="002D5802">
      <w:pPr>
        <w:rPr>
          <w:szCs w:val="22"/>
        </w:rPr>
      </w:pPr>
      <w:r>
        <w:rPr>
          <w:b/>
          <w:bCs/>
          <w:szCs w:val="22"/>
        </w:rPr>
        <w:t>Estimated national R&amp;D expenditure (% of GDP):</w:t>
      </w:r>
      <w:r>
        <w:rPr>
          <w:szCs w:val="22"/>
        </w:rPr>
        <w:t xml:space="preserve">  </w:t>
      </w:r>
    </w:p>
    <w:p w:rsidR="002D5802" w:rsidRPr="002D5802" w:rsidRDefault="002D5802" w:rsidP="002D5802">
      <w:pPr>
        <w:rPr>
          <w:bCs/>
          <w:lang w:val="en-GB"/>
        </w:rPr>
      </w:pPr>
      <w:r w:rsidRPr="002D5802">
        <w:rPr>
          <w:bCs/>
          <w:lang w:val="en-GB"/>
        </w:rPr>
        <w:t>3.31 (2013)</w:t>
      </w:r>
    </w:p>
    <w:p w:rsidR="002D5802" w:rsidRPr="002D5802" w:rsidRDefault="002D5802" w:rsidP="002D5802">
      <w:pPr>
        <w:rPr>
          <w:szCs w:val="22"/>
        </w:rPr>
      </w:pPr>
    </w:p>
    <w:p w:rsidR="002D5802" w:rsidRPr="002D5802" w:rsidRDefault="002D5802" w:rsidP="002D5802">
      <w:pPr>
        <w:rPr>
          <w:b/>
          <w:bCs/>
          <w:szCs w:val="22"/>
        </w:rPr>
      </w:pPr>
      <w:r w:rsidRPr="002D5802">
        <w:rPr>
          <w:b/>
          <w:bCs/>
          <w:szCs w:val="22"/>
        </w:rPr>
        <w:t xml:space="preserve">Number of research universities:  </w:t>
      </w:r>
    </w:p>
    <w:p w:rsidR="002D5802" w:rsidRPr="002D5802" w:rsidRDefault="002D5802" w:rsidP="002D5802">
      <w:pPr>
        <w:rPr>
          <w:bCs/>
          <w:lang w:val="en-GB"/>
        </w:rPr>
      </w:pPr>
      <w:r w:rsidRPr="002D5802">
        <w:rPr>
          <w:bCs/>
          <w:lang w:val="en-GB"/>
        </w:rPr>
        <w:t>28 Universities</w:t>
      </w:r>
    </w:p>
    <w:p w:rsidR="002D5802" w:rsidRPr="002D5802" w:rsidRDefault="002D5802" w:rsidP="002D5802">
      <w:pPr>
        <w:rPr>
          <w:szCs w:val="22"/>
        </w:rPr>
      </w:pPr>
    </w:p>
    <w:p w:rsidR="00005FD7" w:rsidRDefault="002D5802" w:rsidP="002D5802">
      <w:pPr>
        <w:rPr>
          <w:b/>
          <w:bCs/>
          <w:szCs w:val="22"/>
        </w:rPr>
      </w:pPr>
      <w:r w:rsidRPr="002D5802">
        <w:rPr>
          <w:b/>
          <w:bCs/>
          <w:szCs w:val="22"/>
        </w:rPr>
        <w:lastRenderedPageBreak/>
        <w:t xml:space="preserve">Summary of national patent information network (for example patent libraries, technology and innovation support centers):  </w:t>
      </w:r>
    </w:p>
    <w:p w:rsidR="00005FD7" w:rsidRPr="002D5802" w:rsidRDefault="00005FD7" w:rsidP="002D5802">
      <w:pPr>
        <w:rPr>
          <w:b/>
          <w:bCs/>
          <w:szCs w:val="22"/>
        </w:rPr>
      </w:pPr>
    </w:p>
    <w:p w:rsidR="002D5802" w:rsidRPr="002D5802" w:rsidRDefault="002D5802" w:rsidP="002D5802">
      <w:pPr>
        <w:rPr>
          <w:szCs w:val="22"/>
          <w:lang w:val="en-GB" w:eastAsia="en-US"/>
        </w:rPr>
      </w:pPr>
      <w:r w:rsidRPr="002D5802">
        <w:rPr>
          <w:szCs w:val="22"/>
          <w:lang w:val="en-GB" w:eastAsia="en-US"/>
        </w:rPr>
        <w:t xml:space="preserve">PRV works with dissemination of information on patents, and intellectual property, in a number of ways. </w:t>
      </w:r>
      <w:r w:rsidR="000A7B95">
        <w:rPr>
          <w:szCs w:val="22"/>
          <w:lang w:val="en-GB" w:eastAsia="en-US"/>
        </w:rPr>
        <w:t xml:space="preserve"> </w:t>
      </w:r>
      <w:r w:rsidRPr="002D5802">
        <w:rPr>
          <w:szCs w:val="22"/>
          <w:lang w:val="en-GB" w:eastAsia="en-US"/>
        </w:rPr>
        <w:t>The strategy for providing information support to entrepreneurs and SME</w:t>
      </w:r>
      <w:proofErr w:type="gramStart"/>
      <w:r w:rsidRPr="002D5802">
        <w:rPr>
          <w:szCs w:val="22"/>
          <w:lang w:val="en-GB" w:eastAsia="en-US"/>
        </w:rPr>
        <w:t>:s</w:t>
      </w:r>
      <w:proofErr w:type="gramEnd"/>
      <w:r w:rsidRPr="002D5802">
        <w:rPr>
          <w:szCs w:val="22"/>
          <w:lang w:val="en-GB" w:eastAsia="en-US"/>
        </w:rPr>
        <w:t xml:space="preserve"> is to combine access to valuable information on digital platforms with personal meetings, and also via intermediaries such as different public advisor organisations. </w:t>
      </w:r>
    </w:p>
    <w:p w:rsidR="002D5802" w:rsidRPr="002D5802" w:rsidRDefault="002D5802" w:rsidP="002D5802">
      <w:pPr>
        <w:rPr>
          <w:szCs w:val="22"/>
          <w:lang w:val="en-GB" w:eastAsia="en-US"/>
        </w:rPr>
      </w:pPr>
    </w:p>
    <w:p w:rsidR="002D5802" w:rsidRPr="002D5802" w:rsidRDefault="002D5802" w:rsidP="002D5802">
      <w:pPr>
        <w:rPr>
          <w:szCs w:val="22"/>
          <w:lang w:val="en-GB" w:eastAsia="en-US"/>
        </w:rPr>
      </w:pPr>
      <w:r w:rsidRPr="002D5802">
        <w:rPr>
          <w:szCs w:val="22"/>
          <w:lang w:val="en-GB" w:eastAsia="en-US"/>
        </w:rPr>
        <w:t xml:space="preserve">Both the PRV website and the verksamt.se website function as digital platforms for information dissemination. </w:t>
      </w:r>
      <w:r w:rsidR="000A7B95">
        <w:rPr>
          <w:szCs w:val="22"/>
          <w:lang w:val="en-GB" w:eastAsia="en-US"/>
        </w:rPr>
        <w:t xml:space="preserve"> </w:t>
      </w:r>
      <w:r w:rsidRPr="002D5802">
        <w:rPr>
          <w:szCs w:val="22"/>
          <w:lang w:val="en-GB" w:eastAsia="en-US"/>
        </w:rPr>
        <w:t xml:space="preserve">Verksamt.se is built by a network of Swedish innovation supporting agencies, with the aim of providing all information that is needed to start, develop and run an enterprise at one common platform. </w:t>
      </w:r>
      <w:r w:rsidR="000A7B95">
        <w:rPr>
          <w:szCs w:val="22"/>
          <w:lang w:val="en-GB" w:eastAsia="en-US"/>
        </w:rPr>
        <w:t xml:space="preserve"> </w:t>
      </w:r>
      <w:r w:rsidRPr="002D5802">
        <w:rPr>
          <w:szCs w:val="22"/>
          <w:lang w:val="en-GB" w:eastAsia="en-US"/>
        </w:rPr>
        <w:t xml:space="preserve">PRV has through its contribution to the network made sure that information on intellectual property is provided in a relevant context. </w:t>
      </w:r>
    </w:p>
    <w:p w:rsidR="002D5802" w:rsidRPr="002D5802" w:rsidRDefault="002D5802" w:rsidP="002D5802">
      <w:pPr>
        <w:rPr>
          <w:szCs w:val="22"/>
          <w:lang w:val="en-GB" w:eastAsia="en-US"/>
        </w:rPr>
      </w:pPr>
    </w:p>
    <w:p w:rsidR="002D5802" w:rsidRDefault="002D5802" w:rsidP="002D5802">
      <w:pPr>
        <w:rPr>
          <w:szCs w:val="22"/>
          <w:lang w:val="en-GB" w:eastAsia="en-US"/>
        </w:rPr>
      </w:pPr>
      <w:r w:rsidRPr="002D5802">
        <w:rPr>
          <w:szCs w:val="22"/>
          <w:lang w:val="en-GB" w:eastAsia="en-US"/>
        </w:rPr>
        <w:t xml:space="preserve">In order to create opportunities for personal meetings, PRV continuously visits regional and local innovation days all over Sweden in order to contribute with information on intellectual property. </w:t>
      </w:r>
    </w:p>
    <w:p w:rsidR="00005FD7" w:rsidRPr="002D5802" w:rsidRDefault="00005FD7" w:rsidP="002D5802">
      <w:pPr>
        <w:rPr>
          <w:szCs w:val="22"/>
          <w:lang w:val="en-GB" w:eastAsia="en-US"/>
        </w:rPr>
      </w:pPr>
    </w:p>
    <w:p w:rsidR="002D5802" w:rsidRPr="002D5802" w:rsidRDefault="002D5802" w:rsidP="002D5802">
      <w:pPr>
        <w:rPr>
          <w:szCs w:val="22"/>
          <w:lang w:val="en-GB" w:eastAsia="en-US"/>
        </w:rPr>
      </w:pPr>
      <w:r w:rsidRPr="002D5802">
        <w:rPr>
          <w:szCs w:val="22"/>
          <w:lang w:val="en-GB" w:eastAsia="en-US"/>
        </w:rPr>
        <w:t xml:space="preserve">The innovation supporting agencies network (mentioned above) also tours with start-up days, attracting many participants, where information on intellectual property is an integral part. </w:t>
      </w:r>
    </w:p>
    <w:p w:rsidR="002D5802" w:rsidRPr="002D5802" w:rsidRDefault="002D5802" w:rsidP="002D5802">
      <w:pPr>
        <w:rPr>
          <w:szCs w:val="22"/>
          <w:lang w:val="en-GB" w:eastAsia="en-US"/>
        </w:rPr>
      </w:pPr>
      <w:r w:rsidRPr="002D5802">
        <w:rPr>
          <w:szCs w:val="22"/>
          <w:lang w:val="en-GB" w:eastAsia="en-US"/>
        </w:rPr>
        <w:t xml:space="preserve">In 2016, as a part of the Swedish government’s strategy on export, 6 regional export centres were established. </w:t>
      </w:r>
      <w:r w:rsidR="000A7B95">
        <w:rPr>
          <w:szCs w:val="22"/>
          <w:lang w:val="en-GB" w:eastAsia="en-US"/>
        </w:rPr>
        <w:t xml:space="preserve"> </w:t>
      </w:r>
      <w:r w:rsidRPr="002D5802">
        <w:rPr>
          <w:szCs w:val="22"/>
          <w:lang w:val="en-GB" w:eastAsia="en-US"/>
        </w:rPr>
        <w:t>PRV is as a national agency part of these centres network for information and support on IP.</w:t>
      </w:r>
    </w:p>
    <w:p w:rsidR="002D5802" w:rsidRPr="002D5802" w:rsidRDefault="002D5802" w:rsidP="002D5802">
      <w:pPr>
        <w:rPr>
          <w:szCs w:val="22"/>
          <w:lang w:val="en-GB" w:eastAsia="en-US"/>
        </w:rPr>
      </w:pPr>
    </w:p>
    <w:p w:rsidR="002D5802" w:rsidRPr="00005FD7" w:rsidRDefault="002D5802" w:rsidP="002D5802">
      <w:pPr>
        <w:rPr>
          <w:szCs w:val="22"/>
          <w:lang w:val="en-GB" w:eastAsia="en-US"/>
        </w:rPr>
      </w:pPr>
      <w:r w:rsidRPr="002D5802">
        <w:rPr>
          <w:szCs w:val="22"/>
          <w:lang w:val="en-GB" w:eastAsia="en-US"/>
        </w:rPr>
        <w:t xml:space="preserve">PRV has also established a network of intermediaries and frequently organises trainings and seminars for these organisations. </w:t>
      </w:r>
      <w:r w:rsidR="000A7B95">
        <w:rPr>
          <w:szCs w:val="22"/>
          <w:lang w:val="en-GB" w:eastAsia="en-US"/>
        </w:rPr>
        <w:t xml:space="preserve"> </w:t>
      </w:r>
      <w:r w:rsidRPr="002D5802">
        <w:rPr>
          <w:szCs w:val="22"/>
          <w:lang w:val="en-GB" w:eastAsia="en-US"/>
        </w:rPr>
        <w:t xml:space="preserve">For </w:t>
      </w:r>
      <w:r w:rsidRPr="002D5802">
        <w:rPr>
          <w:szCs w:val="22"/>
          <w:lang w:val="en-GB"/>
        </w:rPr>
        <w:t>example,</w:t>
      </w:r>
      <w:r w:rsidRPr="002D5802">
        <w:rPr>
          <w:szCs w:val="22"/>
          <w:lang w:val="en-GB" w:eastAsia="en-US"/>
        </w:rPr>
        <w:t xml:space="preserve"> PRV has, in collaboration with the Swedish innovation agency, since 2013 broadcasted seminars over the internet on different IP related topics, 2-4 times per year. </w:t>
      </w:r>
      <w:r w:rsidR="000A7B95">
        <w:rPr>
          <w:szCs w:val="22"/>
          <w:lang w:val="en-GB" w:eastAsia="en-US"/>
        </w:rPr>
        <w:t xml:space="preserve"> </w:t>
      </w:r>
      <w:r w:rsidRPr="002D5802">
        <w:rPr>
          <w:szCs w:val="22"/>
          <w:lang w:val="en-GB" w:eastAsia="en-US"/>
        </w:rPr>
        <w:t>The seminars are also available over the PRV website, and possible to take view subsequently.  </w:t>
      </w:r>
    </w:p>
    <w:p w:rsidR="002D5802" w:rsidRDefault="002D5802" w:rsidP="002D5802">
      <w:pPr>
        <w:rPr>
          <w:szCs w:val="22"/>
          <w:lang w:val="en-GB"/>
        </w:rPr>
      </w:pPr>
    </w:p>
    <w:p w:rsidR="002D5802" w:rsidRDefault="002D5802" w:rsidP="002D5802">
      <w:pPr>
        <w:rPr>
          <w:szCs w:val="22"/>
        </w:rPr>
      </w:pPr>
      <w:r>
        <w:rPr>
          <w:b/>
          <w:bCs/>
          <w:szCs w:val="22"/>
        </w:rPr>
        <w:t>Major local industries:</w:t>
      </w:r>
      <w:r>
        <w:rPr>
          <w:szCs w:val="22"/>
        </w:rPr>
        <w:t xml:space="preserve"> </w:t>
      </w:r>
    </w:p>
    <w:p w:rsidR="002D5802" w:rsidRDefault="002D5802" w:rsidP="002D5802">
      <w:pPr>
        <w:rPr>
          <w:szCs w:val="22"/>
        </w:rPr>
      </w:pPr>
    </w:p>
    <w:p w:rsidR="002D5802" w:rsidRDefault="00005FD7" w:rsidP="002D5802">
      <w:pPr>
        <w:rPr>
          <w:szCs w:val="22"/>
        </w:rPr>
      </w:pPr>
      <w:r w:rsidRPr="00005FD7">
        <w:rPr>
          <w:szCs w:val="22"/>
        </w:rPr>
        <w:t xml:space="preserve">The economy of Sweden is a developed export-oriented economy aided by timber, hydropower, and iron ore. </w:t>
      </w:r>
      <w:r w:rsidR="000A7B95">
        <w:rPr>
          <w:szCs w:val="22"/>
        </w:rPr>
        <w:t xml:space="preserve"> </w:t>
      </w:r>
      <w:r w:rsidRPr="00005FD7">
        <w:rPr>
          <w:szCs w:val="22"/>
        </w:rPr>
        <w:t xml:space="preserve">These constitute the resource base of an economy oriented toward foreign trade. </w:t>
      </w:r>
      <w:r w:rsidR="000A7B95">
        <w:rPr>
          <w:szCs w:val="22"/>
        </w:rPr>
        <w:t xml:space="preserve"> </w:t>
      </w:r>
      <w:r w:rsidRPr="00005FD7">
        <w:rPr>
          <w:szCs w:val="22"/>
        </w:rPr>
        <w:t>The main industries include motor vehicles, telecommunications, pharmaceuticals, industrial machines, precision equipment, chemical goods, home goods and appliances, forestry, iron, and steel.</w:t>
      </w:r>
    </w:p>
    <w:p w:rsidR="00005FD7" w:rsidRDefault="00005FD7" w:rsidP="002D5802">
      <w:pPr>
        <w:rPr>
          <w:szCs w:val="22"/>
        </w:rPr>
      </w:pPr>
    </w:p>
    <w:p w:rsidR="002D5802" w:rsidRDefault="002D5802" w:rsidP="002D5802">
      <w:pPr>
        <w:rPr>
          <w:lang w:val="en-GB"/>
        </w:rPr>
      </w:pPr>
      <w:r>
        <w:rPr>
          <w:b/>
          <w:bCs/>
          <w:szCs w:val="22"/>
        </w:rPr>
        <w:t>Major trading partner States:</w:t>
      </w:r>
      <w:r>
        <w:rPr>
          <w:szCs w:val="22"/>
        </w:rPr>
        <w:t xml:space="preserve"> </w:t>
      </w:r>
      <w:r>
        <w:rPr>
          <w:b/>
          <w:bCs/>
          <w:lang w:val="en-GB"/>
        </w:rPr>
        <w:t>(Top 10, 2015 in descending order based on value of export goods):</w:t>
      </w:r>
      <w:r>
        <w:rPr>
          <w:lang w:val="en-GB"/>
        </w:rPr>
        <w:t xml:space="preserve">  </w:t>
      </w:r>
    </w:p>
    <w:p w:rsidR="00005FD7" w:rsidRDefault="00005FD7" w:rsidP="002D5802">
      <w:pPr>
        <w:rPr>
          <w:lang w:val="en-GB"/>
        </w:rPr>
      </w:pPr>
    </w:p>
    <w:p w:rsidR="002D5802" w:rsidRPr="00005FD7" w:rsidRDefault="002D5802" w:rsidP="002D5802">
      <w:pPr>
        <w:rPr>
          <w:lang w:val="en-GB"/>
        </w:rPr>
      </w:pPr>
      <w:r w:rsidRPr="00005FD7">
        <w:rPr>
          <w:lang w:val="en-GB"/>
        </w:rPr>
        <w:t>Norway</w:t>
      </w:r>
    </w:p>
    <w:p w:rsidR="002D5802" w:rsidRPr="00005FD7" w:rsidRDefault="002D5802" w:rsidP="002D5802">
      <w:pPr>
        <w:rPr>
          <w:lang w:val="en-GB"/>
        </w:rPr>
      </w:pPr>
      <w:r w:rsidRPr="00005FD7">
        <w:rPr>
          <w:lang w:val="en-GB"/>
        </w:rPr>
        <w:t>Germany</w:t>
      </w:r>
    </w:p>
    <w:p w:rsidR="002D5802" w:rsidRPr="00005FD7" w:rsidRDefault="00005FD7" w:rsidP="002D5802">
      <w:pPr>
        <w:rPr>
          <w:lang w:val="en-GB"/>
        </w:rPr>
      </w:pPr>
      <w:r>
        <w:rPr>
          <w:lang w:val="en-GB"/>
        </w:rPr>
        <w:t>United States of America</w:t>
      </w:r>
    </w:p>
    <w:p w:rsidR="002D5802" w:rsidRPr="00005FD7" w:rsidRDefault="002D5802" w:rsidP="002D5802">
      <w:pPr>
        <w:rPr>
          <w:lang w:val="en-GB"/>
        </w:rPr>
      </w:pPr>
      <w:r w:rsidRPr="00005FD7">
        <w:rPr>
          <w:lang w:val="en-GB"/>
        </w:rPr>
        <w:t>Great Britain</w:t>
      </w:r>
    </w:p>
    <w:p w:rsidR="002D5802" w:rsidRPr="00005FD7" w:rsidRDefault="002D5802" w:rsidP="002D5802">
      <w:pPr>
        <w:rPr>
          <w:lang w:val="en-GB"/>
        </w:rPr>
      </w:pPr>
      <w:r w:rsidRPr="00005FD7">
        <w:rPr>
          <w:lang w:val="en-GB"/>
        </w:rPr>
        <w:t>Denmark</w:t>
      </w:r>
    </w:p>
    <w:p w:rsidR="002D5802" w:rsidRPr="00005FD7" w:rsidRDefault="002D5802" w:rsidP="002D5802">
      <w:pPr>
        <w:rPr>
          <w:lang w:val="en-GB"/>
        </w:rPr>
      </w:pPr>
      <w:r w:rsidRPr="00005FD7">
        <w:rPr>
          <w:lang w:val="en-GB"/>
        </w:rPr>
        <w:t>Finland</w:t>
      </w:r>
    </w:p>
    <w:p w:rsidR="002D5802" w:rsidRPr="00005FD7" w:rsidRDefault="002D5802" w:rsidP="002D5802">
      <w:pPr>
        <w:rPr>
          <w:lang w:val="en-GB"/>
        </w:rPr>
      </w:pPr>
      <w:r w:rsidRPr="00005FD7">
        <w:rPr>
          <w:lang w:val="en-GB"/>
        </w:rPr>
        <w:t>The Netherlands</w:t>
      </w:r>
    </w:p>
    <w:p w:rsidR="002D5802" w:rsidRPr="00005FD7" w:rsidRDefault="002D5802" w:rsidP="002D5802">
      <w:pPr>
        <w:rPr>
          <w:lang w:val="en-GB"/>
        </w:rPr>
      </w:pPr>
      <w:r w:rsidRPr="00005FD7">
        <w:rPr>
          <w:lang w:val="en-GB"/>
        </w:rPr>
        <w:t>Belgium</w:t>
      </w:r>
    </w:p>
    <w:p w:rsidR="002D5802" w:rsidRPr="00005FD7" w:rsidRDefault="002D5802" w:rsidP="002D5802">
      <w:pPr>
        <w:rPr>
          <w:lang w:val="en-GB"/>
        </w:rPr>
      </w:pPr>
      <w:r w:rsidRPr="00005FD7">
        <w:rPr>
          <w:lang w:val="en-GB"/>
        </w:rPr>
        <w:t xml:space="preserve">France </w:t>
      </w:r>
    </w:p>
    <w:p w:rsidR="002D5802" w:rsidRPr="00005FD7" w:rsidRDefault="002D5802" w:rsidP="002D5802">
      <w:pPr>
        <w:rPr>
          <w:lang w:val="en-GB"/>
        </w:rPr>
      </w:pPr>
      <w:r w:rsidRPr="00005FD7">
        <w:rPr>
          <w:lang w:val="en-GB"/>
        </w:rPr>
        <w:t>China</w:t>
      </w:r>
    </w:p>
    <w:p w:rsidR="002D5802" w:rsidRPr="00F66AAB" w:rsidRDefault="002D5802" w:rsidP="005F02F6">
      <w:pPr>
        <w:pStyle w:val="SectionHeading"/>
        <w:keepLines/>
        <w:pBdr>
          <w:top w:val="single" w:sz="4" w:space="0" w:color="auto"/>
        </w:pBdr>
        <w:rPr>
          <w:sz w:val="22"/>
          <w:szCs w:val="22"/>
          <w:lang w:val="en-GB"/>
        </w:rPr>
      </w:pPr>
      <w:r w:rsidRPr="00F66AAB">
        <w:rPr>
          <w:sz w:val="22"/>
          <w:szCs w:val="22"/>
          <w:lang w:val="en-GB"/>
        </w:rPr>
        <w:lastRenderedPageBreak/>
        <w:t>6 – Profile of Patent Applications</w:t>
      </w:r>
    </w:p>
    <w:p w:rsidR="00F66AAB" w:rsidRDefault="00F66AAB" w:rsidP="005F02F6">
      <w:pPr>
        <w:keepNext/>
        <w:keepLines/>
        <w:rPr>
          <w:b/>
          <w:bCs/>
          <w:szCs w:val="22"/>
        </w:rPr>
      </w:pPr>
    </w:p>
    <w:p w:rsidR="002D5802" w:rsidRDefault="002D5802" w:rsidP="005F02F6">
      <w:pPr>
        <w:keepNext/>
        <w:keepLines/>
        <w:rPr>
          <w:b/>
          <w:bCs/>
          <w:szCs w:val="22"/>
        </w:rPr>
      </w:pPr>
      <w:r>
        <w:rPr>
          <w:b/>
          <w:bCs/>
          <w:szCs w:val="22"/>
        </w:rPr>
        <w:t>Number of national applications received – by technical field</w:t>
      </w:r>
    </w:p>
    <w:p w:rsidR="00AA5F79" w:rsidRPr="00F241A3" w:rsidRDefault="00AA5F79" w:rsidP="00F241A3"/>
    <w:tbl>
      <w:tblPr>
        <w:tblStyle w:val="TableGrid"/>
        <w:tblW w:w="0" w:type="auto"/>
        <w:tblLook w:val="04A0" w:firstRow="1" w:lastRow="0" w:firstColumn="1" w:lastColumn="0" w:noHBand="0" w:noVBand="1"/>
      </w:tblPr>
      <w:tblGrid>
        <w:gridCol w:w="2643"/>
        <w:gridCol w:w="1385"/>
        <w:gridCol w:w="1386"/>
        <w:gridCol w:w="1385"/>
        <w:gridCol w:w="1386"/>
        <w:gridCol w:w="1386"/>
      </w:tblGrid>
      <w:tr w:rsidR="00005FD7" w:rsidTr="00005FD7">
        <w:tc>
          <w:tcPr>
            <w:tcW w:w="2643" w:type="dxa"/>
          </w:tcPr>
          <w:p w:rsidR="00005FD7" w:rsidRPr="00005FD7" w:rsidRDefault="00367344" w:rsidP="00367344">
            <w:pPr>
              <w:jc w:val="center"/>
              <w:rPr>
                <w:b/>
              </w:rPr>
            </w:pPr>
            <w:r>
              <w:rPr>
                <w:b/>
              </w:rPr>
              <w:t>Technical field/Y</w:t>
            </w:r>
            <w:r w:rsidR="00005FD7" w:rsidRPr="00005FD7">
              <w:rPr>
                <w:b/>
              </w:rPr>
              <w:t>ear</w:t>
            </w:r>
          </w:p>
        </w:tc>
        <w:tc>
          <w:tcPr>
            <w:tcW w:w="1385" w:type="dxa"/>
          </w:tcPr>
          <w:p w:rsidR="00005FD7" w:rsidRPr="00005FD7" w:rsidRDefault="00005FD7" w:rsidP="00367344">
            <w:pPr>
              <w:jc w:val="center"/>
              <w:rPr>
                <w:b/>
              </w:rPr>
            </w:pPr>
            <w:r w:rsidRPr="00005FD7">
              <w:rPr>
                <w:b/>
              </w:rPr>
              <w:t>2012</w:t>
            </w:r>
          </w:p>
        </w:tc>
        <w:tc>
          <w:tcPr>
            <w:tcW w:w="1386" w:type="dxa"/>
          </w:tcPr>
          <w:p w:rsidR="00005FD7" w:rsidRPr="00005FD7" w:rsidRDefault="00005FD7" w:rsidP="00367344">
            <w:pPr>
              <w:jc w:val="center"/>
              <w:rPr>
                <w:b/>
              </w:rPr>
            </w:pPr>
            <w:r w:rsidRPr="00005FD7">
              <w:rPr>
                <w:b/>
              </w:rPr>
              <w:t>2013</w:t>
            </w:r>
          </w:p>
        </w:tc>
        <w:tc>
          <w:tcPr>
            <w:tcW w:w="1385" w:type="dxa"/>
          </w:tcPr>
          <w:p w:rsidR="00005FD7" w:rsidRPr="00005FD7" w:rsidRDefault="00005FD7" w:rsidP="00367344">
            <w:pPr>
              <w:jc w:val="center"/>
              <w:rPr>
                <w:b/>
              </w:rPr>
            </w:pPr>
            <w:r w:rsidRPr="00005FD7">
              <w:rPr>
                <w:b/>
              </w:rPr>
              <w:t>2014</w:t>
            </w:r>
          </w:p>
        </w:tc>
        <w:tc>
          <w:tcPr>
            <w:tcW w:w="1386" w:type="dxa"/>
          </w:tcPr>
          <w:p w:rsidR="00005FD7" w:rsidRPr="00005FD7" w:rsidRDefault="00005FD7" w:rsidP="00367344">
            <w:pPr>
              <w:jc w:val="center"/>
              <w:rPr>
                <w:b/>
              </w:rPr>
            </w:pPr>
            <w:r w:rsidRPr="00005FD7">
              <w:rPr>
                <w:b/>
              </w:rPr>
              <w:t>2015</w:t>
            </w:r>
          </w:p>
        </w:tc>
        <w:tc>
          <w:tcPr>
            <w:tcW w:w="1386" w:type="dxa"/>
          </w:tcPr>
          <w:p w:rsidR="00005FD7" w:rsidRPr="00005FD7" w:rsidRDefault="00005FD7" w:rsidP="00367344">
            <w:pPr>
              <w:jc w:val="center"/>
              <w:rPr>
                <w:b/>
              </w:rPr>
            </w:pPr>
            <w:r w:rsidRPr="00005FD7">
              <w:rPr>
                <w:b/>
              </w:rPr>
              <w:t>2016</w:t>
            </w:r>
          </w:p>
        </w:tc>
      </w:tr>
      <w:tr w:rsidR="00005FD7" w:rsidTr="00005FD7">
        <w:tc>
          <w:tcPr>
            <w:tcW w:w="2643" w:type="dxa"/>
          </w:tcPr>
          <w:p w:rsidR="00005FD7" w:rsidRDefault="00005FD7" w:rsidP="00F241A3">
            <w:r w:rsidRPr="00005FD7">
              <w:t>Chemistry</w:t>
            </w:r>
          </w:p>
        </w:tc>
        <w:tc>
          <w:tcPr>
            <w:tcW w:w="1385" w:type="dxa"/>
          </w:tcPr>
          <w:p w:rsidR="00005FD7" w:rsidRDefault="00005FD7" w:rsidP="00367344">
            <w:pPr>
              <w:jc w:val="right"/>
            </w:pPr>
            <w:r>
              <w:t>359</w:t>
            </w:r>
          </w:p>
        </w:tc>
        <w:tc>
          <w:tcPr>
            <w:tcW w:w="1386" w:type="dxa"/>
          </w:tcPr>
          <w:p w:rsidR="00005FD7" w:rsidRDefault="00005FD7" w:rsidP="00367344">
            <w:pPr>
              <w:jc w:val="right"/>
            </w:pPr>
            <w:r>
              <w:t>400</w:t>
            </w:r>
          </w:p>
        </w:tc>
        <w:tc>
          <w:tcPr>
            <w:tcW w:w="1385" w:type="dxa"/>
          </w:tcPr>
          <w:p w:rsidR="00005FD7" w:rsidRDefault="00005FD7" w:rsidP="00367344">
            <w:pPr>
              <w:jc w:val="right"/>
            </w:pPr>
            <w:r>
              <w:t>381</w:t>
            </w:r>
          </w:p>
        </w:tc>
        <w:tc>
          <w:tcPr>
            <w:tcW w:w="1386" w:type="dxa"/>
          </w:tcPr>
          <w:p w:rsidR="00005FD7" w:rsidRDefault="00005FD7" w:rsidP="00367344">
            <w:pPr>
              <w:jc w:val="right"/>
            </w:pPr>
            <w:r>
              <w:t>349</w:t>
            </w:r>
          </w:p>
        </w:tc>
        <w:tc>
          <w:tcPr>
            <w:tcW w:w="1386" w:type="dxa"/>
          </w:tcPr>
          <w:p w:rsidR="00005FD7" w:rsidRDefault="00005FD7" w:rsidP="00367344">
            <w:pPr>
              <w:jc w:val="right"/>
            </w:pPr>
            <w:r>
              <w:t>330</w:t>
            </w:r>
          </w:p>
        </w:tc>
      </w:tr>
      <w:tr w:rsidR="00005FD7" w:rsidTr="00005FD7">
        <w:tc>
          <w:tcPr>
            <w:tcW w:w="2643" w:type="dxa"/>
          </w:tcPr>
          <w:p w:rsidR="00005FD7" w:rsidRDefault="00005FD7" w:rsidP="00005FD7">
            <w:r>
              <w:t>Electrical engineering</w:t>
            </w:r>
          </w:p>
        </w:tc>
        <w:tc>
          <w:tcPr>
            <w:tcW w:w="1385" w:type="dxa"/>
          </w:tcPr>
          <w:p w:rsidR="00005FD7" w:rsidRDefault="00005FD7" w:rsidP="00367344">
            <w:pPr>
              <w:jc w:val="right"/>
            </w:pPr>
            <w:r>
              <w:t>354</w:t>
            </w:r>
          </w:p>
        </w:tc>
        <w:tc>
          <w:tcPr>
            <w:tcW w:w="1386" w:type="dxa"/>
          </w:tcPr>
          <w:p w:rsidR="00005FD7" w:rsidRDefault="00005FD7" w:rsidP="00367344">
            <w:pPr>
              <w:jc w:val="right"/>
            </w:pPr>
            <w:r>
              <w:t>342</w:t>
            </w:r>
          </w:p>
        </w:tc>
        <w:tc>
          <w:tcPr>
            <w:tcW w:w="1385" w:type="dxa"/>
          </w:tcPr>
          <w:p w:rsidR="00005FD7" w:rsidRDefault="00005FD7" w:rsidP="00367344">
            <w:pPr>
              <w:jc w:val="right"/>
            </w:pPr>
            <w:r>
              <w:t>324</w:t>
            </w:r>
          </w:p>
        </w:tc>
        <w:tc>
          <w:tcPr>
            <w:tcW w:w="1386" w:type="dxa"/>
          </w:tcPr>
          <w:p w:rsidR="00005FD7" w:rsidRDefault="00005FD7" w:rsidP="00367344">
            <w:pPr>
              <w:jc w:val="right"/>
            </w:pPr>
            <w:r>
              <w:t>366</w:t>
            </w:r>
          </w:p>
        </w:tc>
        <w:tc>
          <w:tcPr>
            <w:tcW w:w="1386" w:type="dxa"/>
          </w:tcPr>
          <w:p w:rsidR="00005FD7" w:rsidRDefault="00005FD7" w:rsidP="00367344">
            <w:pPr>
              <w:jc w:val="right"/>
            </w:pPr>
            <w:r>
              <w:t>383</w:t>
            </w:r>
          </w:p>
        </w:tc>
      </w:tr>
      <w:tr w:rsidR="00005FD7" w:rsidTr="00005FD7">
        <w:tc>
          <w:tcPr>
            <w:tcW w:w="2643" w:type="dxa"/>
          </w:tcPr>
          <w:p w:rsidR="00005FD7" w:rsidRDefault="00005FD7" w:rsidP="00F241A3">
            <w:r w:rsidRPr="00005FD7">
              <w:t>Instruments</w:t>
            </w:r>
          </w:p>
        </w:tc>
        <w:tc>
          <w:tcPr>
            <w:tcW w:w="1385" w:type="dxa"/>
          </w:tcPr>
          <w:p w:rsidR="00005FD7" w:rsidRDefault="00005FD7" w:rsidP="00367344">
            <w:pPr>
              <w:jc w:val="right"/>
            </w:pPr>
            <w:r>
              <w:t>396</w:t>
            </w:r>
          </w:p>
        </w:tc>
        <w:tc>
          <w:tcPr>
            <w:tcW w:w="1386" w:type="dxa"/>
          </w:tcPr>
          <w:p w:rsidR="00005FD7" w:rsidRDefault="00005FD7" w:rsidP="00367344">
            <w:pPr>
              <w:jc w:val="right"/>
            </w:pPr>
            <w:r>
              <w:t>352</w:t>
            </w:r>
          </w:p>
        </w:tc>
        <w:tc>
          <w:tcPr>
            <w:tcW w:w="1385" w:type="dxa"/>
          </w:tcPr>
          <w:p w:rsidR="00005FD7" w:rsidRDefault="00005FD7" w:rsidP="00367344">
            <w:pPr>
              <w:jc w:val="right"/>
            </w:pPr>
            <w:r>
              <w:t>343</w:t>
            </w:r>
          </w:p>
        </w:tc>
        <w:tc>
          <w:tcPr>
            <w:tcW w:w="1386" w:type="dxa"/>
          </w:tcPr>
          <w:p w:rsidR="00005FD7" w:rsidRDefault="00005FD7" w:rsidP="00367344">
            <w:pPr>
              <w:jc w:val="right"/>
            </w:pPr>
            <w:r>
              <w:t>328</w:t>
            </w:r>
          </w:p>
        </w:tc>
        <w:tc>
          <w:tcPr>
            <w:tcW w:w="1386" w:type="dxa"/>
          </w:tcPr>
          <w:p w:rsidR="00005FD7" w:rsidRDefault="00005FD7" w:rsidP="00367344">
            <w:pPr>
              <w:jc w:val="right"/>
            </w:pPr>
            <w:r>
              <w:t>337</w:t>
            </w:r>
          </w:p>
        </w:tc>
      </w:tr>
      <w:tr w:rsidR="00005FD7" w:rsidTr="00005FD7">
        <w:tc>
          <w:tcPr>
            <w:tcW w:w="2643" w:type="dxa"/>
          </w:tcPr>
          <w:p w:rsidR="00005FD7" w:rsidRDefault="00005FD7" w:rsidP="00F241A3">
            <w:r>
              <w:t>Mechanical engineering</w:t>
            </w:r>
          </w:p>
        </w:tc>
        <w:tc>
          <w:tcPr>
            <w:tcW w:w="1385" w:type="dxa"/>
          </w:tcPr>
          <w:p w:rsidR="00005FD7" w:rsidRDefault="00005FD7" w:rsidP="00367344">
            <w:pPr>
              <w:jc w:val="right"/>
            </w:pPr>
            <w:r>
              <w:t>923</w:t>
            </w:r>
          </w:p>
        </w:tc>
        <w:tc>
          <w:tcPr>
            <w:tcW w:w="1386" w:type="dxa"/>
          </w:tcPr>
          <w:p w:rsidR="00005FD7" w:rsidRDefault="00005FD7" w:rsidP="00367344">
            <w:pPr>
              <w:jc w:val="right"/>
            </w:pPr>
            <w:r>
              <w:t>996</w:t>
            </w:r>
          </w:p>
        </w:tc>
        <w:tc>
          <w:tcPr>
            <w:tcW w:w="1385" w:type="dxa"/>
          </w:tcPr>
          <w:p w:rsidR="00005FD7" w:rsidRDefault="00005FD7" w:rsidP="00367344">
            <w:pPr>
              <w:jc w:val="right"/>
            </w:pPr>
            <w:r>
              <w:t>1030</w:t>
            </w:r>
          </w:p>
        </w:tc>
        <w:tc>
          <w:tcPr>
            <w:tcW w:w="1386" w:type="dxa"/>
          </w:tcPr>
          <w:p w:rsidR="00005FD7" w:rsidRDefault="00005FD7" w:rsidP="00367344">
            <w:pPr>
              <w:jc w:val="right"/>
            </w:pPr>
            <w:r>
              <w:t>963</w:t>
            </w:r>
          </w:p>
        </w:tc>
        <w:tc>
          <w:tcPr>
            <w:tcW w:w="1386" w:type="dxa"/>
          </w:tcPr>
          <w:p w:rsidR="00005FD7" w:rsidRDefault="00005FD7" w:rsidP="00367344">
            <w:pPr>
              <w:jc w:val="right"/>
            </w:pPr>
            <w:r>
              <w:t>893</w:t>
            </w:r>
          </w:p>
        </w:tc>
      </w:tr>
      <w:tr w:rsidR="00005FD7" w:rsidTr="00005FD7">
        <w:tc>
          <w:tcPr>
            <w:tcW w:w="2643" w:type="dxa"/>
          </w:tcPr>
          <w:p w:rsidR="00005FD7" w:rsidRDefault="00005FD7" w:rsidP="00F241A3">
            <w:r>
              <w:t>Other fields</w:t>
            </w:r>
          </w:p>
        </w:tc>
        <w:tc>
          <w:tcPr>
            <w:tcW w:w="1385" w:type="dxa"/>
          </w:tcPr>
          <w:p w:rsidR="00005FD7" w:rsidRDefault="00005FD7" w:rsidP="00367344">
            <w:pPr>
              <w:jc w:val="right"/>
            </w:pPr>
            <w:r>
              <w:t>377</w:t>
            </w:r>
          </w:p>
        </w:tc>
        <w:tc>
          <w:tcPr>
            <w:tcW w:w="1386" w:type="dxa"/>
          </w:tcPr>
          <w:p w:rsidR="00005FD7" w:rsidRDefault="00005FD7" w:rsidP="00367344">
            <w:pPr>
              <w:jc w:val="right"/>
            </w:pPr>
            <w:r>
              <w:t>376</w:t>
            </w:r>
          </w:p>
        </w:tc>
        <w:tc>
          <w:tcPr>
            <w:tcW w:w="1385" w:type="dxa"/>
          </w:tcPr>
          <w:p w:rsidR="00005FD7" w:rsidRDefault="00005FD7" w:rsidP="00367344">
            <w:pPr>
              <w:jc w:val="right"/>
            </w:pPr>
            <w:r>
              <w:t>310</w:t>
            </w:r>
          </w:p>
        </w:tc>
        <w:tc>
          <w:tcPr>
            <w:tcW w:w="1386" w:type="dxa"/>
          </w:tcPr>
          <w:p w:rsidR="00005FD7" w:rsidRDefault="00005FD7" w:rsidP="00367344">
            <w:pPr>
              <w:jc w:val="right"/>
            </w:pPr>
            <w:r>
              <w:t>354</w:t>
            </w:r>
          </w:p>
        </w:tc>
        <w:tc>
          <w:tcPr>
            <w:tcW w:w="1386" w:type="dxa"/>
          </w:tcPr>
          <w:p w:rsidR="00005FD7" w:rsidRDefault="00005FD7" w:rsidP="00367344">
            <w:pPr>
              <w:jc w:val="right"/>
            </w:pPr>
            <w:r>
              <w:t>350</w:t>
            </w:r>
          </w:p>
        </w:tc>
      </w:tr>
      <w:tr w:rsidR="00005FD7" w:rsidTr="00005FD7">
        <w:tc>
          <w:tcPr>
            <w:tcW w:w="2643" w:type="dxa"/>
          </w:tcPr>
          <w:p w:rsidR="00005FD7" w:rsidRDefault="00005FD7" w:rsidP="00F241A3">
            <w:r w:rsidRPr="00005FD7">
              <w:t>NULL</w:t>
            </w:r>
          </w:p>
        </w:tc>
        <w:tc>
          <w:tcPr>
            <w:tcW w:w="1385" w:type="dxa"/>
          </w:tcPr>
          <w:p w:rsidR="00005FD7" w:rsidRDefault="00005FD7" w:rsidP="00367344">
            <w:pPr>
              <w:jc w:val="right"/>
            </w:pPr>
            <w:r>
              <w:t>29</w:t>
            </w:r>
          </w:p>
        </w:tc>
        <w:tc>
          <w:tcPr>
            <w:tcW w:w="1386" w:type="dxa"/>
          </w:tcPr>
          <w:p w:rsidR="00005FD7" w:rsidRDefault="00005FD7" w:rsidP="00367344">
            <w:pPr>
              <w:jc w:val="right"/>
            </w:pPr>
            <w:r>
              <w:t>30</w:t>
            </w:r>
          </w:p>
        </w:tc>
        <w:tc>
          <w:tcPr>
            <w:tcW w:w="1385" w:type="dxa"/>
          </w:tcPr>
          <w:p w:rsidR="00005FD7" w:rsidRDefault="00005FD7" w:rsidP="00367344">
            <w:pPr>
              <w:jc w:val="right"/>
            </w:pPr>
            <w:r>
              <w:t>36</w:t>
            </w:r>
          </w:p>
        </w:tc>
        <w:tc>
          <w:tcPr>
            <w:tcW w:w="1386" w:type="dxa"/>
          </w:tcPr>
          <w:p w:rsidR="00005FD7" w:rsidRDefault="00005FD7" w:rsidP="00367344">
            <w:pPr>
              <w:jc w:val="right"/>
            </w:pPr>
            <w:r>
              <w:t>67</w:t>
            </w:r>
          </w:p>
        </w:tc>
        <w:tc>
          <w:tcPr>
            <w:tcW w:w="1386" w:type="dxa"/>
          </w:tcPr>
          <w:p w:rsidR="00005FD7" w:rsidRDefault="00005FD7" w:rsidP="00367344">
            <w:pPr>
              <w:jc w:val="right"/>
            </w:pPr>
            <w:r>
              <w:t>91</w:t>
            </w:r>
          </w:p>
        </w:tc>
      </w:tr>
      <w:tr w:rsidR="00005FD7" w:rsidTr="00005FD7">
        <w:tc>
          <w:tcPr>
            <w:tcW w:w="2643" w:type="dxa"/>
          </w:tcPr>
          <w:p w:rsidR="00005FD7" w:rsidRPr="00005FD7" w:rsidRDefault="00005FD7" w:rsidP="00F241A3">
            <w:pPr>
              <w:rPr>
                <w:b/>
              </w:rPr>
            </w:pPr>
            <w:r w:rsidRPr="00005FD7">
              <w:rPr>
                <w:b/>
              </w:rPr>
              <w:t>TOTAL</w:t>
            </w:r>
          </w:p>
        </w:tc>
        <w:tc>
          <w:tcPr>
            <w:tcW w:w="1385" w:type="dxa"/>
          </w:tcPr>
          <w:p w:rsidR="00005FD7" w:rsidRDefault="00005FD7" w:rsidP="00367344">
            <w:pPr>
              <w:jc w:val="right"/>
            </w:pPr>
            <w:r>
              <w:t>2,438</w:t>
            </w:r>
          </w:p>
        </w:tc>
        <w:tc>
          <w:tcPr>
            <w:tcW w:w="1386" w:type="dxa"/>
          </w:tcPr>
          <w:p w:rsidR="00005FD7" w:rsidRDefault="00005FD7" w:rsidP="00367344">
            <w:pPr>
              <w:jc w:val="right"/>
            </w:pPr>
            <w:r>
              <w:t>2,495</w:t>
            </w:r>
          </w:p>
        </w:tc>
        <w:tc>
          <w:tcPr>
            <w:tcW w:w="1385" w:type="dxa"/>
          </w:tcPr>
          <w:p w:rsidR="00005FD7" w:rsidRDefault="00005FD7" w:rsidP="00367344">
            <w:pPr>
              <w:jc w:val="right"/>
            </w:pPr>
            <w:r>
              <w:t>2,425</w:t>
            </w:r>
          </w:p>
        </w:tc>
        <w:tc>
          <w:tcPr>
            <w:tcW w:w="1386" w:type="dxa"/>
          </w:tcPr>
          <w:p w:rsidR="00005FD7" w:rsidRDefault="00005FD7" w:rsidP="00367344">
            <w:pPr>
              <w:jc w:val="right"/>
            </w:pPr>
            <w:r>
              <w:t>2,427</w:t>
            </w:r>
          </w:p>
        </w:tc>
        <w:tc>
          <w:tcPr>
            <w:tcW w:w="1386" w:type="dxa"/>
          </w:tcPr>
          <w:p w:rsidR="00005FD7" w:rsidRDefault="00005FD7" w:rsidP="00367344">
            <w:pPr>
              <w:jc w:val="right"/>
            </w:pPr>
            <w:r>
              <w:t>2,384</w:t>
            </w:r>
          </w:p>
        </w:tc>
      </w:tr>
    </w:tbl>
    <w:p w:rsidR="00AA5F79" w:rsidRDefault="00AA5F79" w:rsidP="00F241A3"/>
    <w:p w:rsidR="00F66AAB" w:rsidRPr="00F241A3" w:rsidRDefault="00F66AAB" w:rsidP="00F241A3"/>
    <w:p w:rsidR="00AA5F79" w:rsidRPr="00367344" w:rsidRDefault="00005FD7" w:rsidP="00F241A3">
      <w:pPr>
        <w:rPr>
          <w:b/>
          <w:bCs/>
          <w:szCs w:val="22"/>
        </w:rPr>
      </w:pPr>
      <w:r>
        <w:rPr>
          <w:b/>
          <w:bCs/>
          <w:szCs w:val="22"/>
        </w:rPr>
        <w:t>Number of PCT applications received – by technical field</w:t>
      </w:r>
    </w:p>
    <w:p w:rsidR="00005FD7" w:rsidRPr="00F241A3" w:rsidRDefault="00005FD7" w:rsidP="00005FD7"/>
    <w:tbl>
      <w:tblPr>
        <w:tblStyle w:val="TableGrid"/>
        <w:tblW w:w="0" w:type="auto"/>
        <w:tblLook w:val="04A0" w:firstRow="1" w:lastRow="0" w:firstColumn="1" w:lastColumn="0" w:noHBand="0" w:noVBand="1"/>
      </w:tblPr>
      <w:tblGrid>
        <w:gridCol w:w="2643"/>
        <w:gridCol w:w="1385"/>
        <w:gridCol w:w="1386"/>
        <w:gridCol w:w="1385"/>
        <w:gridCol w:w="1386"/>
        <w:gridCol w:w="1386"/>
      </w:tblGrid>
      <w:tr w:rsidR="00005FD7" w:rsidTr="00A32EF0">
        <w:tc>
          <w:tcPr>
            <w:tcW w:w="2643" w:type="dxa"/>
          </w:tcPr>
          <w:p w:rsidR="00005FD7" w:rsidRPr="00005FD7" w:rsidRDefault="00367344" w:rsidP="00367344">
            <w:pPr>
              <w:jc w:val="center"/>
              <w:rPr>
                <w:b/>
              </w:rPr>
            </w:pPr>
            <w:r>
              <w:rPr>
                <w:b/>
              </w:rPr>
              <w:t>Technical field/Y</w:t>
            </w:r>
            <w:r w:rsidR="00005FD7" w:rsidRPr="00005FD7">
              <w:rPr>
                <w:b/>
              </w:rPr>
              <w:t>ear</w:t>
            </w:r>
          </w:p>
        </w:tc>
        <w:tc>
          <w:tcPr>
            <w:tcW w:w="1385" w:type="dxa"/>
          </w:tcPr>
          <w:p w:rsidR="00005FD7" w:rsidRPr="00005FD7" w:rsidRDefault="00005FD7" w:rsidP="00367344">
            <w:pPr>
              <w:jc w:val="center"/>
              <w:rPr>
                <w:b/>
              </w:rPr>
            </w:pPr>
            <w:r w:rsidRPr="00005FD7">
              <w:rPr>
                <w:b/>
              </w:rPr>
              <w:t>2012</w:t>
            </w:r>
          </w:p>
        </w:tc>
        <w:tc>
          <w:tcPr>
            <w:tcW w:w="1386" w:type="dxa"/>
          </w:tcPr>
          <w:p w:rsidR="00005FD7" w:rsidRPr="00005FD7" w:rsidRDefault="00005FD7" w:rsidP="00367344">
            <w:pPr>
              <w:jc w:val="center"/>
              <w:rPr>
                <w:b/>
              </w:rPr>
            </w:pPr>
            <w:r w:rsidRPr="00005FD7">
              <w:rPr>
                <w:b/>
              </w:rPr>
              <w:t>2013</w:t>
            </w:r>
          </w:p>
        </w:tc>
        <w:tc>
          <w:tcPr>
            <w:tcW w:w="1385" w:type="dxa"/>
          </w:tcPr>
          <w:p w:rsidR="00005FD7" w:rsidRPr="00005FD7" w:rsidRDefault="00005FD7" w:rsidP="00367344">
            <w:pPr>
              <w:jc w:val="center"/>
              <w:rPr>
                <w:b/>
              </w:rPr>
            </w:pPr>
            <w:r w:rsidRPr="00005FD7">
              <w:rPr>
                <w:b/>
              </w:rPr>
              <w:t>2014</w:t>
            </w:r>
          </w:p>
        </w:tc>
        <w:tc>
          <w:tcPr>
            <w:tcW w:w="1386" w:type="dxa"/>
          </w:tcPr>
          <w:p w:rsidR="00005FD7" w:rsidRPr="00005FD7" w:rsidRDefault="00005FD7" w:rsidP="00367344">
            <w:pPr>
              <w:jc w:val="center"/>
              <w:rPr>
                <w:b/>
              </w:rPr>
            </w:pPr>
            <w:r w:rsidRPr="00005FD7">
              <w:rPr>
                <w:b/>
              </w:rPr>
              <w:t>2015</w:t>
            </w:r>
          </w:p>
        </w:tc>
        <w:tc>
          <w:tcPr>
            <w:tcW w:w="1386" w:type="dxa"/>
          </w:tcPr>
          <w:p w:rsidR="00005FD7" w:rsidRPr="00005FD7" w:rsidRDefault="00005FD7" w:rsidP="00367344">
            <w:pPr>
              <w:jc w:val="center"/>
              <w:rPr>
                <w:b/>
              </w:rPr>
            </w:pPr>
            <w:r w:rsidRPr="00005FD7">
              <w:rPr>
                <w:b/>
              </w:rPr>
              <w:t>2016</w:t>
            </w:r>
          </w:p>
        </w:tc>
      </w:tr>
      <w:tr w:rsidR="00005FD7" w:rsidTr="00A32EF0">
        <w:tc>
          <w:tcPr>
            <w:tcW w:w="2643" w:type="dxa"/>
          </w:tcPr>
          <w:p w:rsidR="00005FD7" w:rsidRDefault="00005FD7" w:rsidP="00A32EF0">
            <w:r w:rsidRPr="00005FD7">
              <w:t>Chemistry</w:t>
            </w:r>
          </w:p>
        </w:tc>
        <w:tc>
          <w:tcPr>
            <w:tcW w:w="1385" w:type="dxa"/>
          </w:tcPr>
          <w:p w:rsidR="00005FD7" w:rsidRDefault="00367344" w:rsidP="00367344">
            <w:pPr>
              <w:jc w:val="right"/>
            </w:pPr>
            <w:r>
              <w:t>231</w:t>
            </w:r>
          </w:p>
        </w:tc>
        <w:tc>
          <w:tcPr>
            <w:tcW w:w="1386" w:type="dxa"/>
          </w:tcPr>
          <w:p w:rsidR="00005FD7" w:rsidRDefault="00367344" w:rsidP="00367344">
            <w:pPr>
              <w:jc w:val="right"/>
            </w:pPr>
            <w:r>
              <w:t>203</w:t>
            </w:r>
          </w:p>
        </w:tc>
        <w:tc>
          <w:tcPr>
            <w:tcW w:w="1385" w:type="dxa"/>
          </w:tcPr>
          <w:p w:rsidR="00005FD7" w:rsidRDefault="00367344" w:rsidP="00367344">
            <w:pPr>
              <w:jc w:val="right"/>
            </w:pPr>
            <w:r>
              <w:t>180</w:t>
            </w:r>
          </w:p>
        </w:tc>
        <w:tc>
          <w:tcPr>
            <w:tcW w:w="1386" w:type="dxa"/>
          </w:tcPr>
          <w:p w:rsidR="00005FD7" w:rsidRDefault="00367344" w:rsidP="00367344">
            <w:pPr>
              <w:jc w:val="right"/>
            </w:pPr>
            <w:r>
              <w:t>172</w:t>
            </w:r>
          </w:p>
        </w:tc>
        <w:tc>
          <w:tcPr>
            <w:tcW w:w="1386" w:type="dxa"/>
          </w:tcPr>
          <w:p w:rsidR="00005FD7" w:rsidRDefault="00367344" w:rsidP="00367344">
            <w:pPr>
              <w:jc w:val="right"/>
            </w:pPr>
            <w:r>
              <w:t>112</w:t>
            </w:r>
          </w:p>
        </w:tc>
      </w:tr>
      <w:tr w:rsidR="00005FD7" w:rsidTr="00A32EF0">
        <w:tc>
          <w:tcPr>
            <w:tcW w:w="2643" w:type="dxa"/>
          </w:tcPr>
          <w:p w:rsidR="00005FD7" w:rsidRDefault="00005FD7" w:rsidP="00A32EF0">
            <w:r>
              <w:t>Electrical engineering</w:t>
            </w:r>
          </w:p>
        </w:tc>
        <w:tc>
          <w:tcPr>
            <w:tcW w:w="1385" w:type="dxa"/>
          </w:tcPr>
          <w:p w:rsidR="00005FD7" w:rsidRDefault="00367344" w:rsidP="00367344">
            <w:pPr>
              <w:jc w:val="right"/>
            </w:pPr>
            <w:r>
              <w:t>520</w:t>
            </w:r>
          </w:p>
        </w:tc>
        <w:tc>
          <w:tcPr>
            <w:tcW w:w="1386" w:type="dxa"/>
          </w:tcPr>
          <w:p w:rsidR="00005FD7" w:rsidRDefault="00367344" w:rsidP="00367344">
            <w:pPr>
              <w:jc w:val="right"/>
            </w:pPr>
            <w:r>
              <w:t>449</w:t>
            </w:r>
          </w:p>
        </w:tc>
        <w:tc>
          <w:tcPr>
            <w:tcW w:w="1385" w:type="dxa"/>
          </w:tcPr>
          <w:p w:rsidR="00005FD7" w:rsidRDefault="00367344" w:rsidP="00367344">
            <w:pPr>
              <w:jc w:val="right"/>
            </w:pPr>
            <w:r>
              <w:t>349</w:t>
            </w:r>
          </w:p>
        </w:tc>
        <w:tc>
          <w:tcPr>
            <w:tcW w:w="1386" w:type="dxa"/>
          </w:tcPr>
          <w:p w:rsidR="00005FD7" w:rsidRDefault="00367344" w:rsidP="00367344">
            <w:pPr>
              <w:jc w:val="right"/>
            </w:pPr>
            <w:r>
              <w:t>332</w:t>
            </w:r>
          </w:p>
        </w:tc>
        <w:tc>
          <w:tcPr>
            <w:tcW w:w="1386" w:type="dxa"/>
          </w:tcPr>
          <w:p w:rsidR="00005FD7" w:rsidRDefault="00367344" w:rsidP="00367344">
            <w:pPr>
              <w:jc w:val="right"/>
            </w:pPr>
            <w:r>
              <w:t>198</w:t>
            </w:r>
          </w:p>
        </w:tc>
      </w:tr>
      <w:tr w:rsidR="00005FD7" w:rsidTr="00A32EF0">
        <w:tc>
          <w:tcPr>
            <w:tcW w:w="2643" w:type="dxa"/>
          </w:tcPr>
          <w:p w:rsidR="00005FD7" w:rsidRDefault="00005FD7" w:rsidP="00A32EF0">
            <w:r w:rsidRPr="00005FD7">
              <w:t>Instruments</w:t>
            </w:r>
          </w:p>
        </w:tc>
        <w:tc>
          <w:tcPr>
            <w:tcW w:w="1385" w:type="dxa"/>
          </w:tcPr>
          <w:p w:rsidR="00005FD7" w:rsidRDefault="00367344" w:rsidP="00367344">
            <w:pPr>
              <w:jc w:val="right"/>
            </w:pPr>
            <w:r>
              <w:t>238</w:t>
            </w:r>
          </w:p>
        </w:tc>
        <w:tc>
          <w:tcPr>
            <w:tcW w:w="1386" w:type="dxa"/>
          </w:tcPr>
          <w:p w:rsidR="00005FD7" w:rsidRDefault="00367344" w:rsidP="00367344">
            <w:pPr>
              <w:jc w:val="right"/>
            </w:pPr>
            <w:r>
              <w:t>214</w:t>
            </w:r>
          </w:p>
        </w:tc>
        <w:tc>
          <w:tcPr>
            <w:tcW w:w="1385" w:type="dxa"/>
          </w:tcPr>
          <w:p w:rsidR="00005FD7" w:rsidRDefault="00367344" w:rsidP="00367344">
            <w:pPr>
              <w:jc w:val="right"/>
            </w:pPr>
            <w:r>
              <w:t>186</w:t>
            </w:r>
          </w:p>
        </w:tc>
        <w:tc>
          <w:tcPr>
            <w:tcW w:w="1386" w:type="dxa"/>
          </w:tcPr>
          <w:p w:rsidR="00005FD7" w:rsidRDefault="00367344" w:rsidP="00367344">
            <w:pPr>
              <w:jc w:val="right"/>
            </w:pPr>
            <w:r>
              <w:t>131</w:t>
            </w:r>
          </w:p>
        </w:tc>
        <w:tc>
          <w:tcPr>
            <w:tcW w:w="1386" w:type="dxa"/>
          </w:tcPr>
          <w:p w:rsidR="00005FD7" w:rsidRDefault="00367344" w:rsidP="00367344">
            <w:pPr>
              <w:jc w:val="right"/>
            </w:pPr>
            <w:r>
              <w:t>78</w:t>
            </w:r>
          </w:p>
        </w:tc>
      </w:tr>
      <w:tr w:rsidR="00005FD7" w:rsidTr="00A32EF0">
        <w:tc>
          <w:tcPr>
            <w:tcW w:w="2643" w:type="dxa"/>
          </w:tcPr>
          <w:p w:rsidR="00005FD7" w:rsidRDefault="00005FD7" w:rsidP="00A32EF0">
            <w:r>
              <w:t>Mechanical engineering</w:t>
            </w:r>
          </w:p>
        </w:tc>
        <w:tc>
          <w:tcPr>
            <w:tcW w:w="1385" w:type="dxa"/>
          </w:tcPr>
          <w:p w:rsidR="00005FD7" w:rsidRDefault="00367344" w:rsidP="00367344">
            <w:pPr>
              <w:jc w:val="right"/>
            </w:pPr>
            <w:r>
              <w:t>426</w:t>
            </w:r>
          </w:p>
        </w:tc>
        <w:tc>
          <w:tcPr>
            <w:tcW w:w="1386" w:type="dxa"/>
          </w:tcPr>
          <w:p w:rsidR="00005FD7" w:rsidRDefault="00367344" w:rsidP="00367344">
            <w:pPr>
              <w:jc w:val="right"/>
            </w:pPr>
            <w:r>
              <w:t>496</w:t>
            </w:r>
          </w:p>
        </w:tc>
        <w:tc>
          <w:tcPr>
            <w:tcW w:w="1385" w:type="dxa"/>
          </w:tcPr>
          <w:p w:rsidR="00005FD7" w:rsidRDefault="00367344" w:rsidP="00367344">
            <w:pPr>
              <w:jc w:val="right"/>
            </w:pPr>
            <w:r>
              <w:t>483</w:t>
            </w:r>
          </w:p>
        </w:tc>
        <w:tc>
          <w:tcPr>
            <w:tcW w:w="1386" w:type="dxa"/>
          </w:tcPr>
          <w:p w:rsidR="00005FD7" w:rsidRDefault="00367344" w:rsidP="00367344">
            <w:pPr>
              <w:jc w:val="right"/>
            </w:pPr>
            <w:r>
              <w:t>343</w:t>
            </w:r>
          </w:p>
        </w:tc>
        <w:tc>
          <w:tcPr>
            <w:tcW w:w="1386" w:type="dxa"/>
          </w:tcPr>
          <w:p w:rsidR="00005FD7" w:rsidRDefault="00367344" w:rsidP="00367344">
            <w:pPr>
              <w:jc w:val="right"/>
            </w:pPr>
            <w:r>
              <w:t>237</w:t>
            </w:r>
          </w:p>
        </w:tc>
      </w:tr>
      <w:tr w:rsidR="00005FD7" w:rsidTr="00A32EF0">
        <w:tc>
          <w:tcPr>
            <w:tcW w:w="2643" w:type="dxa"/>
          </w:tcPr>
          <w:p w:rsidR="00005FD7" w:rsidRDefault="00005FD7" w:rsidP="00A32EF0">
            <w:r>
              <w:t>Other fields</w:t>
            </w:r>
          </w:p>
        </w:tc>
        <w:tc>
          <w:tcPr>
            <w:tcW w:w="1385" w:type="dxa"/>
          </w:tcPr>
          <w:p w:rsidR="00005FD7" w:rsidRDefault="00367344" w:rsidP="00367344">
            <w:pPr>
              <w:jc w:val="right"/>
            </w:pPr>
            <w:r>
              <w:t>156</w:t>
            </w:r>
          </w:p>
        </w:tc>
        <w:tc>
          <w:tcPr>
            <w:tcW w:w="1386" w:type="dxa"/>
          </w:tcPr>
          <w:p w:rsidR="00005FD7" w:rsidRDefault="00367344" w:rsidP="00367344">
            <w:pPr>
              <w:jc w:val="right"/>
            </w:pPr>
            <w:r>
              <w:t>147</w:t>
            </w:r>
          </w:p>
        </w:tc>
        <w:tc>
          <w:tcPr>
            <w:tcW w:w="1385" w:type="dxa"/>
          </w:tcPr>
          <w:p w:rsidR="00005FD7" w:rsidRDefault="00367344" w:rsidP="00367344">
            <w:pPr>
              <w:jc w:val="right"/>
            </w:pPr>
            <w:r>
              <w:t>127</w:t>
            </w:r>
          </w:p>
        </w:tc>
        <w:tc>
          <w:tcPr>
            <w:tcW w:w="1386" w:type="dxa"/>
          </w:tcPr>
          <w:p w:rsidR="00005FD7" w:rsidRDefault="00367344" w:rsidP="00367344">
            <w:pPr>
              <w:jc w:val="right"/>
            </w:pPr>
            <w:r>
              <w:t>128</w:t>
            </w:r>
          </w:p>
        </w:tc>
        <w:tc>
          <w:tcPr>
            <w:tcW w:w="1386" w:type="dxa"/>
          </w:tcPr>
          <w:p w:rsidR="00005FD7" w:rsidRDefault="00367344" w:rsidP="00367344">
            <w:pPr>
              <w:jc w:val="right"/>
            </w:pPr>
            <w:r>
              <w:t>95</w:t>
            </w:r>
          </w:p>
        </w:tc>
      </w:tr>
      <w:tr w:rsidR="00005FD7" w:rsidTr="00A32EF0">
        <w:tc>
          <w:tcPr>
            <w:tcW w:w="2643" w:type="dxa"/>
          </w:tcPr>
          <w:p w:rsidR="00005FD7" w:rsidRDefault="00005FD7" w:rsidP="00A32EF0">
            <w:r w:rsidRPr="00005FD7">
              <w:t>NULL</w:t>
            </w:r>
          </w:p>
        </w:tc>
        <w:tc>
          <w:tcPr>
            <w:tcW w:w="1385" w:type="dxa"/>
          </w:tcPr>
          <w:p w:rsidR="00005FD7" w:rsidRDefault="00367344" w:rsidP="00367344">
            <w:pPr>
              <w:jc w:val="right"/>
            </w:pPr>
            <w:r>
              <w:t>20</w:t>
            </w:r>
          </w:p>
        </w:tc>
        <w:tc>
          <w:tcPr>
            <w:tcW w:w="1386" w:type="dxa"/>
          </w:tcPr>
          <w:p w:rsidR="00005FD7" w:rsidRDefault="00367344" w:rsidP="00367344">
            <w:pPr>
              <w:jc w:val="right"/>
            </w:pPr>
            <w:r>
              <w:t>25</w:t>
            </w:r>
          </w:p>
        </w:tc>
        <w:tc>
          <w:tcPr>
            <w:tcW w:w="1385" w:type="dxa"/>
          </w:tcPr>
          <w:p w:rsidR="00005FD7" w:rsidRDefault="00367344" w:rsidP="00367344">
            <w:pPr>
              <w:jc w:val="right"/>
            </w:pPr>
            <w:r>
              <w:t>34</w:t>
            </w:r>
          </w:p>
        </w:tc>
        <w:tc>
          <w:tcPr>
            <w:tcW w:w="1386" w:type="dxa"/>
          </w:tcPr>
          <w:p w:rsidR="00005FD7" w:rsidRDefault="00367344" w:rsidP="00367344">
            <w:pPr>
              <w:jc w:val="right"/>
            </w:pPr>
            <w:r>
              <w:t>12</w:t>
            </w:r>
          </w:p>
        </w:tc>
        <w:tc>
          <w:tcPr>
            <w:tcW w:w="1386" w:type="dxa"/>
          </w:tcPr>
          <w:p w:rsidR="00005FD7" w:rsidRDefault="00367344" w:rsidP="00367344">
            <w:pPr>
              <w:jc w:val="right"/>
            </w:pPr>
            <w:r>
              <w:t>261</w:t>
            </w:r>
          </w:p>
        </w:tc>
      </w:tr>
      <w:tr w:rsidR="00005FD7" w:rsidTr="00A32EF0">
        <w:tc>
          <w:tcPr>
            <w:tcW w:w="2643" w:type="dxa"/>
          </w:tcPr>
          <w:p w:rsidR="00005FD7" w:rsidRPr="00005FD7" w:rsidRDefault="00005FD7" w:rsidP="00A32EF0">
            <w:pPr>
              <w:rPr>
                <w:b/>
              </w:rPr>
            </w:pPr>
            <w:r w:rsidRPr="00005FD7">
              <w:rPr>
                <w:b/>
              </w:rPr>
              <w:t>TOTAL</w:t>
            </w:r>
          </w:p>
        </w:tc>
        <w:tc>
          <w:tcPr>
            <w:tcW w:w="1385" w:type="dxa"/>
          </w:tcPr>
          <w:p w:rsidR="00005FD7" w:rsidRDefault="00367344" w:rsidP="00367344">
            <w:pPr>
              <w:jc w:val="right"/>
            </w:pPr>
            <w:r>
              <w:t>1,592</w:t>
            </w:r>
          </w:p>
        </w:tc>
        <w:tc>
          <w:tcPr>
            <w:tcW w:w="1386" w:type="dxa"/>
          </w:tcPr>
          <w:p w:rsidR="00005FD7" w:rsidRDefault="00367344" w:rsidP="00367344">
            <w:pPr>
              <w:jc w:val="right"/>
            </w:pPr>
            <w:r>
              <w:t>1,534</w:t>
            </w:r>
          </w:p>
        </w:tc>
        <w:tc>
          <w:tcPr>
            <w:tcW w:w="1385" w:type="dxa"/>
          </w:tcPr>
          <w:p w:rsidR="00005FD7" w:rsidRDefault="00367344" w:rsidP="00367344">
            <w:pPr>
              <w:jc w:val="right"/>
            </w:pPr>
            <w:r>
              <w:t>1,359</w:t>
            </w:r>
          </w:p>
        </w:tc>
        <w:tc>
          <w:tcPr>
            <w:tcW w:w="1386" w:type="dxa"/>
          </w:tcPr>
          <w:p w:rsidR="00005FD7" w:rsidRDefault="00367344" w:rsidP="00367344">
            <w:pPr>
              <w:jc w:val="right"/>
            </w:pPr>
            <w:r>
              <w:t>1,118</w:t>
            </w:r>
          </w:p>
        </w:tc>
        <w:tc>
          <w:tcPr>
            <w:tcW w:w="1386" w:type="dxa"/>
          </w:tcPr>
          <w:p w:rsidR="00005FD7" w:rsidRDefault="00367344" w:rsidP="00367344">
            <w:pPr>
              <w:jc w:val="right"/>
            </w:pPr>
            <w:r>
              <w:t>982</w:t>
            </w:r>
          </w:p>
        </w:tc>
      </w:tr>
    </w:tbl>
    <w:p w:rsidR="00AA5F79" w:rsidRDefault="00AA5F79" w:rsidP="00F241A3"/>
    <w:p w:rsidR="00F66AAB" w:rsidRPr="00F241A3" w:rsidRDefault="00F66AAB" w:rsidP="00F241A3"/>
    <w:p w:rsidR="00AA5F79" w:rsidRPr="00367344" w:rsidRDefault="00367344" w:rsidP="00F241A3">
      <w:pPr>
        <w:rPr>
          <w:b/>
          <w:bCs/>
          <w:szCs w:val="22"/>
        </w:rPr>
      </w:pPr>
      <w:r>
        <w:rPr>
          <w:b/>
          <w:bCs/>
          <w:szCs w:val="22"/>
        </w:rPr>
        <w:t>Number of national applications received – by route</w:t>
      </w:r>
    </w:p>
    <w:p w:rsidR="00AA5F79" w:rsidRPr="00F241A3" w:rsidRDefault="00AA5F79" w:rsidP="00F241A3"/>
    <w:tbl>
      <w:tblPr>
        <w:tblStyle w:val="TableGrid"/>
        <w:tblW w:w="0" w:type="auto"/>
        <w:tblLayout w:type="fixed"/>
        <w:tblLook w:val="04A0" w:firstRow="1" w:lastRow="0" w:firstColumn="1" w:lastColumn="0" w:noHBand="0" w:noVBand="1"/>
      </w:tblPr>
      <w:tblGrid>
        <w:gridCol w:w="3510"/>
        <w:gridCol w:w="1212"/>
        <w:gridCol w:w="1212"/>
        <w:gridCol w:w="1212"/>
        <w:gridCol w:w="1212"/>
        <w:gridCol w:w="1213"/>
      </w:tblGrid>
      <w:tr w:rsidR="00367344" w:rsidTr="00367344">
        <w:tc>
          <w:tcPr>
            <w:tcW w:w="3510" w:type="dxa"/>
          </w:tcPr>
          <w:p w:rsidR="00367344" w:rsidRPr="00367344" w:rsidRDefault="00367344" w:rsidP="00367344">
            <w:pPr>
              <w:jc w:val="center"/>
              <w:rPr>
                <w:b/>
              </w:rPr>
            </w:pPr>
            <w:r w:rsidRPr="00367344">
              <w:rPr>
                <w:b/>
              </w:rPr>
              <w:t>Route/Year</w:t>
            </w:r>
          </w:p>
        </w:tc>
        <w:tc>
          <w:tcPr>
            <w:tcW w:w="1212" w:type="dxa"/>
          </w:tcPr>
          <w:p w:rsidR="00367344" w:rsidRPr="00367344" w:rsidRDefault="00367344" w:rsidP="00367344">
            <w:pPr>
              <w:jc w:val="center"/>
              <w:rPr>
                <w:b/>
              </w:rPr>
            </w:pPr>
            <w:r w:rsidRPr="00367344">
              <w:rPr>
                <w:b/>
              </w:rPr>
              <w:t>2012</w:t>
            </w:r>
          </w:p>
        </w:tc>
        <w:tc>
          <w:tcPr>
            <w:tcW w:w="1212" w:type="dxa"/>
          </w:tcPr>
          <w:p w:rsidR="00367344" w:rsidRPr="00367344" w:rsidRDefault="00367344" w:rsidP="00367344">
            <w:pPr>
              <w:jc w:val="center"/>
              <w:rPr>
                <w:b/>
              </w:rPr>
            </w:pPr>
            <w:r w:rsidRPr="00367344">
              <w:rPr>
                <w:b/>
              </w:rPr>
              <w:t>2013</w:t>
            </w:r>
          </w:p>
        </w:tc>
        <w:tc>
          <w:tcPr>
            <w:tcW w:w="1212" w:type="dxa"/>
          </w:tcPr>
          <w:p w:rsidR="00367344" w:rsidRPr="00367344" w:rsidRDefault="00367344" w:rsidP="00367344">
            <w:pPr>
              <w:jc w:val="center"/>
              <w:rPr>
                <w:b/>
              </w:rPr>
            </w:pPr>
            <w:r w:rsidRPr="00367344">
              <w:rPr>
                <w:b/>
              </w:rPr>
              <w:t>2014</w:t>
            </w:r>
          </w:p>
        </w:tc>
        <w:tc>
          <w:tcPr>
            <w:tcW w:w="1212" w:type="dxa"/>
          </w:tcPr>
          <w:p w:rsidR="00367344" w:rsidRPr="00367344" w:rsidRDefault="00367344" w:rsidP="00367344">
            <w:pPr>
              <w:jc w:val="center"/>
              <w:rPr>
                <w:b/>
              </w:rPr>
            </w:pPr>
            <w:r w:rsidRPr="00367344">
              <w:rPr>
                <w:b/>
              </w:rPr>
              <w:t>2015</w:t>
            </w:r>
          </w:p>
        </w:tc>
        <w:tc>
          <w:tcPr>
            <w:tcW w:w="1213" w:type="dxa"/>
          </w:tcPr>
          <w:p w:rsidR="00367344" w:rsidRPr="00367344" w:rsidRDefault="00367344" w:rsidP="00367344">
            <w:pPr>
              <w:jc w:val="center"/>
              <w:rPr>
                <w:b/>
              </w:rPr>
            </w:pPr>
            <w:r w:rsidRPr="00367344">
              <w:rPr>
                <w:b/>
              </w:rPr>
              <w:t>2016</w:t>
            </w:r>
          </w:p>
        </w:tc>
      </w:tr>
      <w:tr w:rsidR="00367344" w:rsidTr="00367344">
        <w:tc>
          <w:tcPr>
            <w:tcW w:w="3510" w:type="dxa"/>
          </w:tcPr>
          <w:p w:rsidR="00367344" w:rsidRDefault="00367344" w:rsidP="00367344">
            <w:r>
              <w:t>National first filing/internal priority</w:t>
            </w:r>
          </w:p>
        </w:tc>
        <w:tc>
          <w:tcPr>
            <w:tcW w:w="1212" w:type="dxa"/>
          </w:tcPr>
          <w:p w:rsidR="00367344" w:rsidRDefault="00367344" w:rsidP="00367344">
            <w:pPr>
              <w:jc w:val="right"/>
            </w:pPr>
            <w:r>
              <w:t>2,264</w:t>
            </w:r>
          </w:p>
        </w:tc>
        <w:tc>
          <w:tcPr>
            <w:tcW w:w="1212" w:type="dxa"/>
          </w:tcPr>
          <w:p w:rsidR="00367344" w:rsidRDefault="00367344" w:rsidP="00367344">
            <w:pPr>
              <w:jc w:val="right"/>
            </w:pPr>
            <w:r>
              <w:t>2,323</w:t>
            </w:r>
          </w:p>
        </w:tc>
        <w:tc>
          <w:tcPr>
            <w:tcW w:w="1212" w:type="dxa"/>
          </w:tcPr>
          <w:p w:rsidR="00367344" w:rsidRDefault="00367344" w:rsidP="00367344">
            <w:pPr>
              <w:jc w:val="right"/>
            </w:pPr>
            <w:r>
              <w:t>2,264</w:t>
            </w:r>
          </w:p>
        </w:tc>
        <w:tc>
          <w:tcPr>
            <w:tcW w:w="1212" w:type="dxa"/>
          </w:tcPr>
          <w:p w:rsidR="00367344" w:rsidRDefault="00367344" w:rsidP="00367344">
            <w:pPr>
              <w:jc w:val="right"/>
            </w:pPr>
            <w:r>
              <w:t>2,269</w:t>
            </w:r>
          </w:p>
        </w:tc>
        <w:tc>
          <w:tcPr>
            <w:tcW w:w="1213" w:type="dxa"/>
          </w:tcPr>
          <w:p w:rsidR="00367344" w:rsidRDefault="00367344" w:rsidP="00367344">
            <w:pPr>
              <w:jc w:val="right"/>
            </w:pPr>
            <w:r>
              <w:t>2,243</w:t>
            </w:r>
          </w:p>
        </w:tc>
      </w:tr>
      <w:tr w:rsidR="00367344" w:rsidTr="00367344">
        <w:tc>
          <w:tcPr>
            <w:tcW w:w="3510" w:type="dxa"/>
          </w:tcPr>
          <w:p w:rsidR="00367344" w:rsidRDefault="00367344" w:rsidP="00F241A3">
            <w:r>
              <w:t>Paris priority</w:t>
            </w:r>
          </w:p>
        </w:tc>
        <w:tc>
          <w:tcPr>
            <w:tcW w:w="1212" w:type="dxa"/>
          </w:tcPr>
          <w:p w:rsidR="00367344" w:rsidRDefault="00367344" w:rsidP="00367344">
            <w:pPr>
              <w:jc w:val="right"/>
            </w:pPr>
            <w:r>
              <w:t>94</w:t>
            </w:r>
          </w:p>
        </w:tc>
        <w:tc>
          <w:tcPr>
            <w:tcW w:w="1212" w:type="dxa"/>
          </w:tcPr>
          <w:p w:rsidR="00367344" w:rsidRDefault="00367344" w:rsidP="00367344">
            <w:pPr>
              <w:jc w:val="right"/>
            </w:pPr>
            <w:r>
              <w:t>105</w:t>
            </w:r>
          </w:p>
        </w:tc>
        <w:tc>
          <w:tcPr>
            <w:tcW w:w="1212" w:type="dxa"/>
          </w:tcPr>
          <w:p w:rsidR="00367344" w:rsidRDefault="00367344" w:rsidP="00367344">
            <w:pPr>
              <w:jc w:val="right"/>
            </w:pPr>
            <w:r>
              <w:t>93</w:t>
            </w:r>
          </w:p>
        </w:tc>
        <w:tc>
          <w:tcPr>
            <w:tcW w:w="1212" w:type="dxa"/>
          </w:tcPr>
          <w:p w:rsidR="00367344" w:rsidRDefault="00367344" w:rsidP="00367344">
            <w:pPr>
              <w:jc w:val="right"/>
            </w:pPr>
            <w:r>
              <w:t>79</w:t>
            </w:r>
          </w:p>
        </w:tc>
        <w:tc>
          <w:tcPr>
            <w:tcW w:w="1213" w:type="dxa"/>
          </w:tcPr>
          <w:p w:rsidR="00367344" w:rsidRDefault="00367344" w:rsidP="00367344">
            <w:pPr>
              <w:jc w:val="right"/>
            </w:pPr>
            <w:r>
              <w:t>68</w:t>
            </w:r>
          </w:p>
        </w:tc>
      </w:tr>
      <w:tr w:rsidR="00367344" w:rsidTr="00367344">
        <w:tc>
          <w:tcPr>
            <w:tcW w:w="3510" w:type="dxa"/>
          </w:tcPr>
          <w:p w:rsidR="00367344" w:rsidRDefault="00367344" w:rsidP="00F241A3">
            <w:r>
              <w:t>PCT national phase</w:t>
            </w:r>
          </w:p>
        </w:tc>
        <w:tc>
          <w:tcPr>
            <w:tcW w:w="1212" w:type="dxa"/>
          </w:tcPr>
          <w:p w:rsidR="00367344" w:rsidRDefault="00367344" w:rsidP="00367344">
            <w:pPr>
              <w:jc w:val="right"/>
            </w:pPr>
            <w:r>
              <w:t>80</w:t>
            </w:r>
          </w:p>
        </w:tc>
        <w:tc>
          <w:tcPr>
            <w:tcW w:w="1212" w:type="dxa"/>
          </w:tcPr>
          <w:p w:rsidR="00367344" w:rsidRDefault="00367344" w:rsidP="00367344">
            <w:pPr>
              <w:jc w:val="right"/>
            </w:pPr>
            <w:r>
              <w:t>67</w:t>
            </w:r>
          </w:p>
        </w:tc>
        <w:tc>
          <w:tcPr>
            <w:tcW w:w="1212" w:type="dxa"/>
          </w:tcPr>
          <w:p w:rsidR="00367344" w:rsidRDefault="00367344" w:rsidP="00367344">
            <w:pPr>
              <w:jc w:val="right"/>
            </w:pPr>
            <w:r>
              <w:t>68</w:t>
            </w:r>
          </w:p>
        </w:tc>
        <w:tc>
          <w:tcPr>
            <w:tcW w:w="1212" w:type="dxa"/>
          </w:tcPr>
          <w:p w:rsidR="00367344" w:rsidRDefault="00367344" w:rsidP="00367344">
            <w:pPr>
              <w:jc w:val="right"/>
            </w:pPr>
            <w:r>
              <w:t>79</w:t>
            </w:r>
          </w:p>
        </w:tc>
        <w:tc>
          <w:tcPr>
            <w:tcW w:w="1213" w:type="dxa"/>
          </w:tcPr>
          <w:p w:rsidR="00367344" w:rsidRDefault="00367344" w:rsidP="00367344">
            <w:pPr>
              <w:jc w:val="right"/>
            </w:pPr>
            <w:r>
              <w:t>73</w:t>
            </w:r>
          </w:p>
        </w:tc>
      </w:tr>
    </w:tbl>
    <w:p w:rsidR="00367344" w:rsidRDefault="00367344" w:rsidP="00367344"/>
    <w:p w:rsidR="00F66AAB" w:rsidRPr="00F241A3" w:rsidRDefault="00F66AAB" w:rsidP="00367344"/>
    <w:p w:rsidR="00367344" w:rsidRPr="00367344" w:rsidRDefault="00367344" w:rsidP="00367344">
      <w:pPr>
        <w:rPr>
          <w:b/>
          <w:bCs/>
          <w:szCs w:val="22"/>
        </w:rPr>
      </w:pPr>
      <w:r>
        <w:rPr>
          <w:b/>
          <w:bCs/>
          <w:szCs w:val="22"/>
        </w:rPr>
        <w:t>Number of international applications received as RO</w:t>
      </w:r>
    </w:p>
    <w:p w:rsidR="00367344" w:rsidRPr="00F241A3" w:rsidRDefault="00367344" w:rsidP="00367344"/>
    <w:tbl>
      <w:tblPr>
        <w:tblStyle w:val="TableGrid"/>
        <w:tblW w:w="0" w:type="auto"/>
        <w:tblLayout w:type="fixed"/>
        <w:tblLook w:val="04A0" w:firstRow="1" w:lastRow="0" w:firstColumn="1" w:lastColumn="0" w:noHBand="0" w:noVBand="1"/>
      </w:tblPr>
      <w:tblGrid>
        <w:gridCol w:w="3510"/>
        <w:gridCol w:w="1212"/>
        <w:gridCol w:w="1212"/>
        <w:gridCol w:w="1212"/>
        <w:gridCol w:w="1212"/>
        <w:gridCol w:w="1213"/>
      </w:tblGrid>
      <w:tr w:rsidR="00367344" w:rsidTr="00A32EF0">
        <w:tc>
          <w:tcPr>
            <w:tcW w:w="3510" w:type="dxa"/>
          </w:tcPr>
          <w:p w:rsidR="00367344" w:rsidRPr="00367344" w:rsidRDefault="00367344" w:rsidP="00367344">
            <w:pPr>
              <w:jc w:val="center"/>
              <w:rPr>
                <w:b/>
              </w:rPr>
            </w:pPr>
            <w:r>
              <w:rPr>
                <w:b/>
              </w:rPr>
              <w:t>Year</w:t>
            </w:r>
          </w:p>
        </w:tc>
        <w:tc>
          <w:tcPr>
            <w:tcW w:w="1212" w:type="dxa"/>
          </w:tcPr>
          <w:p w:rsidR="00367344" w:rsidRPr="00367344" w:rsidRDefault="00367344" w:rsidP="00367344">
            <w:pPr>
              <w:jc w:val="center"/>
              <w:rPr>
                <w:b/>
              </w:rPr>
            </w:pPr>
            <w:r w:rsidRPr="00367344">
              <w:rPr>
                <w:b/>
              </w:rPr>
              <w:t>2012</w:t>
            </w:r>
          </w:p>
        </w:tc>
        <w:tc>
          <w:tcPr>
            <w:tcW w:w="1212" w:type="dxa"/>
          </w:tcPr>
          <w:p w:rsidR="00367344" w:rsidRPr="00367344" w:rsidRDefault="00367344" w:rsidP="00367344">
            <w:pPr>
              <w:jc w:val="center"/>
              <w:rPr>
                <w:b/>
              </w:rPr>
            </w:pPr>
            <w:r w:rsidRPr="00367344">
              <w:rPr>
                <w:b/>
              </w:rPr>
              <w:t>2013</w:t>
            </w:r>
          </w:p>
        </w:tc>
        <w:tc>
          <w:tcPr>
            <w:tcW w:w="1212" w:type="dxa"/>
          </w:tcPr>
          <w:p w:rsidR="00367344" w:rsidRPr="00367344" w:rsidRDefault="00367344" w:rsidP="00367344">
            <w:pPr>
              <w:jc w:val="center"/>
              <w:rPr>
                <w:b/>
              </w:rPr>
            </w:pPr>
            <w:r w:rsidRPr="00367344">
              <w:rPr>
                <w:b/>
              </w:rPr>
              <w:t>2014</w:t>
            </w:r>
          </w:p>
        </w:tc>
        <w:tc>
          <w:tcPr>
            <w:tcW w:w="1212" w:type="dxa"/>
          </w:tcPr>
          <w:p w:rsidR="00367344" w:rsidRPr="00367344" w:rsidRDefault="00367344" w:rsidP="00367344">
            <w:pPr>
              <w:jc w:val="center"/>
              <w:rPr>
                <w:b/>
              </w:rPr>
            </w:pPr>
            <w:r w:rsidRPr="00367344">
              <w:rPr>
                <w:b/>
              </w:rPr>
              <w:t>2015</w:t>
            </w:r>
          </w:p>
        </w:tc>
        <w:tc>
          <w:tcPr>
            <w:tcW w:w="1213" w:type="dxa"/>
          </w:tcPr>
          <w:p w:rsidR="00367344" w:rsidRPr="00367344" w:rsidRDefault="00367344" w:rsidP="00367344">
            <w:pPr>
              <w:jc w:val="center"/>
              <w:rPr>
                <w:b/>
              </w:rPr>
            </w:pPr>
            <w:r w:rsidRPr="00367344">
              <w:rPr>
                <w:b/>
              </w:rPr>
              <w:t>2016</w:t>
            </w:r>
          </w:p>
        </w:tc>
      </w:tr>
      <w:tr w:rsidR="00367344" w:rsidTr="00A32EF0">
        <w:tc>
          <w:tcPr>
            <w:tcW w:w="3510" w:type="dxa"/>
          </w:tcPr>
          <w:p w:rsidR="00367344" w:rsidRDefault="00367344" w:rsidP="00A32EF0">
            <w:r>
              <w:t>Number of international applications received as RO</w:t>
            </w:r>
          </w:p>
        </w:tc>
        <w:tc>
          <w:tcPr>
            <w:tcW w:w="1212" w:type="dxa"/>
          </w:tcPr>
          <w:p w:rsidR="00367344" w:rsidRDefault="00367344" w:rsidP="00A32EF0">
            <w:pPr>
              <w:jc w:val="right"/>
            </w:pPr>
            <w:r>
              <w:t>1,683</w:t>
            </w:r>
          </w:p>
        </w:tc>
        <w:tc>
          <w:tcPr>
            <w:tcW w:w="1212" w:type="dxa"/>
          </w:tcPr>
          <w:p w:rsidR="00367344" w:rsidRDefault="00367344" w:rsidP="00A32EF0">
            <w:pPr>
              <w:jc w:val="right"/>
            </w:pPr>
            <w:r>
              <w:t>1,778</w:t>
            </w:r>
          </w:p>
        </w:tc>
        <w:tc>
          <w:tcPr>
            <w:tcW w:w="1212" w:type="dxa"/>
          </w:tcPr>
          <w:p w:rsidR="00367344" w:rsidRDefault="00367344" w:rsidP="00A32EF0">
            <w:pPr>
              <w:jc w:val="right"/>
            </w:pPr>
            <w:r>
              <w:t>1,691</w:t>
            </w:r>
          </w:p>
        </w:tc>
        <w:tc>
          <w:tcPr>
            <w:tcW w:w="1212" w:type="dxa"/>
          </w:tcPr>
          <w:p w:rsidR="00367344" w:rsidRDefault="00367344" w:rsidP="00A32EF0">
            <w:pPr>
              <w:jc w:val="right"/>
            </w:pPr>
            <w:r>
              <w:t>1,447</w:t>
            </w:r>
          </w:p>
        </w:tc>
        <w:tc>
          <w:tcPr>
            <w:tcW w:w="1213" w:type="dxa"/>
          </w:tcPr>
          <w:p w:rsidR="00367344" w:rsidRDefault="00367344" w:rsidP="00A32EF0">
            <w:pPr>
              <w:jc w:val="right"/>
            </w:pPr>
            <w:r>
              <w:t>1,352</w:t>
            </w:r>
          </w:p>
        </w:tc>
      </w:tr>
    </w:tbl>
    <w:p w:rsidR="00AA5F79" w:rsidRDefault="00AA5F79" w:rsidP="00F241A3"/>
    <w:p w:rsidR="00F66AAB" w:rsidRPr="00F241A3" w:rsidRDefault="00F66AAB" w:rsidP="00F241A3"/>
    <w:p w:rsidR="00AA5F79" w:rsidRDefault="00F66AAB" w:rsidP="00F241A3">
      <w:pPr>
        <w:rPr>
          <w:b/>
          <w:bCs/>
          <w:szCs w:val="22"/>
        </w:rPr>
      </w:pPr>
      <w:r w:rsidRPr="00F66AAB">
        <w:rPr>
          <w:b/>
          <w:bCs/>
          <w:szCs w:val="22"/>
        </w:rPr>
        <w:t>Main Offices/States in which priority is claimed from national applications</w:t>
      </w:r>
    </w:p>
    <w:p w:rsidR="00F66AAB" w:rsidRPr="00F241A3" w:rsidRDefault="00F66AAB" w:rsidP="00F241A3"/>
    <w:p w:rsidR="00AA5F79" w:rsidRDefault="00F66AAB" w:rsidP="00F241A3">
      <w:pPr>
        <w:rPr>
          <w:lang w:val="fr-FR"/>
        </w:rPr>
      </w:pPr>
      <w:r w:rsidRPr="00F66AAB">
        <w:rPr>
          <w:lang w:val="fr-FR"/>
        </w:rPr>
        <w:t>SE, EP, US, CN, CA, KR, JP, AU, DE</w:t>
      </w:r>
      <w:r>
        <w:rPr>
          <w:lang w:val="fr-FR"/>
        </w:rPr>
        <w:t>.</w:t>
      </w:r>
    </w:p>
    <w:p w:rsidR="00F66AAB" w:rsidRDefault="00F66AAB" w:rsidP="00F241A3">
      <w:pPr>
        <w:rPr>
          <w:lang w:val="fr-FR"/>
        </w:rPr>
      </w:pPr>
    </w:p>
    <w:p w:rsidR="00F66AAB" w:rsidRDefault="00F66AAB" w:rsidP="00F241A3">
      <w:pPr>
        <w:rPr>
          <w:lang w:val="fr-FR"/>
        </w:rPr>
      </w:pPr>
    </w:p>
    <w:p w:rsidR="00F66AAB" w:rsidRDefault="00F66AAB" w:rsidP="00F66AAB">
      <w:pPr>
        <w:keepNext/>
        <w:rPr>
          <w:b/>
        </w:rPr>
      </w:pPr>
      <w:r w:rsidRPr="00F66AAB">
        <w:rPr>
          <w:b/>
        </w:rPr>
        <w:lastRenderedPageBreak/>
        <w:t>Average time taken for national patent processing</w:t>
      </w:r>
    </w:p>
    <w:p w:rsidR="00F66AAB" w:rsidRPr="00F66AAB" w:rsidRDefault="00F66AAB" w:rsidP="00F66AAB">
      <w:pPr>
        <w:keepNext/>
        <w:rPr>
          <w:b/>
        </w:rPr>
      </w:pPr>
    </w:p>
    <w:tbl>
      <w:tblPr>
        <w:tblStyle w:val="TableGrid"/>
        <w:tblW w:w="0" w:type="auto"/>
        <w:tblLook w:val="04A0" w:firstRow="1" w:lastRow="0" w:firstColumn="1" w:lastColumn="0" w:noHBand="0" w:noVBand="1"/>
      </w:tblPr>
      <w:tblGrid>
        <w:gridCol w:w="1403"/>
        <w:gridCol w:w="7011"/>
        <w:gridCol w:w="1157"/>
      </w:tblGrid>
      <w:tr w:rsidR="00F66AAB" w:rsidTr="00F66AAB">
        <w:tc>
          <w:tcPr>
            <w:tcW w:w="1403" w:type="dxa"/>
          </w:tcPr>
          <w:p w:rsidR="00F66AAB" w:rsidRPr="00F66AAB" w:rsidRDefault="00F66AAB" w:rsidP="00F66AAB">
            <w:pPr>
              <w:keepNext/>
              <w:jc w:val="center"/>
              <w:rPr>
                <w:b/>
                <w:i/>
              </w:rPr>
            </w:pPr>
            <w:r w:rsidRPr="00F66AAB">
              <w:rPr>
                <w:b/>
                <w:i/>
              </w:rPr>
              <w:t>Indicator</w:t>
            </w:r>
          </w:p>
        </w:tc>
        <w:tc>
          <w:tcPr>
            <w:tcW w:w="7011" w:type="dxa"/>
          </w:tcPr>
          <w:p w:rsidR="00F66AAB" w:rsidRPr="00F66AAB" w:rsidRDefault="00F66AAB" w:rsidP="00F66AAB">
            <w:pPr>
              <w:keepNext/>
              <w:jc w:val="center"/>
              <w:rPr>
                <w:b/>
                <w:i/>
              </w:rPr>
            </w:pPr>
            <w:r w:rsidRPr="00F66AAB">
              <w:rPr>
                <w:b/>
                <w:i/>
              </w:rPr>
              <w:t>Measure from</w:t>
            </w:r>
          </w:p>
        </w:tc>
        <w:tc>
          <w:tcPr>
            <w:tcW w:w="1157" w:type="dxa"/>
          </w:tcPr>
          <w:p w:rsidR="00F66AAB" w:rsidRPr="00F66AAB" w:rsidRDefault="00F66AAB" w:rsidP="00F66AAB">
            <w:pPr>
              <w:keepNext/>
              <w:jc w:val="center"/>
              <w:rPr>
                <w:b/>
                <w:i/>
              </w:rPr>
            </w:pPr>
            <w:r w:rsidRPr="00F66AAB">
              <w:rPr>
                <w:b/>
                <w:i/>
              </w:rPr>
              <w:t>Time (months)</w:t>
            </w:r>
          </w:p>
        </w:tc>
      </w:tr>
      <w:tr w:rsidR="00F66AAB" w:rsidTr="00F66AAB">
        <w:tc>
          <w:tcPr>
            <w:tcW w:w="1403" w:type="dxa"/>
          </w:tcPr>
          <w:p w:rsidR="00F66AAB" w:rsidRDefault="00F66AAB" w:rsidP="00F66AAB">
            <w:pPr>
              <w:keepNext/>
            </w:pPr>
            <w:r>
              <w:t>To search</w:t>
            </w:r>
          </w:p>
        </w:tc>
        <w:tc>
          <w:tcPr>
            <w:tcW w:w="7011" w:type="dxa"/>
          </w:tcPr>
          <w:p w:rsidR="00F66AAB" w:rsidRDefault="00F66AAB" w:rsidP="00F66AAB">
            <w:pPr>
              <w:keepNext/>
            </w:pPr>
            <w:r>
              <w:t xml:space="preserve">First filings only. </w:t>
            </w:r>
            <w:r w:rsidR="000A7B95">
              <w:t xml:space="preserve"> </w:t>
            </w:r>
            <w:r>
              <w:t>Calculation performed for search report during the year 2016.</w:t>
            </w:r>
          </w:p>
          <w:p w:rsidR="00F66AAB" w:rsidRDefault="00F66AAB" w:rsidP="00F66AAB">
            <w:pPr>
              <w:keepNext/>
            </w:pPr>
            <w:r>
              <w:t>Time between filing day and day of report of performed search.</w:t>
            </w:r>
          </w:p>
        </w:tc>
        <w:tc>
          <w:tcPr>
            <w:tcW w:w="1157" w:type="dxa"/>
          </w:tcPr>
          <w:p w:rsidR="00F66AAB" w:rsidRDefault="00F66AAB" w:rsidP="00F66AAB">
            <w:pPr>
              <w:keepNext/>
              <w:jc w:val="center"/>
            </w:pPr>
            <w:r>
              <w:t>7.0</w:t>
            </w:r>
          </w:p>
        </w:tc>
      </w:tr>
      <w:tr w:rsidR="00F66AAB" w:rsidTr="00F66AAB">
        <w:tc>
          <w:tcPr>
            <w:tcW w:w="1403" w:type="dxa"/>
          </w:tcPr>
          <w:p w:rsidR="00F66AAB" w:rsidRDefault="00F66AAB" w:rsidP="00F66AAB">
            <w:pPr>
              <w:keepNext/>
            </w:pPr>
            <w:r>
              <w:t>To first examination</w:t>
            </w:r>
          </w:p>
        </w:tc>
        <w:tc>
          <w:tcPr>
            <w:tcW w:w="7011" w:type="dxa"/>
          </w:tcPr>
          <w:p w:rsidR="00F66AAB" w:rsidRDefault="00F66AAB" w:rsidP="00F66AAB">
            <w:pPr>
              <w:keepNext/>
            </w:pPr>
            <w:r>
              <w:t xml:space="preserve">First filings only. </w:t>
            </w:r>
            <w:r w:rsidR="000A7B95">
              <w:t xml:space="preserve"> </w:t>
            </w:r>
            <w:r>
              <w:t>Time between filing day and day of report of performed search and examination communicated with applicant during the year 2016.</w:t>
            </w:r>
          </w:p>
          <w:p w:rsidR="00F66AAB" w:rsidRDefault="00F66AAB" w:rsidP="00F66AAB">
            <w:pPr>
              <w:keepNext/>
            </w:pPr>
            <w:r>
              <w:t>Note that search and examination are performed at the same occasion</w:t>
            </w:r>
          </w:p>
        </w:tc>
        <w:tc>
          <w:tcPr>
            <w:tcW w:w="1157" w:type="dxa"/>
          </w:tcPr>
          <w:p w:rsidR="00F66AAB" w:rsidRDefault="00F66AAB" w:rsidP="00F66AAB">
            <w:pPr>
              <w:keepNext/>
              <w:jc w:val="center"/>
            </w:pPr>
            <w:r>
              <w:t>7.0</w:t>
            </w:r>
          </w:p>
        </w:tc>
      </w:tr>
      <w:tr w:rsidR="00F66AAB" w:rsidTr="00F66AAB">
        <w:tc>
          <w:tcPr>
            <w:tcW w:w="1403" w:type="dxa"/>
          </w:tcPr>
          <w:p w:rsidR="00F66AAB" w:rsidRDefault="00F66AAB" w:rsidP="00F66AAB">
            <w:pPr>
              <w:keepNext/>
            </w:pPr>
            <w:r>
              <w:t>To grant</w:t>
            </w:r>
          </w:p>
        </w:tc>
        <w:tc>
          <w:tcPr>
            <w:tcW w:w="7011" w:type="dxa"/>
          </w:tcPr>
          <w:p w:rsidR="00F66AAB" w:rsidRDefault="00F66AAB" w:rsidP="00F66AAB">
            <w:pPr>
              <w:keepNext/>
            </w:pPr>
            <w:r>
              <w:t xml:space="preserve">First filings only. </w:t>
            </w:r>
            <w:r w:rsidR="000A7B95">
              <w:t xml:space="preserve"> </w:t>
            </w:r>
            <w:r>
              <w:t>Calculation performed for granted applications during the year 2016</w:t>
            </w:r>
          </w:p>
          <w:p w:rsidR="00F66AAB" w:rsidRDefault="00F66AAB" w:rsidP="00F66AAB">
            <w:pPr>
              <w:keepNext/>
            </w:pPr>
            <w:r>
              <w:t>Time between filing day and day of granted, published patent.</w:t>
            </w:r>
          </w:p>
        </w:tc>
        <w:tc>
          <w:tcPr>
            <w:tcW w:w="1157" w:type="dxa"/>
          </w:tcPr>
          <w:p w:rsidR="00F66AAB" w:rsidRDefault="00F66AAB" w:rsidP="00F66AAB">
            <w:pPr>
              <w:keepNext/>
              <w:jc w:val="center"/>
            </w:pPr>
            <w:r>
              <w:t>28.9</w:t>
            </w:r>
          </w:p>
        </w:tc>
      </w:tr>
    </w:tbl>
    <w:p w:rsidR="00AA5F79" w:rsidRPr="00F66AAB" w:rsidRDefault="00AA5F79" w:rsidP="00F241A3"/>
    <w:p w:rsidR="00AA5F79" w:rsidRPr="00F66AAB" w:rsidRDefault="00AA5F79" w:rsidP="00F241A3"/>
    <w:p w:rsidR="00F66AAB" w:rsidRDefault="00F66AAB" w:rsidP="00F66AAB">
      <w:pPr>
        <w:rPr>
          <w:b/>
        </w:rPr>
      </w:pPr>
      <w:r>
        <w:rPr>
          <w:b/>
        </w:rPr>
        <w:t>National backlogs</w:t>
      </w:r>
    </w:p>
    <w:p w:rsidR="00AA5F79" w:rsidRPr="00F66AAB" w:rsidRDefault="00AA5F79" w:rsidP="00F241A3"/>
    <w:tbl>
      <w:tblPr>
        <w:tblStyle w:val="TableGrid"/>
        <w:tblW w:w="9606" w:type="dxa"/>
        <w:tblLayout w:type="fixed"/>
        <w:tblLook w:val="04A0" w:firstRow="1" w:lastRow="0" w:firstColumn="1" w:lastColumn="0" w:noHBand="0" w:noVBand="1"/>
      </w:tblPr>
      <w:tblGrid>
        <w:gridCol w:w="6345"/>
        <w:gridCol w:w="3261"/>
      </w:tblGrid>
      <w:tr w:rsidR="00F66AAB" w:rsidRPr="00367344" w:rsidTr="00F66AAB">
        <w:tc>
          <w:tcPr>
            <w:tcW w:w="6345" w:type="dxa"/>
          </w:tcPr>
          <w:p w:rsidR="00F66AAB" w:rsidRPr="00367344" w:rsidRDefault="00F66AAB" w:rsidP="00A32EF0">
            <w:pPr>
              <w:jc w:val="center"/>
              <w:rPr>
                <w:b/>
              </w:rPr>
            </w:pPr>
            <w:r>
              <w:rPr>
                <w:b/>
              </w:rPr>
              <w:t>Measure</w:t>
            </w:r>
          </w:p>
        </w:tc>
        <w:tc>
          <w:tcPr>
            <w:tcW w:w="3261" w:type="dxa"/>
          </w:tcPr>
          <w:p w:rsidR="00F66AAB" w:rsidRPr="00367344" w:rsidRDefault="00F66AAB" w:rsidP="00A32EF0">
            <w:pPr>
              <w:jc w:val="center"/>
              <w:rPr>
                <w:b/>
              </w:rPr>
            </w:pPr>
            <w:r>
              <w:rPr>
                <w:b/>
              </w:rPr>
              <w:t>Number of applications</w:t>
            </w:r>
          </w:p>
        </w:tc>
      </w:tr>
      <w:tr w:rsidR="00F66AAB" w:rsidTr="00F66AAB">
        <w:tc>
          <w:tcPr>
            <w:tcW w:w="6345" w:type="dxa"/>
          </w:tcPr>
          <w:p w:rsidR="00F66AAB" w:rsidRDefault="00F66AAB" w:rsidP="00A32EF0">
            <w:r>
              <w:t>All pending applications</w:t>
            </w:r>
          </w:p>
        </w:tc>
        <w:tc>
          <w:tcPr>
            <w:tcW w:w="3261" w:type="dxa"/>
          </w:tcPr>
          <w:p w:rsidR="00F66AAB" w:rsidRDefault="00AF3C58" w:rsidP="00A32EF0">
            <w:pPr>
              <w:jc w:val="right"/>
            </w:pPr>
            <w:r>
              <w:t>4,174</w:t>
            </w:r>
          </w:p>
        </w:tc>
      </w:tr>
      <w:tr w:rsidR="00F66AAB" w:rsidTr="00F66AAB">
        <w:tc>
          <w:tcPr>
            <w:tcW w:w="6345" w:type="dxa"/>
          </w:tcPr>
          <w:p w:rsidR="00F66AAB" w:rsidRDefault="00AF3C58" w:rsidP="00A32EF0">
            <w:r>
              <w:t>Applications awaiting search (where relevant fees paid)</w:t>
            </w:r>
          </w:p>
        </w:tc>
        <w:tc>
          <w:tcPr>
            <w:tcW w:w="3261" w:type="dxa"/>
          </w:tcPr>
          <w:p w:rsidR="00F66AAB" w:rsidRDefault="00AF3C58" w:rsidP="00A32EF0">
            <w:pPr>
              <w:jc w:val="right"/>
            </w:pPr>
            <w:r>
              <w:t>1,241</w:t>
            </w:r>
          </w:p>
        </w:tc>
      </w:tr>
    </w:tbl>
    <w:p w:rsidR="00AA5F79" w:rsidRPr="00F66AAB" w:rsidRDefault="00AA5F79" w:rsidP="00F241A3"/>
    <w:p w:rsidR="00AF3C58" w:rsidRDefault="00AF3C58" w:rsidP="00AF3C58"/>
    <w:p w:rsidR="00AF3C58" w:rsidRPr="00AF3C58" w:rsidRDefault="00AF3C58" w:rsidP="00AF3C58">
      <w:pPr>
        <w:pStyle w:val="SectionHeading"/>
        <w:rPr>
          <w:sz w:val="22"/>
          <w:szCs w:val="22"/>
        </w:rPr>
      </w:pPr>
      <w:r w:rsidRPr="00AF3C58">
        <w:rPr>
          <w:sz w:val="22"/>
          <w:szCs w:val="22"/>
        </w:rPr>
        <w:t>7 – Support Required</w:t>
      </w:r>
    </w:p>
    <w:p w:rsidR="00AF3C58" w:rsidRPr="00AF3C58" w:rsidRDefault="00AF3C58" w:rsidP="00AF3C58">
      <w:pPr>
        <w:rPr>
          <w:iCs/>
        </w:rPr>
      </w:pPr>
      <w:r w:rsidRPr="00AF3C58">
        <w:rPr>
          <w:iCs/>
        </w:rPr>
        <w:t>No special support required</w:t>
      </w:r>
    </w:p>
    <w:p w:rsidR="00AF3C58" w:rsidRDefault="00AF3C58" w:rsidP="00AF3C58"/>
    <w:p w:rsidR="00AF3C58" w:rsidRPr="00AF3C58" w:rsidRDefault="00AF3C58" w:rsidP="00AF3C58">
      <w:pPr>
        <w:pStyle w:val="SectionHeading"/>
        <w:rPr>
          <w:sz w:val="22"/>
          <w:szCs w:val="22"/>
        </w:rPr>
      </w:pPr>
      <w:r w:rsidRPr="00AF3C58">
        <w:rPr>
          <w:sz w:val="22"/>
          <w:szCs w:val="22"/>
        </w:rPr>
        <w:t>8 – Other</w:t>
      </w:r>
    </w:p>
    <w:p w:rsidR="00AF3C58" w:rsidRPr="00AF3C58" w:rsidRDefault="00AF3C58" w:rsidP="00AF3C58">
      <w:pPr>
        <w:rPr>
          <w:iCs/>
          <w:szCs w:val="22"/>
        </w:rPr>
      </w:pPr>
      <w:r w:rsidRPr="00AF3C58">
        <w:rPr>
          <w:iCs/>
          <w:szCs w:val="22"/>
        </w:rPr>
        <w:t>Not applicable</w:t>
      </w:r>
    </w:p>
    <w:p w:rsidR="00AF3C58" w:rsidRDefault="00AF3C58" w:rsidP="00AF3C58">
      <w:pPr>
        <w:rPr>
          <w:szCs w:val="22"/>
        </w:rPr>
      </w:pPr>
    </w:p>
    <w:p w:rsidR="00AF3C58" w:rsidRPr="00AF3C58" w:rsidRDefault="00AF3C58" w:rsidP="00AF3C58">
      <w:pPr>
        <w:pStyle w:val="SectionHeading"/>
        <w:rPr>
          <w:sz w:val="22"/>
          <w:szCs w:val="22"/>
        </w:rPr>
      </w:pPr>
      <w:r w:rsidRPr="00AF3C58">
        <w:rPr>
          <w:sz w:val="22"/>
          <w:szCs w:val="22"/>
        </w:rPr>
        <w:t>9 – Assessment by other Authorities</w:t>
      </w:r>
    </w:p>
    <w:p w:rsidR="00AF3C58" w:rsidRPr="00AF3C58" w:rsidRDefault="00AF3C58" w:rsidP="00AF3C58">
      <w:pPr>
        <w:rPr>
          <w:szCs w:val="22"/>
          <w:lang w:val="en-GB"/>
        </w:rPr>
      </w:pPr>
      <w:r w:rsidRPr="00AF3C58">
        <w:rPr>
          <w:iCs/>
          <w:szCs w:val="22"/>
        </w:rPr>
        <w:t xml:space="preserve">PRV has done several benchmarking and assessment activities with other International Authorities during the years. </w:t>
      </w:r>
      <w:r>
        <w:rPr>
          <w:iCs/>
          <w:szCs w:val="22"/>
        </w:rPr>
        <w:t xml:space="preserve"> </w:t>
      </w:r>
      <w:r w:rsidRPr="00AF3C58">
        <w:rPr>
          <w:iCs/>
          <w:szCs w:val="22"/>
        </w:rPr>
        <w:t xml:space="preserve">PRV will continue this work in the future and is open to suggestions from any International or National Office on mutual assessment schemes. </w:t>
      </w:r>
      <w:r>
        <w:rPr>
          <w:iCs/>
          <w:szCs w:val="22"/>
        </w:rPr>
        <w:t xml:space="preserve"> </w:t>
      </w:r>
      <w:r w:rsidRPr="00AF3C58">
        <w:rPr>
          <w:iCs/>
          <w:szCs w:val="22"/>
        </w:rPr>
        <w:t>PRV will participate in the Assessment as proposed by Canada (CIPO) and taking place as part of the Quality Subgroup Meeting, starting 2018.</w:t>
      </w:r>
    </w:p>
    <w:p w:rsidR="00AF3C58" w:rsidRDefault="00AF3C58" w:rsidP="000A7B95">
      <w:pPr>
        <w:rPr>
          <w:szCs w:val="22"/>
        </w:rPr>
      </w:pPr>
    </w:p>
    <w:p w:rsidR="00F241A3" w:rsidRPr="00F66AAB" w:rsidRDefault="00F241A3" w:rsidP="00F241A3"/>
    <w:p w:rsidR="00AA5F79" w:rsidRPr="00AA5F79" w:rsidRDefault="00FA4CE0" w:rsidP="00FA4CE0">
      <w:pPr>
        <w:pStyle w:val="Endofdocument-Annex"/>
      </w:pPr>
      <w:r>
        <w:t>[End of Annex and of document]</w:t>
      </w:r>
    </w:p>
    <w:sectPr w:rsidR="00AA5F79" w:rsidRPr="00AA5F79"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7" w:name="Code2"/>
    <w:bookmarkEnd w:id="7"/>
    <w:r>
      <w:t>PCT/CTC/30/xx</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F02F6">
      <w:rPr>
        <w:noProof/>
      </w:rPr>
      <w:t>7</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732AB6">
      <w:rPr>
        <w:lang w:val="fr-FR"/>
      </w:rPr>
      <w:t>18</w:t>
    </w:r>
  </w:p>
  <w:p w:rsidR="00AA5F79" w:rsidRPr="00AA5F79" w:rsidRDefault="00AA5F79"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1443A5">
      <w:rPr>
        <w:noProof/>
        <w:lang w:val="fr-FR"/>
      </w:rPr>
      <w:t>7</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732AB6">
      <w:t>18</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5FD7"/>
    <w:rsid w:val="00011582"/>
    <w:rsid w:val="00043CAA"/>
    <w:rsid w:val="00075432"/>
    <w:rsid w:val="000968ED"/>
    <w:rsid w:val="000A7B95"/>
    <w:rsid w:val="000F5E56"/>
    <w:rsid w:val="001362EE"/>
    <w:rsid w:val="001443A5"/>
    <w:rsid w:val="001832A6"/>
    <w:rsid w:val="0021217E"/>
    <w:rsid w:val="002634C4"/>
    <w:rsid w:val="002928D3"/>
    <w:rsid w:val="002D5802"/>
    <w:rsid w:val="002F1FE6"/>
    <w:rsid w:val="002F4E68"/>
    <w:rsid w:val="00312F7F"/>
    <w:rsid w:val="0035027E"/>
    <w:rsid w:val="00361450"/>
    <w:rsid w:val="00367344"/>
    <w:rsid w:val="003673CF"/>
    <w:rsid w:val="003845C1"/>
    <w:rsid w:val="003A6F89"/>
    <w:rsid w:val="003B38C1"/>
    <w:rsid w:val="00423E3E"/>
    <w:rsid w:val="00427AF4"/>
    <w:rsid w:val="004647DA"/>
    <w:rsid w:val="00474062"/>
    <w:rsid w:val="00477D6B"/>
    <w:rsid w:val="004F74E6"/>
    <w:rsid w:val="005019FF"/>
    <w:rsid w:val="0053057A"/>
    <w:rsid w:val="00560A29"/>
    <w:rsid w:val="00570030"/>
    <w:rsid w:val="005C40A3"/>
    <w:rsid w:val="005C6649"/>
    <w:rsid w:val="005F02F6"/>
    <w:rsid w:val="00605827"/>
    <w:rsid w:val="00646050"/>
    <w:rsid w:val="006713CA"/>
    <w:rsid w:val="00676C5C"/>
    <w:rsid w:val="00732AB6"/>
    <w:rsid w:val="007D1613"/>
    <w:rsid w:val="007E4C0E"/>
    <w:rsid w:val="00837953"/>
    <w:rsid w:val="008B2CC1"/>
    <w:rsid w:val="008B50A2"/>
    <w:rsid w:val="008B60B2"/>
    <w:rsid w:val="0090731E"/>
    <w:rsid w:val="00916EE2"/>
    <w:rsid w:val="009352E3"/>
    <w:rsid w:val="00966A22"/>
    <w:rsid w:val="0096722F"/>
    <w:rsid w:val="00980843"/>
    <w:rsid w:val="009E2791"/>
    <w:rsid w:val="009E3F6F"/>
    <w:rsid w:val="009F499F"/>
    <w:rsid w:val="00A42DAF"/>
    <w:rsid w:val="00A45BD8"/>
    <w:rsid w:val="00A8418E"/>
    <w:rsid w:val="00A869B7"/>
    <w:rsid w:val="00A93FC2"/>
    <w:rsid w:val="00AA5F79"/>
    <w:rsid w:val="00AC205C"/>
    <w:rsid w:val="00AF0A6B"/>
    <w:rsid w:val="00AF3C58"/>
    <w:rsid w:val="00B05A69"/>
    <w:rsid w:val="00B9734B"/>
    <w:rsid w:val="00BA30E2"/>
    <w:rsid w:val="00BD078D"/>
    <w:rsid w:val="00C11BFE"/>
    <w:rsid w:val="00C37C03"/>
    <w:rsid w:val="00C5068F"/>
    <w:rsid w:val="00C650A4"/>
    <w:rsid w:val="00CD04F1"/>
    <w:rsid w:val="00D45252"/>
    <w:rsid w:val="00D71B4D"/>
    <w:rsid w:val="00D93D55"/>
    <w:rsid w:val="00DF53ED"/>
    <w:rsid w:val="00E15015"/>
    <w:rsid w:val="00E335FE"/>
    <w:rsid w:val="00E82D0C"/>
    <w:rsid w:val="00E870F2"/>
    <w:rsid w:val="00EC4E49"/>
    <w:rsid w:val="00ED77FB"/>
    <w:rsid w:val="00EE45FA"/>
    <w:rsid w:val="00F241A3"/>
    <w:rsid w:val="00F66152"/>
    <w:rsid w:val="00F66AAB"/>
    <w:rsid w:val="00F8158F"/>
    <w:rsid w:val="00F92EC8"/>
    <w:rsid w:val="00FA4CE0"/>
    <w:rsid w:val="00FD06A7"/>
    <w:rsid w:val="00FF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SectionHeadingChar">
    <w:name w:val="Section Heading Char"/>
    <w:link w:val="SectionHeading"/>
    <w:locked/>
    <w:rsid w:val="00A8418E"/>
    <w:rPr>
      <w:rFonts w:ascii="Arial" w:hAnsi="Arial" w:cs="Arial"/>
      <w:b/>
      <w:bCs/>
      <w:caps/>
      <w:kern w:val="32"/>
      <w:szCs w:val="32"/>
      <w:lang w:eastAsia="zh-CN"/>
    </w:rPr>
  </w:style>
  <w:style w:type="paragraph" w:customStyle="1" w:styleId="SectionHeading">
    <w:name w:val="Section Heading"/>
    <w:basedOn w:val="Heading1"/>
    <w:link w:val="SectionHeadingChar"/>
    <w:qFormat/>
    <w:rsid w:val="00A8418E"/>
    <w:pPr>
      <w:pBdr>
        <w:top w:val="single" w:sz="4" w:space="1" w:color="auto"/>
        <w:bottom w:val="single" w:sz="4" w:space="1" w:color="auto"/>
      </w:pBdr>
      <w:spacing w:before="360" w:after="200"/>
    </w:pPr>
    <w:rPr>
      <w:rFonts w:eastAsia="Times New Roman"/>
      <w:sz w:val="20"/>
    </w:rPr>
  </w:style>
  <w:style w:type="character" w:styleId="Hyperlink">
    <w:name w:val="Hyperlink"/>
    <w:basedOn w:val="DefaultParagraphFont"/>
    <w:rsid w:val="00DF53ED"/>
    <w:rPr>
      <w:color w:val="0000FF" w:themeColor="hyperlink"/>
      <w:u w:val="single"/>
    </w:rPr>
  </w:style>
  <w:style w:type="character" w:styleId="FollowedHyperlink">
    <w:name w:val="FollowedHyperlink"/>
    <w:basedOn w:val="DefaultParagraphFont"/>
    <w:rsid w:val="002D5802"/>
    <w:rPr>
      <w:color w:val="800080" w:themeColor="followedHyperlink"/>
      <w:u w:val="single"/>
    </w:rPr>
  </w:style>
  <w:style w:type="table" w:styleId="TableGrid">
    <w:name w:val="Table Grid"/>
    <w:basedOn w:val="TableNormal"/>
    <w:rsid w:val="000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SectionHeadingChar">
    <w:name w:val="Section Heading Char"/>
    <w:link w:val="SectionHeading"/>
    <w:locked/>
    <w:rsid w:val="00A8418E"/>
    <w:rPr>
      <w:rFonts w:ascii="Arial" w:hAnsi="Arial" w:cs="Arial"/>
      <w:b/>
      <w:bCs/>
      <w:caps/>
      <w:kern w:val="32"/>
      <w:szCs w:val="32"/>
      <w:lang w:eastAsia="zh-CN"/>
    </w:rPr>
  </w:style>
  <w:style w:type="paragraph" w:customStyle="1" w:styleId="SectionHeading">
    <w:name w:val="Section Heading"/>
    <w:basedOn w:val="Heading1"/>
    <w:link w:val="SectionHeadingChar"/>
    <w:qFormat/>
    <w:rsid w:val="00A8418E"/>
    <w:pPr>
      <w:pBdr>
        <w:top w:val="single" w:sz="4" w:space="1" w:color="auto"/>
        <w:bottom w:val="single" w:sz="4" w:space="1" w:color="auto"/>
      </w:pBdr>
      <w:spacing w:before="360" w:after="200"/>
    </w:pPr>
    <w:rPr>
      <w:rFonts w:eastAsia="Times New Roman"/>
      <w:sz w:val="20"/>
    </w:rPr>
  </w:style>
  <w:style w:type="character" w:styleId="Hyperlink">
    <w:name w:val="Hyperlink"/>
    <w:basedOn w:val="DefaultParagraphFont"/>
    <w:rsid w:val="00DF53ED"/>
    <w:rPr>
      <w:color w:val="0000FF" w:themeColor="hyperlink"/>
      <w:u w:val="single"/>
    </w:rPr>
  </w:style>
  <w:style w:type="character" w:styleId="FollowedHyperlink">
    <w:name w:val="FollowedHyperlink"/>
    <w:basedOn w:val="DefaultParagraphFont"/>
    <w:rsid w:val="002D5802"/>
    <w:rPr>
      <w:color w:val="800080" w:themeColor="followedHyperlink"/>
      <w:u w:val="single"/>
    </w:rPr>
  </w:style>
  <w:style w:type="table" w:styleId="TableGrid">
    <w:name w:val="Table Grid"/>
    <w:basedOn w:val="TableNormal"/>
    <w:rsid w:val="000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2829">
      <w:bodyDiv w:val="1"/>
      <w:marLeft w:val="0"/>
      <w:marRight w:val="0"/>
      <w:marTop w:val="0"/>
      <w:marBottom w:val="0"/>
      <w:divBdr>
        <w:top w:val="none" w:sz="0" w:space="0" w:color="auto"/>
        <w:left w:val="none" w:sz="0" w:space="0" w:color="auto"/>
        <w:bottom w:val="none" w:sz="0" w:space="0" w:color="auto"/>
        <w:right w:val="none" w:sz="0" w:space="0" w:color="auto"/>
      </w:divBdr>
    </w:div>
    <w:div w:id="962418566">
      <w:bodyDiv w:val="1"/>
      <w:marLeft w:val="0"/>
      <w:marRight w:val="0"/>
      <w:marTop w:val="0"/>
      <w:marBottom w:val="0"/>
      <w:divBdr>
        <w:top w:val="none" w:sz="0" w:space="0" w:color="auto"/>
        <w:left w:val="none" w:sz="0" w:space="0" w:color="auto"/>
        <w:bottom w:val="none" w:sz="0" w:space="0" w:color="auto"/>
        <w:right w:val="none" w:sz="0" w:space="0" w:color="auto"/>
      </w:divBdr>
    </w:div>
    <w:div w:id="1026055406">
      <w:bodyDiv w:val="1"/>
      <w:marLeft w:val="0"/>
      <w:marRight w:val="0"/>
      <w:marTop w:val="0"/>
      <w:marBottom w:val="0"/>
      <w:divBdr>
        <w:top w:val="none" w:sz="0" w:space="0" w:color="auto"/>
        <w:left w:val="none" w:sz="0" w:space="0" w:color="auto"/>
        <w:bottom w:val="none" w:sz="0" w:space="0" w:color="auto"/>
        <w:right w:val="none" w:sz="0" w:space="0" w:color="auto"/>
      </w:divBdr>
    </w:div>
    <w:div w:id="1268124014">
      <w:bodyDiv w:val="1"/>
      <w:marLeft w:val="0"/>
      <w:marRight w:val="0"/>
      <w:marTop w:val="0"/>
      <w:marBottom w:val="0"/>
      <w:divBdr>
        <w:top w:val="none" w:sz="0" w:space="0" w:color="auto"/>
        <w:left w:val="none" w:sz="0" w:space="0" w:color="auto"/>
        <w:bottom w:val="none" w:sz="0" w:space="0" w:color="auto"/>
        <w:right w:val="none" w:sz="0" w:space="0" w:color="auto"/>
      </w:divBdr>
    </w:div>
    <w:div w:id="1467430899">
      <w:bodyDiv w:val="1"/>
      <w:marLeft w:val="0"/>
      <w:marRight w:val="0"/>
      <w:marTop w:val="0"/>
      <w:marBottom w:val="0"/>
      <w:divBdr>
        <w:top w:val="none" w:sz="0" w:space="0" w:color="auto"/>
        <w:left w:val="none" w:sz="0" w:space="0" w:color="auto"/>
        <w:bottom w:val="none" w:sz="0" w:space="0" w:color="auto"/>
        <w:right w:val="none" w:sz="0" w:space="0" w:color="auto"/>
      </w:divBdr>
    </w:div>
    <w:div w:id="1934124688">
      <w:bodyDiv w:val="1"/>
      <w:marLeft w:val="0"/>
      <w:marRight w:val="0"/>
      <w:marTop w:val="0"/>
      <w:marBottom w:val="0"/>
      <w:divBdr>
        <w:top w:val="none" w:sz="0" w:space="0" w:color="auto"/>
        <w:left w:val="none" w:sz="0" w:space="0" w:color="auto"/>
        <w:bottom w:val="none" w:sz="0" w:space="0" w:color="auto"/>
        <w:right w:val="none" w:sz="0" w:space="0" w:color="auto"/>
      </w:divBdr>
    </w:div>
    <w:div w:id="1948735424">
      <w:bodyDiv w:val="1"/>
      <w:marLeft w:val="0"/>
      <w:marRight w:val="0"/>
      <w:marTop w:val="0"/>
      <w:marBottom w:val="0"/>
      <w:divBdr>
        <w:top w:val="none" w:sz="0" w:space="0" w:color="auto"/>
        <w:left w:val="none" w:sz="0" w:space="0" w:color="auto"/>
        <w:bottom w:val="none" w:sz="0" w:space="0" w:color="auto"/>
        <w:right w:val="none" w:sz="0" w:space="0" w:color="auto"/>
      </w:divBdr>
    </w:div>
    <w:div w:id="19664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DDFA-E4F4-46A7-A627-3D03FC93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83</TotalTime>
  <Pages>8</Pages>
  <Words>2171</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PCT/CTC/30/18</vt:lpstr>
    </vt:vector>
  </TitlesOfParts>
  <Company>WIPO</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PCT/CTC/30/18</dc:title>
  <dc:subject>Extension of Appointment of the Swedish Patent and Registration Office as an International Searching and Preliminary Examining Authority Under the PCT</dc:subject>
  <dc:creator>MARLOW Thomas</dc:creator>
  <cp:lastModifiedBy>MARLOW Thomas</cp:lastModifiedBy>
  <cp:revision>8</cp:revision>
  <cp:lastPrinted>2017-03-14T14:26:00Z</cp:lastPrinted>
  <dcterms:created xsi:type="dcterms:W3CDTF">2017-03-14T09:44:00Z</dcterms:created>
  <dcterms:modified xsi:type="dcterms:W3CDTF">2017-03-16T16:09:00Z</dcterms:modified>
</cp:coreProperties>
</file>