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rsidTr="00361450">
        <w:tc>
          <w:tcPr>
            <w:tcW w:w="4513" w:type="dxa"/>
            <w:tcBorders>
              <w:bottom w:val="single" w:sz="4" w:space="0" w:color="auto"/>
            </w:tcBorders>
            <w:tcMar>
              <w:bottom w:w="170" w:type="dxa"/>
            </w:tcMar>
          </w:tcPr>
          <w:p w:rsidR="00EC4E49" w:rsidRPr="008B2CC1" w:rsidRDefault="00EC4E49" w:rsidP="00916EE2"/>
        </w:tc>
        <w:tc>
          <w:tcPr>
            <w:tcW w:w="4337" w:type="dxa"/>
            <w:tcBorders>
              <w:bottom w:val="single" w:sz="4" w:space="0" w:color="auto"/>
            </w:tcBorders>
            <w:tcMar>
              <w:left w:w="0" w:type="dxa"/>
              <w:right w:w="0" w:type="dxa"/>
            </w:tcMar>
          </w:tcPr>
          <w:p w:rsidR="00EC4E49" w:rsidRPr="008B2CC1" w:rsidRDefault="00BD078D" w:rsidP="00916EE2">
            <w:r>
              <w:rPr>
                <w:noProof/>
                <w:lang w:val="en-GB" w:eastAsia="en-GB"/>
              </w:rPr>
              <w:drawing>
                <wp:inline distT="0" distB="0" distL="0" distR="0">
                  <wp:extent cx="1855470" cy="1326515"/>
                  <wp:effectExtent l="0" t="0" r="0" b="6985"/>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5470" cy="132651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8B2CC1" w:rsidRDefault="00EC4E49" w:rsidP="00916EE2">
            <w:pPr>
              <w:jc w:val="right"/>
            </w:pPr>
            <w:r w:rsidRPr="00605827">
              <w:rPr>
                <w:b/>
                <w:sz w:val="40"/>
                <w:szCs w:val="40"/>
              </w:rPr>
              <w:t>E</w:t>
            </w:r>
          </w:p>
        </w:tc>
      </w:tr>
      <w:tr w:rsidR="008B2CC1" w:rsidRPr="001832A6" w:rsidTr="00C5068F">
        <w:trPr>
          <w:trHeight w:hRule="exact" w:val="357"/>
        </w:trPr>
        <w:tc>
          <w:tcPr>
            <w:tcW w:w="9356" w:type="dxa"/>
            <w:gridSpan w:val="3"/>
            <w:tcBorders>
              <w:top w:val="single" w:sz="4" w:space="0" w:color="auto"/>
            </w:tcBorders>
            <w:tcMar>
              <w:top w:w="170" w:type="dxa"/>
              <w:left w:w="0" w:type="dxa"/>
              <w:right w:w="0" w:type="dxa"/>
            </w:tcMar>
            <w:vAlign w:val="bottom"/>
          </w:tcPr>
          <w:p w:rsidR="008B2CC1" w:rsidRPr="0090731E" w:rsidRDefault="00BD078D" w:rsidP="00BD078D">
            <w:pPr>
              <w:jc w:val="right"/>
              <w:rPr>
                <w:rFonts w:ascii="Arial Black" w:hAnsi="Arial Black"/>
                <w:caps/>
                <w:sz w:val="15"/>
              </w:rPr>
            </w:pPr>
            <w:r>
              <w:rPr>
                <w:rFonts w:ascii="Arial Black" w:hAnsi="Arial Black"/>
                <w:caps/>
                <w:sz w:val="15"/>
              </w:rPr>
              <w:t>PCT/CTC/30</w:t>
            </w:r>
            <w:r w:rsidR="00C80A7A">
              <w:rPr>
                <w:rFonts w:ascii="Arial Black" w:hAnsi="Arial Black"/>
                <w:caps/>
                <w:sz w:val="15"/>
              </w:rPr>
              <w:t>/8</w:t>
            </w:r>
          </w:p>
        </w:tc>
      </w:tr>
      <w:tr w:rsidR="008B2CC1" w:rsidRPr="001832A6" w:rsidTr="00916EE2">
        <w:trPr>
          <w:trHeight w:hRule="exact" w:val="170"/>
        </w:trPr>
        <w:tc>
          <w:tcPr>
            <w:tcW w:w="9356" w:type="dxa"/>
            <w:gridSpan w:val="3"/>
            <w:noWrap/>
            <w:tcMar>
              <w:left w:w="0" w:type="dxa"/>
              <w:right w:w="0" w:type="dxa"/>
            </w:tcMar>
            <w:vAlign w:val="bottom"/>
          </w:tcPr>
          <w:p w:rsidR="008B2CC1" w:rsidRPr="0090731E" w:rsidRDefault="008B2CC1" w:rsidP="00CD04F1">
            <w:pPr>
              <w:jc w:val="right"/>
              <w:rPr>
                <w:rFonts w:ascii="Arial Black" w:hAnsi="Arial Black"/>
                <w:caps/>
                <w:sz w:val="15"/>
              </w:rPr>
            </w:pPr>
            <w:r w:rsidRPr="0090731E">
              <w:rPr>
                <w:rFonts w:ascii="Arial Black" w:hAnsi="Arial Black"/>
                <w:caps/>
                <w:sz w:val="15"/>
              </w:rPr>
              <w:t xml:space="preserve">ORIGINAL: </w:t>
            </w:r>
            <w:bookmarkStart w:id="0" w:name="Original"/>
            <w:bookmarkEnd w:id="0"/>
            <w:r w:rsidR="00C650A4">
              <w:rPr>
                <w:rFonts w:ascii="Arial Black" w:hAnsi="Arial Black"/>
                <w:caps/>
                <w:sz w:val="15"/>
              </w:rPr>
              <w:t>English</w:t>
            </w:r>
          </w:p>
        </w:tc>
      </w:tr>
      <w:tr w:rsidR="008B2CC1" w:rsidRPr="001832A6" w:rsidTr="00916EE2">
        <w:trPr>
          <w:trHeight w:hRule="exact" w:val="198"/>
        </w:trPr>
        <w:tc>
          <w:tcPr>
            <w:tcW w:w="9356" w:type="dxa"/>
            <w:gridSpan w:val="3"/>
            <w:tcMar>
              <w:left w:w="0" w:type="dxa"/>
              <w:right w:w="0" w:type="dxa"/>
            </w:tcMar>
            <w:vAlign w:val="bottom"/>
          </w:tcPr>
          <w:p w:rsidR="008B2CC1" w:rsidRPr="0090731E" w:rsidRDefault="008B2CC1" w:rsidP="00095600">
            <w:pPr>
              <w:jc w:val="right"/>
              <w:rPr>
                <w:rFonts w:ascii="Arial Black" w:hAnsi="Arial Black"/>
                <w:caps/>
                <w:sz w:val="15"/>
              </w:rPr>
            </w:pPr>
            <w:r w:rsidRPr="0090731E">
              <w:rPr>
                <w:rFonts w:ascii="Arial Black" w:hAnsi="Arial Black"/>
                <w:caps/>
                <w:sz w:val="15"/>
              </w:rPr>
              <w:t xml:space="preserve">DATE: </w:t>
            </w:r>
            <w:bookmarkStart w:id="1" w:name="Date"/>
            <w:bookmarkEnd w:id="1"/>
            <w:r w:rsidR="00562BD1">
              <w:rPr>
                <w:rFonts w:ascii="Arial Black" w:hAnsi="Arial Black"/>
                <w:caps/>
                <w:sz w:val="15"/>
              </w:rPr>
              <w:t>March 1</w:t>
            </w:r>
            <w:r w:rsidR="00095600">
              <w:rPr>
                <w:rFonts w:ascii="Arial Black" w:hAnsi="Arial Black"/>
                <w:caps/>
                <w:sz w:val="15"/>
              </w:rPr>
              <w:t>6</w:t>
            </w:r>
            <w:bookmarkStart w:id="2" w:name="_GoBack"/>
            <w:bookmarkEnd w:id="2"/>
            <w:r w:rsidR="00C650A4">
              <w:rPr>
                <w:rFonts w:ascii="Arial Black" w:hAnsi="Arial Black"/>
                <w:caps/>
                <w:sz w:val="15"/>
              </w:rPr>
              <w:t>, 2017</w:t>
            </w:r>
          </w:p>
        </w:tc>
      </w:tr>
    </w:tbl>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Default="00BD078D" w:rsidP="008B2CC1">
      <w:pPr>
        <w:rPr>
          <w:b/>
          <w:sz w:val="28"/>
          <w:szCs w:val="28"/>
        </w:rPr>
      </w:pPr>
      <w:r>
        <w:rPr>
          <w:b/>
          <w:sz w:val="28"/>
          <w:szCs w:val="28"/>
        </w:rPr>
        <w:t>Patent Cooperation Treaty (PCT)</w:t>
      </w:r>
    </w:p>
    <w:p w:rsidR="00BD078D" w:rsidRPr="003845C1" w:rsidRDefault="00BD078D" w:rsidP="008B2CC1">
      <w:pPr>
        <w:rPr>
          <w:b/>
          <w:sz w:val="28"/>
          <w:szCs w:val="28"/>
        </w:rPr>
      </w:pPr>
      <w:r>
        <w:rPr>
          <w:b/>
          <w:sz w:val="28"/>
          <w:szCs w:val="28"/>
        </w:rPr>
        <w:t>Committee for Technical Cooperation</w:t>
      </w:r>
    </w:p>
    <w:p w:rsidR="003845C1" w:rsidRDefault="003845C1" w:rsidP="003845C1"/>
    <w:p w:rsidR="003845C1" w:rsidRDefault="003845C1" w:rsidP="003845C1"/>
    <w:p w:rsidR="008B2CC1" w:rsidRPr="003845C1" w:rsidRDefault="00BD078D" w:rsidP="008B2CC1">
      <w:pPr>
        <w:rPr>
          <w:b/>
          <w:sz w:val="24"/>
          <w:szCs w:val="24"/>
        </w:rPr>
      </w:pPr>
      <w:r>
        <w:rPr>
          <w:b/>
          <w:sz w:val="24"/>
          <w:szCs w:val="24"/>
        </w:rPr>
        <w:t xml:space="preserve">Thirtieth </w:t>
      </w:r>
      <w:r w:rsidR="003845C1" w:rsidRPr="003845C1">
        <w:rPr>
          <w:b/>
          <w:sz w:val="24"/>
          <w:szCs w:val="24"/>
        </w:rPr>
        <w:t>Session</w:t>
      </w:r>
    </w:p>
    <w:p w:rsidR="008B2CC1" w:rsidRPr="003845C1" w:rsidRDefault="00BD078D" w:rsidP="008B2CC1">
      <w:pPr>
        <w:rPr>
          <w:b/>
          <w:sz w:val="24"/>
          <w:szCs w:val="24"/>
        </w:rPr>
      </w:pPr>
      <w:r>
        <w:rPr>
          <w:b/>
          <w:sz w:val="24"/>
          <w:szCs w:val="24"/>
        </w:rPr>
        <w:t>Geneva, May 8 to 12, 2017</w:t>
      </w:r>
    </w:p>
    <w:p w:rsidR="008B2CC1" w:rsidRPr="008B2CC1" w:rsidRDefault="008B2CC1" w:rsidP="008B2CC1"/>
    <w:p w:rsidR="008B2CC1" w:rsidRPr="008B2CC1" w:rsidRDefault="008B2CC1" w:rsidP="008B2CC1"/>
    <w:p w:rsidR="008B2CC1" w:rsidRPr="008B2CC1" w:rsidRDefault="008B2CC1" w:rsidP="008B2CC1"/>
    <w:p w:rsidR="008B2CC1" w:rsidRPr="003845C1" w:rsidRDefault="00C650A4" w:rsidP="008B2CC1">
      <w:pPr>
        <w:rPr>
          <w:caps/>
          <w:sz w:val="24"/>
        </w:rPr>
      </w:pPr>
      <w:bookmarkStart w:id="3" w:name="TitleOfDoc"/>
      <w:bookmarkEnd w:id="3"/>
      <w:r>
        <w:rPr>
          <w:caps/>
          <w:sz w:val="24"/>
        </w:rPr>
        <w:t xml:space="preserve">Extension of Appointment of </w:t>
      </w:r>
      <w:r w:rsidR="00C80A7A" w:rsidRPr="00C80A7A">
        <w:rPr>
          <w:caps/>
          <w:sz w:val="24"/>
        </w:rPr>
        <w:t>the State Intellectual Property Office of the People’s Republic of China</w:t>
      </w:r>
      <w:r w:rsidR="00C37C03">
        <w:rPr>
          <w:caps/>
          <w:sz w:val="24"/>
        </w:rPr>
        <w:t xml:space="preserve"> as an International Searching and Preliminary Examining Authority Under the </w:t>
      </w:r>
      <w:r>
        <w:rPr>
          <w:caps/>
          <w:sz w:val="24"/>
        </w:rPr>
        <w:t>PCT</w:t>
      </w:r>
    </w:p>
    <w:p w:rsidR="008B2CC1" w:rsidRPr="008B2CC1" w:rsidRDefault="008B2CC1" w:rsidP="008B2CC1"/>
    <w:p w:rsidR="008B2CC1" w:rsidRPr="008B2CC1" w:rsidRDefault="00C650A4" w:rsidP="008B2CC1">
      <w:pPr>
        <w:rPr>
          <w:i/>
        </w:rPr>
      </w:pPr>
      <w:bookmarkStart w:id="4" w:name="Prepared"/>
      <w:bookmarkEnd w:id="4"/>
      <w:r>
        <w:rPr>
          <w:i/>
        </w:rPr>
        <w:t>Document prepared by the International Bureau</w:t>
      </w:r>
    </w:p>
    <w:p w:rsidR="00AC205C" w:rsidRDefault="00AC205C"/>
    <w:p w:rsidR="000F5E56" w:rsidRDefault="000F5E56"/>
    <w:p w:rsidR="002928D3" w:rsidRDefault="002928D3"/>
    <w:p w:rsidR="002928D3" w:rsidRDefault="002928D3" w:rsidP="0053057A"/>
    <w:p w:rsidR="005C40A3" w:rsidRDefault="00A93FC2" w:rsidP="005C40A3">
      <w:pPr>
        <w:pStyle w:val="ONUME"/>
      </w:pPr>
      <w:bookmarkStart w:id="5" w:name="_Ref447032909"/>
      <w:r>
        <w:t>All</w:t>
      </w:r>
      <w:r w:rsidR="005C40A3">
        <w:t xml:space="preserve"> of the existing International Authorities w</w:t>
      </w:r>
      <w:r>
        <w:t>ere</w:t>
      </w:r>
      <w:r w:rsidR="005C40A3">
        <w:t xml:space="preserve"> appointed by the </w:t>
      </w:r>
      <w:r w:rsidR="008B50A2">
        <w:t xml:space="preserve">PCT </w:t>
      </w:r>
      <w:r w:rsidR="005C40A3">
        <w:t>Assembly for a period ending on December 31, 2017.  In 2017, the Assembly will therefore need to make a decision on the extension of the appointment of each existing International Authority that wishes to seek an extension of its appointment, having first sought the advice of th</w:t>
      </w:r>
      <w:r w:rsidR="00FD06A7">
        <w:t xml:space="preserve">is Committee </w:t>
      </w:r>
      <w:r w:rsidR="005C40A3">
        <w:t>(see PCT Articles 16(3</w:t>
      </w:r>
      <w:proofErr w:type="gramStart"/>
      <w:r w:rsidR="005C40A3">
        <w:t>)(</w:t>
      </w:r>
      <w:proofErr w:type="gramEnd"/>
      <w:r w:rsidR="005C40A3">
        <w:t>e) and 32(3)).</w:t>
      </w:r>
      <w:bookmarkEnd w:id="5"/>
      <w:r w:rsidR="0035027E">
        <w:t xml:space="preserve">  </w:t>
      </w:r>
      <w:r w:rsidR="004F74E6">
        <w:t>I</w:t>
      </w:r>
      <w:r w:rsidR="0035027E">
        <w:t>nformation concerning this process and the role of the Committee is set out in document PCT/CTC/30/INF/1.</w:t>
      </w:r>
    </w:p>
    <w:p w:rsidR="005C40A3" w:rsidRDefault="00AA5F79" w:rsidP="00C80A7A">
      <w:pPr>
        <w:pStyle w:val="ONUME"/>
      </w:pPr>
      <w:r>
        <w:t>On March </w:t>
      </w:r>
      <w:r w:rsidR="00C80A7A">
        <w:t>1</w:t>
      </w:r>
      <w:r>
        <w:t>, 2017, t</w:t>
      </w:r>
      <w:r w:rsidR="005C40A3">
        <w:t xml:space="preserve">he </w:t>
      </w:r>
      <w:r w:rsidR="00C80A7A" w:rsidRPr="00C80A7A">
        <w:t>State Intellectual Property Office of the P</w:t>
      </w:r>
      <w:r w:rsidR="00C80A7A">
        <w:t>eople’s</w:t>
      </w:r>
      <w:r w:rsidR="00C80A7A" w:rsidRPr="00C80A7A">
        <w:t xml:space="preserve"> R</w:t>
      </w:r>
      <w:r w:rsidR="00C80A7A">
        <w:t>epublic of</w:t>
      </w:r>
      <w:r w:rsidR="00C80A7A" w:rsidRPr="00C80A7A">
        <w:t xml:space="preserve"> China</w:t>
      </w:r>
      <w:r w:rsidR="005C40A3">
        <w:t xml:space="preserve"> submitted its application </w:t>
      </w:r>
      <w:r>
        <w:t>to extend its appointment as an International Searching Authority and International Preliminary Examining Authority under the PCT.  This application is reproduced in the Annex to this document.</w:t>
      </w:r>
    </w:p>
    <w:p w:rsidR="005C40A3" w:rsidRPr="00AA5F79" w:rsidRDefault="00AA5F79" w:rsidP="0035027E">
      <w:pPr>
        <w:pStyle w:val="ONUME"/>
        <w:tabs>
          <w:tab w:val="left" w:pos="6096"/>
        </w:tabs>
        <w:ind w:left="5533"/>
        <w:rPr>
          <w:i/>
        </w:rPr>
      </w:pPr>
      <w:r w:rsidRPr="00AA5F79">
        <w:rPr>
          <w:i/>
        </w:rPr>
        <w:t>The Committee is invited to give its advice on this matter.</w:t>
      </w:r>
    </w:p>
    <w:p w:rsidR="00AA5F79" w:rsidRDefault="00AA5F79" w:rsidP="00AA5F79">
      <w:pPr>
        <w:pStyle w:val="ONUME"/>
        <w:numPr>
          <w:ilvl w:val="0"/>
          <w:numId w:val="0"/>
        </w:numPr>
      </w:pPr>
    </w:p>
    <w:p w:rsidR="00AA5F79" w:rsidRDefault="00AA5F79" w:rsidP="00AA5F79">
      <w:pPr>
        <w:pStyle w:val="ONUME"/>
        <w:numPr>
          <w:ilvl w:val="0"/>
          <w:numId w:val="0"/>
        </w:numPr>
        <w:ind w:left="5533"/>
        <w:sectPr w:rsidR="00AA5F79" w:rsidSect="00C650A4">
          <w:headerReference w:type="default" r:id="rId10"/>
          <w:endnotePr>
            <w:numFmt w:val="decimal"/>
          </w:endnotePr>
          <w:pgSz w:w="11907" w:h="16840" w:code="9"/>
          <w:pgMar w:top="567" w:right="1134" w:bottom="1418" w:left="1418" w:header="510" w:footer="1021" w:gutter="0"/>
          <w:cols w:space="720"/>
          <w:titlePg/>
          <w:docGrid w:linePitch="299"/>
        </w:sectPr>
      </w:pPr>
      <w:r w:rsidRPr="00AA5F79">
        <w:t>[Annex follows]</w:t>
      </w:r>
    </w:p>
    <w:p w:rsidR="00AA5F79" w:rsidRPr="00AA5F79" w:rsidRDefault="00AA5F79" w:rsidP="00AA5F79">
      <w:pPr>
        <w:pStyle w:val="ONUME"/>
        <w:numPr>
          <w:ilvl w:val="0"/>
          <w:numId w:val="0"/>
        </w:numPr>
        <w:jc w:val="center"/>
        <w:rPr>
          <w:caps/>
        </w:rPr>
      </w:pPr>
      <w:r w:rsidRPr="00AA5F79">
        <w:rPr>
          <w:caps/>
        </w:rPr>
        <w:lastRenderedPageBreak/>
        <w:t xml:space="preserve">Application of </w:t>
      </w:r>
      <w:r w:rsidR="00C80A7A" w:rsidRPr="00C80A7A">
        <w:rPr>
          <w:caps/>
        </w:rPr>
        <w:t>the State Intellectual Property Office of the People’s Republic of China</w:t>
      </w:r>
      <w:r w:rsidRPr="00AA5F79">
        <w:rPr>
          <w:caps/>
        </w:rPr>
        <w:t xml:space="preserve"> for</w:t>
      </w:r>
      <w:r w:rsidR="00011582">
        <w:rPr>
          <w:caps/>
        </w:rPr>
        <w:t> Extension of </w:t>
      </w:r>
      <w:r w:rsidRPr="00AA5F79">
        <w:rPr>
          <w:caps/>
        </w:rPr>
        <w:t>Appointment</w:t>
      </w:r>
      <w:r>
        <w:rPr>
          <w:caps/>
        </w:rPr>
        <w:t xml:space="preserve"> </w:t>
      </w:r>
      <w:r>
        <w:rPr>
          <w:caps/>
        </w:rPr>
        <w:br/>
      </w:r>
      <w:r w:rsidR="00011582">
        <w:rPr>
          <w:caps/>
        </w:rPr>
        <w:t>as an International Searching </w:t>
      </w:r>
      <w:r>
        <w:rPr>
          <w:caps/>
        </w:rPr>
        <w:t xml:space="preserve">and </w:t>
      </w:r>
      <w:r w:rsidR="00011582">
        <w:rPr>
          <w:caps/>
        </w:rPr>
        <w:t>Preliminary Examining </w:t>
      </w:r>
      <w:r w:rsidRPr="00AA5F79">
        <w:rPr>
          <w:caps/>
        </w:rPr>
        <w:t>Authority</w:t>
      </w:r>
      <w:r w:rsidR="00011582">
        <w:rPr>
          <w:caps/>
        </w:rPr>
        <w:t> Under the </w:t>
      </w:r>
      <w:r w:rsidRPr="00AA5F79">
        <w:rPr>
          <w:caps/>
        </w:rPr>
        <w:t>PCT</w:t>
      </w:r>
    </w:p>
    <w:p w:rsidR="00AA5F79" w:rsidRPr="00CF3977" w:rsidRDefault="00AA5F79" w:rsidP="00CF3977"/>
    <w:p w:rsidR="00AA5F79" w:rsidRPr="00CF3977" w:rsidRDefault="00AA5F79" w:rsidP="00CF3977"/>
    <w:p w:rsidR="00C80A7A" w:rsidRPr="00C80A7A" w:rsidRDefault="00C80A7A" w:rsidP="00C80A7A">
      <w:pPr>
        <w:pStyle w:val="SectionHeading"/>
      </w:pPr>
      <w:r w:rsidRPr="00C80A7A">
        <w:t>1 – General</w:t>
      </w:r>
    </w:p>
    <w:p w:rsidR="00C80A7A" w:rsidRDefault="00C80A7A" w:rsidP="00C80A7A">
      <w:pPr>
        <w:rPr>
          <w:b/>
          <w:bCs/>
          <w:color w:val="000000"/>
        </w:rPr>
      </w:pPr>
      <w:r>
        <w:rPr>
          <w:b/>
          <w:bCs/>
          <w:color w:val="000000"/>
        </w:rPr>
        <w:t xml:space="preserve">Name of Office or intergovernmental organization: </w:t>
      </w:r>
    </w:p>
    <w:p w:rsidR="00C80A7A" w:rsidRDefault="00C80A7A" w:rsidP="00C80A7A">
      <w:r>
        <w:t>State Intellectual Property Office of the P</w:t>
      </w:r>
      <w:r w:rsidR="009802C1">
        <w:t xml:space="preserve">eople’s </w:t>
      </w:r>
      <w:r>
        <w:t>R</w:t>
      </w:r>
      <w:r w:rsidR="009802C1">
        <w:t>epublic of</w:t>
      </w:r>
      <w:r>
        <w:rPr>
          <w:rFonts w:hint="eastAsia"/>
        </w:rPr>
        <w:t xml:space="preserve"> </w:t>
      </w:r>
      <w:r>
        <w:t>China</w:t>
      </w:r>
    </w:p>
    <w:p w:rsidR="00C80A7A" w:rsidRDefault="00C80A7A" w:rsidP="00C80A7A">
      <w:pPr>
        <w:rPr>
          <w:color w:val="000000"/>
        </w:rPr>
      </w:pPr>
    </w:p>
    <w:p w:rsidR="00C80A7A" w:rsidRPr="00C80A7A" w:rsidRDefault="00C80A7A" w:rsidP="00C80A7A">
      <w:pPr>
        <w:rPr>
          <w:bCs/>
          <w:color w:val="000000"/>
        </w:rPr>
      </w:pPr>
      <w:r>
        <w:rPr>
          <w:b/>
          <w:bCs/>
          <w:color w:val="000000"/>
        </w:rPr>
        <w:t>Date on which application for appointment was received by the Director General:</w:t>
      </w:r>
    </w:p>
    <w:p w:rsidR="00C80A7A" w:rsidRPr="00C80A7A" w:rsidRDefault="00C80A7A" w:rsidP="00C80A7A">
      <w:pPr>
        <w:rPr>
          <w:color w:val="000000"/>
        </w:rPr>
      </w:pPr>
      <w:r w:rsidRPr="00C80A7A">
        <w:rPr>
          <w:bCs/>
          <w:color w:val="000000"/>
        </w:rPr>
        <w:t>March 1, 2017</w:t>
      </w:r>
    </w:p>
    <w:p w:rsidR="00C80A7A" w:rsidRDefault="00C80A7A" w:rsidP="00C80A7A">
      <w:pPr>
        <w:rPr>
          <w:color w:val="000000"/>
        </w:rPr>
      </w:pPr>
    </w:p>
    <w:p w:rsidR="00C80A7A" w:rsidRPr="00C80A7A" w:rsidRDefault="00C80A7A" w:rsidP="00C80A7A">
      <w:r w:rsidRPr="00C80A7A">
        <w:rPr>
          <w:b/>
        </w:rPr>
        <w:t>Session of the Assembly at which appointment is to be sought:</w:t>
      </w:r>
      <w:r w:rsidRPr="007E4856">
        <w:t xml:space="preserve"> 49th session</w:t>
      </w:r>
    </w:p>
    <w:p w:rsidR="00C80A7A" w:rsidRDefault="00C80A7A" w:rsidP="00C80A7A">
      <w:pPr>
        <w:rPr>
          <w:color w:val="000000"/>
        </w:rPr>
      </w:pPr>
    </w:p>
    <w:p w:rsidR="00C80A7A" w:rsidRDefault="00C80A7A" w:rsidP="00C80A7A">
      <w:pPr>
        <w:rPr>
          <w:b/>
          <w:bCs/>
          <w:color w:val="000000"/>
        </w:rPr>
      </w:pPr>
      <w:r>
        <w:rPr>
          <w:b/>
          <w:bCs/>
          <w:color w:val="000000"/>
        </w:rPr>
        <w:t>Expected date at which operation as ISA/IPEA could commence:</w:t>
      </w:r>
      <w:r>
        <w:rPr>
          <w:rFonts w:hint="eastAsia"/>
          <w:b/>
          <w:bCs/>
          <w:color w:val="000000"/>
        </w:rPr>
        <w:t xml:space="preserve"> </w:t>
      </w:r>
    </w:p>
    <w:p w:rsidR="00C80A7A" w:rsidRPr="00C80A7A" w:rsidRDefault="00C80A7A" w:rsidP="00C80A7A">
      <w:proofErr w:type="gramStart"/>
      <w:r>
        <w:t>The end of the current agreement.</w:t>
      </w:r>
      <w:proofErr w:type="gramEnd"/>
    </w:p>
    <w:p w:rsidR="00C80A7A" w:rsidRDefault="00C80A7A" w:rsidP="00C80A7A">
      <w:pPr>
        <w:rPr>
          <w:color w:val="000000"/>
        </w:rPr>
      </w:pPr>
    </w:p>
    <w:p w:rsidR="00C80A7A" w:rsidRPr="007E4856" w:rsidRDefault="00C80A7A" w:rsidP="00C80A7A">
      <w:r w:rsidRPr="00C80A7A">
        <w:rPr>
          <w:b/>
        </w:rPr>
        <w:t>Existing ISA/IPEA(s) assisting in assessment of extent to which criteria met:</w:t>
      </w:r>
      <w:r w:rsidRPr="00C80A7A">
        <w:t xml:space="preserve">  N/A</w:t>
      </w:r>
    </w:p>
    <w:p w:rsidR="00C80A7A" w:rsidRDefault="00C80A7A" w:rsidP="00C80A7A">
      <w:pPr>
        <w:pStyle w:val="SectionHeading"/>
      </w:pPr>
      <w:r>
        <w:t>2 – Substantive Criteria:  Minimum Requirements for Appointment</w:t>
      </w:r>
    </w:p>
    <w:p w:rsidR="00C80A7A" w:rsidRPr="00C80A7A" w:rsidRDefault="00C80A7A" w:rsidP="00C80A7A">
      <w:pPr>
        <w:rPr>
          <w:color w:val="000000"/>
          <w:sz w:val="16"/>
          <w:szCs w:val="16"/>
        </w:rPr>
      </w:pPr>
    </w:p>
    <w:p w:rsidR="00C80A7A" w:rsidRDefault="00C80A7A" w:rsidP="00C80A7A">
      <w:pPr>
        <w:pStyle w:val="SectionHeading"/>
        <w:spacing w:before="0"/>
      </w:pPr>
      <w:r>
        <w:t>2.1 – Search and Examination Capacity</w:t>
      </w:r>
    </w:p>
    <w:p w:rsidR="00C80A7A" w:rsidRDefault="00C80A7A" w:rsidP="00C80A7A">
      <w:pPr>
        <w:rPr>
          <w:b/>
          <w:bCs/>
          <w:i/>
          <w:iCs/>
          <w:color w:val="000000"/>
        </w:rPr>
      </w:pPr>
      <w:r>
        <w:rPr>
          <w:b/>
          <w:bCs/>
          <w:i/>
          <w:iCs/>
          <w:color w:val="000000"/>
        </w:rPr>
        <w:t>Rules 36.1(</w:t>
      </w:r>
      <w:proofErr w:type="spellStart"/>
      <w:r>
        <w:rPr>
          <w:b/>
          <w:bCs/>
          <w:i/>
          <w:iCs/>
          <w:color w:val="000000"/>
        </w:rPr>
        <w:t>i</w:t>
      </w:r>
      <w:proofErr w:type="spellEnd"/>
      <w:r>
        <w:rPr>
          <w:b/>
          <w:bCs/>
          <w:i/>
          <w:iCs/>
          <w:color w:val="000000"/>
        </w:rPr>
        <w:t>) and 63.1(</w:t>
      </w:r>
      <w:proofErr w:type="spellStart"/>
      <w:r>
        <w:rPr>
          <w:b/>
          <w:bCs/>
          <w:i/>
          <w:iCs/>
          <w:color w:val="000000"/>
        </w:rPr>
        <w:t>i</w:t>
      </w:r>
      <w:proofErr w:type="spellEnd"/>
      <w:r>
        <w:rPr>
          <w:b/>
          <w:bCs/>
          <w:i/>
          <w:iCs/>
          <w:color w:val="000000"/>
        </w:rPr>
        <w:t>):  The national Office or intergovernmental organization must have at least 100 full-time employees with sufficient technical qualifications to carry out searches and examinations.</w:t>
      </w:r>
    </w:p>
    <w:p w:rsidR="00C80A7A" w:rsidRDefault="00C80A7A" w:rsidP="00C80A7A">
      <w:pPr>
        <w:keepNext/>
        <w:keepLines/>
        <w:rPr>
          <w:b/>
          <w:bCs/>
          <w:color w:val="000000"/>
        </w:rPr>
      </w:pPr>
    </w:p>
    <w:p w:rsidR="00C80A7A" w:rsidRDefault="00C80A7A" w:rsidP="00C80A7A">
      <w:pPr>
        <w:keepNext/>
        <w:keepLines/>
        <w:rPr>
          <w:b/>
          <w:bCs/>
          <w:color w:val="000000"/>
        </w:rPr>
      </w:pPr>
      <w:r>
        <w:rPr>
          <w:b/>
          <w:bCs/>
          <w:color w:val="000000"/>
        </w:rPr>
        <w:t>Employees qualified to carry out search and examination:</w:t>
      </w:r>
    </w:p>
    <w:p w:rsidR="00C80A7A" w:rsidRDefault="00C80A7A" w:rsidP="00C80A7A">
      <w:pPr>
        <w:keepNext/>
        <w:keepLines/>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69"/>
        <w:gridCol w:w="1842"/>
        <w:gridCol w:w="1684"/>
        <w:gridCol w:w="1684"/>
      </w:tblGrid>
      <w:tr w:rsidR="00C80A7A" w:rsidTr="007E4856">
        <w:trPr>
          <w:cantSplit/>
        </w:trPr>
        <w:tc>
          <w:tcPr>
            <w:tcW w:w="3369" w:type="dxa"/>
            <w:tcBorders>
              <w:top w:val="single" w:sz="4" w:space="0" w:color="auto"/>
              <w:left w:val="single" w:sz="4" w:space="0" w:color="auto"/>
              <w:bottom w:val="single" w:sz="4" w:space="0" w:color="auto"/>
              <w:right w:val="single" w:sz="4" w:space="0" w:color="auto"/>
            </w:tcBorders>
          </w:tcPr>
          <w:p w:rsidR="00C80A7A" w:rsidRDefault="00C80A7A" w:rsidP="00BB192E">
            <w:pPr>
              <w:keepNext/>
              <w:keepLines/>
              <w:suppressAutoHyphens/>
              <w:rPr>
                <w:b/>
                <w:bCs/>
                <w:color w:val="000000"/>
                <w:lang w:eastAsia="en-US"/>
              </w:rPr>
            </w:pPr>
            <w:r>
              <w:rPr>
                <w:b/>
                <w:bCs/>
                <w:color w:val="000000"/>
                <w:lang w:eastAsia="en-US"/>
              </w:rPr>
              <w:t>Technical field</w:t>
            </w:r>
          </w:p>
        </w:tc>
        <w:tc>
          <w:tcPr>
            <w:tcW w:w="1842" w:type="dxa"/>
            <w:tcBorders>
              <w:top w:val="single" w:sz="4" w:space="0" w:color="auto"/>
              <w:left w:val="single" w:sz="4" w:space="0" w:color="auto"/>
              <w:bottom w:val="single" w:sz="4" w:space="0" w:color="auto"/>
              <w:right w:val="single" w:sz="4" w:space="0" w:color="auto"/>
            </w:tcBorders>
          </w:tcPr>
          <w:p w:rsidR="00C80A7A" w:rsidRDefault="00C80A7A" w:rsidP="00BB192E">
            <w:pPr>
              <w:keepNext/>
              <w:keepLines/>
              <w:suppressAutoHyphens/>
              <w:rPr>
                <w:b/>
                <w:bCs/>
                <w:color w:val="000000"/>
                <w:lang w:eastAsia="en-US"/>
              </w:rPr>
            </w:pPr>
            <w:r>
              <w:rPr>
                <w:b/>
                <w:bCs/>
                <w:color w:val="000000"/>
                <w:lang w:eastAsia="en-US"/>
              </w:rPr>
              <w:t>Number (in full-time equivalent)</w:t>
            </w:r>
          </w:p>
        </w:tc>
        <w:tc>
          <w:tcPr>
            <w:tcW w:w="1684" w:type="dxa"/>
            <w:tcBorders>
              <w:top w:val="single" w:sz="4" w:space="0" w:color="auto"/>
              <w:left w:val="single" w:sz="4" w:space="0" w:color="auto"/>
              <w:bottom w:val="single" w:sz="4" w:space="0" w:color="auto"/>
              <w:right w:val="single" w:sz="4" w:space="0" w:color="auto"/>
            </w:tcBorders>
          </w:tcPr>
          <w:p w:rsidR="00C80A7A" w:rsidRDefault="00C80A7A" w:rsidP="00BB192E">
            <w:pPr>
              <w:suppressAutoHyphens/>
              <w:rPr>
                <w:b/>
                <w:bCs/>
                <w:color w:val="000000"/>
                <w:lang w:eastAsia="en-US"/>
              </w:rPr>
            </w:pPr>
            <w:r>
              <w:rPr>
                <w:b/>
                <w:bCs/>
                <w:color w:val="000000"/>
                <w:lang w:eastAsia="en-US"/>
              </w:rPr>
              <w:t>Average experience as examiners (years)</w:t>
            </w:r>
          </w:p>
        </w:tc>
        <w:tc>
          <w:tcPr>
            <w:tcW w:w="1684" w:type="dxa"/>
            <w:tcBorders>
              <w:top w:val="single" w:sz="4" w:space="0" w:color="auto"/>
              <w:left w:val="single" w:sz="4" w:space="0" w:color="auto"/>
              <w:bottom w:val="single" w:sz="4" w:space="0" w:color="auto"/>
              <w:right w:val="single" w:sz="4" w:space="0" w:color="auto"/>
            </w:tcBorders>
          </w:tcPr>
          <w:p w:rsidR="00C80A7A" w:rsidRDefault="00C80A7A" w:rsidP="00BB192E">
            <w:pPr>
              <w:suppressAutoHyphens/>
              <w:rPr>
                <w:b/>
                <w:bCs/>
                <w:color w:val="000000"/>
                <w:lang w:eastAsia="en-US"/>
              </w:rPr>
            </w:pPr>
            <w:r>
              <w:rPr>
                <w:b/>
                <w:bCs/>
                <w:color w:val="000000"/>
                <w:lang w:eastAsia="en-US"/>
              </w:rPr>
              <w:t>Breakdown of qualifications</w:t>
            </w:r>
          </w:p>
        </w:tc>
      </w:tr>
      <w:tr w:rsidR="00C80A7A" w:rsidTr="007E4856">
        <w:trPr>
          <w:cantSplit/>
        </w:trPr>
        <w:tc>
          <w:tcPr>
            <w:tcW w:w="3369" w:type="dxa"/>
            <w:tcBorders>
              <w:top w:val="single" w:sz="4" w:space="0" w:color="auto"/>
              <w:left w:val="single" w:sz="4" w:space="0" w:color="auto"/>
              <w:bottom w:val="single" w:sz="4" w:space="0" w:color="auto"/>
              <w:right w:val="single" w:sz="4" w:space="0" w:color="auto"/>
            </w:tcBorders>
          </w:tcPr>
          <w:p w:rsidR="00C80A7A" w:rsidRDefault="00C80A7A" w:rsidP="00BB192E">
            <w:pPr>
              <w:keepNext/>
              <w:keepLines/>
              <w:suppressAutoHyphens/>
              <w:rPr>
                <w:color w:val="000000"/>
                <w:lang w:eastAsia="en-US"/>
              </w:rPr>
            </w:pPr>
            <w:r>
              <w:rPr>
                <w:color w:val="000000"/>
                <w:lang w:eastAsia="en-US"/>
              </w:rPr>
              <w:t>Mechanical</w:t>
            </w:r>
          </w:p>
        </w:tc>
        <w:tc>
          <w:tcPr>
            <w:tcW w:w="1842" w:type="dxa"/>
            <w:tcBorders>
              <w:top w:val="single" w:sz="4" w:space="0" w:color="auto"/>
              <w:left w:val="single" w:sz="4" w:space="0" w:color="auto"/>
              <w:bottom w:val="single" w:sz="4" w:space="0" w:color="auto"/>
              <w:right w:val="single" w:sz="4" w:space="0" w:color="auto"/>
            </w:tcBorders>
          </w:tcPr>
          <w:p w:rsidR="00C80A7A" w:rsidRPr="007E4856" w:rsidRDefault="00C80A7A" w:rsidP="00BB192E">
            <w:pPr>
              <w:keepNext/>
              <w:keepLines/>
              <w:suppressAutoHyphens/>
              <w:rPr>
                <w:color w:val="000000"/>
                <w:lang w:eastAsia="en-US"/>
              </w:rPr>
            </w:pPr>
          </w:p>
        </w:tc>
        <w:tc>
          <w:tcPr>
            <w:tcW w:w="1684" w:type="dxa"/>
            <w:tcBorders>
              <w:top w:val="single" w:sz="4" w:space="0" w:color="auto"/>
              <w:left w:val="single" w:sz="4" w:space="0" w:color="auto"/>
              <w:bottom w:val="single" w:sz="4" w:space="0" w:color="auto"/>
              <w:right w:val="single" w:sz="4" w:space="0" w:color="auto"/>
            </w:tcBorders>
          </w:tcPr>
          <w:p w:rsidR="00C80A7A" w:rsidRPr="007E4856" w:rsidRDefault="00C80A7A" w:rsidP="00BB192E">
            <w:pPr>
              <w:keepNext/>
              <w:keepLines/>
              <w:suppressAutoHyphens/>
              <w:rPr>
                <w:color w:val="000000"/>
                <w:lang w:eastAsia="en-US"/>
              </w:rPr>
            </w:pPr>
          </w:p>
        </w:tc>
        <w:tc>
          <w:tcPr>
            <w:tcW w:w="1684" w:type="dxa"/>
            <w:tcBorders>
              <w:top w:val="single" w:sz="4" w:space="0" w:color="auto"/>
              <w:left w:val="single" w:sz="4" w:space="0" w:color="auto"/>
              <w:bottom w:val="single" w:sz="4" w:space="0" w:color="auto"/>
              <w:right w:val="single" w:sz="4" w:space="0" w:color="auto"/>
            </w:tcBorders>
          </w:tcPr>
          <w:p w:rsidR="00C80A7A" w:rsidRPr="007E4856" w:rsidRDefault="00C80A7A" w:rsidP="00BB192E">
            <w:pPr>
              <w:keepNext/>
              <w:keepLines/>
              <w:suppressAutoHyphens/>
              <w:rPr>
                <w:color w:val="000000"/>
                <w:lang w:eastAsia="en-US"/>
              </w:rPr>
            </w:pPr>
          </w:p>
        </w:tc>
      </w:tr>
      <w:tr w:rsidR="00C80A7A" w:rsidTr="007E4856">
        <w:trPr>
          <w:cantSplit/>
        </w:trPr>
        <w:tc>
          <w:tcPr>
            <w:tcW w:w="3369" w:type="dxa"/>
            <w:tcBorders>
              <w:top w:val="single" w:sz="4" w:space="0" w:color="auto"/>
              <w:left w:val="single" w:sz="4" w:space="0" w:color="auto"/>
              <w:bottom w:val="single" w:sz="4" w:space="0" w:color="auto"/>
              <w:right w:val="single" w:sz="4" w:space="0" w:color="auto"/>
            </w:tcBorders>
          </w:tcPr>
          <w:p w:rsidR="00C80A7A" w:rsidRDefault="00C80A7A" w:rsidP="00BB192E">
            <w:pPr>
              <w:keepNext/>
              <w:keepLines/>
              <w:suppressAutoHyphens/>
              <w:rPr>
                <w:color w:val="000000"/>
                <w:lang w:eastAsia="en-US"/>
              </w:rPr>
            </w:pPr>
            <w:r>
              <w:rPr>
                <w:color w:val="000000"/>
                <w:lang w:eastAsia="en-US"/>
              </w:rPr>
              <w:t>Electrical/electronic</w:t>
            </w:r>
          </w:p>
        </w:tc>
        <w:tc>
          <w:tcPr>
            <w:tcW w:w="1842" w:type="dxa"/>
            <w:tcBorders>
              <w:top w:val="single" w:sz="4" w:space="0" w:color="auto"/>
              <w:left w:val="single" w:sz="4" w:space="0" w:color="auto"/>
              <w:bottom w:val="single" w:sz="4" w:space="0" w:color="auto"/>
              <w:right w:val="single" w:sz="4" w:space="0" w:color="auto"/>
            </w:tcBorders>
          </w:tcPr>
          <w:p w:rsidR="00C80A7A" w:rsidRPr="007E4856" w:rsidRDefault="00C80A7A" w:rsidP="00BB192E">
            <w:pPr>
              <w:keepNext/>
              <w:keepLines/>
              <w:suppressAutoHyphens/>
              <w:rPr>
                <w:color w:val="000000"/>
                <w:lang w:eastAsia="en-US"/>
              </w:rPr>
            </w:pPr>
          </w:p>
        </w:tc>
        <w:tc>
          <w:tcPr>
            <w:tcW w:w="1684" w:type="dxa"/>
            <w:tcBorders>
              <w:top w:val="single" w:sz="4" w:space="0" w:color="auto"/>
              <w:left w:val="single" w:sz="4" w:space="0" w:color="auto"/>
              <w:bottom w:val="single" w:sz="4" w:space="0" w:color="auto"/>
              <w:right w:val="single" w:sz="4" w:space="0" w:color="auto"/>
            </w:tcBorders>
          </w:tcPr>
          <w:p w:rsidR="00C80A7A" w:rsidRPr="007E4856" w:rsidRDefault="00C80A7A" w:rsidP="00BB192E">
            <w:pPr>
              <w:keepNext/>
              <w:keepLines/>
              <w:suppressAutoHyphens/>
              <w:rPr>
                <w:color w:val="000000"/>
                <w:lang w:eastAsia="en-US"/>
              </w:rPr>
            </w:pPr>
          </w:p>
        </w:tc>
        <w:tc>
          <w:tcPr>
            <w:tcW w:w="1684" w:type="dxa"/>
            <w:tcBorders>
              <w:top w:val="single" w:sz="4" w:space="0" w:color="auto"/>
              <w:left w:val="single" w:sz="4" w:space="0" w:color="auto"/>
              <w:bottom w:val="single" w:sz="4" w:space="0" w:color="auto"/>
              <w:right w:val="single" w:sz="4" w:space="0" w:color="auto"/>
            </w:tcBorders>
          </w:tcPr>
          <w:p w:rsidR="00C80A7A" w:rsidRPr="007E4856" w:rsidRDefault="00C80A7A" w:rsidP="00BB192E">
            <w:pPr>
              <w:keepNext/>
              <w:keepLines/>
              <w:suppressAutoHyphens/>
              <w:rPr>
                <w:color w:val="000000"/>
                <w:lang w:eastAsia="en-US"/>
              </w:rPr>
            </w:pPr>
          </w:p>
        </w:tc>
      </w:tr>
      <w:tr w:rsidR="00C80A7A" w:rsidTr="007E4856">
        <w:trPr>
          <w:cantSplit/>
        </w:trPr>
        <w:tc>
          <w:tcPr>
            <w:tcW w:w="3369" w:type="dxa"/>
            <w:tcBorders>
              <w:top w:val="single" w:sz="4" w:space="0" w:color="auto"/>
              <w:left w:val="single" w:sz="4" w:space="0" w:color="auto"/>
              <w:bottom w:val="single" w:sz="4" w:space="0" w:color="auto"/>
              <w:right w:val="single" w:sz="4" w:space="0" w:color="auto"/>
            </w:tcBorders>
          </w:tcPr>
          <w:p w:rsidR="00C80A7A" w:rsidRDefault="00C80A7A" w:rsidP="00BB192E">
            <w:pPr>
              <w:keepNext/>
              <w:keepLines/>
              <w:suppressAutoHyphens/>
              <w:rPr>
                <w:color w:val="000000"/>
                <w:lang w:eastAsia="en-US"/>
              </w:rPr>
            </w:pPr>
            <w:r>
              <w:rPr>
                <w:color w:val="000000"/>
                <w:lang w:eastAsia="en-US"/>
              </w:rPr>
              <w:t>Chemistry</w:t>
            </w:r>
          </w:p>
        </w:tc>
        <w:tc>
          <w:tcPr>
            <w:tcW w:w="1842" w:type="dxa"/>
            <w:tcBorders>
              <w:top w:val="single" w:sz="4" w:space="0" w:color="auto"/>
              <w:left w:val="single" w:sz="4" w:space="0" w:color="auto"/>
              <w:bottom w:val="single" w:sz="4" w:space="0" w:color="auto"/>
              <w:right w:val="single" w:sz="4" w:space="0" w:color="auto"/>
            </w:tcBorders>
          </w:tcPr>
          <w:p w:rsidR="00C80A7A" w:rsidRPr="007E4856" w:rsidRDefault="00C80A7A" w:rsidP="00BB192E">
            <w:pPr>
              <w:keepNext/>
              <w:keepLines/>
              <w:suppressAutoHyphens/>
              <w:rPr>
                <w:color w:val="000000"/>
                <w:lang w:eastAsia="en-US"/>
              </w:rPr>
            </w:pPr>
          </w:p>
        </w:tc>
        <w:tc>
          <w:tcPr>
            <w:tcW w:w="1684" w:type="dxa"/>
            <w:tcBorders>
              <w:top w:val="single" w:sz="4" w:space="0" w:color="auto"/>
              <w:left w:val="single" w:sz="4" w:space="0" w:color="auto"/>
              <w:bottom w:val="single" w:sz="4" w:space="0" w:color="auto"/>
              <w:right w:val="single" w:sz="4" w:space="0" w:color="auto"/>
            </w:tcBorders>
          </w:tcPr>
          <w:p w:rsidR="00C80A7A" w:rsidRPr="007E4856" w:rsidRDefault="00C80A7A" w:rsidP="00BB192E">
            <w:pPr>
              <w:keepNext/>
              <w:keepLines/>
              <w:suppressAutoHyphens/>
              <w:rPr>
                <w:color w:val="000000"/>
                <w:lang w:eastAsia="en-US"/>
              </w:rPr>
            </w:pPr>
          </w:p>
        </w:tc>
        <w:tc>
          <w:tcPr>
            <w:tcW w:w="1684" w:type="dxa"/>
            <w:tcBorders>
              <w:top w:val="single" w:sz="4" w:space="0" w:color="auto"/>
              <w:left w:val="single" w:sz="4" w:space="0" w:color="auto"/>
              <w:bottom w:val="single" w:sz="4" w:space="0" w:color="auto"/>
              <w:right w:val="single" w:sz="4" w:space="0" w:color="auto"/>
            </w:tcBorders>
          </w:tcPr>
          <w:p w:rsidR="00C80A7A" w:rsidRPr="007E4856" w:rsidRDefault="00C80A7A" w:rsidP="00BB192E">
            <w:pPr>
              <w:keepNext/>
              <w:keepLines/>
              <w:suppressAutoHyphens/>
              <w:rPr>
                <w:color w:val="000000"/>
                <w:lang w:eastAsia="en-US"/>
              </w:rPr>
            </w:pPr>
          </w:p>
        </w:tc>
      </w:tr>
      <w:tr w:rsidR="00C80A7A" w:rsidTr="007E4856">
        <w:trPr>
          <w:cantSplit/>
        </w:trPr>
        <w:tc>
          <w:tcPr>
            <w:tcW w:w="3369" w:type="dxa"/>
            <w:tcBorders>
              <w:top w:val="single" w:sz="4" w:space="0" w:color="auto"/>
              <w:left w:val="single" w:sz="4" w:space="0" w:color="auto"/>
              <w:bottom w:val="single" w:sz="4" w:space="0" w:color="auto"/>
              <w:right w:val="single" w:sz="4" w:space="0" w:color="auto"/>
            </w:tcBorders>
          </w:tcPr>
          <w:p w:rsidR="00C80A7A" w:rsidRDefault="00C80A7A" w:rsidP="00BB192E">
            <w:pPr>
              <w:keepNext/>
              <w:keepLines/>
              <w:suppressAutoHyphens/>
              <w:rPr>
                <w:color w:val="000000"/>
                <w:lang w:eastAsia="en-US"/>
              </w:rPr>
            </w:pPr>
            <w:r>
              <w:rPr>
                <w:color w:val="000000"/>
                <w:lang w:eastAsia="en-US"/>
              </w:rPr>
              <w:t>Biotech</w:t>
            </w:r>
          </w:p>
        </w:tc>
        <w:tc>
          <w:tcPr>
            <w:tcW w:w="1842" w:type="dxa"/>
            <w:tcBorders>
              <w:top w:val="single" w:sz="4" w:space="0" w:color="auto"/>
              <w:left w:val="single" w:sz="4" w:space="0" w:color="auto"/>
              <w:bottom w:val="single" w:sz="4" w:space="0" w:color="auto"/>
              <w:right w:val="single" w:sz="4" w:space="0" w:color="auto"/>
            </w:tcBorders>
          </w:tcPr>
          <w:p w:rsidR="00C80A7A" w:rsidRPr="007E4856" w:rsidRDefault="00C80A7A" w:rsidP="00BB192E">
            <w:pPr>
              <w:keepNext/>
              <w:keepLines/>
              <w:suppressAutoHyphens/>
              <w:rPr>
                <w:color w:val="000000"/>
                <w:lang w:eastAsia="en-US"/>
              </w:rPr>
            </w:pPr>
          </w:p>
        </w:tc>
        <w:tc>
          <w:tcPr>
            <w:tcW w:w="1684" w:type="dxa"/>
            <w:tcBorders>
              <w:top w:val="single" w:sz="4" w:space="0" w:color="auto"/>
              <w:left w:val="single" w:sz="4" w:space="0" w:color="auto"/>
              <w:bottom w:val="single" w:sz="4" w:space="0" w:color="auto"/>
              <w:right w:val="single" w:sz="4" w:space="0" w:color="auto"/>
            </w:tcBorders>
          </w:tcPr>
          <w:p w:rsidR="00C80A7A" w:rsidRPr="007E4856" w:rsidRDefault="00C80A7A" w:rsidP="00BB192E">
            <w:pPr>
              <w:keepNext/>
              <w:keepLines/>
              <w:suppressAutoHyphens/>
              <w:rPr>
                <w:color w:val="000000"/>
                <w:lang w:eastAsia="en-US"/>
              </w:rPr>
            </w:pPr>
          </w:p>
        </w:tc>
        <w:tc>
          <w:tcPr>
            <w:tcW w:w="1684" w:type="dxa"/>
            <w:tcBorders>
              <w:top w:val="single" w:sz="4" w:space="0" w:color="auto"/>
              <w:left w:val="single" w:sz="4" w:space="0" w:color="auto"/>
              <w:bottom w:val="single" w:sz="4" w:space="0" w:color="auto"/>
              <w:right w:val="single" w:sz="4" w:space="0" w:color="auto"/>
            </w:tcBorders>
          </w:tcPr>
          <w:p w:rsidR="00C80A7A" w:rsidRPr="007E4856" w:rsidRDefault="00C80A7A" w:rsidP="00BB192E">
            <w:pPr>
              <w:keepNext/>
              <w:keepLines/>
              <w:suppressAutoHyphens/>
              <w:rPr>
                <w:color w:val="000000"/>
                <w:lang w:eastAsia="en-US"/>
              </w:rPr>
            </w:pPr>
          </w:p>
        </w:tc>
      </w:tr>
      <w:tr w:rsidR="00C80A7A" w:rsidTr="007E4856">
        <w:trPr>
          <w:cantSplit/>
        </w:trPr>
        <w:tc>
          <w:tcPr>
            <w:tcW w:w="3369" w:type="dxa"/>
            <w:tcBorders>
              <w:top w:val="single" w:sz="4" w:space="0" w:color="auto"/>
              <w:left w:val="single" w:sz="4" w:space="0" w:color="auto"/>
              <w:bottom w:val="single" w:sz="4" w:space="0" w:color="auto"/>
              <w:right w:val="single" w:sz="4" w:space="0" w:color="auto"/>
            </w:tcBorders>
          </w:tcPr>
          <w:p w:rsidR="00C80A7A" w:rsidRDefault="00C80A7A" w:rsidP="00BB192E">
            <w:pPr>
              <w:suppressAutoHyphens/>
              <w:rPr>
                <w:i/>
                <w:iCs/>
                <w:color w:val="000000"/>
                <w:lang w:eastAsia="en-US"/>
              </w:rPr>
            </w:pPr>
            <w:r>
              <w:rPr>
                <w:i/>
                <w:iCs/>
                <w:color w:val="000000"/>
                <w:lang w:eastAsia="en-US"/>
              </w:rPr>
              <w:t>Total</w:t>
            </w:r>
          </w:p>
        </w:tc>
        <w:tc>
          <w:tcPr>
            <w:tcW w:w="1842" w:type="dxa"/>
            <w:tcBorders>
              <w:top w:val="single" w:sz="4" w:space="0" w:color="auto"/>
              <w:left w:val="single" w:sz="4" w:space="0" w:color="auto"/>
              <w:bottom w:val="single" w:sz="4" w:space="0" w:color="auto"/>
              <w:right w:val="single" w:sz="4" w:space="0" w:color="auto"/>
            </w:tcBorders>
          </w:tcPr>
          <w:p w:rsidR="00C80A7A" w:rsidRPr="007E4856" w:rsidRDefault="00C80A7A" w:rsidP="00BB192E">
            <w:pPr>
              <w:suppressAutoHyphens/>
              <w:rPr>
                <w:i/>
                <w:iCs/>
                <w:color w:val="000000"/>
              </w:rPr>
            </w:pPr>
            <w:r w:rsidRPr="007E4856">
              <w:rPr>
                <w:i/>
                <w:iCs/>
                <w:color w:val="000000"/>
              </w:rPr>
              <w:t>Around 10</w:t>
            </w:r>
            <w:r w:rsidR="00CF3977" w:rsidRPr="007E4856">
              <w:rPr>
                <w:i/>
                <w:iCs/>
                <w:color w:val="000000"/>
              </w:rPr>
              <w:t>,</w:t>
            </w:r>
            <w:r w:rsidRPr="007E4856">
              <w:rPr>
                <w:i/>
                <w:iCs/>
                <w:color w:val="000000"/>
              </w:rPr>
              <w:t>000</w:t>
            </w:r>
            <w:r w:rsidRPr="007E4856">
              <w:rPr>
                <w:rStyle w:val="FootnoteReference"/>
                <w:rFonts w:cs="Arial"/>
                <w:i/>
                <w:iCs/>
                <w:color w:val="000000"/>
              </w:rPr>
              <w:footnoteReference w:id="2"/>
            </w:r>
          </w:p>
        </w:tc>
        <w:tc>
          <w:tcPr>
            <w:tcW w:w="1684" w:type="dxa"/>
            <w:tcBorders>
              <w:top w:val="single" w:sz="4" w:space="0" w:color="auto"/>
              <w:left w:val="single" w:sz="4" w:space="0" w:color="auto"/>
              <w:bottom w:val="single" w:sz="4" w:space="0" w:color="auto"/>
              <w:right w:val="single" w:sz="4" w:space="0" w:color="auto"/>
            </w:tcBorders>
          </w:tcPr>
          <w:p w:rsidR="00C80A7A" w:rsidRPr="007E4856" w:rsidRDefault="00C80A7A" w:rsidP="00BB192E">
            <w:pPr>
              <w:suppressAutoHyphens/>
              <w:rPr>
                <w:i/>
                <w:iCs/>
                <w:color w:val="000000"/>
                <w:lang w:eastAsia="en-US"/>
              </w:rPr>
            </w:pPr>
          </w:p>
        </w:tc>
        <w:tc>
          <w:tcPr>
            <w:tcW w:w="1684" w:type="dxa"/>
            <w:tcBorders>
              <w:top w:val="single" w:sz="4" w:space="0" w:color="auto"/>
              <w:left w:val="single" w:sz="4" w:space="0" w:color="auto"/>
              <w:bottom w:val="single" w:sz="4" w:space="0" w:color="auto"/>
              <w:right w:val="single" w:sz="4" w:space="0" w:color="auto"/>
            </w:tcBorders>
          </w:tcPr>
          <w:p w:rsidR="00C80A7A" w:rsidRPr="007E4856" w:rsidRDefault="00C80A7A" w:rsidP="00BB192E">
            <w:pPr>
              <w:suppressAutoHyphens/>
              <w:rPr>
                <w:i/>
                <w:iCs/>
                <w:color w:val="000000"/>
                <w:lang w:eastAsia="en-US"/>
              </w:rPr>
            </w:pPr>
          </w:p>
        </w:tc>
      </w:tr>
    </w:tbl>
    <w:p w:rsidR="00C80A7A" w:rsidRDefault="00C80A7A" w:rsidP="00C80A7A">
      <w:pPr>
        <w:rPr>
          <w:color w:val="000000"/>
        </w:rPr>
      </w:pPr>
    </w:p>
    <w:p w:rsidR="00C80A7A" w:rsidRDefault="00C80A7A" w:rsidP="00C80A7A">
      <w:pPr>
        <w:rPr>
          <w:b/>
          <w:bCs/>
          <w:color w:val="000000"/>
        </w:rPr>
      </w:pPr>
      <w:r>
        <w:rPr>
          <w:b/>
          <w:bCs/>
          <w:color w:val="000000"/>
        </w:rPr>
        <w:t>Training Programs</w:t>
      </w:r>
    </w:p>
    <w:p w:rsidR="00C80A7A" w:rsidRDefault="00C80A7A" w:rsidP="00CF3977">
      <w:r>
        <w:t xml:space="preserve">SIPO provides PCT examiners some training courses of PCT international search and preliminary examination. </w:t>
      </w:r>
      <w:r w:rsidR="009802C1">
        <w:t xml:space="preserve"> </w:t>
      </w:r>
      <w:r>
        <w:t xml:space="preserve">Those training courses include junior level and senior level. </w:t>
      </w:r>
      <w:r w:rsidR="009802C1">
        <w:t xml:space="preserve"> </w:t>
      </w:r>
      <w:r>
        <w:t>The courses and durations are as below.</w:t>
      </w:r>
    </w:p>
    <w:p w:rsidR="00CF3977" w:rsidRDefault="00CF3977" w:rsidP="00CF3977"/>
    <w:p w:rsidR="00C80A7A" w:rsidRPr="00CF3977" w:rsidRDefault="00C80A7A" w:rsidP="00CF3977">
      <w:pPr>
        <w:keepNext/>
        <w:rPr>
          <w:i/>
        </w:rPr>
      </w:pPr>
      <w:r w:rsidRPr="00CF3977">
        <w:rPr>
          <w:i/>
        </w:rPr>
        <w:lastRenderedPageBreak/>
        <w:t xml:space="preserve"> Table 1</w:t>
      </w:r>
      <w:r w:rsidR="00CF3977">
        <w:rPr>
          <w:i/>
        </w:rPr>
        <w:t xml:space="preserve">: </w:t>
      </w:r>
      <w:r w:rsidRPr="00CF3977">
        <w:rPr>
          <w:i/>
        </w:rPr>
        <w:t xml:space="preserve"> List of PCT courses for junior level training </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75"/>
        <w:gridCol w:w="5974"/>
        <w:gridCol w:w="1904"/>
      </w:tblGrid>
      <w:tr w:rsidR="00C80A7A" w:rsidTr="00CF3977">
        <w:trPr>
          <w:trHeight w:val="20"/>
        </w:trPr>
        <w:tc>
          <w:tcPr>
            <w:tcW w:w="675" w:type="dxa"/>
            <w:vAlign w:val="center"/>
          </w:tcPr>
          <w:p w:rsidR="00C80A7A" w:rsidRPr="009802C1" w:rsidRDefault="00C80A7A" w:rsidP="009802C1">
            <w:pPr>
              <w:keepNext/>
            </w:pPr>
            <w:r w:rsidRPr="009802C1">
              <w:t>No</w:t>
            </w:r>
          </w:p>
        </w:tc>
        <w:tc>
          <w:tcPr>
            <w:tcW w:w="5974" w:type="dxa"/>
            <w:vAlign w:val="center"/>
          </w:tcPr>
          <w:p w:rsidR="00C80A7A" w:rsidRPr="009802C1" w:rsidRDefault="00C80A7A" w:rsidP="009802C1">
            <w:pPr>
              <w:keepNext/>
            </w:pPr>
            <w:r w:rsidRPr="009802C1">
              <w:t>Course</w:t>
            </w:r>
          </w:p>
        </w:tc>
        <w:tc>
          <w:tcPr>
            <w:tcW w:w="1904" w:type="dxa"/>
            <w:vAlign w:val="center"/>
          </w:tcPr>
          <w:p w:rsidR="00C80A7A" w:rsidRPr="009802C1" w:rsidRDefault="00C80A7A" w:rsidP="009802C1">
            <w:pPr>
              <w:keepNext/>
            </w:pPr>
            <w:r w:rsidRPr="009802C1">
              <w:t>Duration(Day)</w:t>
            </w:r>
          </w:p>
        </w:tc>
      </w:tr>
      <w:tr w:rsidR="00C80A7A" w:rsidTr="009802C1">
        <w:trPr>
          <w:trHeight w:val="20"/>
        </w:trPr>
        <w:tc>
          <w:tcPr>
            <w:tcW w:w="675" w:type="dxa"/>
          </w:tcPr>
          <w:p w:rsidR="00C80A7A" w:rsidRPr="009802C1" w:rsidRDefault="00C80A7A" w:rsidP="009802C1">
            <w:pPr>
              <w:keepNext/>
            </w:pPr>
            <w:r w:rsidRPr="009802C1">
              <w:t>1</w:t>
            </w:r>
          </w:p>
        </w:tc>
        <w:tc>
          <w:tcPr>
            <w:tcW w:w="5974" w:type="dxa"/>
          </w:tcPr>
          <w:p w:rsidR="00C80A7A" w:rsidRPr="009802C1" w:rsidRDefault="00C80A7A" w:rsidP="009802C1">
            <w:pPr>
              <w:keepNext/>
            </w:pPr>
            <w:r w:rsidRPr="009802C1">
              <w:t xml:space="preserve">Overview of </w:t>
            </w:r>
            <w:r w:rsidR="009802C1">
              <w:t xml:space="preserve">“Patent Cooperation Treaty” </w:t>
            </w:r>
            <w:r w:rsidRPr="009802C1">
              <w:t>system and procedure of PCT international applications</w:t>
            </w:r>
          </w:p>
        </w:tc>
        <w:tc>
          <w:tcPr>
            <w:tcW w:w="1904" w:type="dxa"/>
          </w:tcPr>
          <w:p w:rsidR="00C80A7A" w:rsidRPr="009802C1" w:rsidRDefault="00C80A7A" w:rsidP="007E4856">
            <w:pPr>
              <w:keepNext/>
              <w:ind w:left="297"/>
            </w:pPr>
            <w:r w:rsidRPr="009802C1">
              <w:t>0.5</w:t>
            </w:r>
          </w:p>
        </w:tc>
      </w:tr>
      <w:tr w:rsidR="00C80A7A" w:rsidTr="009802C1">
        <w:trPr>
          <w:trHeight w:val="20"/>
        </w:trPr>
        <w:tc>
          <w:tcPr>
            <w:tcW w:w="675" w:type="dxa"/>
          </w:tcPr>
          <w:p w:rsidR="00C80A7A" w:rsidRPr="009802C1" w:rsidRDefault="00C80A7A" w:rsidP="009802C1">
            <w:pPr>
              <w:keepNext/>
            </w:pPr>
            <w:r w:rsidRPr="009802C1">
              <w:t>2</w:t>
            </w:r>
          </w:p>
        </w:tc>
        <w:tc>
          <w:tcPr>
            <w:tcW w:w="5974" w:type="dxa"/>
          </w:tcPr>
          <w:p w:rsidR="00C80A7A" w:rsidRPr="009802C1" w:rsidRDefault="00C80A7A" w:rsidP="009802C1">
            <w:pPr>
              <w:keepNext/>
            </w:pPr>
            <w:r w:rsidRPr="009802C1">
              <w:t>Classifications of international applications</w:t>
            </w:r>
          </w:p>
        </w:tc>
        <w:tc>
          <w:tcPr>
            <w:tcW w:w="1904" w:type="dxa"/>
          </w:tcPr>
          <w:p w:rsidR="00C80A7A" w:rsidRPr="009802C1" w:rsidRDefault="00C80A7A" w:rsidP="007E4856">
            <w:pPr>
              <w:keepNext/>
              <w:ind w:left="297"/>
            </w:pPr>
            <w:r w:rsidRPr="009802C1">
              <w:t>0.25</w:t>
            </w:r>
          </w:p>
        </w:tc>
      </w:tr>
      <w:tr w:rsidR="00C80A7A" w:rsidTr="009802C1">
        <w:trPr>
          <w:trHeight w:val="20"/>
        </w:trPr>
        <w:tc>
          <w:tcPr>
            <w:tcW w:w="675" w:type="dxa"/>
          </w:tcPr>
          <w:p w:rsidR="00C80A7A" w:rsidRPr="009802C1" w:rsidRDefault="00C80A7A" w:rsidP="009802C1">
            <w:pPr>
              <w:keepNext/>
            </w:pPr>
            <w:r w:rsidRPr="009802C1">
              <w:t>3</w:t>
            </w:r>
          </w:p>
        </w:tc>
        <w:tc>
          <w:tcPr>
            <w:tcW w:w="5974" w:type="dxa"/>
          </w:tcPr>
          <w:p w:rsidR="00C80A7A" w:rsidRPr="009802C1" w:rsidRDefault="00C80A7A" w:rsidP="009802C1">
            <w:pPr>
              <w:keepNext/>
            </w:pPr>
            <w:r w:rsidRPr="009802C1">
              <w:t>International search</w:t>
            </w:r>
          </w:p>
        </w:tc>
        <w:tc>
          <w:tcPr>
            <w:tcW w:w="1904" w:type="dxa"/>
          </w:tcPr>
          <w:p w:rsidR="00C80A7A" w:rsidRPr="009802C1" w:rsidRDefault="00C80A7A" w:rsidP="007E4856">
            <w:pPr>
              <w:keepNext/>
              <w:ind w:left="297"/>
            </w:pPr>
            <w:r w:rsidRPr="009802C1">
              <w:t>0.25</w:t>
            </w:r>
          </w:p>
        </w:tc>
      </w:tr>
      <w:tr w:rsidR="00C80A7A" w:rsidTr="009802C1">
        <w:trPr>
          <w:trHeight w:val="20"/>
        </w:trPr>
        <w:tc>
          <w:tcPr>
            <w:tcW w:w="675" w:type="dxa"/>
          </w:tcPr>
          <w:p w:rsidR="00C80A7A" w:rsidRPr="009802C1" w:rsidRDefault="00C80A7A" w:rsidP="009802C1">
            <w:pPr>
              <w:keepNext/>
            </w:pPr>
            <w:r w:rsidRPr="009802C1">
              <w:t>4</w:t>
            </w:r>
          </w:p>
        </w:tc>
        <w:tc>
          <w:tcPr>
            <w:tcW w:w="5974" w:type="dxa"/>
          </w:tcPr>
          <w:p w:rsidR="00C80A7A" w:rsidRPr="009802C1" w:rsidRDefault="00C80A7A" w:rsidP="009802C1">
            <w:pPr>
              <w:keepNext/>
            </w:pPr>
            <w:r w:rsidRPr="009802C1">
              <w:t>Exclusion and restriction in PCT international search and preliminary examination, opinions thereof</w:t>
            </w:r>
          </w:p>
        </w:tc>
        <w:tc>
          <w:tcPr>
            <w:tcW w:w="1904" w:type="dxa"/>
          </w:tcPr>
          <w:p w:rsidR="00C80A7A" w:rsidRPr="009802C1" w:rsidRDefault="00C80A7A" w:rsidP="007E4856">
            <w:pPr>
              <w:keepNext/>
              <w:ind w:left="297"/>
            </w:pPr>
            <w:r w:rsidRPr="009802C1">
              <w:t>0.5</w:t>
            </w:r>
          </w:p>
        </w:tc>
      </w:tr>
      <w:tr w:rsidR="00C80A7A" w:rsidTr="009802C1">
        <w:trPr>
          <w:trHeight w:val="20"/>
        </w:trPr>
        <w:tc>
          <w:tcPr>
            <w:tcW w:w="675" w:type="dxa"/>
          </w:tcPr>
          <w:p w:rsidR="00C80A7A" w:rsidRPr="009802C1" w:rsidRDefault="00C80A7A" w:rsidP="009802C1">
            <w:pPr>
              <w:keepNext/>
            </w:pPr>
            <w:r w:rsidRPr="009802C1">
              <w:t>5</w:t>
            </w:r>
          </w:p>
        </w:tc>
        <w:tc>
          <w:tcPr>
            <w:tcW w:w="5974" w:type="dxa"/>
          </w:tcPr>
          <w:p w:rsidR="00C80A7A" w:rsidRPr="009802C1" w:rsidRDefault="00C80A7A" w:rsidP="009802C1">
            <w:pPr>
              <w:keepNext/>
            </w:pPr>
            <w:r w:rsidRPr="009802C1">
              <w:t>Unity and right of priority</w:t>
            </w:r>
          </w:p>
        </w:tc>
        <w:tc>
          <w:tcPr>
            <w:tcW w:w="1904" w:type="dxa"/>
          </w:tcPr>
          <w:p w:rsidR="00C80A7A" w:rsidRPr="009802C1" w:rsidRDefault="00C80A7A" w:rsidP="007E4856">
            <w:pPr>
              <w:keepNext/>
              <w:ind w:left="297"/>
            </w:pPr>
            <w:r w:rsidRPr="009802C1">
              <w:t>0.25</w:t>
            </w:r>
          </w:p>
        </w:tc>
      </w:tr>
      <w:tr w:rsidR="00C80A7A" w:rsidTr="009802C1">
        <w:trPr>
          <w:trHeight w:val="20"/>
        </w:trPr>
        <w:tc>
          <w:tcPr>
            <w:tcW w:w="675" w:type="dxa"/>
          </w:tcPr>
          <w:p w:rsidR="00C80A7A" w:rsidRPr="009802C1" w:rsidRDefault="00C80A7A" w:rsidP="009802C1">
            <w:pPr>
              <w:keepNext/>
            </w:pPr>
            <w:r w:rsidRPr="009802C1">
              <w:t>6</w:t>
            </w:r>
          </w:p>
        </w:tc>
        <w:tc>
          <w:tcPr>
            <w:tcW w:w="5974" w:type="dxa"/>
          </w:tcPr>
          <w:p w:rsidR="00C80A7A" w:rsidRPr="009802C1" w:rsidRDefault="00C80A7A" w:rsidP="009802C1">
            <w:pPr>
              <w:keepNext/>
            </w:pPr>
            <w:r w:rsidRPr="009802C1">
              <w:t>Major problems in the procedure of PCT international search and preliminary examination</w:t>
            </w:r>
          </w:p>
        </w:tc>
        <w:tc>
          <w:tcPr>
            <w:tcW w:w="1904" w:type="dxa"/>
          </w:tcPr>
          <w:p w:rsidR="00C80A7A" w:rsidRPr="009802C1" w:rsidRDefault="00C80A7A" w:rsidP="007E4856">
            <w:pPr>
              <w:keepNext/>
              <w:ind w:left="297"/>
            </w:pPr>
            <w:r w:rsidRPr="009802C1">
              <w:t>0.25</w:t>
            </w:r>
          </w:p>
        </w:tc>
      </w:tr>
      <w:tr w:rsidR="00C80A7A" w:rsidTr="009802C1">
        <w:trPr>
          <w:trHeight w:val="20"/>
        </w:trPr>
        <w:tc>
          <w:tcPr>
            <w:tcW w:w="675" w:type="dxa"/>
          </w:tcPr>
          <w:p w:rsidR="00C80A7A" w:rsidRPr="009802C1" w:rsidRDefault="00C80A7A" w:rsidP="009802C1">
            <w:pPr>
              <w:keepNext/>
            </w:pPr>
            <w:r w:rsidRPr="009802C1">
              <w:t>7</w:t>
            </w:r>
          </w:p>
        </w:tc>
        <w:tc>
          <w:tcPr>
            <w:tcW w:w="5974" w:type="dxa"/>
          </w:tcPr>
          <w:p w:rsidR="00C80A7A" w:rsidRPr="009802C1" w:rsidRDefault="00C80A7A" w:rsidP="009802C1">
            <w:pPr>
              <w:keepNext/>
            </w:pPr>
            <w:r w:rsidRPr="009802C1">
              <w:t>Drafting, correction and amendment of patent applications</w:t>
            </w:r>
          </w:p>
        </w:tc>
        <w:tc>
          <w:tcPr>
            <w:tcW w:w="1904" w:type="dxa"/>
          </w:tcPr>
          <w:p w:rsidR="00C80A7A" w:rsidRPr="009802C1" w:rsidRDefault="00C80A7A" w:rsidP="007E4856">
            <w:pPr>
              <w:keepNext/>
              <w:ind w:left="297"/>
            </w:pPr>
            <w:r w:rsidRPr="009802C1">
              <w:t>0.5</w:t>
            </w:r>
          </w:p>
        </w:tc>
      </w:tr>
      <w:tr w:rsidR="00C80A7A" w:rsidTr="009802C1">
        <w:trPr>
          <w:trHeight w:val="20"/>
        </w:trPr>
        <w:tc>
          <w:tcPr>
            <w:tcW w:w="675" w:type="dxa"/>
          </w:tcPr>
          <w:p w:rsidR="00C80A7A" w:rsidRPr="009802C1" w:rsidRDefault="00C80A7A" w:rsidP="009802C1">
            <w:pPr>
              <w:keepNext/>
            </w:pPr>
            <w:r w:rsidRPr="009802C1">
              <w:t>8</w:t>
            </w:r>
          </w:p>
        </w:tc>
        <w:tc>
          <w:tcPr>
            <w:tcW w:w="5974" w:type="dxa"/>
          </w:tcPr>
          <w:p w:rsidR="00C80A7A" w:rsidRPr="009802C1" w:rsidRDefault="00C80A7A" w:rsidP="009802C1">
            <w:pPr>
              <w:keepNext/>
            </w:pPr>
            <w:r w:rsidRPr="009802C1">
              <w:t>Prior art, novelty, inventive step and industrial application</w:t>
            </w:r>
          </w:p>
        </w:tc>
        <w:tc>
          <w:tcPr>
            <w:tcW w:w="1904" w:type="dxa"/>
          </w:tcPr>
          <w:p w:rsidR="00C80A7A" w:rsidRPr="009802C1" w:rsidRDefault="00C80A7A" w:rsidP="007E4856">
            <w:pPr>
              <w:keepNext/>
              <w:ind w:left="297"/>
            </w:pPr>
            <w:r w:rsidRPr="009802C1">
              <w:t>0.5</w:t>
            </w:r>
          </w:p>
        </w:tc>
      </w:tr>
      <w:tr w:rsidR="00C80A7A" w:rsidTr="009802C1">
        <w:trPr>
          <w:trHeight w:val="20"/>
        </w:trPr>
        <w:tc>
          <w:tcPr>
            <w:tcW w:w="675" w:type="dxa"/>
          </w:tcPr>
          <w:p w:rsidR="00C80A7A" w:rsidRPr="009802C1" w:rsidRDefault="00C80A7A" w:rsidP="009802C1">
            <w:pPr>
              <w:keepNext/>
            </w:pPr>
            <w:r w:rsidRPr="009802C1">
              <w:t>9</w:t>
            </w:r>
          </w:p>
        </w:tc>
        <w:tc>
          <w:tcPr>
            <w:tcW w:w="5974" w:type="dxa"/>
          </w:tcPr>
          <w:p w:rsidR="00C80A7A" w:rsidRPr="009802C1" w:rsidRDefault="00C80A7A" w:rsidP="009802C1">
            <w:pPr>
              <w:keepNext/>
            </w:pPr>
            <w:r w:rsidRPr="009802C1">
              <w:t>Drafting examination opinions in English in PCT international phase</w:t>
            </w:r>
          </w:p>
        </w:tc>
        <w:tc>
          <w:tcPr>
            <w:tcW w:w="1904" w:type="dxa"/>
          </w:tcPr>
          <w:p w:rsidR="00C80A7A" w:rsidRPr="009802C1" w:rsidRDefault="00C80A7A" w:rsidP="007E4856">
            <w:pPr>
              <w:keepNext/>
              <w:ind w:left="297"/>
            </w:pPr>
            <w:r w:rsidRPr="009802C1">
              <w:t>0.25</w:t>
            </w:r>
          </w:p>
        </w:tc>
      </w:tr>
      <w:tr w:rsidR="00C80A7A" w:rsidTr="009802C1">
        <w:trPr>
          <w:trHeight w:val="20"/>
        </w:trPr>
        <w:tc>
          <w:tcPr>
            <w:tcW w:w="675" w:type="dxa"/>
          </w:tcPr>
          <w:p w:rsidR="00C80A7A" w:rsidRPr="009802C1" w:rsidRDefault="00C80A7A" w:rsidP="009802C1">
            <w:pPr>
              <w:keepNext/>
            </w:pPr>
            <w:r w:rsidRPr="009802C1">
              <w:t>10</w:t>
            </w:r>
          </w:p>
        </w:tc>
        <w:tc>
          <w:tcPr>
            <w:tcW w:w="5974" w:type="dxa"/>
          </w:tcPr>
          <w:p w:rsidR="00C80A7A" w:rsidRPr="009802C1" w:rsidRDefault="00C80A7A" w:rsidP="009802C1">
            <w:pPr>
              <w:keepNext/>
            </w:pPr>
            <w:r w:rsidRPr="009802C1">
              <w:t>WIPO quality standard for translation of PCT documents</w:t>
            </w:r>
          </w:p>
        </w:tc>
        <w:tc>
          <w:tcPr>
            <w:tcW w:w="1904" w:type="dxa"/>
          </w:tcPr>
          <w:p w:rsidR="00C80A7A" w:rsidRPr="009802C1" w:rsidRDefault="00C80A7A" w:rsidP="007E4856">
            <w:pPr>
              <w:keepNext/>
              <w:ind w:left="297"/>
            </w:pPr>
            <w:r w:rsidRPr="009802C1">
              <w:t>0.25</w:t>
            </w:r>
          </w:p>
        </w:tc>
      </w:tr>
      <w:tr w:rsidR="00C80A7A" w:rsidTr="009802C1">
        <w:trPr>
          <w:trHeight w:val="20"/>
        </w:trPr>
        <w:tc>
          <w:tcPr>
            <w:tcW w:w="675" w:type="dxa"/>
          </w:tcPr>
          <w:p w:rsidR="00C80A7A" w:rsidRPr="009802C1" w:rsidRDefault="00C80A7A" w:rsidP="009802C1">
            <w:pPr>
              <w:keepNext/>
            </w:pPr>
            <w:r w:rsidRPr="009802C1">
              <w:t>11</w:t>
            </w:r>
          </w:p>
        </w:tc>
        <w:tc>
          <w:tcPr>
            <w:tcW w:w="5974" w:type="dxa"/>
          </w:tcPr>
          <w:p w:rsidR="00C80A7A" w:rsidRPr="009802C1" w:rsidRDefault="00C80A7A" w:rsidP="009802C1">
            <w:pPr>
              <w:keepNext/>
            </w:pPr>
            <w:r w:rsidRPr="009802C1">
              <w:t>Filling</w:t>
            </w:r>
            <w:r w:rsidRPr="009802C1">
              <w:rPr>
                <w:rFonts w:hint="eastAsia"/>
              </w:rPr>
              <w:t xml:space="preserve"> </w:t>
            </w:r>
            <w:r w:rsidRPr="009802C1">
              <w:t>in examination forms in PCT international phase</w:t>
            </w:r>
          </w:p>
        </w:tc>
        <w:tc>
          <w:tcPr>
            <w:tcW w:w="1904" w:type="dxa"/>
          </w:tcPr>
          <w:p w:rsidR="00C80A7A" w:rsidRPr="009802C1" w:rsidRDefault="00C80A7A" w:rsidP="007E4856">
            <w:pPr>
              <w:keepNext/>
              <w:ind w:left="297"/>
            </w:pPr>
            <w:r w:rsidRPr="009802C1">
              <w:t>0.25</w:t>
            </w:r>
          </w:p>
        </w:tc>
      </w:tr>
      <w:tr w:rsidR="00C80A7A" w:rsidTr="009802C1">
        <w:trPr>
          <w:trHeight w:val="20"/>
        </w:trPr>
        <w:tc>
          <w:tcPr>
            <w:tcW w:w="675" w:type="dxa"/>
          </w:tcPr>
          <w:p w:rsidR="00C80A7A" w:rsidRPr="009802C1" w:rsidRDefault="00C80A7A" w:rsidP="009802C1">
            <w:pPr>
              <w:keepNext/>
            </w:pPr>
            <w:r w:rsidRPr="009802C1">
              <w:t>12</w:t>
            </w:r>
          </w:p>
        </w:tc>
        <w:tc>
          <w:tcPr>
            <w:tcW w:w="5974" w:type="dxa"/>
          </w:tcPr>
          <w:p w:rsidR="00C80A7A" w:rsidRPr="009802C1" w:rsidRDefault="00C80A7A" w:rsidP="009802C1">
            <w:pPr>
              <w:keepNext/>
            </w:pPr>
            <w:r w:rsidRPr="009802C1">
              <w:t>Practicum</w:t>
            </w:r>
          </w:p>
        </w:tc>
        <w:tc>
          <w:tcPr>
            <w:tcW w:w="1904" w:type="dxa"/>
          </w:tcPr>
          <w:p w:rsidR="00C80A7A" w:rsidRPr="009802C1" w:rsidRDefault="00C80A7A" w:rsidP="007E4856">
            <w:pPr>
              <w:keepNext/>
              <w:ind w:left="297"/>
            </w:pPr>
            <w:r w:rsidRPr="009802C1">
              <w:t>1</w:t>
            </w:r>
          </w:p>
        </w:tc>
      </w:tr>
      <w:tr w:rsidR="00C80A7A" w:rsidTr="009802C1">
        <w:trPr>
          <w:trHeight w:val="20"/>
        </w:trPr>
        <w:tc>
          <w:tcPr>
            <w:tcW w:w="675" w:type="dxa"/>
          </w:tcPr>
          <w:p w:rsidR="00C80A7A" w:rsidRPr="009802C1" w:rsidRDefault="00C80A7A" w:rsidP="009802C1"/>
        </w:tc>
        <w:tc>
          <w:tcPr>
            <w:tcW w:w="5974" w:type="dxa"/>
          </w:tcPr>
          <w:p w:rsidR="00C80A7A" w:rsidRPr="009802C1" w:rsidRDefault="00C80A7A" w:rsidP="009802C1">
            <w:r w:rsidRPr="009802C1">
              <w:t>Total</w:t>
            </w:r>
          </w:p>
        </w:tc>
        <w:tc>
          <w:tcPr>
            <w:tcW w:w="1904" w:type="dxa"/>
          </w:tcPr>
          <w:p w:rsidR="00C80A7A" w:rsidRPr="009802C1" w:rsidRDefault="00C80A7A" w:rsidP="007E4856">
            <w:pPr>
              <w:ind w:left="297"/>
            </w:pPr>
            <w:r w:rsidRPr="009802C1">
              <w:t>4.75</w:t>
            </w:r>
          </w:p>
        </w:tc>
      </w:tr>
    </w:tbl>
    <w:p w:rsidR="00C80A7A" w:rsidRPr="007E4856" w:rsidRDefault="00C80A7A" w:rsidP="007E4856"/>
    <w:p w:rsidR="00C80A7A" w:rsidRPr="00CF3977" w:rsidRDefault="00C80A7A" w:rsidP="00CF3977">
      <w:pPr>
        <w:rPr>
          <w:i/>
        </w:rPr>
      </w:pPr>
      <w:r w:rsidRPr="00CF3977">
        <w:rPr>
          <w:i/>
        </w:rPr>
        <w:t>Table 2</w:t>
      </w:r>
      <w:r w:rsidR="00CF3977">
        <w:rPr>
          <w:i/>
        </w:rPr>
        <w:t xml:space="preserve">: </w:t>
      </w:r>
      <w:r w:rsidRPr="00CF3977">
        <w:rPr>
          <w:i/>
        </w:rPr>
        <w:t xml:space="preserve"> List of PCT courses for</w:t>
      </w:r>
      <w:r w:rsidRPr="00CF3977">
        <w:rPr>
          <w:rFonts w:hint="eastAsia"/>
          <w:i/>
        </w:rPr>
        <w:t xml:space="preserve"> </w:t>
      </w:r>
      <w:r w:rsidRPr="00CF3977">
        <w:rPr>
          <w:i/>
        </w:rPr>
        <w:t>senior level training</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75"/>
        <w:gridCol w:w="5966"/>
        <w:gridCol w:w="1833"/>
      </w:tblGrid>
      <w:tr w:rsidR="00C80A7A" w:rsidTr="00CF3977">
        <w:trPr>
          <w:trHeight w:val="20"/>
        </w:trPr>
        <w:tc>
          <w:tcPr>
            <w:tcW w:w="675" w:type="dxa"/>
            <w:vAlign w:val="center"/>
          </w:tcPr>
          <w:p w:rsidR="00C80A7A" w:rsidRPr="007E4856" w:rsidRDefault="00C80A7A" w:rsidP="007E4856">
            <w:r w:rsidRPr="007E4856">
              <w:t>No</w:t>
            </w:r>
          </w:p>
        </w:tc>
        <w:tc>
          <w:tcPr>
            <w:tcW w:w="5966" w:type="dxa"/>
            <w:vAlign w:val="center"/>
          </w:tcPr>
          <w:p w:rsidR="00C80A7A" w:rsidRPr="007E4856" w:rsidRDefault="00C80A7A" w:rsidP="007E4856">
            <w:r w:rsidRPr="007E4856">
              <w:t>Course</w:t>
            </w:r>
          </w:p>
        </w:tc>
        <w:tc>
          <w:tcPr>
            <w:tcW w:w="1833" w:type="dxa"/>
            <w:vAlign w:val="center"/>
          </w:tcPr>
          <w:p w:rsidR="00C80A7A" w:rsidRPr="007E4856" w:rsidRDefault="00C80A7A" w:rsidP="007E4856">
            <w:r w:rsidRPr="007E4856">
              <w:t>Duration(Day)</w:t>
            </w:r>
          </w:p>
        </w:tc>
      </w:tr>
      <w:tr w:rsidR="00C80A7A" w:rsidTr="009802C1">
        <w:trPr>
          <w:trHeight w:val="20"/>
        </w:trPr>
        <w:tc>
          <w:tcPr>
            <w:tcW w:w="675" w:type="dxa"/>
          </w:tcPr>
          <w:p w:rsidR="00C80A7A" w:rsidRPr="009802C1" w:rsidRDefault="00C80A7A" w:rsidP="009802C1">
            <w:r w:rsidRPr="009802C1">
              <w:t>1</w:t>
            </w:r>
          </w:p>
        </w:tc>
        <w:tc>
          <w:tcPr>
            <w:tcW w:w="5966" w:type="dxa"/>
          </w:tcPr>
          <w:p w:rsidR="00C80A7A" w:rsidRPr="009802C1" w:rsidRDefault="00C80A7A" w:rsidP="009802C1">
            <w:r w:rsidRPr="009802C1">
              <w:t>PCT practices and Common errors in filling in PCT examination forms</w:t>
            </w:r>
          </w:p>
        </w:tc>
        <w:tc>
          <w:tcPr>
            <w:tcW w:w="1833" w:type="dxa"/>
          </w:tcPr>
          <w:p w:rsidR="00C80A7A" w:rsidRPr="009802C1" w:rsidRDefault="00C80A7A" w:rsidP="009802C1">
            <w:r w:rsidRPr="009802C1">
              <w:t>0.5</w:t>
            </w:r>
          </w:p>
        </w:tc>
      </w:tr>
    </w:tbl>
    <w:p w:rsidR="00C80A7A" w:rsidRDefault="00C80A7A" w:rsidP="00C80A7A">
      <w:pPr>
        <w:rPr>
          <w:color w:val="000000"/>
        </w:rPr>
      </w:pPr>
    </w:p>
    <w:p w:rsidR="00CF3977" w:rsidRDefault="00CF3977" w:rsidP="00C80A7A">
      <w:pPr>
        <w:rPr>
          <w:color w:val="000000"/>
        </w:rPr>
      </w:pPr>
    </w:p>
    <w:p w:rsidR="00C80A7A" w:rsidRPr="00CF3977" w:rsidRDefault="00C80A7A" w:rsidP="00C80A7A">
      <w:pPr>
        <w:rPr>
          <w:b/>
          <w:bCs/>
          <w:i/>
          <w:color w:val="000000"/>
        </w:rPr>
      </w:pPr>
      <w:r w:rsidRPr="00CF3977">
        <w:rPr>
          <w:b/>
          <w:bCs/>
          <w:i/>
          <w:color w:val="000000"/>
        </w:rPr>
        <w:t>Rules 36.1(ii) and 63.1(ii):  That Office or organization must have in its possession, or have access to, at least the minimum documentation referred to in Rule 34, properly arranged for search purposes, on paper, in microform or stored on electronic media.</w:t>
      </w:r>
    </w:p>
    <w:p w:rsidR="00C80A7A" w:rsidRDefault="00C80A7A" w:rsidP="00C80A7A">
      <w:pPr>
        <w:rPr>
          <w:color w:val="000000"/>
        </w:rPr>
      </w:pPr>
    </w:p>
    <w:p w:rsidR="00C80A7A" w:rsidRDefault="00C80A7A" w:rsidP="00C80A7A">
      <w:pPr>
        <w:keepNext/>
        <w:rPr>
          <w:b/>
          <w:bCs/>
          <w:color w:val="000000"/>
        </w:rPr>
      </w:pPr>
      <w:r>
        <w:rPr>
          <w:b/>
          <w:bCs/>
          <w:color w:val="000000"/>
        </w:rPr>
        <w:t>Access to the minimum documentation for search purposes:</w:t>
      </w:r>
    </w:p>
    <w:p w:rsidR="00C80A7A" w:rsidRDefault="00C80A7A" w:rsidP="00C80A7A">
      <w:pPr>
        <w:rPr>
          <w:color w:val="000000"/>
        </w:rPr>
      </w:pPr>
      <w:r>
        <w:rPr>
          <w:color w:val="000000"/>
        </w:rPr>
        <w:t>(</w:t>
      </w:r>
      <w:r>
        <w:rPr>
          <w:rFonts w:ascii="SimSun" w:hAnsi="SimSun"/>
          <w:color w:val="000000"/>
        </w:rPr>
        <w:t xml:space="preserve"> </w:t>
      </w:r>
      <w:r>
        <w:rPr>
          <w:rFonts w:ascii="SimSun" w:hAnsi="SimSun" w:hint="eastAsia"/>
          <w:color w:val="000000"/>
        </w:rPr>
        <w:t>√</w:t>
      </w:r>
      <w:r>
        <w:rPr>
          <w:color w:val="000000"/>
        </w:rPr>
        <w:t xml:space="preserve"> )</w:t>
      </w:r>
      <w:r>
        <w:rPr>
          <w:color w:val="000000"/>
        </w:rPr>
        <w:tab/>
        <w:t>Full access</w:t>
      </w:r>
    </w:p>
    <w:p w:rsidR="00C80A7A" w:rsidRDefault="00C80A7A" w:rsidP="00C80A7A">
      <w:pPr>
        <w:rPr>
          <w:color w:val="000000"/>
        </w:rPr>
      </w:pPr>
    </w:p>
    <w:p w:rsidR="00C80A7A" w:rsidRDefault="00C80A7A" w:rsidP="00C80A7A">
      <w:pPr>
        <w:rPr>
          <w:color w:val="000000"/>
        </w:rPr>
      </w:pPr>
      <w:r>
        <w:rPr>
          <w:b/>
          <w:bCs/>
          <w:color w:val="000000"/>
        </w:rPr>
        <w:t>Search systems:</w:t>
      </w:r>
    </w:p>
    <w:p w:rsidR="00C80A7A" w:rsidRPr="00CF3977" w:rsidRDefault="00CF3977" w:rsidP="00CF3977">
      <w:r>
        <w:t>1.</w:t>
      </w:r>
      <w:r>
        <w:tab/>
      </w:r>
      <w:r w:rsidR="00C80A7A" w:rsidRPr="00CF3977">
        <w:t>“S system” for patent search.</w:t>
      </w:r>
    </w:p>
    <w:p w:rsidR="00C80A7A" w:rsidRPr="00CF3977" w:rsidRDefault="00CF3977" w:rsidP="00CF3977">
      <w:r>
        <w:t>2.</w:t>
      </w:r>
      <w:r>
        <w:tab/>
      </w:r>
      <w:r w:rsidR="00C80A7A" w:rsidRPr="00CF3977">
        <w:t xml:space="preserve">“Internet resources search platform” and “full access” for non-patent literature search which integrates </w:t>
      </w:r>
      <w:r w:rsidR="00C80A7A" w:rsidRPr="00CF3977">
        <w:rPr>
          <w:rFonts w:hint="eastAsia"/>
        </w:rPr>
        <w:t>commonly-used</w:t>
      </w:r>
      <w:r w:rsidR="00C80A7A" w:rsidRPr="00CF3977">
        <w:t xml:space="preserve"> non-patent databases and those required by our examiners. </w:t>
      </w:r>
    </w:p>
    <w:p w:rsidR="00C80A7A" w:rsidRPr="00CF3977" w:rsidRDefault="00CF3977" w:rsidP="00CF3977">
      <w:r>
        <w:t>3.</w:t>
      </w:r>
      <w:r>
        <w:tab/>
      </w:r>
      <w:proofErr w:type="spellStart"/>
      <w:r w:rsidR="00C80A7A" w:rsidRPr="00CF3977">
        <w:t>Epoque</w:t>
      </w:r>
      <w:proofErr w:type="spellEnd"/>
      <w:r w:rsidR="00C80A7A" w:rsidRPr="00CF3977">
        <w:t>.</w:t>
      </w:r>
    </w:p>
    <w:p w:rsidR="00C80A7A" w:rsidRDefault="00C80A7A" w:rsidP="00C80A7A">
      <w:pPr>
        <w:rPr>
          <w:color w:val="000000"/>
        </w:rPr>
      </w:pPr>
    </w:p>
    <w:p w:rsidR="00CF3977" w:rsidRDefault="00CF3977" w:rsidP="00C80A7A">
      <w:pPr>
        <w:rPr>
          <w:color w:val="000000"/>
        </w:rPr>
      </w:pPr>
    </w:p>
    <w:p w:rsidR="00C80A7A" w:rsidRPr="00CF3977" w:rsidRDefault="00C80A7A" w:rsidP="00C80A7A">
      <w:pPr>
        <w:rPr>
          <w:b/>
          <w:bCs/>
          <w:i/>
          <w:color w:val="000000"/>
        </w:rPr>
      </w:pPr>
      <w:r w:rsidRPr="00CF3977">
        <w:rPr>
          <w:b/>
          <w:bCs/>
          <w:i/>
          <w:color w:val="000000"/>
        </w:rPr>
        <w:t>Rules 36.1(iii) and 63.1(iii):  That Office or organization must have a staff which is capable of searching and examining the required technical fields and which has the language facilities to understand at least those languages in which the minimum documentation referred to in Rule 34 is written or is translated.</w:t>
      </w:r>
    </w:p>
    <w:p w:rsidR="00C80A7A" w:rsidRDefault="00C80A7A" w:rsidP="00C80A7A">
      <w:pPr>
        <w:rPr>
          <w:color w:val="000000"/>
        </w:rPr>
      </w:pPr>
    </w:p>
    <w:p w:rsidR="00C80A7A" w:rsidRDefault="00C80A7A" w:rsidP="00C80A7A">
      <w:pPr>
        <w:rPr>
          <w:b/>
          <w:bCs/>
          <w:color w:val="000000"/>
        </w:rPr>
      </w:pPr>
      <w:r>
        <w:rPr>
          <w:b/>
          <w:bCs/>
          <w:color w:val="000000"/>
        </w:rPr>
        <w:t>Language(s) in which national applications may be filed and processed:</w:t>
      </w:r>
    </w:p>
    <w:p w:rsidR="00C80A7A" w:rsidRPr="00CF3977" w:rsidRDefault="00C80A7A" w:rsidP="00CF3977">
      <w:r w:rsidRPr="00CF3977">
        <w:t>Chinese</w:t>
      </w:r>
    </w:p>
    <w:p w:rsidR="00C80A7A" w:rsidRPr="00CF3977" w:rsidRDefault="00C80A7A" w:rsidP="00CF3977"/>
    <w:p w:rsidR="00C80A7A" w:rsidRDefault="00C80A7A" w:rsidP="00C80A7A">
      <w:pPr>
        <w:rPr>
          <w:b/>
          <w:bCs/>
          <w:color w:val="000000"/>
        </w:rPr>
      </w:pPr>
      <w:r>
        <w:rPr>
          <w:b/>
          <w:bCs/>
          <w:color w:val="000000"/>
        </w:rPr>
        <w:t>Other languages in which large numbers of examiners are proficient:</w:t>
      </w:r>
    </w:p>
    <w:p w:rsidR="00C80A7A" w:rsidRPr="00CF3977" w:rsidRDefault="00C80A7A" w:rsidP="00CF3977">
      <w:r w:rsidRPr="00CF3977">
        <w:t>English</w:t>
      </w:r>
    </w:p>
    <w:p w:rsidR="00C80A7A" w:rsidRPr="00CF3977" w:rsidRDefault="00C80A7A" w:rsidP="00CF3977"/>
    <w:p w:rsidR="00C80A7A" w:rsidRDefault="00C80A7A" w:rsidP="00CF3977">
      <w:pPr>
        <w:keepNext/>
        <w:rPr>
          <w:b/>
          <w:bCs/>
          <w:color w:val="000000"/>
        </w:rPr>
      </w:pPr>
      <w:r>
        <w:rPr>
          <w:b/>
          <w:bCs/>
          <w:color w:val="000000"/>
        </w:rPr>
        <w:t>Services available to assist search or understanding of prior art in other languages:</w:t>
      </w:r>
    </w:p>
    <w:p w:rsidR="00C80A7A" w:rsidRPr="00CF3977" w:rsidRDefault="00C80A7A" w:rsidP="00CF3977">
      <w:r w:rsidRPr="00CF3977">
        <w:t xml:space="preserve">Machine translation function and dictionaries (such as bilingual </w:t>
      </w:r>
      <w:proofErr w:type="gramStart"/>
      <w:r w:rsidRPr="00CF3977">
        <w:t>dictionary )</w:t>
      </w:r>
      <w:proofErr w:type="gramEnd"/>
      <w:r w:rsidRPr="00CF3977">
        <w:t xml:space="preserve"> are provided by “S system”</w:t>
      </w:r>
    </w:p>
    <w:p w:rsidR="00C80A7A" w:rsidRDefault="00C80A7A" w:rsidP="00C80A7A">
      <w:pPr>
        <w:pStyle w:val="SectionHeading"/>
      </w:pPr>
      <w:r>
        <w:lastRenderedPageBreak/>
        <w:t>2.2 – Quality Management</w:t>
      </w:r>
    </w:p>
    <w:p w:rsidR="00C80A7A" w:rsidRPr="00CF3977" w:rsidRDefault="00C80A7A" w:rsidP="00C80A7A">
      <w:pPr>
        <w:rPr>
          <w:b/>
          <w:bCs/>
          <w:i/>
          <w:color w:val="000000"/>
        </w:rPr>
      </w:pPr>
      <w:r w:rsidRPr="00CF3977">
        <w:rPr>
          <w:b/>
          <w:bCs/>
          <w:i/>
          <w:color w:val="000000"/>
        </w:rPr>
        <w:t>Rules 36.1(iv) and 63.1(iv):  That Office or organization must have in place a quality management system and internal review arrangements in accordance with the commo</w:t>
      </w:r>
      <w:r w:rsidR="00CF3977">
        <w:rPr>
          <w:b/>
          <w:bCs/>
          <w:i/>
          <w:color w:val="000000"/>
        </w:rPr>
        <w:t>n rules of international search.</w:t>
      </w:r>
    </w:p>
    <w:p w:rsidR="00C80A7A" w:rsidRDefault="00C80A7A" w:rsidP="00C80A7A">
      <w:pPr>
        <w:rPr>
          <w:b/>
          <w:bCs/>
          <w:color w:val="000000"/>
        </w:rPr>
      </w:pPr>
    </w:p>
    <w:p w:rsidR="00C80A7A" w:rsidRDefault="00CF3977" w:rsidP="00C80A7A">
      <w:pPr>
        <w:rPr>
          <w:i/>
          <w:iCs/>
          <w:color w:val="000000"/>
        </w:rPr>
      </w:pPr>
      <w:r>
        <w:rPr>
          <w:b/>
          <w:bCs/>
          <w:color w:val="000000"/>
        </w:rPr>
        <w:t>Q</w:t>
      </w:r>
      <w:r w:rsidR="00C80A7A">
        <w:rPr>
          <w:b/>
          <w:bCs/>
          <w:color w:val="000000"/>
        </w:rPr>
        <w:t>uality management system:</w:t>
      </w:r>
    </w:p>
    <w:p w:rsidR="00CF3977" w:rsidRPr="00CF3977" w:rsidRDefault="00CF3977" w:rsidP="00C80A7A">
      <w:pPr>
        <w:rPr>
          <w:iCs/>
          <w:color w:val="000000"/>
        </w:rPr>
      </w:pPr>
      <w:r>
        <w:rPr>
          <w:iCs/>
          <w:color w:val="000000"/>
        </w:rPr>
        <w:t xml:space="preserve">The annual reports on quality management systems from 2006 to 2016 are available from the WIPO website at:  </w:t>
      </w:r>
      <w:r w:rsidRPr="00CF3977">
        <w:rPr>
          <w:iCs/>
          <w:color w:val="000000"/>
        </w:rPr>
        <w:t>http://www.wipo.int/pct/en/quality/authorities.html</w:t>
      </w:r>
    </w:p>
    <w:p w:rsidR="00C80A7A" w:rsidRDefault="00C80A7A" w:rsidP="00C80A7A">
      <w:pPr>
        <w:rPr>
          <w:color w:val="000000"/>
        </w:rPr>
      </w:pPr>
    </w:p>
    <w:p w:rsidR="00C80A7A" w:rsidRDefault="00C80A7A" w:rsidP="00C80A7A">
      <w:pPr>
        <w:pStyle w:val="SectionHeading"/>
      </w:pPr>
      <w:r>
        <w:t>3 – Intended Scope of Operation</w:t>
      </w:r>
    </w:p>
    <w:p w:rsidR="00C80A7A" w:rsidRDefault="00C80A7A" w:rsidP="00C80A7A">
      <w:pPr>
        <w:rPr>
          <w:b/>
          <w:bCs/>
          <w:color w:val="000000"/>
        </w:rPr>
      </w:pPr>
      <w:r>
        <w:rPr>
          <w:b/>
          <w:bCs/>
          <w:color w:val="000000"/>
        </w:rPr>
        <w:t>Language(s) in which services would be offered:</w:t>
      </w:r>
      <w:r w:rsidRPr="00CF3977">
        <w:rPr>
          <w:rFonts w:hint="eastAsia"/>
          <w:bCs/>
          <w:color w:val="000000"/>
        </w:rPr>
        <w:t xml:space="preserve"> </w:t>
      </w:r>
      <w:r w:rsidR="00CF3977">
        <w:rPr>
          <w:bCs/>
          <w:color w:val="000000"/>
        </w:rPr>
        <w:t xml:space="preserve"> </w:t>
      </w:r>
      <w:r w:rsidRPr="00CF3977">
        <w:rPr>
          <w:bCs/>
          <w:color w:val="000000"/>
        </w:rPr>
        <w:t>Chinese and English</w:t>
      </w:r>
    </w:p>
    <w:p w:rsidR="00C80A7A" w:rsidRDefault="00C80A7A" w:rsidP="00C80A7A">
      <w:pPr>
        <w:rPr>
          <w:color w:val="000000"/>
        </w:rPr>
      </w:pPr>
    </w:p>
    <w:p w:rsidR="00C80A7A" w:rsidRDefault="00C80A7A" w:rsidP="00CF3977">
      <w:pPr>
        <w:rPr>
          <w:b/>
          <w:bCs/>
        </w:rPr>
      </w:pPr>
      <w:r>
        <w:rPr>
          <w:b/>
          <w:bCs/>
        </w:rPr>
        <w:t>State(s) or receiving Office(s) for which Authority would offer to be competent:</w:t>
      </w:r>
      <w:r>
        <w:t xml:space="preserve"> </w:t>
      </w:r>
      <w:r w:rsidR="00CF3977">
        <w:t xml:space="preserve"> </w:t>
      </w:r>
      <w:r>
        <w:t>Angola, Ghana, India, Iran (Islamic Republic of), Kenya, Liberia,</w:t>
      </w:r>
      <w:r>
        <w:rPr>
          <w:rFonts w:hint="eastAsia"/>
        </w:rPr>
        <w:t xml:space="preserve"> </w:t>
      </w:r>
      <w:r>
        <w:t>Thailand, Turkey, Zimbabwe</w:t>
      </w:r>
    </w:p>
    <w:p w:rsidR="00C80A7A" w:rsidRDefault="00C80A7A" w:rsidP="00C80A7A">
      <w:pPr>
        <w:rPr>
          <w:color w:val="000000"/>
        </w:rPr>
      </w:pPr>
    </w:p>
    <w:p w:rsidR="00C80A7A" w:rsidRPr="00CF3977" w:rsidRDefault="00C80A7A" w:rsidP="00C80A7A">
      <w:pPr>
        <w:rPr>
          <w:color w:val="000000"/>
        </w:rPr>
      </w:pPr>
      <w:r>
        <w:rPr>
          <w:b/>
          <w:bCs/>
          <w:color w:val="000000"/>
        </w:rPr>
        <w:t>Limitations on scope of operation:</w:t>
      </w:r>
      <w:r w:rsidR="00CF3977">
        <w:rPr>
          <w:bCs/>
          <w:color w:val="000000"/>
        </w:rPr>
        <w:t xml:space="preserve">  N/A</w:t>
      </w:r>
    </w:p>
    <w:p w:rsidR="00C80A7A" w:rsidRDefault="00C80A7A" w:rsidP="00C80A7A">
      <w:pPr>
        <w:pStyle w:val="SectionHeading"/>
      </w:pPr>
      <w:r>
        <w:t>4 – Statement of Motivation</w:t>
      </w:r>
    </w:p>
    <w:p w:rsidR="00C80A7A" w:rsidRDefault="00C80A7A" w:rsidP="00CF3977">
      <w:r>
        <w:t xml:space="preserve">SIPO is one of the biggest IP offices in the world with the largest number of patent examiners, rich documentation and advanced IT systems.  The annual PCT applications received by SIPO ranked no. 3 in the year of 2015 and its fast increase has become the key driven power for the global PCT application growth.  Applying by SIPO to become the ISA/IPEA will encourage China to play a more active role in the PCT system development and make its contribution to this most welcomed international system.  It will not only allow the office to share it experiences in this field but also benefit Chinese PCT users by providing on the spot assistance and make them understand the system better.  SIPO’s renewal as ISA/IPEA will complement the system in its advantage of Chinese document searching and provide PCT users especially Chinese PCT users </w:t>
      </w:r>
      <w:proofErr w:type="gramStart"/>
      <w:r>
        <w:t>an</w:t>
      </w:r>
      <w:proofErr w:type="gramEnd"/>
      <w:r>
        <w:t xml:space="preserve"> option of good service with relatively low costs.  </w:t>
      </w:r>
    </w:p>
    <w:p w:rsidR="00C80A7A" w:rsidRDefault="00CF3977" w:rsidP="00C80A7A">
      <w:pPr>
        <w:pStyle w:val="SectionHeading"/>
      </w:pPr>
      <w:r>
        <w:t>5 – Applicant States</w:t>
      </w:r>
    </w:p>
    <w:p w:rsidR="00C80A7A" w:rsidRPr="007E4856" w:rsidRDefault="00C80A7A" w:rsidP="007E4856">
      <w:r w:rsidRPr="007E4856">
        <w:rPr>
          <w:b/>
        </w:rPr>
        <w:t>Population:</w:t>
      </w:r>
      <w:r w:rsidRPr="007E4856">
        <w:rPr>
          <w:rFonts w:hint="eastAsia"/>
        </w:rPr>
        <w:t xml:space="preserve"> </w:t>
      </w:r>
      <w:r w:rsidR="007E4856">
        <w:t xml:space="preserve"> 1.</w:t>
      </w:r>
      <w:r w:rsidRPr="007E4856">
        <w:t>339 billion</w:t>
      </w:r>
    </w:p>
    <w:p w:rsidR="00C80A7A" w:rsidRPr="007E4856" w:rsidRDefault="00C80A7A" w:rsidP="007E4856"/>
    <w:p w:rsidR="00C80A7A" w:rsidRPr="007E4856" w:rsidRDefault="00C80A7A" w:rsidP="007E4856">
      <w:r w:rsidRPr="007E4856">
        <w:rPr>
          <w:b/>
        </w:rPr>
        <w:t>GDP per capita:</w:t>
      </w:r>
      <w:r w:rsidRPr="007E4856">
        <w:t xml:space="preserve">  49</w:t>
      </w:r>
      <w:r w:rsidR="007E4856">
        <w:t>,</w:t>
      </w:r>
      <w:r w:rsidRPr="007E4856">
        <w:t>992</w:t>
      </w:r>
      <w:r w:rsidR="007E4856">
        <w:t xml:space="preserve"> Chinese yuan renminbi</w:t>
      </w:r>
      <w:r w:rsidRPr="007E4856">
        <w:t xml:space="preserve"> by 2015</w:t>
      </w:r>
    </w:p>
    <w:p w:rsidR="00C80A7A" w:rsidRPr="007E4856" w:rsidRDefault="00C80A7A" w:rsidP="007E4856"/>
    <w:p w:rsidR="00C80A7A" w:rsidRPr="007E4856" w:rsidRDefault="00C80A7A" w:rsidP="00C80A7A">
      <w:r>
        <w:rPr>
          <w:b/>
          <w:bCs/>
          <w:color w:val="000000"/>
        </w:rPr>
        <w:t>Estimated national R&amp;D expenditure (% of GDP)</w:t>
      </w:r>
      <w:r w:rsidRPr="007E4856">
        <w:t xml:space="preserve">: </w:t>
      </w:r>
      <w:r w:rsidR="00CF3977" w:rsidRPr="007E4856">
        <w:t xml:space="preserve"> </w:t>
      </w:r>
      <w:r w:rsidRPr="007E4856">
        <w:t>2.1% by 2015</w:t>
      </w:r>
    </w:p>
    <w:p w:rsidR="00C80A7A" w:rsidRDefault="00C80A7A" w:rsidP="00C80A7A">
      <w:pPr>
        <w:pStyle w:val="SectionHeading"/>
      </w:pPr>
      <w:r>
        <w:t>6 – Profile of Patent Applications</w:t>
      </w:r>
    </w:p>
    <w:p w:rsidR="00C80A7A" w:rsidRDefault="00C80A7A" w:rsidP="00C80A7A">
      <w:pPr>
        <w:rPr>
          <w:b/>
          <w:bCs/>
          <w:color w:val="000000"/>
        </w:rPr>
      </w:pPr>
      <w:r>
        <w:rPr>
          <w:b/>
          <w:bCs/>
          <w:color w:val="000000"/>
        </w:rPr>
        <w:t>Number of national applications received – by technical field</w:t>
      </w:r>
    </w:p>
    <w:p w:rsidR="00C80A7A" w:rsidRDefault="00C80A7A" w:rsidP="00C80A7A">
      <w:pPr>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18"/>
        <w:gridCol w:w="1360"/>
        <w:gridCol w:w="1361"/>
        <w:gridCol w:w="1361"/>
        <w:gridCol w:w="1361"/>
        <w:gridCol w:w="1361"/>
      </w:tblGrid>
      <w:tr w:rsidR="00C80A7A" w:rsidTr="00BB192E">
        <w:trPr>
          <w:cantSplit/>
        </w:trPr>
        <w:tc>
          <w:tcPr>
            <w:tcW w:w="2518" w:type="dxa"/>
            <w:tcBorders>
              <w:top w:val="single" w:sz="4" w:space="0" w:color="auto"/>
              <w:left w:val="single" w:sz="4" w:space="0" w:color="auto"/>
              <w:bottom w:val="single" w:sz="4" w:space="0" w:color="auto"/>
              <w:right w:val="single" w:sz="4" w:space="0" w:color="auto"/>
              <w:tl2br w:val="single" w:sz="4" w:space="0" w:color="auto"/>
            </w:tcBorders>
          </w:tcPr>
          <w:p w:rsidR="00C80A7A" w:rsidRDefault="00C80A7A" w:rsidP="00CF3977">
            <w:pPr>
              <w:keepNext/>
              <w:jc w:val="right"/>
              <w:rPr>
                <w:b/>
                <w:bCs/>
                <w:color w:val="000000"/>
                <w:lang w:eastAsia="en-US"/>
              </w:rPr>
            </w:pPr>
          </w:p>
          <w:p w:rsidR="00C80A7A" w:rsidRDefault="00C80A7A" w:rsidP="00CF3977">
            <w:pPr>
              <w:keepNext/>
              <w:jc w:val="right"/>
              <w:rPr>
                <w:b/>
                <w:bCs/>
                <w:color w:val="000000"/>
                <w:lang w:eastAsia="en-US"/>
              </w:rPr>
            </w:pPr>
            <w:r>
              <w:rPr>
                <w:b/>
                <w:bCs/>
                <w:color w:val="000000"/>
                <w:lang w:eastAsia="en-US"/>
              </w:rPr>
              <w:t>Year</w:t>
            </w:r>
          </w:p>
          <w:p w:rsidR="00C80A7A" w:rsidRDefault="00C80A7A" w:rsidP="00CF3977">
            <w:pPr>
              <w:keepNext/>
              <w:suppressAutoHyphens/>
              <w:rPr>
                <w:b/>
                <w:bCs/>
                <w:color w:val="000000"/>
                <w:lang w:eastAsia="en-US"/>
              </w:rPr>
            </w:pPr>
            <w:r>
              <w:rPr>
                <w:b/>
                <w:bCs/>
                <w:color w:val="000000"/>
                <w:lang w:eastAsia="en-US"/>
              </w:rPr>
              <w:t>Technical Field</w:t>
            </w:r>
          </w:p>
        </w:tc>
        <w:tc>
          <w:tcPr>
            <w:tcW w:w="1360" w:type="dxa"/>
            <w:tcBorders>
              <w:top w:val="single" w:sz="4" w:space="0" w:color="auto"/>
              <w:left w:val="single" w:sz="4" w:space="0" w:color="auto"/>
              <w:bottom w:val="single" w:sz="4" w:space="0" w:color="auto"/>
              <w:right w:val="single" w:sz="4" w:space="0" w:color="auto"/>
            </w:tcBorders>
            <w:vAlign w:val="center"/>
          </w:tcPr>
          <w:p w:rsidR="00C80A7A" w:rsidRDefault="00CF3977" w:rsidP="00CF3977">
            <w:pPr>
              <w:keepNext/>
              <w:suppressAutoHyphens/>
              <w:jc w:val="center"/>
              <w:rPr>
                <w:color w:val="000000"/>
                <w:lang w:eastAsia="en-US"/>
              </w:rPr>
            </w:pPr>
            <w:r>
              <w:rPr>
                <w:color w:val="000000"/>
                <w:lang w:eastAsia="en-US"/>
              </w:rPr>
              <w:t>2012</w:t>
            </w:r>
          </w:p>
        </w:tc>
        <w:tc>
          <w:tcPr>
            <w:tcW w:w="1361" w:type="dxa"/>
            <w:tcBorders>
              <w:top w:val="single" w:sz="4" w:space="0" w:color="auto"/>
              <w:left w:val="single" w:sz="4" w:space="0" w:color="auto"/>
              <w:bottom w:val="single" w:sz="4" w:space="0" w:color="auto"/>
              <w:right w:val="single" w:sz="4" w:space="0" w:color="auto"/>
            </w:tcBorders>
            <w:vAlign w:val="center"/>
          </w:tcPr>
          <w:p w:rsidR="00C80A7A" w:rsidRDefault="00CF3977" w:rsidP="00CF3977">
            <w:pPr>
              <w:keepNext/>
              <w:suppressAutoHyphens/>
              <w:jc w:val="center"/>
              <w:rPr>
                <w:color w:val="000000"/>
                <w:lang w:eastAsia="en-US"/>
              </w:rPr>
            </w:pPr>
            <w:r>
              <w:rPr>
                <w:color w:val="000000"/>
                <w:lang w:eastAsia="en-US"/>
              </w:rPr>
              <w:t>2013</w:t>
            </w:r>
          </w:p>
        </w:tc>
        <w:tc>
          <w:tcPr>
            <w:tcW w:w="1361" w:type="dxa"/>
            <w:tcBorders>
              <w:top w:val="single" w:sz="4" w:space="0" w:color="auto"/>
              <w:left w:val="single" w:sz="4" w:space="0" w:color="auto"/>
              <w:bottom w:val="single" w:sz="4" w:space="0" w:color="auto"/>
              <w:right w:val="single" w:sz="4" w:space="0" w:color="auto"/>
            </w:tcBorders>
            <w:vAlign w:val="center"/>
          </w:tcPr>
          <w:p w:rsidR="00C80A7A" w:rsidRDefault="00CF3977" w:rsidP="00CF3977">
            <w:pPr>
              <w:keepNext/>
              <w:suppressAutoHyphens/>
              <w:jc w:val="center"/>
              <w:rPr>
                <w:color w:val="000000"/>
                <w:lang w:eastAsia="en-US"/>
              </w:rPr>
            </w:pPr>
            <w:r>
              <w:rPr>
                <w:color w:val="000000"/>
                <w:lang w:eastAsia="en-US"/>
              </w:rPr>
              <w:t>2014</w:t>
            </w:r>
          </w:p>
        </w:tc>
        <w:tc>
          <w:tcPr>
            <w:tcW w:w="1361" w:type="dxa"/>
            <w:tcBorders>
              <w:top w:val="single" w:sz="4" w:space="0" w:color="auto"/>
              <w:left w:val="single" w:sz="4" w:space="0" w:color="auto"/>
              <w:bottom w:val="single" w:sz="4" w:space="0" w:color="auto"/>
              <w:right w:val="single" w:sz="4" w:space="0" w:color="auto"/>
            </w:tcBorders>
            <w:vAlign w:val="center"/>
          </w:tcPr>
          <w:p w:rsidR="00C80A7A" w:rsidRDefault="00CF3977" w:rsidP="00CF3977">
            <w:pPr>
              <w:keepNext/>
              <w:suppressAutoHyphens/>
              <w:jc w:val="center"/>
              <w:rPr>
                <w:color w:val="000000"/>
                <w:lang w:eastAsia="en-US"/>
              </w:rPr>
            </w:pPr>
            <w:r>
              <w:rPr>
                <w:color w:val="000000"/>
                <w:lang w:eastAsia="en-US"/>
              </w:rPr>
              <w:t>2015</w:t>
            </w:r>
          </w:p>
        </w:tc>
        <w:tc>
          <w:tcPr>
            <w:tcW w:w="1361" w:type="dxa"/>
            <w:tcBorders>
              <w:top w:val="single" w:sz="4" w:space="0" w:color="auto"/>
              <w:left w:val="single" w:sz="4" w:space="0" w:color="auto"/>
              <w:bottom w:val="single" w:sz="4" w:space="0" w:color="auto"/>
              <w:right w:val="single" w:sz="4" w:space="0" w:color="auto"/>
            </w:tcBorders>
            <w:vAlign w:val="center"/>
          </w:tcPr>
          <w:p w:rsidR="00C80A7A" w:rsidRDefault="00CF3977" w:rsidP="00CF3977">
            <w:pPr>
              <w:keepNext/>
              <w:suppressAutoHyphens/>
              <w:jc w:val="center"/>
              <w:rPr>
                <w:color w:val="000000"/>
                <w:lang w:eastAsia="en-US"/>
              </w:rPr>
            </w:pPr>
            <w:r>
              <w:rPr>
                <w:color w:val="000000"/>
                <w:lang w:eastAsia="en-US"/>
              </w:rPr>
              <w:t>2016</w:t>
            </w:r>
          </w:p>
        </w:tc>
      </w:tr>
      <w:tr w:rsidR="00C80A7A" w:rsidTr="00BB192E">
        <w:trPr>
          <w:cantSplit/>
        </w:trPr>
        <w:tc>
          <w:tcPr>
            <w:tcW w:w="2518" w:type="dxa"/>
            <w:tcBorders>
              <w:top w:val="single" w:sz="4" w:space="0" w:color="auto"/>
              <w:left w:val="single" w:sz="4" w:space="0" w:color="auto"/>
              <w:bottom w:val="single" w:sz="4" w:space="0" w:color="auto"/>
              <w:right w:val="single" w:sz="4" w:space="0" w:color="auto"/>
            </w:tcBorders>
          </w:tcPr>
          <w:p w:rsidR="00C80A7A" w:rsidRDefault="00C80A7A" w:rsidP="00CF3977">
            <w:pPr>
              <w:keepNext/>
              <w:suppressAutoHyphens/>
              <w:rPr>
                <w:color w:val="000000"/>
                <w:lang w:eastAsia="en-US"/>
              </w:rPr>
            </w:pPr>
            <w:r>
              <w:rPr>
                <w:color w:val="000000"/>
                <w:lang w:eastAsia="en-US"/>
              </w:rPr>
              <w:t>Mechanical</w:t>
            </w:r>
          </w:p>
        </w:tc>
        <w:tc>
          <w:tcPr>
            <w:tcW w:w="1360" w:type="dxa"/>
            <w:tcBorders>
              <w:top w:val="single" w:sz="4" w:space="0" w:color="auto"/>
              <w:left w:val="single" w:sz="4" w:space="0" w:color="auto"/>
              <w:bottom w:val="single" w:sz="4" w:space="0" w:color="auto"/>
              <w:right w:val="single" w:sz="4" w:space="0" w:color="auto"/>
            </w:tcBorders>
          </w:tcPr>
          <w:p w:rsidR="00C80A7A" w:rsidRPr="007E4856" w:rsidRDefault="00C80A7A" w:rsidP="00CF3977">
            <w:pPr>
              <w:keepNext/>
              <w:suppressAutoHyphens/>
              <w:rPr>
                <w:color w:val="000000"/>
                <w:lang w:eastAsia="en-US"/>
              </w:rPr>
            </w:pPr>
          </w:p>
        </w:tc>
        <w:tc>
          <w:tcPr>
            <w:tcW w:w="1361" w:type="dxa"/>
            <w:tcBorders>
              <w:top w:val="single" w:sz="4" w:space="0" w:color="auto"/>
              <w:left w:val="single" w:sz="4" w:space="0" w:color="auto"/>
              <w:bottom w:val="single" w:sz="4" w:space="0" w:color="auto"/>
              <w:right w:val="single" w:sz="4" w:space="0" w:color="auto"/>
            </w:tcBorders>
          </w:tcPr>
          <w:p w:rsidR="00C80A7A" w:rsidRPr="007E4856" w:rsidRDefault="00C80A7A" w:rsidP="00CF3977">
            <w:pPr>
              <w:keepNext/>
              <w:suppressAutoHyphens/>
              <w:rPr>
                <w:color w:val="000000"/>
                <w:lang w:eastAsia="en-US"/>
              </w:rPr>
            </w:pPr>
          </w:p>
        </w:tc>
        <w:tc>
          <w:tcPr>
            <w:tcW w:w="1361" w:type="dxa"/>
            <w:tcBorders>
              <w:top w:val="single" w:sz="4" w:space="0" w:color="auto"/>
              <w:left w:val="single" w:sz="4" w:space="0" w:color="auto"/>
              <w:bottom w:val="single" w:sz="4" w:space="0" w:color="auto"/>
              <w:right w:val="single" w:sz="4" w:space="0" w:color="auto"/>
            </w:tcBorders>
          </w:tcPr>
          <w:p w:rsidR="00C80A7A" w:rsidRPr="007E4856" w:rsidRDefault="00C80A7A" w:rsidP="00CF3977">
            <w:pPr>
              <w:keepNext/>
              <w:suppressAutoHyphens/>
              <w:rPr>
                <w:color w:val="000000"/>
                <w:lang w:eastAsia="en-US"/>
              </w:rPr>
            </w:pPr>
          </w:p>
        </w:tc>
        <w:tc>
          <w:tcPr>
            <w:tcW w:w="1361" w:type="dxa"/>
            <w:tcBorders>
              <w:top w:val="single" w:sz="4" w:space="0" w:color="auto"/>
              <w:left w:val="single" w:sz="4" w:space="0" w:color="auto"/>
              <w:bottom w:val="single" w:sz="4" w:space="0" w:color="auto"/>
              <w:right w:val="single" w:sz="4" w:space="0" w:color="auto"/>
            </w:tcBorders>
          </w:tcPr>
          <w:p w:rsidR="00C80A7A" w:rsidRPr="007E4856" w:rsidRDefault="00C80A7A" w:rsidP="00CF3977">
            <w:pPr>
              <w:keepNext/>
              <w:suppressAutoHyphens/>
              <w:rPr>
                <w:color w:val="000000"/>
                <w:lang w:eastAsia="en-US"/>
              </w:rPr>
            </w:pPr>
          </w:p>
        </w:tc>
        <w:tc>
          <w:tcPr>
            <w:tcW w:w="1361" w:type="dxa"/>
            <w:tcBorders>
              <w:top w:val="single" w:sz="4" w:space="0" w:color="auto"/>
              <w:left w:val="single" w:sz="4" w:space="0" w:color="auto"/>
              <w:bottom w:val="single" w:sz="4" w:space="0" w:color="auto"/>
              <w:right w:val="single" w:sz="4" w:space="0" w:color="auto"/>
            </w:tcBorders>
          </w:tcPr>
          <w:p w:rsidR="00C80A7A" w:rsidRPr="007E4856" w:rsidRDefault="00C80A7A" w:rsidP="00CF3977">
            <w:pPr>
              <w:keepNext/>
              <w:suppressAutoHyphens/>
              <w:rPr>
                <w:color w:val="000000"/>
                <w:lang w:eastAsia="en-US"/>
              </w:rPr>
            </w:pPr>
          </w:p>
        </w:tc>
      </w:tr>
      <w:tr w:rsidR="00C80A7A" w:rsidTr="00BB192E">
        <w:trPr>
          <w:cantSplit/>
        </w:trPr>
        <w:tc>
          <w:tcPr>
            <w:tcW w:w="2518" w:type="dxa"/>
            <w:tcBorders>
              <w:top w:val="single" w:sz="4" w:space="0" w:color="auto"/>
              <w:left w:val="single" w:sz="4" w:space="0" w:color="auto"/>
              <w:bottom w:val="single" w:sz="4" w:space="0" w:color="auto"/>
              <w:right w:val="single" w:sz="4" w:space="0" w:color="auto"/>
            </w:tcBorders>
          </w:tcPr>
          <w:p w:rsidR="00C80A7A" w:rsidRDefault="00C80A7A" w:rsidP="00CF3977">
            <w:pPr>
              <w:keepNext/>
              <w:suppressAutoHyphens/>
              <w:rPr>
                <w:color w:val="000000"/>
                <w:lang w:eastAsia="en-US"/>
              </w:rPr>
            </w:pPr>
            <w:r>
              <w:rPr>
                <w:color w:val="000000"/>
                <w:lang w:eastAsia="en-US"/>
              </w:rPr>
              <w:t>Electrical/electronic</w:t>
            </w:r>
          </w:p>
        </w:tc>
        <w:tc>
          <w:tcPr>
            <w:tcW w:w="1360" w:type="dxa"/>
            <w:tcBorders>
              <w:top w:val="single" w:sz="4" w:space="0" w:color="auto"/>
              <w:left w:val="single" w:sz="4" w:space="0" w:color="auto"/>
              <w:bottom w:val="single" w:sz="4" w:space="0" w:color="auto"/>
              <w:right w:val="single" w:sz="4" w:space="0" w:color="auto"/>
            </w:tcBorders>
          </w:tcPr>
          <w:p w:rsidR="00C80A7A" w:rsidRPr="007E4856" w:rsidRDefault="00C80A7A" w:rsidP="00CF3977">
            <w:pPr>
              <w:keepNext/>
              <w:suppressAutoHyphens/>
              <w:rPr>
                <w:color w:val="000000"/>
                <w:lang w:eastAsia="en-US"/>
              </w:rPr>
            </w:pPr>
          </w:p>
        </w:tc>
        <w:tc>
          <w:tcPr>
            <w:tcW w:w="1361" w:type="dxa"/>
            <w:tcBorders>
              <w:top w:val="single" w:sz="4" w:space="0" w:color="auto"/>
              <w:left w:val="single" w:sz="4" w:space="0" w:color="auto"/>
              <w:bottom w:val="single" w:sz="4" w:space="0" w:color="auto"/>
              <w:right w:val="single" w:sz="4" w:space="0" w:color="auto"/>
            </w:tcBorders>
          </w:tcPr>
          <w:p w:rsidR="00C80A7A" w:rsidRPr="007E4856" w:rsidRDefault="00C80A7A" w:rsidP="00CF3977">
            <w:pPr>
              <w:keepNext/>
              <w:suppressAutoHyphens/>
              <w:rPr>
                <w:color w:val="000000"/>
                <w:lang w:eastAsia="en-US"/>
              </w:rPr>
            </w:pPr>
          </w:p>
        </w:tc>
        <w:tc>
          <w:tcPr>
            <w:tcW w:w="1361" w:type="dxa"/>
            <w:tcBorders>
              <w:top w:val="single" w:sz="4" w:space="0" w:color="auto"/>
              <w:left w:val="single" w:sz="4" w:space="0" w:color="auto"/>
              <w:bottom w:val="single" w:sz="4" w:space="0" w:color="auto"/>
              <w:right w:val="single" w:sz="4" w:space="0" w:color="auto"/>
            </w:tcBorders>
          </w:tcPr>
          <w:p w:rsidR="00C80A7A" w:rsidRPr="007E4856" w:rsidRDefault="00C80A7A" w:rsidP="00CF3977">
            <w:pPr>
              <w:keepNext/>
              <w:suppressAutoHyphens/>
              <w:rPr>
                <w:color w:val="000000"/>
                <w:lang w:eastAsia="en-US"/>
              </w:rPr>
            </w:pPr>
          </w:p>
        </w:tc>
        <w:tc>
          <w:tcPr>
            <w:tcW w:w="1361" w:type="dxa"/>
            <w:tcBorders>
              <w:top w:val="single" w:sz="4" w:space="0" w:color="auto"/>
              <w:left w:val="single" w:sz="4" w:space="0" w:color="auto"/>
              <w:bottom w:val="single" w:sz="4" w:space="0" w:color="auto"/>
              <w:right w:val="single" w:sz="4" w:space="0" w:color="auto"/>
            </w:tcBorders>
          </w:tcPr>
          <w:p w:rsidR="00C80A7A" w:rsidRPr="007E4856" w:rsidRDefault="00C80A7A" w:rsidP="00CF3977">
            <w:pPr>
              <w:keepNext/>
              <w:suppressAutoHyphens/>
              <w:rPr>
                <w:color w:val="000000"/>
                <w:lang w:eastAsia="en-US"/>
              </w:rPr>
            </w:pPr>
          </w:p>
        </w:tc>
        <w:tc>
          <w:tcPr>
            <w:tcW w:w="1361" w:type="dxa"/>
            <w:tcBorders>
              <w:top w:val="single" w:sz="4" w:space="0" w:color="auto"/>
              <w:left w:val="single" w:sz="4" w:space="0" w:color="auto"/>
              <w:bottom w:val="single" w:sz="4" w:space="0" w:color="auto"/>
              <w:right w:val="single" w:sz="4" w:space="0" w:color="auto"/>
            </w:tcBorders>
          </w:tcPr>
          <w:p w:rsidR="00C80A7A" w:rsidRPr="007E4856" w:rsidRDefault="00C80A7A" w:rsidP="00CF3977">
            <w:pPr>
              <w:keepNext/>
              <w:suppressAutoHyphens/>
              <w:rPr>
                <w:color w:val="000000"/>
                <w:lang w:eastAsia="en-US"/>
              </w:rPr>
            </w:pPr>
          </w:p>
        </w:tc>
      </w:tr>
      <w:tr w:rsidR="00C80A7A" w:rsidTr="00BB192E">
        <w:trPr>
          <w:cantSplit/>
        </w:trPr>
        <w:tc>
          <w:tcPr>
            <w:tcW w:w="2518" w:type="dxa"/>
            <w:tcBorders>
              <w:top w:val="single" w:sz="4" w:space="0" w:color="auto"/>
              <w:left w:val="single" w:sz="4" w:space="0" w:color="auto"/>
              <w:bottom w:val="single" w:sz="4" w:space="0" w:color="auto"/>
              <w:right w:val="single" w:sz="4" w:space="0" w:color="auto"/>
            </w:tcBorders>
          </w:tcPr>
          <w:p w:rsidR="00C80A7A" w:rsidRDefault="00C80A7A" w:rsidP="00CF3977">
            <w:pPr>
              <w:keepNext/>
              <w:suppressAutoHyphens/>
              <w:rPr>
                <w:color w:val="000000"/>
                <w:lang w:eastAsia="en-US"/>
              </w:rPr>
            </w:pPr>
            <w:r>
              <w:rPr>
                <w:color w:val="000000"/>
                <w:lang w:eastAsia="en-US"/>
              </w:rPr>
              <w:t>Chemistry</w:t>
            </w:r>
          </w:p>
        </w:tc>
        <w:tc>
          <w:tcPr>
            <w:tcW w:w="1360" w:type="dxa"/>
            <w:tcBorders>
              <w:top w:val="single" w:sz="4" w:space="0" w:color="auto"/>
              <w:left w:val="single" w:sz="4" w:space="0" w:color="auto"/>
              <w:bottom w:val="single" w:sz="4" w:space="0" w:color="auto"/>
              <w:right w:val="single" w:sz="4" w:space="0" w:color="auto"/>
            </w:tcBorders>
          </w:tcPr>
          <w:p w:rsidR="00C80A7A" w:rsidRPr="007E4856" w:rsidRDefault="00C80A7A" w:rsidP="00CF3977">
            <w:pPr>
              <w:keepNext/>
              <w:suppressAutoHyphens/>
              <w:rPr>
                <w:color w:val="000000"/>
                <w:lang w:eastAsia="en-US"/>
              </w:rPr>
            </w:pPr>
          </w:p>
        </w:tc>
        <w:tc>
          <w:tcPr>
            <w:tcW w:w="1361" w:type="dxa"/>
            <w:tcBorders>
              <w:top w:val="single" w:sz="4" w:space="0" w:color="auto"/>
              <w:left w:val="single" w:sz="4" w:space="0" w:color="auto"/>
              <w:bottom w:val="single" w:sz="4" w:space="0" w:color="auto"/>
              <w:right w:val="single" w:sz="4" w:space="0" w:color="auto"/>
            </w:tcBorders>
          </w:tcPr>
          <w:p w:rsidR="00C80A7A" w:rsidRPr="007E4856" w:rsidRDefault="00C80A7A" w:rsidP="00CF3977">
            <w:pPr>
              <w:keepNext/>
              <w:suppressAutoHyphens/>
              <w:rPr>
                <w:color w:val="000000"/>
                <w:lang w:eastAsia="en-US"/>
              </w:rPr>
            </w:pPr>
          </w:p>
        </w:tc>
        <w:tc>
          <w:tcPr>
            <w:tcW w:w="1361" w:type="dxa"/>
            <w:tcBorders>
              <w:top w:val="single" w:sz="4" w:space="0" w:color="auto"/>
              <w:left w:val="single" w:sz="4" w:space="0" w:color="auto"/>
              <w:bottom w:val="single" w:sz="4" w:space="0" w:color="auto"/>
              <w:right w:val="single" w:sz="4" w:space="0" w:color="auto"/>
            </w:tcBorders>
          </w:tcPr>
          <w:p w:rsidR="00C80A7A" w:rsidRPr="007E4856" w:rsidRDefault="00C80A7A" w:rsidP="00CF3977">
            <w:pPr>
              <w:keepNext/>
              <w:suppressAutoHyphens/>
              <w:rPr>
                <w:color w:val="000000"/>
                <w:lang w:eastAsia="en-US"/>
              </w:rPr>
            </w:pPr>
          </w:p>
        </w:tc>
        <w:tc>
          <w:tcPr>
            <w:tcW w:w="1361" w:type="dxa"/>
            <w:tcBorders>
              <w:top w:val="single" w:sz="4" w:space="0" w:color="auto"/>
              <w:left w:val="single" w:sz="4" w:space="0" w:color="auto"/>
              <w:bottom w:val="single" w:sz="4" w:space="0" w:color="auto"/>
              <w:right w:val="single" w:sz="4" w:space="0" w:color="auto"/>
            </w:tcBorders>
          </w:tcPr>
          <w:p w:rsidR="00C80A7A" w:rsidRPr="007E4856" w:rsidRDefault="00C80A7A" w:rsidP="00CF3977">
            <w:pPr>
              <w:keepNext/>
              <w:suppressAutoHyphens/>
              <w:rPr>
                <w:color w:val="000000"/>
                <w:lang w:eastAsia="en-US"/>
              </w:rPr>
            </w:pPr>
          </w:p>
        </w:tc>
        <w:tc>
          <w:tcPr>
            <w:tcW w:w="1361" w:type="dxa"/>
            <w:tcBorders>
              <w:top w:val="single" w:sz="4" w:space="0" w:color="auto"/>
              <w:left w:val="single" w:sz="4" w:space="0" w:color="auto"/>
              <w:bottom w:val="single" w:sz="4" w:space="0" w:color="auto"/>
              <w:right w:val="single" w:sz="4" w:space="0" w:color="auto"/>
            </w:tcBorders>
          </w:tcPr>
          <w:p w:rsidR="00C80A7A" w:rsidRPr="007E4856" w:rsidRDefault="00C80A7A" w:rsidP="00CF3977">
            <w:pPr>
              <w:keepNext/>
              <w:suppressAutoHyphens/>
              <w:rPr>
                <w:color w:val="000000"/>
                <w:lang w:eastAsia="en-US"/>
              </w:rPr>
            </w:pPr>
          </w:p>
        </w:tc>
      </w:tr>
      <w:tr w:rsidR="00C80A7A" w:rsidTr="00BB192E">
        <w:trPr>
          <w:cantSplit/>
        </w:trPr>
        <w:tc>
          <w:tcPr>
            <w:tcW w:w="2518" w:type="dxa"/>
            <w:tcBorders>
              <w:top w:val="single" w:sz="4" w:space="0" w:color="auto"/>
              <w:left w:val="single" w:sz="4" w:space="0" w:color="auto"/>
              <w:bottom w:val="single" w:sz="4" w:space="0" w:color="auto"/>
              <w:right w:val="single" w:sz="4" w:space="0" w:color="auto"/>
            </w:tcBorders>
          </w:tcPr>
          <w:p w:rsidR="00C80A7A" w:rsidRDefault="00C80A7A" w:rsidP="00CF3977">
            <w:pPr>
              <w:keepNext/>
              <w:suppressAutoHyphens/>
              <w:rPr>
                <w:color w:val="000000"/>
                <w:lang w:eastAsia="en-US"/>
              </w:rPr>
            </w:pPr>
            <w:r>
              <w:rPr>
                <w:color w:val="000000"/>
                <w:lang w:eastAsia="en-US"/>
              </w:rPr>
              <w:t>Biotech</w:t>
            </w:r>
          </w:p>
        </w:tc>
        <w:tc>
          <w:tcPr>
            <w:tcW w:w="1360" w:type="dxa"/>
            <w:tcBorders>
              <w:top w:val="single" w:sz="4" w:space="0" w:color="auto"/>
              <w:left w:val="single" w:sz="4" w:space="0" w:color="auto"/>
              <w:bottom w:val="single" w:sz="4" w:space="0" w:color="auto"/>
              <w:right w:val="single" w:sz="4" w:space="0" w:color="auto"/>
            </w:tcBorders>
          </w:tcPr>
          <w:p w:rsidR="00C80A7A" w:rsidRPr="007E4856" w:rsidRDefault="00C80A7A" w:rsidP="00CF3977">
            <w:pPr>
              <w:keepNext/>
              <w:suppressAutoHyphens/>
              <w:rPr>
                <w:color w:val="000000"/>
                <w:lang w:eastAsia="en-US"/>
              </w:rPr>
            </w:pPr>
          </w:p>
        </w:tc>
        <w:tc>
          <w:tcPr>
            <w:tcW w:w="1361" w:type="dxa"/>
            <w:tcBorders>
              <w:top w:val="single" w:sz="4" w:space="0" w:color="auto"/>
              <w:left w:val="single" w:sz="4" w:space="0" w:color="auto"/>
              <w:bottom w:val="single" w:sz="4" w:space="0" w:color="auto"/>
              <w:right w:val="single" w:sz="4" w:space="0" w:color="auto"/>
            </w:tcBorders>
          </w:tcPr>
          <w:p w:rsidR="00C80A7A" w:rsidRPr="007E4856" w:rsidRDefault="00C80A7A" w:rsidP="00CF3977">
            <w:pPr>
              <w:keepNext/>
              <w:suppressAutoHyphens/>
              <w:rPr>
                <w:color w:val="000000"/>
                <w:lang w:eastAsia="en-US"/>
              </w:rPr>
            </w:pPr>
          </w:p>
        </w:tc>
        <w:tc>
          <w:tcPr>
            <w:tcW w:w="1361" w:type="dxa"/>
            <w:tcBorders>
              <w:top w:val="single" w:sz="4" w:space="0" w:color="auto"/>
              <w:left w:val="single" w:sz="4" w:space="0" w:color="auto"/>
              <w:bottom w:val="single" w:sz="4" w:space="0" w:color="auto"/>
              <w:right w:val="single" w:sz="4" w:space="0" w:color="auto"/>
            </w:tcBorders>
          </w:tcPr>
          <w:p w:rsidR="00C80A7A" w:rsidRPr="007E4856" w:rsidRDefault="00C80A7A" w:rsidP="00CF3977">
            <w:pPr>
              <w:keepNext/>
              <w:suppressAutoHyphens/>
              <w:rPr>
                <w:color w:val="000000"/>
                <w:lang w:eastAsia="en-US"/>
              </w:rPr>
            </w:pPr>
          </w:p>
        </w:tc>
        <w:tc>
          <w:tcPr>
            <w:tcW w:w="1361" w:type="dxa"/>
            <w:tcBorders>
              <w:top w:val="single" w:sz="4" w:space="0" w:color="auto"/>
              <w:left w:val="single" w:sz="4" w:space="0" w:color="auto"/>
              <w:bottom w:val="single" w:sz="4" w:space="0" w:color="auto"/>
              <w:right w:val="single" w:sz="4" w:space="0" w:color="auto"/>
            </w:tcBorders>
          </w:tcPr>
          <w:p w:rsidR="00C80A7A" w:rsidRPr="007E4856" w:rsidRDefault="00C80A7A" w:rsidP="00CF3977">
            <w:pPr>
              <w:keepNext/>
              <w:suppressAutoHyphens/>
              <w:rPr>
                <w:color w:val="000000"/>
                <w:lang w:eastAsia="en-US"/>
              </w:rPr>
            </w:pPr>
          </w:p>
        </w:tc>
        <w:tc>
          <w:tcPr>
            <w:tcW w:w="1361" w:type="dxa"/>
            <w:tcBorders>
              <w:top w:val="single" w:sz="4" w:space="0" w:color="auto"/>
              <w:left w:val="single" w:sz="4" w:space="0" w:color="auto"/>
              <w:bottom w:val="single" w:sz="4" w:space="0" w:color="auto"/>
              <w:right w:val="single" w:sz="4" w:space="0" w:color="auto"/>
            </w:tcBorders>
          </w:tcPr>
          <w:p w:rsidR="00C80A7A" w:rsidRPr="007E4856" w:rsidRDefault="00C80A7A" w:rsidP="00CF3977">
            <w:pPr>
              <w:keepNext/>
              <w:suppressAutoHyphens/>
              <w:rPr>
                <w:color w:val="000000"/>
                <w:lang w:eastAsia="en-US"/>
              </w:rPr>
            </w:pPr>
          </w:p>
        </w:tc>
      </w:tr>
      <w:tr w:rsidR="00C80A7A" w:rsidTr="00BB192E">
        <w:trPr>
          <w:cantSplit/>
        </w:trPr>
        <w:tc>
          <w:tcPr>
            <w:tcW w:w="2518" w:type="dxa"/>
            <w:tcBorders>
              <w:top w:val="single" w:sz="4" w:space="0" w:color="auto"/>
              <w:left w:val="single" w:sz="4" w:space="0" w:color="auto"/>
              <w:bottom w:val="single" w:sz="4" w:space="0" w:color="auto"/>
              <w:right w:val="single" w:sz="4" w:space="0" w:color="auto"/>
            </w:tcBorders>
          </w:tcPr>
          <w:p w:rsidR="00C80A7A" w:rsidRDefault="00C80A7A" w:rsidP="00BB192E">
            <w:pPr>
              <w:suppressAutoHyphens/>
              <w:rPr>
                <w:i/>
                <w:iCs/>
                <w:color w:val="000000"/>
                <w:lang w:eastAsia="en-US"/>
              </w:rPr>
            </w:pPr>
            <w:r>
              <w:rPr>
                <w:i/>
                <w:iCs/>
                <w:color w:val="000000"/>
                <w:lang w:eastAsia="en-US"/>
              </w:rPr>
              <w:t>Total</w:t>
            </w:r>
          </w:p>
        </w:tc>
        <w:tc>
          <w:tcPr>
            <w:tcW w:w="1360" w:type="dxa"/>
            <w:tcBorders>
              <w:top w:val="single" w:sz="4" w:space="0" w:color="auto"/>
              <w:left w:val="single" w:sz="4" w:space="0" w:color="auto"/>
              <w:bottom w:val="single" w:sz="4" w:space="0" w:color="auto"/>
              <w:right w:val="single" w:sz="4" w:space="0" w:color="auto"/>
            </w:tcBorders>
          </w:tcPr>
          <w:p w:rsidR="00C80A7A" w:rsidRPr="007E4856" w:rsidRDefault="00C80A7A" w:rsidP="00CF3977">
            <w:pPr>
              <w:suppressAutoHyphens/>
              <w:jc w:val="right"/>
              <w:rPr>
                <w:color w:val="000000"/>
                <w:lang w:eastAsia="en-US"/>
              </w:rPr>
            </w:pPr>
            <w:r w:rsidRPr="007E4856">
              <w:rPr>
                <w:color w:val="000000"/>
                <w:lang w:eastAsia="en-US"/>
              </w:rPr>
              <w:t>652</w:t>
            </w:r>
            <w:r w:rsidR="00CF3977" w:rsidRPr="007E4856">
              <w:rPr>
                <w:color w:val="000000"/>
                <w:lang w:eastAsia="en-US"/>
              </w:rPr>
              <w:t>,</w:t>
            </w:r>
            <w:r w:rsidRPr="007E4856">
              <w:rPr>
                <w:color w:val="000000"/>
                <w:lang w:eastAsia="en-US"/>
              </w:rPr>
              <w:t>777</w:t>
            </w:r>
          </w:p>
        </w:tc>
        <w:tc>
          <w:tcPr>
            <w:tcW w:w="1361" w:type="dxa"/>
            <w:tcBorders>
              <w:top w:val="single" w:sz="4" w:space="0" w:color="auto"/>
              <w:left w:val="single" w:sz="4" w:space="0" w:color="auto"/>
              <w:bottom w:val="single" w:sz="4" w:space="0" w:color="auto"/>
              <w:right w:val="single" w:sz="4" w:space="0" w:color="auto"/>
            </w:tcBorders>
          </w:tcPr>
          <w:p w:rsidR="00C80A7A" w:rsidRPr="007E4856" w:rsidRDefault="00C80A7A" w:rsidP="00CF3977">
            <w:pPr>
              <w:suppressAutoHyphens/>
              <w:jc w:val="right"/>
              <w:rPr>
                <w:color w:val="000000"/>
                <w:lang w:eastAsia="en-US"/>
              </w:rPr>
            </w:pPr>
            <w:r w:rsidRPr="007E4856">
              <w:rPr>
                <w:color w:val="000000"/>
                <w:lang w:eastAsia="en-US"/>
              </w:rPr>
              <w:t>825</w:t>
            </w:r>
            <w:r w:rsidR="00CF3977" w:rsidRPr="007E4856">
              <w:rPr>
                <w:color w:val="000000"/>
                <w:lang w:eastAsia="en-US"/>
              </w:rPr>
              <w:t>,</w:t>
            </w:r>
            <w:r w:rsidRPr="007E4856">
              <w:rPr>
                <w:color w:val="000000"/>
                <w:lang w:eastAsia="en-US"/>
              </w:rPr>
              <w:t>136</w:t>
            </w:r>
          </w:p>
        </w:tc>
        <w:tc>
          <w:tcPr>
            <w:tcW w:w="1361" w:type="dxa"/>
            <w:tcBorders>
              <w:top w:val="single" w:sz="4" w:space="0" w:color="auto"/>
              <w:left w:val="single" w:sz="4" w:space="0" w:color="auto"/>
              <w:bottom w:val="single" w:sz="4" w:space="0" w:color="auto"/>
              <w:right w:val="single" w:sz="4" w:space="0" w:color="auto"/>
            </w:tcBorders>
          </w:tcPr>
          <w:p w:rsidR="00C80A7A" w:rsidRPr="007E4856" w:rsidRDefault="00C80A7A" w:rsidP="00CF3977">
            <w:pPr>
              <w:suppressAutoHyphens/>
              <w:jc w:val="right"/>
              <w:rPr>
                <w:color w:val="000000"/>
                <w:lang w:eastAsia="en-US"/>
              </w:rPr>
            </w:pPr>
            <w:r w:rsidRPr="007E4856">
              <w:rPr>
                <w:color w:val="000000"/>
                <w:lang w:eastAsia="en-US"/>
              </w:rPr>
              <w:t>928</w:t>
            </w:r>
            <w:r w:rsidR="00CF3977" w:rsidRPr="007E4856">
              <w:rPr>
                <w:color w:val="000000"/>
                <w:lang w:eastAsia="en-US"/>
              </w:rPr>
              <w:t>,</w:t>
            </w:r>
            <w:r w:rsidRPr="007E4856">
              <w:rPr>
                <w:color w:val="000000"/>
                <w:lang w:eastAsia="en-US"/>
              </w:rPr>
              <w:t>177</w:t>
            </w:r>
          </w:p>
        </w:tc>
        <w:tc>
          <w:tcPr>
            <w:tcW w:w="1361" w:type="dxa"/>
            <w:tcBorders>
              <w:top w:val="single" w:sz="4" w:space="0" w:color="auto"/>
              <w:left w:val="single" w:sz="4" w:space="0" w:color="auto"/>
              <w:bottom w:val="single" w:sz="4" w:space="0" w:color="auto"/>
              <w:right w:val="single" w:sz="4" w:space="0" w:color="auto"/>
            </w:tcBorders>
          </w:tcPr>
          <w:p w:rsidR="00C80A7A" w:rsidRPr="007E4856" w:rsidRDefault="00C80A7A" w:rsidP="00CF3977">
            <w:pPr>
              <w:suppressAutoHyphens/>
              <w:jc w:val="right"/>
              <w:rPr>
                <w:color w:val="000000"/>
                <w:lang w:eastAsia="en-US"/>
              </w:rPr>
            </w:pPr>
            <w:r w:rsidRPr="007E4856">
              <w:rPr>
                <w:color w:val="000000"/>
                <w:lang w:eastAsia="en-US"/>
              </w:rPr>
              <w:t>1</w:t>
            </w:r>
            <w:r w:rsidR="00CF3977" w:rsidRPr="007E4856">
              <w:rPr>
                <w:color w:val="000000"/>
                <w:lang w:eastAsia="en-US"/>
              </w:rPr>
              <w:t>,</w:t>
            </w:r>
            <w:r w:rsidRPr="007E4856">
              <w:rPr>
                <w:color w:val="000000"/>
                <w:lang w:eastAsia="en-US"/>
              </w:rPr>
              <w:t>101</w:t>
            </w:r>
            <w:r w:rsidR="00CF3977" w:rsidRPr="007E4856">
              <w:rPr>
                <w:color w:val="000000"/>
                <w:lang w:eastAsia="en-US"/>
              </w:rPr>
              <w:t>,</w:t>
            </w:r>
            <w:r w:rsidRPr="007E4856">
              <w:rPr>
                <w:color w:val="000000"/>
                <w:lang w:eastAsia="en-US"/>
              </w:rPr>
              <w:t>864</w:t>
            </w:r>
          </w:p>
        </w:tc>
        <w:tc>
          <w:tcPr>
            <w:tcW w:w="1361" w:type="dxa"/>
            <w:tcBorders>
              <w:top w:val="single" w:sz="4" w:space="0" w:color="auto"/>
              <w:left w:val="single" w:sz="4" w:space="0" w:color="auto"/>
              <w:bottom w:val="single" w:sz="4" w:space="0" w:color="auto"/>
              <w:right w:val="single" w:sz="4" w:space="0" w:color="auto"/>
            </w:tcBorders>
          </w:tcPr>
          <w:p w:rsidR="00C80A7A" w:rsidRPr="007E4856" w:rsidRDefault="00C80A7A" w:rsidP="00CF3977">
            <w:pPr>
              <w:suppressAutoHyphens/>
              <w:jc w:val="right"/>
              <w:rPr>
                <w:color w:val="000000"/>
                <w:lang w:eastAsia="en-US"/>
              </w:rPr>
            </w:pPr>
            <w:r w:rsidRPr="007E4856">
              <w:rPr>
                <w:color w:val="000000"/>
              </w:rPr>
              <w:t>1</w:t>
            </w:r>
            <w:r w:rsidR="00CF3977" w:rsidRPr="007E4856">
              <w:rPr>
                <w:color w:val="000000"/>
              </w:rPr>
              <w:t>,</w:t>
            </w:r>
            <w:r w:rsidRPr="007E4856">
              <w:rPr>
                <w:color w:val="000000"/>
              </w:rPr>
              <w:t>338</w:t>
            </w:r>
            <w:r w:rsidR="00CF3977" w:rsidRPr="007E4856">
              <w:rPr>
                <w:color w:val="000000"/>
              </w:rPr>
              <w:t>,</w:t>
            </w:r>
            <w:r w:rsidRPr="007E4856">
              <w:rPr>
                <w:color w:val="000000"/>
              </w:rPr>
              <w:t>503</w:t>
            </w:r>
          </w:p>
        </w:tc>
      </w:tr>
    </w:tbl>
    <w:p w:rsidR="00C80A7A" w:rsidRDefault="00C80A7A" w:rsidP="00C80A7A">
      <w:pPr>
        <w:rPr>
          <w:color w:val="000000"/>
        </w:rPr>
      </w:pPr>
    </w:p>
    <w:p w:rsidR="00C80A7A" w:rsidRDefault="00C80A7A" w:rsidP="00C80A7A">
      <w:pPr>
        <w:rPr>
          <w:b/>
          <w:bCs/>
          <w:color w:val="000000"/>
        </w:rPr>
      </w:pPr>
      <w:r>
        <w:rPr>
          <w:b/>
          <w:bCs/>
          <w:color w:val="000000"/>
        </w:rPr>
        <w:t>Number of national applications received – by route</w:t>
      </w:r>
    </w:p>
    <w:p w:rsidR="00C80A7A" w:rsidRDefault="00C80A7A" w:rsidP="00C80A7A">
      <w:pPr>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18"/>
        <w:gridCol w:w="1360"/>
        <w:gridCol w:w="1361"/>
        <w:gridCol w:w="1361"/>
        <w:gridCol w:w="1361"/>
        <w:gridCol w:w="1361"/>
      </w:tblGrid>
      <w:tr w:rsidR="00CF3977" w:rsidTr="00BB192E">
        <w:trPr>
          <w:cantSplit/>
        </w:trPr>
        <w:tc>
          <w:tcPr>
            <w:tcW w:w="2518" w:type="dxa"/>
            <w:tcBorders>
              <w:top w:val="single" w:sz="4" w:space="0" w:color="auto"/>
              <w:left w:val="single" w:sz="4" w:space="0" w:color="auto"/>
              <w:bottom w:val="single" w:sz="4" w:space="0" w:color="auto"/>
              <w:right w:val="single" w:sz="4" w:space="0" w:color="auto"/>
              <w:tl2br w:val="single" w:sz="4" w:space="0" w:color="auto"/>
            </w:tcBorders>
          </w:tcPr>
          <w:p w:rsidR="00CF3977" w:rsidRDefault="00CF3977" w:rsidP="00BB192E">
            <w:pPr>
              <w:jc w:val="right"/>
              <w:rPr>
                <w:b/>
                <w:bCs/>
                <w:color w:val="000000"/>
                <w:lang w:eastAsia="en-US"/>
              </w:rPr>
            </w:pPr>
          </w:p>
          <w:p w:rsidR="00CF3977" w:rsidRDefault="00CF3977" w:rsidP="00BB192E">
            <w:pPr>
              <w:jc w:val="right"/>
              <w:rPr>
                <w:b/>
                <w:bCs/>
                <w:color w:val="000000"/>
                <w:lang w:eastAsia="en-US"/>
              </w:rPr>
            </w:pPr>
            <w:r>
              <w:rPr>
                <w:b/>
                <w:bCs/>
                <w:color w:val="000000"/>
                <w:lang w:eastAsia="en-US"/>
              </w:rPr>
              <w:t>Year</w:t>
            </w:r>
          </w:p>
          <w:p w:rsidR="00CF3977" w:rsidRDefault="00CF3977" w:rsidP="00BB192E">
            <w:pPr>
              <w:suppressAutoHyphens/>
              <w:rPr>
                <w:b/>
                <w:bCs/>
                <w:color w:val="000000"/>
                <w:lang w:eastAsia="en-US"/>
              </w:rPr>
            </w:pPr>
            <w:r>
              <w:rPr>
                <w:b/>
                <w:bCs/>
                <w:color w:val="000000"/>
                <w:lang w:eastAsia="en-US"/>
              </w:rPr>
              <w:t>Route</w:t>
            </w:r>
          </w:p>
        </w:tc>
        <w:tc>
          <w:tcPr>
            <w:tcW w:w="1360" w:type="dxa"/>
            <w:tcBorders>
              <w:top w:val="single" w:sz="4" w:space="0" w:color="auto"/>
              <w:left w:val="single" w:sz="4" w:space="0" w:color="auto"/>
              <w:bottom w:val="single" w:sz="4" w:space="0" w:color="auto"/>
              <w:right w:val="single" w:sz="4" w:space="0" w:color="auto"/>
            </w:tcBorders>
            <w:vAlign w:val="center"/>
          </w:tcPr>
          <w:p w:rsidR="00CF3977" w:rsidRDefault="00CF3977" w:rsidP="00BB192E">
            <w:pPr>
              <w:keepNext/>
              <w:suppressAutoHyphens/>
              <w:jc w:val="center"/>
              <w:rPr>
                <w:color w:val="000000"/>
                <w:lang w:eastAsia="en-US"/>
              </w:rPr>
            </w:pPr>
            <w:r>
              <w:rPr>
                <w:color w:val="000000"/>
                <w:lang w:eastAsia="en-US"/>
              </w:rPr>
              <w:t>2012</w:t>
            </w:r>
          </w:p>
        </w:tc>
        <w:tc>
          <w:tcPr>
            <w:tcW w:w="1361" w:type="dxa"/>
            <w:tcBorders>
              <w:top w:val="single" w:sz="4" w:space="0" w:color="auto"/>
              <w:left w:val="single" w:sz="4" w:space="0" w:color="auto"/>
              <w:bottom w:val="single" w:sz="4" w:space="0" w:color="auto"/>
              <w:right w:val="single" w:sz="4" w:space="0" w:color="auto"/>
            </w:tcBorders>
            <w:vAlign w:val="center"/>
          </w:tcPr>
          <w:p w:rsidR="00CF3977" w:rsidRDefault="00CF3977" w:rsidP="00BB192E">
            <w:pPr>
              <w:keepNext/>
              <w:suppressAutoHyphens/>
              <w:jc w:val="center"/>
              <w:rPr>
                <w:color w:val="000000"/>
                <w:lang w:eastAsia="en-US"/>
              </w:rPr>
            </w:pPr>
            <w:r>
              <w:rPr>
                <w:color w:val="000000"/>
                <w:lang w:eastAsia="en-US"/>
              </w:rPr>
              <w:t>2013</w:t>
            </w:r>
          </w:p>
        </w:tc>
        <w:tc>
          <w:tcPr>
            <w:tcW w:w="1361" w:type="dxa"/>
            <w:tcBorders>
              <w:top w:val="single" w:sz="4" w:space="0" w:color="auto"/>
              <w:left w:val="single" w:sz="4" w:space="0" w:color="auto"/>
              <w:bottom w:val="single" w:sz="4" w:space="0" w:color="auto"/>
              <w:right w:val="single" w:sz="4" w:space="0" w:color="auto"/>
            </w:tcBorders>
            <w:vAlign w:val="center"/>
          </w:tcPr>
          <w:p w:rsidR="00CF3977" w:rsidRDefault="00CF3977" w:rsidP="00BB192E">
            <w:pPr>
              <w:keepNext/>
              <w:suppressAutoHyphens/>
              <w:jc w:val="center"/>
              <w:rPr>
                <w:color w:val="000000"/>
                <w:lang w:eastAsia="en-US"/>
              </w:rPr>
            </w:pPr>
            <w:r>
              <w:rPr>
                <w:color w:val="000000"/>
                <w:lang w:eastAsia="en-US"/>
              </w:rPr>
              <w:t>2014</w:t>
            </w:r>
          </w:p>
        </w:tc>
        <w:tc>
          <w:tcPr>
            <w:tcW w:w="1361" w:type="dxa"/>
            <w:tcBorders>
              <w:top w:val="single" w:sz="4" w:space="0" w:color="auto"/>
              <w:left w:val="single" w:sz="4" w:space="0" w:color="auto"/>
              <w:bottom w:val="single" w:sz="4" w:space="0" w:color="auto"/>
              <w:right w:val="single" w:sz="4" w:space="0" w:color="auto"/>
            </w:tcBorders>
            <w:vAlign w:val="center"/>
          </w:tcPr>
          <w:p w:rsidR="00CF3977" w:rsidRDefault="00CF3977" w:rsidP="00BB192E">
            <w:pPr>
              <w:keepNext/>
              <w:suppressAutoHyphens/>
              <w:jc w:val="center"/>
              <w:rPr>
                <w:color w:val="000000"/>
                <w:lang w:eastAsia="en-US"/>
              </w:rPr>
            </w:pPr>
            <w:r>
              <w:rPr>
                <w:color w:val="000000"/>
                <w:lang w:eastAsia="en-US"/>
              </w:rPr>
              <w:t>2015</w:t>
            </w:r>
          </w:p>
        </w:tc>
        <w:tc>
          <w:tcPr>
            <w:tcW w:w="1361" w:type="dxa"/>
            <w:tcBorders>
              <w:top w:val="single" w:sz="4" w:space="0" w:color="auto"/>
              <w:left w:val="single" w:sz="4" w:space="0" w:color="auto"/>
              <w:bottom w:val="single" w:sz="4" w:space="0" w:color="auto"/>
              <w:right w:val="single" w:sz="4" w:space="0" w:color="auto"/>
            </w:tcBorders>
            <w:vAlign w:val="center"/>
          </w:tcPr>
          <w:p w:rsidR="00CF3977" w:rsidRDefault="00CF3977" w:rsidP="00BB192E">
            <w:pPr>
              <w:keepNext/>
              <w:suppressAutoHyphens/>
              <w:jc w:val="center"/>
              <w:rPr>
                <w:color w:val="000000"/>
                <w:lang w:eastAsia="en-US"/>
              </w:rPr>
            </w:pPr>
            <w:r>
              <w:rPr>
                <w:color w:val="000000"/>
                <w:lang w:eastAsia="en-US"/>
              </w:rPr>
              <w:t>2016</w:t>
            </w:r>
          </w:p>
        </w:tc>
      </w:tr>
      <w:tr w:rsidR="00CF3977" w:rsidTr="00BB192E">
        <w:trPr>
          <w:cantSplit/>
        </w:trPr>
        <w:tc>
          <w:tcPr>
            <w:tcW w:w="2518" w:type="dxa"/>
            <w:tcBorders>
              <w:top w:val="single" w:sz="4" w:space="0" w:color="auto"/>
              <w:left w:val="single" w:sz="4" w:space="0" w:color="auto"/>
              <w:bottom w:val="single" w:sz="4" w:space="0" w:color="auto"/>
              <w:right w:val="single" w:sz="4" w:space="0" w:color="auto"/>
            </w:tcBorders>
          </w:tcPr>
          <w:p w:rsidR="00CF3977" w:rsidRDefault="00CF3977" w:rsidP="00BB192E">
            <w:pPr>
              <w:suppressAutoHyphens/>
              <w:rPr>
                <w:color w:val="000000"/>
                <w:lang w:eastAsia="en-US"/>
              </w:rPr>
            </w:pPr>
            <w:r>
              <w:rPr>
                <w:color w:val="000000"/>
                <w:lang w:eastAsia="en-US"/>
              </w:rPr>
              <w:t>National first filing/internal priority</w:t>
            </w:r>
          </w:p>
        </w:tc>
        <w:tc>
          <w:tcPr>
            <w:tcW w:w="1360" w:type="dxa"/>
            <w:tcBorders>
              <w:top w:val="single" w:sz="4" w:space="0" w:color="auto"/>
              <w:left w:val="single" w:sz="4" w:space="0" w:color="auto"/>
              <w:bottom w:val="single" w:sz="4" w:space="0" w:color="auto"/>
              <w:right w:val="single" w:sz="4" w:space="0" w:color="auto"/>
            </w:tcBorders>
          </w:tcPr>
          <w:p w:rsidR="00CF3977" w:rsidRPr="007E4856" w:rsidRDefault="00CF3977" w:rsidP="00BB192E">
            <w:pPr>
              <w:suppressAutoHyphens/>
              <w:rPr>
                <w:color w:val="000000"/>
                <w:lang w:eastAsia="en-US"/>
              </w:rPr>
            </w:pPr>
          </w:p>
        </w:tc>
        <w:tc>
          <w:tcPr>
            <w:tcW w:w="1361" w:type="dxa"/>
            <w:tcBorders>
              <w:top w:val="single" w:sz="4" w:space="0" w:color="auto"/>
              <w:left w:val="single" w:sz="4" w:space="0" w:color="auto"/>
              <w:bottom w:val="single" w:sz="4" w:space="0" w:color="auto"/>
              <w:right w:val="single" w:sz="4" w:space="0" w:color="auto"/>
            </w:tcBorders>
          </w:tcPr>
          <w:p w:rsidR="00CF3977" w:rsidRPr="007E4856" w:rsidRDefault="00CF3977" w:rsidP="00BB192E">
            <w:pPr>
              <w:suppressAutoHyphens/>
              <w:rPr>
                <w:color w:val="000000"/>
                <w:lang w:eastAsia="en-US"/>
              </w:rPr>
            </w:pPr>
          </w:p>
        </w:tc>
        <w:tc>
          <w:tcPr>
            <w:tcW w:w="1361" w:type="dxa"/>
            <w:tcBorders>
              <w:top w:val="single" w:sz="4" w:space="0" w:color="auto"/>
              <w:left w:val="single" w:sz="4" w:space="0" w:color="auto"/>
              <w:bottom w:val="single" w:sz="4" w:space="0" w:color="auto"/>
              <w:right w:val="single" w:sz="4" w:space="0" w:color="auto"/>
            </w:tcBorders>
          </w:tcPr>
          <w:p w:rsidR="00CF3977" w:rsidRPr="007E4856" w:rsidRDefault="00CF3977" w:rsidP="00BB192E">
            <w:pPr>
              <w:suppressAutoHyphens/>
              <w:rPr>
                <w:color w:val="000000"/>
                <w:lang w:eastAsia="en-US"/>
              </w:rPr>
            </w:pPr>
          </w:p>
        </w:tc>
        <w:tc>
          <w:tcPr>
            <w:tcW w:w="1361" w:type="dxa"/>
            <w:tcBorders>
              <w:top w:val="single" w:sz="4" w:space="0" w:color="auto"/>
              <w:left w:val="single" w:sz="4" w:space="0" w:color="auto"/>
              <w:bottom w:val="single" w:sz="4" w:space="0" w:color="auto"/>
              <w:right w:val="single" w:sz="4" w:space="0" w:color="auto"/>
            </w:tcBorders>
          </w:tcPr>
          <w:p w:rsidR="00CF3977" w:rsidRPr="007E4856" w:rsidRDefault="00CF3977" w:rsidP="00BB192E">
            <w:pPr>
              <w:suppressAutoHyphens/>
              <w:rPr>
                <w:color w:val="000000"/>
                <w:lang w:eastAsia="en-US"/>
              </w:rPr>
            </w:pPr>
          </w:p>
        </w:tc>
        <w:tc>
          <w:tcPr>
            <w:tcW w:w="1361" w:type="dxa"/>
            <w:tcBorders>
              <w:top w:val="single" w:sz="4" w:space="0" w:color="auto"/>
              <w:left w:val="single" w:sz="4" w:space="0" w:color="auto"/>
              <w:bottom w:val="single" w:sz="4" w:space="0" w:color="auto"/>
              <w:right w:val="single" w:sz="4" w:space="0" w:color="auto"/>
            </w:tcBorders>
          </w:tcPr>
          <w:p w:rsidR="00CF3977" w:rsidRPr="007E4856" w:rsidRDefault="00CF3977" w:rsidP="00BB192E">
            <w:pPr>
              <w:suppressAutoHyphens/>
              <w:rPr>
                <w:color w:val="000000"/>
                <w:lang w:eastAsia="en-US"/>
              </w:rPr>
            </w:pPr>
          </w:p>
        </w:tc>
      </w:tr>
      <w:tr w:rsidR="00CF3977" w:rsidTr="00BB192E">
        <w:trPr>
          <w:cantSplit/>
        </w:trPr>
        <w:tc>
          <w:tcPr>
            <w:tcW w:w="2518" w:type="dxa"/>
            <w:tcBorders>
              <w:top w:val="single" w:sz="4" w:space="0" w:color="auto"/>
              <w:left w:val="single" w:sz="4" w:space="0" w:color="auto"/>
              <w:bottom w:val="single" w:sz="4" w:space="0" w:color="auto"/>
              <w:right w:val="single" w:sz="4" w:space="0" w:color="auto"/>
            </w:tcBorders>
          </w:tcPr>
          <w:p w:rsidR="00CF3977" w:rsidRDefault="00CF3977" w:rsidP="00BB192E">
            <w:pPr>
              <w:suppressAutoHyphens/>
              <w:rPr>
                <w:color w:val="000000"/>
                <w:lang w:eastAsia="en-US"/>
              </w:rPr>
            </w:pPr>
            <w:r>
              <w:rPr>
                <w:color w:val="000000"/>
                <w:lang w:eastAsia="en-US"/>
              </w:rPr>
              <w:t>Paris priority</w:t>
            </w:r>
          </w:p>
        </w:tc>
        <w:tc>
          <w:tcPr>
            <w:tcW w:w="1360" w:type="dxa"/>
            <w:tcBorders>
              <w:top w:val="single" w:sz="4" w:space="0" w:color="auto"/>
              <w:left w:val="single" w:sz="4" w:space="0" w:color="auto"/>
              <w:bottom w:val="single" w:sz="4" w:space="0" w:color="auto"/>
              <w:right w:val="single" w:sz="4" w:space="0" w:color="auto"/>
            </w:tcBorders>
          </w:tcPr>
          <w:p w:rsidR="00CF3977" w:rsidRPr="007E4856" w:rsidRDefault="00CF3977" w:rsidP="00BB192E">
            <w:pPr>
              <w:suppressAutoHyphens/>
              <w:rPr>
                <w:color w:val="000000"/>
                <w:lang w:eastAsia="en-US"/>
              </w:rPr>
            </w:pPr>
          </w:p>
        </w:tc>
        <w:tc>
          <w:tcPr>
            <w:tcW w:w="1361" w:type="dxa"/>
            <w:tcBorders>
              <w:top w:val="single" w:sz="4" w:space="0" w:color="auto"/>
              <w:left w:val="single" w:sz="4" w:space="0" w:color="auto"/>
              <w:bottom w:val="single" w:sz="4" w:space="0" w:color="auto"/>
              <w:right w:val="single" w:sz="4" w:space="0" w:color="auto"/>
            </w:tcBorders>
          </w:tcPr>
          <w:p w:rsidR="00CF3977" w:rsidRPr="007E4856" w:rsidRDefault="00CF3977" w:rsidP="00BB192E">
            <w:pPr>
              <w:suppressAutoHyphens/>
              <w:rPr>
                <w:color w:val="000000"/>
                <w:lang w:eastAsia="en-US"/>
              </w:rPr>
            </w:pPr>
          </w:p>
        </w:tc>
        <w:tc>
          <w:tcPr>
            <w:tcW w:w="1361" w:type="dxa"/>
            <w:tcBorders>
              <w:top w:val="single" w:sz="4" w:space="0" w:color="auto"/>
              <w:left w:val="single" w:sz="4" w:space="0" w:color="auto"/>
              <w:bottom w:val="single" w:sz="4" w:space="0" w:color="auto"/>
              <w:right w:val="single" w:sz="4" w:space="0" w:color="auto"/>
            </w:tcBorders>
          </w:tcPr>
          <w:p w:rsidR="00CF3977" w:rsidRPr="007E4856" w:rsidRDefault="00CF3977" w:rsidP="00BB192E">
            <w:pPr>
              <w:suppressAutoHyphens/>
              <w:rPr>
                <w:color w:val="000000"/>
                <w:lang w:eastAsia="en-US"/>
              </w:rPr>
            </w:pPr>
          </w:p>
        </w:tc>
        <w:tc>
          <w:tcPr>
            <w:tcW w:w="1361" w:type="dxa"/>
            <w:tcBorders>
              <w:top w:val="single" w:sz="4" w:space="0" w:color="auto"/>
              <w:left w:val="single" w:sz="4" w:space="0" w:color="auto"/>
              <w:bottom w:val="single" w:sz="4" w:space="0" w:color="auto"/>
              <w:right w:val="single" w:sz="4" w:space="0" w:color="auto"/>
            </w:tcBorders>
          </w:tcPr>
          <w:p w:rsidR="00CF3977" w:rsidRPr="007E4856" w:rsidRDefault="00CF3977" w:rsidP="00BB192E">
            <w:pPr>
              <w:suppressAutoHyphens/>
              <w:rPr>
                <w:color w:val="000000"/>
                <w:lang w:eastAsia="en-US"/>
              </w:rPr>
            </w:pPr>
          </w:p>
        </w:tc>
        <w:tc>
          <w:tcPr>
            <w:tcW w:w="1361" w:type="dxa"/>
            <w:tcBorders>
              <w:top w:val="single" w:sz="4" w:space="0" w:color="auto"/>
              <w:left w:val="single" w:sz="4" w:space="0" w:color="auto"/>
              <w:bottom w:val="single" w:sz="4" w:space="0" w:color="auto"/>
              <w:right w:val="single" w:sz="4" w:space="0" w:color="auto"/>
            </w:tcBorders>
          </w:tcPr>
          <w:p w:rsidR="00CF3977" w:rsidRPr="007E4856" w:rsidRDefault="00CF3977" w:rsidP="00BB192E">
            <w:pPr>
              <w:suppressAutoHyphens/>
              <w:rPr>
                <w:color w:val="000000"/>
                <w:lang w:eastAsia="en-US"/>
              </w:rPr>
            </w:pPr>
          </w:p>
        </w:tc>
      </w:tr>
      <w:tr w:rsidR="00CF3977" w:rsidTr="00BB192E">
        <w:trPr>
          <w:cantSplit/>
        </w:trPr>
        <w:tc>
          <w:tcPr>
            <w:tcW w:w="2518" w:type="dxa"/>
            <w:tcBorders>
              <w:top w:val="single" w:sz="4" w:space="0" w:color="auto"/>
              <w:left w:val="single" w:sz="4" w:space="0" w:color="auto"/>
              <w:bottom w:val="single" w:sz="4" w:space="0" w:color="auto"/>
              <w:right w:val="single" w:sz="4" w:space="0" w:color="auto"/>
            </w:tcBorders>
          </w:tcPr>
          <w:p w:rsidR="00CF3977" w:rsidRDefault="00CF3977" w:rsidP="00BB192E">
            <w:pPr>
              <w:suppressAutoHyphens/>
              <w:rPr>
                <w:color w:val="000000"/>
                <w:lang w:eastAsia="en-US"/>
              </w:rPr>
            </w:pPr>
            <w:r>
              <w:rPr>
                <w:color w:val="000000"/>
                <w:lang w:eastAsia="en-US"/>
              </w:rPr>
              <w:t>PCT national phase entry</w:t>
            </w:r>
          </w:p>
        </w:tc>
        <w:tc>
          <w:tcPr>
            <w:tcW w:w="1360" w:type="dxa"/>
            <w:tcBorders>
              <w:top w:val="single" w:sz="4" w:space="0" w:color="auto"/>
              <w:left w:val="single" w:sz="4" w:space="0" w:color="auto"/>
              <w:bottom w:val="single" w:sz="4" w:space="0" w:color="auto"/>
              <w:right w:val="single" w:sz="4" w:space="0" w:color="auto"/>
            </w:tcBorders>
          </w:tcPr>
          <w:p w:rsidR="00CF3977" w:rsidRPr="007E4856" w:rsidRDefault="00CF3977" w:rsidP="00CF3977">
            <w:pPr>
              <w:suppressAutoHyphens/>
              <w:jc w:val="right"/>
              <w:rPr>
                <w:color w:val="000000"/>
                <w:lang w:eastAsia="en-US"/>
              </w:rPr>
            </w:pPr>
            <w:r w:rsidRPr="007E4856">
              <w:rPr>
                <w:color w:val="000000"/>
              </w:rPr>
              <w:t>70,221</w:t>
            </w:r>
          </w:p>
        </w:tc>
        <w:tc>
          <w:tcPr>
            <w:tcW w:w="1361" w:type="dxa"/>
            <w:tcBorders>
              <w:top w:val="single" w:sz="4" w:space="0" w:color="auto"/>
              <w:left w:val="single" w:sz="4" w:space="0" w:color="auto"/>
              <w:bottom w:val="single" w:sz="4" w:space="0" w:color="auto"/>
              <w:right w:val="single" w:sz="4" w:space="0" w:color="auto"/>
            </w:tcBorders>
          </w:tcPr>
          <w:p w:rsidR="00CF3977" w:rsidRPr="007E4856" w:rsidRDefault="00CF3977" w:rsidP="00CF3977">
            <w:pPr>
              <w:suppressAutoHyphens/>
              <w:jc w:val="right"/>
              <w:rPr>
                <w:color w:val="000000"/>
                <w:lang w:eastAsia="en-US"/>
              </w:rPr>
            </w:pPr>
            <w:r w:rsidRPr="007E4856">
              <w:rPr>
                <w:color w:val="000000"/>
              </w:rPr>
              <w:t>73,583</w:t>
            </w:r>
          </w:p>
        </w:tc>
        <w:tc>
          <w:tcPr>
            <w:tcW w:w="1361" w:type="dxa"/>
            <w:tcBorders>
              <w:top w:val="single" w:sz="4" w:space="0" w:color="auto"/>
              <w:left w:val="single" w:sz="4" w:space="0" w:color="auto"/>
              <w:bottom w:val="single" w:sz="4" w:space="0" w:color="auto"/>
              <w:right w:val="single" w:sz="4" w:space="0" w:color="auto"/>
            </w:tcBorders>
          </w:tcPr>
          <w:p w:rsidR="00CF3977" w:rsidRPr="007E4856" w:rsidRDefault="00CF3977" w:rsidP="00CF3977">
            <w:pPr>
              <w:suppressAutoHyphens/>
              <w:jc w:val="right"/>
              <w:rPr>
                <w:color w:val="000000"/>
                <w:lang w:eastAsia="en-US"/>
              </w:rPr>
            </w:pPr>
            <w:r w:rsidRPr="007E4856">
              <w:rPr>
                <w:color w:val="000000"/>
              </w:rPr>
              <w:t>80,601</w:t>
            </w:r>
          </w:p>
        </w:tc>
        <w:tc>
          <w:tcPr>
            <w:tcW w:w="1361" w:type="dxa"/>
            <w:tcBorders>
              <w:top w:val="single" w:sz="4" w:space="0" w:color="auto"/>
              <w:left w:val="single" w:sz="4" w:space="0" w:color="auto"/>
              <w:bottom w:val="single" w:sz="4" w:space="0" w:color="auto"/>
              <w:right w:val="single" w:sz="4" w:space="0" w:color="auto"/>
            </w:tcBorders>
          </w:tcPr>
          <w:p w:rsidR="00CF3977" w:rsidRPr="007E4856" w:rsidRDefault="00CF3977" w:rsidP="00CF3977">
            <w:pPr>
              <w:suppressAutoHyphens/>
              <w:jc w:val="right"/>
              <w:rPr>
                <w:color w:val="000000"/>
                <w:lang w:eastAsia="en-US"/>
              </w:rPr>
            </w:pPr>
            <w:r w:rsidRPr="007E4856">
              <w:rPr>
                <w:color w:val="000000"/>
              </w:rPr>
              <w:t>82,965</w:t>
            </w:r>
          </w:p>
        </w:tc>
        <w:tc>
          <w:tcPr>
            <w:tcW w:w="1361" w:type="dxa"/>
            <w:tcBorders>
              <w:top w:val="single" w:sz="4" w:space="0" w:color="auto"/>
              <w:left w:val="single" w:sz="4" w:space="0" w:color="auto"/>
              <w:bottom w:val="single" w:sz="4" w:space="0" w:color="auto"/>
              <w:right w:val="single" w:sz="4" w:space="0" w:color="auto"/>
            </w:tcBorders>
          </w:tcPr>
          <w:p w:rsidR="00CF3977" w:rsidRPr="007E4856" w:rsidRDefault="00CF3977" w:rsidP="00CF3977">
            <w:pPr>
              <w:suppressAutoHyphens/>
              <w:jc w:val="right"/>
              <w:rPr>
                <w:color w:val="000000"/>
                <w:lang w:eastAsia="en-US"/>
              </w:rPr>
            </w:pPr>
            <w:r w:rsidRPr="007E4856">
              <w:rPr>
                <w:color w:val="000000"/>
              </w:rPr>
              <w:t>82,109</w:t>
            </w:r>
          </w:p>
        </w:tc>
      </w:tr>
    </w:tbl>
    <w:p w:rsidR="00C80A7A" w:rsidRDefault="00C80A7A" w:rsidP="00C80A7A">
      <w:pPr>
        <w:rPr>
          <w:color w:val="000000"/>
        </w:rPr>
      </w:pPr>
    </w:p>
    <w:p w:rsidR="00C80A7A" w:rsidRDefault="00C80A7A" w:rsidP="00C80A7A">
      <w:pPr>
        <w:rPr>
          <w:b/>
          <w:bCs/>
          <w:color w:val="000000"/>
        </w:rPr>
      </w:pPr>
      <w:r>
        <w:rPr>
          <w:b/>
          <w:bCs/>
          <w:color w:val="000000"/>
        </w:rPr>
        <w:t>Number of international applications received as RO</w:t>
      </w:r>
    </w:p>
    <w:p w:rsidR="00C80A7A" w:rsidRDefault="00C80A7A" w:rsidP="00C80A7A">
      <w:pPr>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18"/>
        <w:gridCol w:w="1360"/>
        <w:gridCol w:w="1361"/>
        <w:gridCol w:w="1361"/>
        <w:gridCol w:w="1361"/>
        <w:gridCol w:w="1361"/>
      </w:tblGrid>
      <w:tr w:rsidR="00CF3977" w:rsidTr="00BB192E">
        <w:trPr>
          <w:cantSplit/>
        </w:trPr>
        <w:tc>
          <w:tcPr>
            <w:tcW w:w="2518" w:type="dxa"/>
            <w:tcBorders>
              <w:top w:val="single" w:sz="4" w:space="0" w:color="auto"/>
              <w:left w:val="single" w:sz="4" w:space="0" w:color="auto"/>
              <w:bottom w:val="single" w:sz="4" w:space="0" w:color="auto"/>
              <w:right w:val="single" w:sz="4" w:space="0" w:color="auto"/>
              <w:tl2br w:val="single" w:sz="4" w:space="0" w:color="auto"/>
            </w:tcBorders>
          </w:tcPr>
          <w:p w:rsidR="00CF3977" w:rsidRDefault="00CF3977" w:rsidP="00BB192E">
            <w:pPr>
              <w:jc w:val="right"/>
              <w:rPr>
                <w:b/>
                <w:bCs/>
                <w:color w:val="000000"/>
                <w:lang w:eastAsia="en-US"/>
              </w:rPr>
            </w:pPr>
          </w:p>
          <w:p w:rsidR="00CF3977" w:rsidRDefault="00CF3977" w:rsidP="00BB192E">
            <w:pPr>
              <w:jc w:val="right"/>
              <w:rPr>
                <w:b/>
                <w:bCs/>
                <w:color w:val="000000"/>
                <w:lang w:eastAsia="en-US"/>
              </w:rPr>
            </w:pPr>
            <w:r>
              <w:rPr>
                <w:b/>
                <w:bCs/>
                <w:color w:val="000000"/>
                <w:lang w:eastAsia="en-US"/>
              </w:rPr>
              <w:t>Year</w:t>
            </w:r>
          </w:p>
          <w:p w:rsidR="00CF3977" w:rsidRDefault="00CF3977" w:rsidP="00BB192E">
            <w:pPr>
              <w:suppressAutoHyphens/>
              <w:rPr>
                <w:b/>
                <w:bCs/>
                <w:color w:val="000000"/>
                <w:lang w:eastAsia="en-US"/>
              </w:rPr>
            </w:pPr>
            <w:r>
              <w:rPr>
                <w:b/>
                <w:bCs/>
                <w:color w:val="000000"/>
                <w:lang w:eastAsia="en-US"/>
              </w:rPr>
              <w:t>Technical Field</w:t>
            </w:r>
          </w:p>
        </w:tc>
        <w:tc>
          <w:tcPr>
            <w:tcW w:w="1360" w:type="dxa"/>
            <w:tcBorders>
              <w:top w:val="single" w:sz="4" w:space="0" w:color="auto"/>
              <w:left w:val="single" w:sz="4" w:space="0" w:color="auto"/>
              <w:bottom w:val="single" w:sz="4" w:space="0" w:color="auto"/>
              <w:right w:val="single" w:sz="4" w:space="0" w:color="auto"/>
            </w:tcBorders>
            <w:vAlign w:val="center"/>
          </w:tcPr>
          <w:p w:rsidR="00CF3977" w:rsidRDefault="00CF3977" w:rsidP="00BB192E">
            <w:pPr>
              <w:keepNext/>
              <w:suppressAutoHyphens/>
              <w:jc w:val="center"/>
              <w:rPr>
                <w:color w:val="000000"/>
                <w:lang w:eastAsia="en-US"/>
              </w:rPr>
            </w:pPr>
            <w:r>
              <w:rPr>
                <w:color w:val="000000"/>
                <w:lang w:eastAsia="en-US"/>
              </w:rPr>
              <w:t>2012</w:t>
            </w:r>
          </w:p>
        </w:tc>
        <w:tc>
          <w:tcPr>
            <w:tcW w:w="1361" w:type="dxa"/>
            <w:tcBorders>
              <w:top w:val="single" w:sz="4" w:space="0" w:color="auto"/>
              <w:left w:val="single" w:sz="4" w:space="0" w:color="auto"/>
              <w:bottom w:val="single" w:sz="4" w:space="0" w:color="auto"/>
              <w:right w:val="single" w:sz="4" w:space="0" w:color="auto"/>
            </w:tcBorders>
            <w:vAlign w:val="center"/>
          </w:tcPr>
          <w:p w:rsidR="00CF3977" w:rsidRDefault="00CF3977" w:rsidP="00BB192E">
            <w:pPr>
              <w:keepNext/>
              <w:suppressAutoHyphens/>
              <w:jc w:val="center"/>
              <w:rPr>
                <w:color w:val="000000"/>
                <w:lang w:eastAsia="en-US"/>
              </w:rPr>
            </w:pPr>
            <w:r>
              <w:rPr>
                <w:color w:val="000000"/>
                <w:lang w:eastAsia="en-US"/>
              </w:rPr>
              <w:t>2013</w:t>
            </w:r>
          </w:p>
        </w:tc>
        <w:tc>
          <w:tcPr>
            <w:tcW w:w="1361" w:type="dxa"/>
            <w:tcBorders>
              <w:top w:val="single" w:sz="4" w:space="0" w:color="auto"/>
              <w:left w:val="single" w:sz="4" w:space="0" w:color="auto"/>
              <w:bottom w:val="single" w:sz="4" w:space="0" w:color="auto"/>
              <w:right w:val="single" w:sz="4" w:space="0" w:color="auto"/>
            </w:tcBorders>
            <w:vAlign w:val="center"/>
          </w:tcPr>
          <w:p w:rsidR="00CF3977" w:rsidRDefault="00CF3977" w:rsidP="00BB192E">
            <w:pPr>
              <w:keepNext/>
              <w:suppressAutoHyphens/>
              <w:jc w:val="center"/>
              <w:rPr>
                <w:color w:val="000000"/>
                <w:lang w:eastAsia="en-US"/>
              </w:rPr>
            </w:pPr>
            <w:r>
              <w:rPr>
                <w:color w:val="000000"/>
                <w:lang w:eastAsia="en-US"/>
              </w:rPr>
              <w:t>2014</w:t>
            </w:r>
          </w:p>
        </w:tc>
        <w:tc>
          <w:tcPr>
            <w:tcW w:w="1361" w:type="dxa"/>
            <w:tcBorders>
              <w:top w:val="single" w:sz="4" w:space="0" w:color="auto"/>
              <w:left w:val="single" w:sz="4" w:space="0" w:color="auto"/>
              <w:bottom w:val="single" w:sz="4" w:space="0" w:color="auto"/>
              <w:right w:val="single" w:sz="4" w:space="0" w:color="auto"/>
            </w:tcBorders>
            <w:vAlign w:val="center"/>
          </w:tcPr>
          <w:p w:rsidR="00CF3977" w:rsidRDefault="00CF3977" w:rsidP="00BB192E">
            <w:pPr>
              <w:keepNext/>
              <w:suppressAutoHyphens/>
              <w:jc w:val="center"/>
              <w:rPr>
                <w:color w:val="000000"/>
                <w:lang w:eastAsia="en-US"/>
              </w:rPr>
            </w:pPr>
            <w:r>
              <w:rPr>
                <w:color w:val="000000"/>
                <w:lang w:eastAsia="en-US"/>
              </w:rPr>
              <w:t>2015</w:t>
            </w:r>
          </w:p>
        </w:tc>
        <w:tc>
          <w:tcPr>
            <w:tcW w:w="1361" w:type="dxa"/>
            <w:tcBorders>
              <w:top w:val="single" w:sz="4" w:space="0" w:color="auto"/>
              <w:left w:val="single" w:sz="4" w:space="0" w:color="auto"/>
              <w:bottom w:val="single" w:sz="4" w:space="0" w:color="auto"/>
              <w:right w:val="single" w:sz="4" w:space="0" w:color="auto"/>
            </w:tcBorders>
            <w:vAlign w:val="center"/>
          </w:tcPr>
          <w:p w:rsidR="00CF3977" w:rsidRDefault="00CF3977" w:rsidP="00BB192E">
            <w:pPr>
              <w:keepNext/>
              <w:suppressAutoHyphens/>
              <w:jc w:val="center"/>
              <w:rPr>
                <w:color w:val="000000"/>
                <w:lang w:eastAsia="en-US"/>
              </w:rPr>
            </w:pPr>
            <w:r>
              <w:rPr>
                <w:color w:val="000000"/>
                <w:lang w:eastAsia="en-US"/>
              </w:rPr>
              <w:t>2016</w:t>
            </w:r>
          </w:p>
        </w:tc>
      </w:tr>
      <w:tr w:rsidR="00C80A7A" w:rsidTr="00BB192E">
        <w:trPr>
          <w:cantSplit/>
        </w:trPr>
        <w:tc>
          <w:tcPr>
            <w:tcW w:w="2518" w:type="dxa"/>
            <w:tcBorders>
              <w:top w:val="single" w:sz="4" w:space="0" w:color="auto"/>
              <w:left w:val="single" w:sz="4" w:space="0" w:color="auto"/>
              <w:bottom w:val="single" w:sz="4" w:space="0" w:color="auto"/>
              <w:right w:val="single" w:sz="4" w:space="0" w:color="auto"/>
            </w:tcBorders>
          </w:tcPr>
          <w:p w:rsidR="00C80A7A" w:rsidRDefault="00C80A7A" w:rsidP="00BB192E">
            <w:pPr>
              <w:suppressAutoHyphens/>
              <w:rPr>
                <w:color w:val="000000"/>
                <w:lang w:eastAsia="en-US"/>
              </w:rPr>
            </w:pPr>
            <w:r>
              <w:rPr>
                <w:color w:val="000000"/>
                <w:lang w:eastAsia="en-US"/>
              </w:rPr>
              <w:t>Mechanical</w:t>
            </w:r>
          </w:p>
        </w:tc>
        <w:tc>
          <w:tcPr>
            <w:tcW w:w="1360" w:type="dxa"/>
            <w:tcBorders>
              <w:top w:val="single" w:sz="4" w:space="0" w:color="auto"/>
              <w:left w:val="single" w:sz="4" w:space="0" w:color="auto"/>
              <w:bottom w:val="single" w:sz="4" w:space="0" w:color="auto"/>
              <w:right w:val="single" w:sz="4" w:space="0" w:color="auto"/>
            </w:tcBorders>
          </w:tcPr>
          <w:p w:rsidR="00C80A7A" w:rsidRPr="007E4856" w:rsidRDefault="00C80A7A" w:rsidP="00BB192E">
            <w:pPr>
              <w:suppressAutoHyphens/>
              <w:rPr>
                <w:color w:val="000000"/>
                <w:lang w:eastAsia="en-US"/>
              </w:rPr>
            </w:pPr>
          </w:p>
        </w:tc>
        <w:tc>
          <w:tcPr>
            <w:tcW w:w="1361" w:type="dxa"/>
            <w:tcBorders>
              <w:top w:val="single" w:sz="4" w:space="0" w:color="auto"/>
              <w:left w:val="single" w:sz="4" w:space="0" w:color="auto"/>
              <w:bottom w:val="single" w:sz="4" w:space="0" w:color="auto"/>
              <w:right w:val="single" w:sz="4" w:space="0" w:color="auto"/>
            </w:tcBorders>
          </w:tcPr>
          <w:p w:rsidR="00C80A7A" w:rsidRPr="007E4856" w:rsidRDefault="00C80A7A" w:rsidP="00BB192E">
            <w:pPr>
              <w:suppressAutoHyphens/>
              <w:rPr>
                <w:color w:val="000000"/>
                <w:lang w:eastAsia="en-US"/>
              </w:rPr>
            </w:pPr>
          </w:p>
        </w:tc>
        <w:tc>
          <w:tcPr>
            <w:tcW w:w="1361" w:type="dxa"/>
            <w:tcBorders>
              <w:top w:val="single" w:sz="4" w:space="0" w:color="auto"/>
              <w:left w:val="single" w:sz="4" w:space="0" w:color="auto"/>
              <w:bottom w:val="single" w:sz="4" w:space="0" w:color="auto"/>
              <w:right w:val="single" w:sz="4" w:space="0" w:color="auto"/>
            </w:tcBorders>
          </w:tcPr>
          <w:p w:rsidR="00C80A7A" w:rsidRPr="007E4856" w:rsidRDefault="00C80A7A" w:rsidP="00BB192E">
            <w:pPr>
              <w:suppressAutoHyphens/>
              <w:rPr>
                <w:color w:val="000000"/>
                <w:lang w:eastAsia="en-US"/>
              </w:rPr>
            </w:pPr>
          </w:p>
        </w:tc>
        <w:tc>
          <w:tcPr>
            <w:tcW w:w="1361" w:type="dxa"/>
            <w:tcBorders>
              <w:top w:val="single" w:sz="4" w:space="0" w:color="auto"/>
              <w:left w:val="single" w:sz="4" w:space="0" w:color="auto"/>
              <w:bottom w:val="single" w:sz="4" w:space="0" w:color="auto"/>
              <w:right w:val="single" w:sz="4" w:space="0" w:color="auto"/>
            </w:tcBorders>
          </w:tcPr>
          <w:p w:rsidR="00C80A7A" w:rsidRPr="007E4856" w:rsidRDefault="00C80A7A" w:rsidP="00BB192E">
            <w:pPr>
              <w:suppressAutoHyphens/>
              <w:rPr>
                <w:color w:val="000000"/>
                <w:lang w:eastAsia="en-US"/>
              </w:rPr>
            </w:pPr>
          </w:p>
        </w:tc>
        <w:tc>
          <w:tcPr>
            <w:tcW w:w="1361" w:type="dxa"/>
            <w:tcBorders>
              <w:top w:val="single" w:sz="4" w:space="0" w:color="auto"/>
              <w:left w:val="single" w:sz="4" w:space="0" w:color="auto"/>
              <w:bottom w:val="single" w:sz="4" w:space="0" w:color="auto"/>
              <w:right w:val="single" w:sz="4" w:space="0" w:color="auto"/>
            </w:tcBorders>
          </w:tcPr>
          <w:p w:rsidR="00C80A7A" w:rsidRPr="007E4856" w:rsidRDefault="00C80A7A" w:rsidP="00BB192E">
            <w:pPr>
              <w:suppressAutoHyphens/>
              <w:rPr>
                <w:color w:val="000000"/>
                <w:lang w:eastAsia="en-US"/>
              </w:rPr>
            </w:pPr>
          </w:p>
        </w:tc>
      </w:tr>
      <w:tr w:rsidR="00C80A7A" w:rsidTr="00BB192E">
        <w:trPr>
          <w:cantSplit/>
        </w:trPr>
        <w:tc>
          <w:tcPr>
            <w:tcW w:w="2518" w:type="dxa"/>
            <w:tcBorders>
              <w:top w:val="single" w:sz="4" w:space="0" w:color="auto"/>
              <w:left w:val="single" w:sz="4" w:space="0" w:color="auto"/>
              <w:bottom w:val="single" w:sz="4" w:space="0" w:color="auto"/>
              <w:right w:val="single" w:sz="4" w:space="0" w:color="auto"/>
            </w:tcBorders>
          </w:tcPr>
          <w:p w:rsidR="00C80A7A" w:rsidRDefault="00C80A7A" w:rsidP="00BB192E">
            <w:pPr>
              <w:suppressAutoHyphens/>
              <w:rPr>
                <w:color w:val="000000"/>
                <w:lang w:eastAsia="en-US"/>
              </w:rPr>
            </w:pPr>
            <w:r>
              <w:rPr>
                <w:color w:val="000000"/>
                <w:lang w:eastAsia="en-US"/>
              </w:rPr>
              <w:t>Electrical/electronic</w:t>
            </w:r>
          </w:p>
        </w:tc>
        <w:tc>
          <w:tcPr>
            <w:tcW w:w="1360" w:type="dxa"/>
            <w:tcBorders>
              <w:top w:val="single" w:sz="4" w:space="0" w:color="auto"/>
              <w:left w:val="single" w:sz="4" w:space="0" w:color="auto"/>
              <w:bottom w:val="single" w:sz="4" w:space="0" w:color="auto"/>
              <w:right w:val="single" w:sz="4" w:space="0" w:color="auto"/>
            </w:tcBorders>
          </w:tcPr>
          <w:p w:rsidR="00C80A7A" w:rsidRPr="007E4856" w:rsidRDefault="00C80A7A" w:rsidP="00BB192E">
            <w:pPr>
              <w:suppressAutoHyphens/>
              <w:rPr>
                <w:color w:val="000000"/>
                <w:lang w:eastAsia="en-US"/>
              </w:rPr>
            </w:pPr>
          </w:p>
        </w:tc>
        <w:tc>
          <w:tcPr>
            <w:tcW w:w="1361" w:type="dxa"/>
            <w:tcBorders>
              <w:top w:val="single" w:sz="4" w:space="0" w:color="auto"/>
              <w:left w:val="single" w:sz="4" w:space="0" w:color="auto"/>
              <w:bottom w:val="single" w:sz="4" w:space="0" w:color="auto"/>
              <w:right w:val="single" w:sz="4" w:space="0" w:color="auto"/>
            </w:tcBorders>
          </w:tcPr>
          <w:p w:rsidR="00C80A7A" w:rsidRPr="007E4856" w:rsidRDefault="00C80A7A" w:rsidP="00BB192E">
            <w:pPr>
              <w:suppressAutoHyphens/>
              <w:rPr>
                <w:color w:val="000000"/>
                <w:lang w:eastAsia="en-US"/>
              </w:rPr>
            </w:pPr>
          </w:p>
        </w:tc>
        <w:tc>
          <w:tcPr>
            <w:tcW w:w="1361" w:type="dxa"/>
            <w:tcBorders>
              <w:top w:val="single" w:sz="4" w:space="0" w:color="auto"/>
              <w:left w:val="single" w:sz="4" w:space="0" w:color="auto"/>
              <w:bottom w:val="single" w:sz="4" w:space="0" w:color="auto"/>
              <w:right w:val="single" w:sz="4" w:space="0" w:color="auto"/>
            </w:tcBorders>
          </w:tcPr>
          <w:p w:rsidR="00C80A7A" w:rsidRPr="007E4856" w:rsidRDefault="00C80A7A" w:rsidP="00BB192E">
            <w:pPr>
              <w:suppressAutoHyphens/>
              <w:rPr>
                <w:color w:val="000000"/>
                <w:lang w:eastAsia="en-US"/>
              </w:rPr>
            </w:pPr>
          </w:p>
        </w:tc>
        <w:tc>
          <w:tcPr>
            <w:tcW w:w="1361" w:type="dxa"/>
            <w:tcBorders>
              <w:top w:val="single" w:sz="4" w:space="0" w:color="auto"/>
              <w:left w:val="single" w:sz="4" w:space="0" w:color="auto"/>
              <w:bottom w:val="single" w:sz="4" w:space="0" w:color="auto"/>
              <w:right w:val="single" w:sz="4" w:space="0" w:color="auto"/>
            </w:tcBorders>
          </w:tcPr>
          <w:p w:rsidR="00C80A7A" w:rsidRPr="007E4856" w:rsidRDefault="00C80A7A" w:rsidP="00BB192E">
            <w:pPr>
              <w:suppressAutoHyphens/>
              <w:rPr>
                <w:color w:val="000000"/>
                <w:lang w:eastAsia="en-US"/>
              </w:rPr>
            </w:pPr>
          </w:p>
        </w:tc>
        <w:tc>
          <w:tcPr>
            <w:tcW w:w="1361" w:type="dxa"/>
            <w:tcBorders>
              <w:top w:val="single" w:sz="4" w:space="0" w:color="auto"/>
              <w:left w:val="single" w:sz="4" w:space="0" w:color="auto"/>
              <w:bottom w:val="single" w:sz="4" w:space="0" w:color="auto"/>
              <w:right w:val="single" w:sz="4" w:space="0" w:color="auto"/>
            </w:tcBorders>
          </w:tcPr>
          <w:p w:rsidR="00C80A7A" w:rsidRPr="007E4856" w:rsidRDefault="00C80A7A" w:rsidP="00BB192E">
            <w:pPr>
              <w:suppressAutoHyphens/>
              <w:rPr>
                <w:color w:val="000000"/>
                <w:lang w:eastAsia="en-US"/>
              </w:rPr>
            </w:pPr>
          </w:p>
        </w:tc>
      </w:tr>
      <w:tr w:rsidR="00C80A7A" w:rsidTr="00BB192E">
        <w:trPr>
          <w:cantSplit/>
        </w:trPr>
        <w:tc>
          <w:tcPr>
            <w:tcW w:w="2518" w:type="dxa"/>
            <w:tcBorders>
              <w:top w:val="single" w:sz="4" w:space="0" w:color="auto"/>
              <w:left w:val="single" w:sz="4" w:space="0" w:color="auto"/>
              <w:bottom w:val="single" w:sz="4" w:space="0" w:color="auto"/>
              <w:right w:val="single" w:sz="4" w:space="0" w:color="auto"/>
            </w:tcBorders>
          </w:tcPr>
          <w:p w:rsidR="00C80A7A" w:rsidRDefault="00C80A7A" w:rsidP="00BB192E">
            <w:pPr>
              <w:suppressAutoHyphens/>
              <w:rPr>
                <w:color w:val="000000"/>
                <w:lang w:eastAsia="en-US"/>
              </w:rPr>
            </w:pPr>
            <w:r>
              <w:rPr>
                <w:color w:val="000000"/>
                <w:lang w:eastAsia="en-US"/>
              </w:rPr>
              <w:t>Chemistry</w:t>
            </w:r>
          </w:p>
        </w:tc>
        <w:tc>
          <w:tcPr>
            <w:tcW w:w="1360" w:type="dxa"/>
            <w:tcBorders>
              <w:top w:val="single" w:sz="4" w:space="0" w:color="auto"/>
              <w:left w:val="single" w:sz="4" w:space="0" w:color="auto"/>
              <w:bottom w:val="single" w:sz="4" w:space="0" w:color="auto"/>
              <w:right w:val="single" w:sz="4" w:space="0" w:color="auto"/>
            </w:tcBorders>
          </w:tcPr>
          <w:p w:rsidR="00C80A7A" w:rsidRPr="007E4856" w:rsidRDefault="00C80A7A" w:rsidP="00BB192E">
            <w:pPr>
              <w:suppressAutoHyphens/>
              <w:rPr>
                <w:color w:val="000000"/>
                <w:lang w:eastAsia="en-US"/>
              </w:rPr>
            </w:pPr>
          </w:p>
        </w:tc>
        <w:tc>
          <w:tcPr>
            <w:tcW w:w="1361" w:type="dxa"/>
            <w:tcBorders>
              <w:top w:val="single" w:sz="4" w:space="0" w:color="auto"/>
              <w:left w:val="single" w:sz="4" w:space="0" w:color="auto"/>
              <w:bottom w:val="single" w:sz="4" w:space="0" w:color="auto"/>
              <w:right w:val="single" w:sz="4" w:space="0" w:color="auto"/>
            </w:tcBorders>
          </w:tcPr>
          <w:p w:rsidR="00C80A7A" w:rsidRPr="007E4856" w:rsidRDefault="00C80A7A" w:rsidP="00BB192E">
            <w:pPr>
              <w:suppressAutoHyphens/>
              <w:rPr>
                <w:color w:val="000000"/>
                <w:lang w:eastAsia="en-US"/>
              </w:rPr>
            </w:pPr>
          </w:p>
        </w:tc>
        <w:tc>
          <w:tcPr>
            <w:tcW w:w="1361" w:type="dxa"/>
            <w:tcBorders>
              <w:top w:val="single" w:sz="4" w:space="0" w:color="auto"/>
              <w:left w:val="single" w:sz="4" w:space="0" w:color="auto"/>
              <w:bottom w:val="single" w:sz="4" w:space="0" w:color="auto"/>
              <w:right w:val="single" w:sz="4" w:space="0" w:color="auto"/>
            </w:tcBorders>
          </w:tcPr>
          <w:p w:rsidR="00C80A7A" w:rsidRPr="007E4856" w:rsidRDefault="00C80A7A" w:rsidP="00BB192E">
            <w:pPr>
              <w:suppressAutoHyphens/>
              <w:rPr>
                <w:color w:val="000000"/>
                <w:lang w:eastAsia="en-US"/>
              </w:rPr>
            </w:pPr>
          </w:p>
        </w:tc>
        <w:tc>
          <w:tcPr>
            <w:tcW w:w="1361" w:type="dxa"/>
            <w:tcBorders>
              <w:top w:val="single" w:sz="4" w:space="0" w:color="auto"/>
              <w:left w:val="single" w:sz="4" w:space="0" w:color="auto"/>
              <w:bottom w:val="single" w:sz="4" w:space="0" w:color="auto"/>
              <w:right w:val="single" w:sz="4" w:space="0" w:color="auto"/>
            </w:tcBorders>
          </w:tcPr>
          <w:p w:rsidR="00C80A7A" w:rsidRPr="007E4856" w:rsidRDefault="00C80A7A" w:rsidP="00BB192E">
            <w:pPr>
              <w:suppressAutoHyphens/>
              <w:rPr>
                <w:color w:val="000000"/>
                <w:lang w:eastAsia="en-US"/>
              </w:rPr>
            </w:pPr>
          </w:p>
        </w:tc>
        <w:tc>
          <w:tcPr>
            <w:tcW w:w="1361" w:type="dxa"/>
            <w:tcBorders>
              <w:top w:val="single" w:sz="4" w:space="0" w:color="auto"/>
              <w:left w:val="single" w:sz="4" w:space="0" w:color="auto"/>
              <w:bottom w:val="single" w:sz="4" w:space="0" w:color="auto"/>
              <w:right w:val="single" w:sz="4" w:space="0" w:color="auto"/>
            </w:tcBorders>
          </w:tcPr>
          <w:p w:rsidR="00C80A7A" w:rsidRPr="007E4856" w:rsidRDefault="00C80A7A" w:rsidP="00BB192E">
            <w:pPr>
              <w:suppressAutoHyphens/>
              <w:rPr>
                <w:color w:val="000000"/>
                <w:lang w:eastAsia="en-US"/>
              </w:rPr>
            </w:pPr>
          </w:p>
        </w:tc>
      </w:tr>
      <w:tr w:rsidR="00C80A7A" w:rsidTr="00BB192E">
        <w:trPr>
          <w:cantSplit/>
        </w:trPr>
        <w:tc>
          <w:tcPr>
            <w:tcW w:w="2518" w:type="dxa"/>
            <w:tcBorders>
              <w:top w:val="single" w:sz="4" w:space="0" w:color="auto"/>
              <w:left w:val="single" w:sz="4" w:space="0" w:color="auto"/>
              <w:bottom w:val="single" w:sz="4" w:space="0" w:color="auto"/>
              <w:right w:val="single" w:sz="4" w:space="0" w:color="auto"/>
            </w:tcBorders>
          </w:tcPr>
          <w:p w:rsidR="00C80A7A" w:rsidRDefault="00C80A7A" w:rsidP="00BB192E">
            <w:pPr>
              <w:suppressAutoHyphens/>
              <w:rPr>
                <w:color w:val="000000"/>
                <w:lang w:eastAsia="en-US"/>
              </w:rPr>
            </w:pPr>
            <w:r>
              <w:rPr>
                <w:color w:val="000000"/>
                <w:lang w:eastAsia="en-US"/>
              </w:rPr>
              <w:t>Biotech</w:t>
            </w:r>
          </w:p>
        </w:tc>
        <w:tc>
          <w:tcPr>
            <w:tcW w:w="1360" w:type="dxa"/>
            <w:tcBorders>
              <w:top w:val="single" w:sz="4" w:space="0" w:color="auto"/>
              <w:left w:val="single" w:sz="4" w:space="0" w:color="auto"/>
              <w:bottom w:val="single" w:sz="4" w:space="0" w:color="auto"/>
              <w:right w:val="single" w:sz="4" w:space="0" w:color="auto"/>
            </w:tcBorders>
          </w:tcPr>
          <w:p w:rsidR="00C80A7A" w:rsidRPr="007E4856" w:rsidRDefault="00C80A7A" w:rsidP="00BB192E">
            <w:pPr>
              <w:suppressAutoHyphens/>
              <w:rPr>
                <w:color w:val="000000"/>
                <w:lang w:eastAsia="en-US"/>
              </w:rPr>
            </w:pPr>
          </w:p>
        </w:tc>
        <w:tc>
          <w:tcPr>
            <w:tcW w:w="1361" w:type="dxa"/>
            <w:tcBorders>
              <w:top w:val="single" w:sz="4" w:space="0" w:color="auto"/>
              <w:left w:val="single" w:sz="4" w:space="0" w:color="auto"/>
              <w:bottom w:val="single" w:sz="4" w:space="0" w:color="auto"/>
              <w:right w:val="single" w:sz="4" w:space="0" w:color="auto"/>
            </w:tcBorders>
          </w:tcPr>
          <w:p w:rsidR="00C80A7A" w:rsidRPr="007E4856" w:rsidRDefault="00C80A7A" w:rsidP="00BB192E">
            <w:pPr>
              <w:suppressAutoHyphens/>
              <w:rPr>
                <w:color w:val="000000"/>
                <w:lang w:eastAsia="en-US"/>
              </w:rPr>
            </w:pPr>
          </w:p>
        </w:tc>
        <w:tc>
          <w:tcPr>
            <w:tcW w:w="1361" w:type="dxa"/>
            <w:tcBorders>
              <w:top w:val="single" w:sz="4" w:space="0" w:color="auto"/>
              <w:left w:val="single" w:sz="4" w:space="0" w:color="auto"/>
              <w:bottom w:val="single" w:sz="4" w:space="0" w:color="auto"/>
              <w:right w:val="single" w:sz="4" w:space="0" w:color="auto"/>
            </w:tcBorders>
          </w:tcPr>
          <w:p w:rsidR="00C80A7A" w:rsidRPr="007E4856" w:rsidRDefault="00C80A7A" w:rsidP="00BB192E">
            <w:pPr>
              <w:suppressAutoHyphens/>
              <w:rPr>
                <w:color w:val="000000"/>
                <w:lang w:eastAsia="en-US"/>
              </w:rPr>
            </w:pPr>
          </w:p>
        </w:tc>
        <w:tc>
          <w:tcPr>
            <w:tcW w:w="1361" w:type="dxa"/>
            <w:tcBorders>
              <w:top w:val="single" w:sz="4" w:space="0" w:color="auto"/>
              <w:left w:val="single" w:sz="4" w:space="0" w:color="auto"/>
              <w:bottom w:val="single" w:sz="4" w:space="0" w:color="auto"/>
              <w:right w:val="single" w:sz="4" w:space="0" w:color="auto"/>
            </w:tcBorders>
          </w:tcPr>
          <w:p w:rsidR="00C80A7A" w:rsidRPr="007E4856" w:rsidRDefault="00C80A7A" w:rsidP="00BB192E">
            <w:pPr>
              <w:suppressAutoHyphens/>
              <w:rPr>
                <w:color w:val="000000"/>
                <w:lang w:eastAsia="en-US"/>
              </w:rPr>
            </w:pPr>
          </w:p>
        </w:tc>
        <w:tc>
          <w:tcPr>
            <w:tcW w:w="1361" w:type="dxa"/>
            <w:tcBorders>
              <w:top w:val="single" w:sz="4" w:space="0" w:color="auto"/>
              <w:left w:val="single" w:sz="4" w:space="0" w:color="auto"/>
              <w:bottom w:val="single" w:sz="4" w:space="0" w:color="auto"/>
              <w:right w:val="single" w:sz="4" w:space="0" w:color="auto"/>
            </w:tcBorders>
          </w:tcPr>
          <w:p w:rsidR="00C80A7A" w:rsidRPr="007E4856" w:rsidRDefault="00C80A7A" w:rsidP="00BB192E">
            <w:pPr>
              <w:suppressAutoHyphens/>
              <w:rPr>
                <w:color w:val="000000"/>
                <w:lang w:eastAsia="en-US"/>
              </w:rPr>
            </w:pPr>
          </w:p>
        </w:tc>
      </w:tr>
      <w:tr w:rsidR="00C80A7A" w:rsidTr="00BB192E">
        <w:trPr>
          <w:cantSplit/>
        </w:trPr>
        <w:tc>
          <w:tcPr>
            <w:tcW w:w="2518" w:type="dxa"/>
            <w:tcBorders>
              <w:top w:val="single" w:sz="4" w:space="0" w:color="auto"/>
              <w:left w:val="single" w:sz="4" w:space="0" w:color="auto"/>
              <w:bottom w:val="single" w:sz="4" w:space="0" w:color="auto"/>
              <w:right w:val="single" w:sz="4" w:space="0" w:color="auto"/>
            </w:tcBorders>
          </w:tcPr>
          <w:p w:rsidR="00C80A7A" w:rsidRPr="007E4856" w:rsidRDefault="00C80A7A" w:rsidP="00BB192E">
            <w:pPr>
              <w:suppressAutoHyphens/>
              <w:rPr>
                <w:i/>
                <w:iCs/>
                <w:color w:val="000000"/>
                <w:lang w:eastAsia="en-US"/>
              </w:rPr>
            </w:pPr>
            <w:r w:rsidRPr="007E4856">
              <w:rPr>
                <w:i/>
                <w:iCs/>
                <w:color w:val="000000"/>
                <w:lang w:eastAsia="en-US"/>
              </w:rPr>
              <w:t>Total</w:t>
            </w:r>
            <w:r w:rsidRPr="007E4856">
              <w:rPr>
                <w:rStyle w:val="FootnoteReference"/>
                <w:rFonts w:cs="Arial"/>
                <w:i/>
                <w:iCs/>
                <w:color w:val="000000"/>
                <w:lang w:eastAsia="en-US"/>
              </w:rPr>
              <w:footnoteReference w:id="3"/>
            </w:r>
          </w:p>
        </w:tc>
        <w:tc>
          <w:tcPr>
            <w:tcW w:w="1360" w:type="dxa"/>
            <w:tcBorders>
              <w:top w:val="single" w:sz="4" w:space="0" w:color="auto"/>
              <w:left w:val="single" w:sz="4" w:space="0" w:color="auto"/>
              <w:bottom w:val="single" w:sz="4" w:space="0" w:color="auto"/>
              <w:right w:val="single" w:sz="4" w:space="0" w:color="auto"/>
            </w:tcBorders>
          </w:tcPr>
          <w:p w:rsidR="00C80A7A" w:rsidRPr="007E4856" w:rsidRDefault="00C80A7A" w:rsidP="00CF3977">
            <w:pPr>
              <w:suppressAutoHyphens/>
              <w:jc w:val="right"/>
              <w:rPr>
                <w:color w:val="000000"/>
                <w:lang w:eastAsia="en-US"/>
              </w:rPr>
            </w:pPr>
            <w:r w:rsidRPr="007E4856">
              <w:rPr>
                <w:color w:val="000000"/>
              </w:rPr>
              <w:t>19</w:t>
            </w:r>
            <w:r w:rsidR="00CF3977" w:rsidRPr="007E4856">
              <w:rPr>
                <w:color w:val="000000"/>
              </w:rPr>
              <w:t>,</w:t>
            </w:r>
            <w:r w:rsidRPr="007E4856">
              <w:rPr>
                <w:color w:val="000000"/>
              </w:rPr>
              <w:t>926</w:t>
            </w:r>
          </w:p>
        </w:tc>
        <w:tc>
          <w:tcPr>
            <w:tcW w:w="1361" w:type="dxa"/>
            <w:tcBorders>
              <w:top w:val="single" w:sz="4" w:space="0" w:color="auto"/>
              <w:left w:val="single" w:sz="4" w:space="0" w:color="auto"/>
              <w:bottom w:val="single" w:sz="4" w:space="0" w:color="auto"/>
              <w:right w:val="single" w:sz="4" w:space="0" w:color="auto"/>
            </w:tcBorders>
          </w:tcPr>
          <w:p w:rsidR="00C80A7A" w:rsidRPr="007E4856" w:rsidRDefault="00C80A7A" w:rsidP="00CF3977">
            <w:pPr>
              <w:suppressAutoHyphens/>
              <w:jc w:val="right"/>
              <w:rPr>
                <w:color w:val="000000"/>
                <w:lang w:eastAsia="en-US"/>
              </w:rPr>
            </w:pPr>
            <w:r w:rsidRPr="007E4856">
              <w:rPr>
                <w:color w:val="000000"/>
              </w:rPr>
              <w:t>22</w:t>
            </w:r>
            <w:r w:rsidR="00CF3977" w:rsidRPr="007E4856">
              <w:rPr>
                <w:color w:val="000000"/>
              </w:rPr>
              <w:t>,</w:t>
            </w:r>
            <w:r w:rsidRPr="007E4856">
              <w:rPr>
                <w:color w:val="000000"/>
              </w:rPr>
              <w:t>924</w:t>
            </w:r>
          </w:p>
        </w:tc>
        <w:tc>
          <w:tcPr>
            <w:tcW w:w="1361" w:type="dxa"/>
            <w:tcBorders>
              <w:top w:val="single" w:sz="4" w:space="0" w:color="auto"/>
              <w:left w:val="single" w:sz="4" w:space="0" w:color="auto"/>
              <w:bottom w:val="single" w:sz="4" w:space="0" w:color="auto"/>
              <w:right w:val="single" w:sz="4" w:space="0" w:color="auto"/>
            </w:tcBorders>
          </w:tcPr>
          <w:p w:rsidR="00C80A7A" w:rsidRPr="007E4856" w:rsidRDefault="00C80A7A" w:rsidP="00CF3977">
            <w:pPr>
              <w:suppressAutoHyphens/>
              <w:jc w:val="right"/>
              <w:rPr>
                <w:color w:val="000000"/>
                <w:lang w:eastAsia="en-US"/>
              </w:rPr>
            </w:pPr>
            <w:r w:rsidRPr="007E4856">
              <w:rPr>
                <w:color w:val="000000"/>
              </w:rPr>
              <w:t>26</w:t>
            </w:r>
            <w:r w:rsidR="00CF3977" w:rsidRPr="007E4856">
              <w:rPr>
                <w:color w:val="000000"/>
              </w:rPr>
              <w:t>,</w:t>
            </w:r>
            <w:r w:rsidRPr="007E4856">
              <w:rPr>
                <w:color w:val="000000"/>
              </w:rPr>
              <w:t>169</w:t>
            </w:r>
          </w:p>
        </w:tc>
        <w:tc>
          <w:tcPr>
            <w:tcW w:w="1361" w:type="dxa"/>
            <w:tcBorders>
              <w:top w:val="single" w:sz="4" w:space="0" w:color="auto"/>
              <w:left w:val="single" w:sz="4" w:space="0" w:color="auto"/>
              <w:bottom w:val="single" w:sz="4" w:space="0" w:color="auto"/>
              <w:right w:val="single" w:sz="4" w:space="0" w:color="auto"/>
            </w:tcBorders>
          </w:tcPr>
          <w:p w:rsidR="00C80A7A" w:rsidRPr="007E4856" w:rsidRDefault="00C80A7A" w:rsidP="00CF3977">
            <w:pPr>
              <w:suppressAutoHyphens/>
              <w:jc w:val="right"/>
              <w:rPr>
                <w:color w:val="000000"/>
                <w:lang w:eastAsia="en-US"/>
              </w:rPr>
            </w:pPr>
            <w:r w:rsidRPr="007E4856">
              <w:rPr>
                <w:color w:val="000000"/>
              </w:rPr>
              <w:t>30</w:t>
            </w:r>
            <w:r w:rsidR="00CF3977" w:rsidRPr="007E4856">
              <w:rPr>
                <w:color w:val="000000"/>
              </w:rPr>
              <w:t>,</w:t>
            </w:r>
            <w:r w:rsidRPr="007E4856">
              <w:rPr>
                <w:color w:val="000000"/>
              </w:rPr>
              <w:t>548</w:t>
            </w:r>
          </w:p>
        </w:tc>
        <w:tc>
          <w:tcPr>
            <w:tcW w:w="1361" w:type="dxa"/>
            <w:tcBorders>
              <w:top w:val="single" w:sz="4" w:space="0" w:color="auto"/>
              <w:left w:val="single" w:sz="4" w:space="0" w:color="auto"/>
              <w:bottom w:val="single" w:sz="4" w:space="0" w:color="auto"/>
              <w:right w:val="single" w:sz="4" w:space="0" w:color="auto"/>
            </w:tcBorders>
          </w:tcPr>
          <w:p w:rsidR="00C80A7A" w:rsidRPr="007E4856" w:rsidRDefault="00C80A7A" w:rsidP="00CF3977">
            <w:pPr>
              <w:suppressAutoHyphens/>
              <w:jc w:val="right"/>
              <w:rPr>
                <w:color w:val="000000"/>
                <w:lang w:eastAsia="en-US"/>
              </w:rPr>
            </w:pPr>
            <w:r w:rsidRPr="007E4856">
              <w:rPr>
                <w:color w:val="000000"/>
              </w:rPr>
              <w:t>44</w:t>
            </w:r>
            <w:r w:rsidR="00CF3977" w:rsidRPr="007E4856">
              <w:rPr>
                <w:color w:val="000000"/>
              </w:rPr>
              <w:t>,</w:t>
            </w:r>
            <w:r w:rsidRPr="007E4856">
              <w:rPr>
                <w:color w:val="000000"/>
              </w:rPr>
              <w:t>992</w:t>
            </w:r>
          </w:p>
        </w:tc>
      </w:tr>
    </w:tbl>
    <w:p w:rsidR="00C80A7A" w:rsidRDefault="00C80A7A" w:rsidP="00C80A7A">
      <w:pPr>
        <w:rPr>
          <w:color w:val="000000"/>
        </w:rPr>
      </w:pPr>
    </w:p>
    <w:p w:rsidR="00C80A7A" w:rsidRDefault="00C80A7A" w:rsidP="00C80A7A">
      <w:pPr>
        <w:rPr>
          <w:color w:val="000000"/>
        </w:rPr>
      </w:pPr>
      <w:r>
        <w:rPr>
          <w:b/>
          <w:bCs/>
          <w:color w:val="000000"/>
        </w:rPr>
        <w:t>Average time taken for national patent processing</w:t>
      </w:r>
    </w:p>
    <w:p w:rsidR="00C80A7A" w:rsidRDefault="00C80A7A" w:rsidP="00C80A7A">
      <w:pPr>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07"/>
        <w:gridCol w:w="3193"/>
        <w:gridCol w:w="2922"/>
      </w:tblGrid>
      <w:tr w:rsidR="00C80A7A" w:rsidTr="00BB192E">
        <w:trPr>
          <w:cantSplit/>
        </w:trPr>
        <w:tc>
          <w:tcPr>
            <w:tcW w:w="2407" w:type="dxa"/>
            <w:tcBorders>
              <w:top w:val="single" w:sz="4" w:space="0" w:color="auto"/>
              <w:left w:val="single" w:sz="4" w:space="0" w:color="auto"/>
              <w:bottom w:val="single" w:sz="4" w:space="0" w:color="auto"/>
              <w:right w:val="single" w:sz="4" w:space="0" w:color="auto"/>
            </w:tcBorders>
          </w:tcPr>
          <w:p w:rsidR="00C80A7A" w:rsidRDefault="00C80A7A" w:rsidP="00BB192E">
            <w:pPr>
              <w:suppressAutoHyphens/>
              <w:rPr>
                <w:b/>
                <w:bCs/>
                <w:color w:val="000000"/>
                <w:lang w:eastAsia="en-US"/>
              </w:rPr>
            </w:pPr>
            <w:r>
              <w:rPr>
                <w:b/>
                <w:bCs/>
                <w:color w:val="000000"/>
                <w:lang w:eastAsia="en-US"/>
              </w:rPr>
              <w:t>Indicator</w:t>
            </w:r>
          </w:p>
        </w:tc>
        <w:tc>
          <w:tcPr>
            <w:tcW w:w="3193" w:type="dxa"/>
            <w:tcBorders>
              <w:top w:val="single" w:sz="4" w:space="0" w:color="auto"/>
              <w:left w:val="single" w:sz="4" w:space="0" w:color="auto"/>
              <w:bottom w:val="single" w:sz="4" w:space="0" w:color="auto"/>
              <w:right w:val="single" w:sz="4" w:space="0" w:color="auto"/>
            </w:tcBorders>
          </w:tcPr>
          <w:p w:rsidR="00C80A7A" w:rsidRDefault="00C80A7A" w:rsidP="00BB192E">
            <w:pPr>
              <w:suppressAutoHyphens/>
              <w:rPr>
                <w:b/>
                <w:bCs/>
                <w:color w:val="000000"/>
                <w:lang w:eastAsia="en-US"/>
              </w:rPr>
            </w:pPr>
            <w:r>
              <w:rPr>
                <w:b/>
                <w:bCs/>
                <w:color w:val="000000"/>
                <w:lang w:eastAsia="en-US"/>
              </w:rPr>
              <w:t>Measured from</w:t>
            </w:r>
          </w:p>
        </w:tc>
        <w:tc>
          <w:tcPr>
            <w:tcW w:w="2922" w:type="dxa"/>
            <w:tcBorders>
              <w:top w:val="single" w:sz="4" w:space="0" w:color="auto"/>
              <w:left w:val="single" w:sz="4" w:space="0" w:color="auto"/>
              <w:bottom w:val="single" w:sz="4" w:space="0" w:color="auto"/>
              <w:right w:val="single" w:sz="4" w:space="0" w:color="auto"/>
            </w:tcBorders>
          </w:tcPr>
          <w:p w:rsidR="00C80A7A" w:rsidRDefault="00C80A7A" w:rsidP="00BB192E">
            <w:pPr>
              <w:suppressAutoHyphens/>
              <w:rPr>
                <w:b/>
                <w:bCs/>
                <w:color w:val="000000"/>
                <w:lang w:eastAsia="en-US"/>
              </w:rPr>
            </w:pPr>
            <w:r>
              <w:rPr>
                <w:b/>
                <w:bCs/>
                <w:color w:val="000000"/>
                <w:lang w:eastAsia="en-US"/>
              </w:rPr>
              <w:t>Time (months)</w:t>
            </w:r>
          </w:p>
        </w:tc>
      </w:tr>
      <w:tr w:rsidR="00C80A7A" w:rsidTr="00BB192E">
        <w:trPr>
          <w:cantSplit/>
        </w:trPr>
        <w:tc>
          <w:tcPr>
            <w:tcW w:w="2407" w:type="dxa"/>
            <w:tcBorders>
              <w:top w:val="single" w:sz="4" w:space="0" w:color="auto"/>
              <w:left w:val="single" w:sz="4" w:space="0" w:color="auto"/>
              <w:bottom w:val="single" w:sz="4" w:space="0" w:color="auto"/>
              <w:right w:val="single" w:sz="4" w:space="0" w:color="auto"/>
            </w:tcBorders>
          </w:tcPr>
          <w:p w:rsidR="00C80A7A" w:rsidRDefault="00C80A7A" w:rsidP="00BB192E">
            <w:pPr>
              <w:suppressAutoHyphens/>
              <w:rPr>
                <w:color w:val="000000"/>
                <w:lang w:eastAsia="en-US"/>
              </w:rPr>
            </w:pPr>
            <w:r>
              <w:rPr>
                <w:color w:val="000000"/>
                <w:lang w:eastAsia="en-US"/>
              </w:rPr>
              <w:t>To search</w:t>
            </w:r>
          </w:p>
        </w:tc>
        <w:tc>
          <w:tcPr>
            <w:tcW w:w="3193" w:type="dxa"/>
            <w:tcBorders>
              <w:top w:val="single" w:sz="4" w:space="0" w:color="auto"/>
              <w:left w:val="single" w:sz="4" w:space="0" w:color="auto"/>
              <w:bottom w:val="single" w:sz="4" w:space="0" w:color="auto"/>
              <w:right w:val="single" w:sz="4" w:space="0" w:color="auto"/>
            </w:tcBorders>
          </w:tcPr>
          <w:p w:rsidR="00C80A7A" w:rsidRPr="007E4856" w:rsidRDefault="00C80A7A" w:rsidP="00BB192E">
            <w:pPr>
              <w:suppressAutoHyphens/>
              <w:rPr>
                <w:color w:val="000000"/>
                <w:lang w:eastAsia="en-US"/>
              </w:rPr>
            </w:pPr>
          </w:p>
        </w:tc>
        <w:tc>
          <w:tcPr>
            <w:tcW w:w="2922" w:type="dxa"/>
            <w:tcBorders>
              <w:top w:val="single" w:sz="4" w:space="0" w:color="auto"/>
              <w:left w:val="single" w:sz="4" w:space="0" w:color="auto"/>
              <w:bottom w:val="single" w:sz="4" w:space="0" w:color="auto"/>
              <w:right w:val="single" w:sz="4" w:space="0" w:color="auto"/>
            </w:tcBorders>
          </w:tcPr>
          <w:p w:rsidR="00C80A7A" w:rsidRPr="007E4856" w:rsidRDefault="00C80A7A" w:rsidP="00BB192E">
            <w:pPr>
              <w:suppressAutoHyphens/>
              <w:rPr>
                <w:color w:val="000000"/>
                <w:lang w:eastAsia="en-US"/>
              </w:rPr>
            </w:pPr>
          </w:p>
        </w:tc>
      </w:tr>
      <w:tr w:rsidR="00C80A7A" w:rsidTr="00BB192E">
        <w:trPr>
          <w:cantSplit/>
        </w:trPr>
        <w:tc>
          <w:tcPr>
            <w:tcW w:w="2407" w:type="dxa"/>
            <w:tcBorders>
              <w:top w:val="single" w:sz="4" w:space="0" w:color="auto"/>
              <w:left w:val="single" w:sz="4" w:space="0" w:color="auto"/>
              <w:bottom w:val="single" w:sz="4" w:space="0" w:color="auto"/>
              <w:right w:val="single" w:sz="4" w:space="0" w:color="auto"/>
            </w:tcBorders>
          </w:tcPr>
          <w:p w:rsidR="00C80A7A" w:rsidRDefault="00C80A7A" w:rsidP="00BB192E">
            <w:pPr>
              <w:suppressAutoHyphens/>
              <w:rPr>
                <w:color w:val="000000"/>
                <w:lang w:eastAsia="en-US"/>
              </w:rPr>
            </w:pPr>
            <w:r>
              <w:rPr>
                <w:color w:val="000000"/>
                <w:lang w:eastAsia="en-US"/>
              </w:rPr>
              <w:t>To first examination</w:t>
            </w:r>
          </w:p>
        </w:tc>
        <w:tc>
          <w:tcPr>
            <w:tcW w:w="3193" w:type="dxa"/>
            <w:tcBorders>
              <w:top w:val="single" w:sz="4" w:space="0" w:color="auto"/>
              <w:left w:val="single" w:sz="4" w:space="0" w:color="auto"/>
              <w:bottom w:val="single" w:sz="4" w:space="0" w:color="auto"/>
              <w:right w:val="single" w:sz="4" w:space="0" w:color="auto"/>
            </w:tcBorders>
          </w:tcPr>
          <w:p w:rsidR="00C80A7A" w:rsidRPr="007E4856" w:rsidRDefault="00C80A7A" w:rsidP="00BB192E">
            <w:pPr>
              <w:suppressAutoHyphens/>
              <w:rPr>
                <w:color w:val="000000"/>
                <w:lang w:eastAsia="en-US"/>
              </w:rPr>
            </w:pPr>
          </w:p>
        </w:tc>
        <w:tc>
          <w:tcPr>
            <w:tcW w:w="2922" w:type="dxa"/>
            <w:tcBorders>
              <w:top w:val="single" w:sz="4" w:space="0" w:color="auto"/>
              <w:left w:val="single" w:sz="4" w:space="0" w:color="auto"/>
              <w:bottom w:val="single" w:sz="4" w:space="0" w:color="auto"/>
              <w:right w:val="single" w:sz="4" w:space="0" w:color="auto"/>
            </w:tcBorders>
          </w:tcPr>
          <w:p w:rsidR="00C80A7A" w:rsidRPr="007E4856" w:rsidRDefault="00C80A7A" w:rsidP="00BB192E">
            <w:pPr>
              <w:suppressAutoHyphens/>
              <w:rPr>
                <w:color w:val="000000"/>
                <w:lang w:eastAsia="en-US"/>
              </w:rPr>
            </w:pPr>
          </w:p>
        </w:tc>
      </w:tr>
      <w:tr w:rsidR="00C80A7A" w:rsidTr="00BB192E">
        <w:trPr>
          <w:cantSplit/>
        </w:trPr>
        <w:tc>
          <w:tcPr>
            <w:tcW w:w="2407" w:type="dxa"/>
            <w:tcBorders>
              <w:top w:val="single" w:sz="4" w:space="0" w:color="auto"/>
              <w:left w:val="single" w:sz="4" w:space="0" w:color="auto"/>
              <w:bottom w:val="single" w:sz="4" w:space="0" w:color="auto"/>
              <w:right w:val="single" w:sz="4" w:space="0" w:color="auto"/>
            </w:tcBorders>
          </w:tcPr>
          <w:p w:rsidR="00C80A7A" w:rsidRDefault="00C80A7A" w:rsidP="00BB192E">
            <w:pPr>
              <w:suppressAutoHyphens/>
              <w:rPr>
                <w:color w:val="000000"/>
                <w:lang w:eastAsia="en-US"/>
              </w:rPr>
            </w:pPr>
            <w:r>
              <w:rPr>
                <w:color w:val="000000"/>
                <w:lang w:eastAsia="en-US"/>
              </w:rPr>
              <w:t>To grant</w:t>
            </w:r>
          </w:p>
        </w:tc>
        <w:tc>
          <w:tcPr>
            <w:tcW w:w="3193" w:type="dxa"/>
            <w:tcBorders>
              <w:top w:val="single" w:sz="4" w:space="0" w:color="auto"/>
              <w:left w:val="single" w:sz="4" w:space="0" w:color="auto"/>
              <w:bottom w:val="single" w:sz="4" w:space="0" w:color="auto"/>
              <w:right w:val="single" w:sz="4" w:space="0" w:color="auto"/>
            </w:tcBorders>
          </w:tcPr>
          <w:p w:rsidR="00C80A7A" w:rsidRPr="007E4856" w:rsidRDefault="00C80A7A" w:rsidP="00BB192E">
            <w:pPr>
              <w:suppressAutoHyphens/>
              <w:rPr>
                <w:color w:val="000000"/>
                <w:lang w:eastAsia="en-US"/>
              </w:rPr>
            </w:pPr>
            <w:r w:rsidRPr="007E4856">
              <w:rPr>
                <w:color w:val="000000"/>
                <w:lang w:eastAsia="en-US"/>
              </w:rPr>
              <w:t>the effective date of substantive examination</w:t>
            </w:r>
          </w:p>
        </w:tc>
        <w:tc>
          <w:tcPr>
            <w:tcW w:w="2922" w:type="dxa"/>
            <w:tcBorders>
              <w:top w:val="single" w:sz="4" w:space="0" w:color="auto"/>
              <w:left w:val="single" w:sz="4" w:space="0" w:color="auto"/>
              <w:bottom w:val="single" w:sz="4" w:space="0" w:color="auto"/>
              <w:right w:val="single" w:sz="4" w:space="0" w:color="auto"/>
            </w:tcBorders>
          </w:tcPr>
          <w:p w:rsidR="00C80A7A" w:rsidRPr="007E4856" w:rsidRDefault="00C80A7A" w:rsidP="00CF3977">
            <w:pPr>
              <w:suppressAutoHyphens/>
              <w:jc w:val="center"/>
              <w:rPr>
                <w:color w:val="000000"/>
              </w:rPr>
            </w:pPr>
            <w:r w:rsidRPr="007E4856">
              <w:rPr>
                <w:color w:val="000000"/>
              </w:rPr>
              <w:t>22.0</w:t>
            </w:r>
            <w:r w:rsidRPr="007E4856">
              <w:rPr>
                <w:rStyle w:val="FootnoteReference"/>
                <w:rFonts w:cs="Arial"/>
                <w:color w:val="000000"/>
              </w:rPr>
              <w:footnoteReference w:id="4"/>
            </w:r>
          </w:p>
        </w:tc>
      </w:tr>
    </w:tbl>
    <w:p w:rsidR="00C80A7A" w:rsidRDefault="00C80A7A" w:rsidP="00C80A7A">
      <w:pPr>
        <w:pStyle w:val="SectionHeading"/>
      </w:pPr>
      <w:r>
        <w:t>7 – Support Required</w:t>
      </w:r>
    </w:p>
    <w:p w:rsidR="00C80A7A" w:rsidRDefault="00CF3977" w:rsidP="00C80A7A">
      <w:pPr>
        <w:rPr>
          <w:i/>
          <w:iCs/>
          <w:color w:val="000000"/>
        </w:rPr>
      </w:pPr>
      <w:r>
        <w:rPr>
          <w:i/>
          <w:iCs/>
          <w:color w:val="000000"/>
        </w:rPr>
        <w:t>N/A</w:t>
      </w:r>
    </w:p>
    <w:p w:rsidR="00C80A7A" w:rsidRDefault="00C80A7A" w:rsidP="00C80A7A">
      <w:pPr>
        <w:pStyle w:val="SectionHeading"/>
      </w:pPr>
      <w:r>
        <w:t>8 – Other</w:t>
      </w:r>
    </w:p>
    <w:p w:rsidR="00C80A7A" w:rsidRDefault="00CF3977" w:rsidP="00C80A7A">
      <w:pPr>
        <w:rPr>
          <w:i/>
          <w:iCs/>
          <w:color w:val="000000"/>
        </w:rPr>
      </w:pPr>
      <w:r>
        <w:rPr>
          <w:i/>
          <w:iCs/>
          <w:color w:val="000000"/>
        </w:rPr>
        <w:t>N/A</w:t>
      </w:r>
    </w:p>
    <w:p w:rsidR="00C80A7A" w:rsidRDefault="00C80A7A" w:rsidP="00C80A7A">
      <w:pPr>
        <w:pStyle w:val="SectionHeading"/>
      </w:pPr>
      <w:r>
        <w:t>9 – Assessment by other Authorities</w:t>
      </w:r>
    </w:p>
    <w:p w:rsidR="00C80A7A" w:rsidRDefault="00CF3977" w:rsidP="00C80A7A">
      <w:pPr>
        <w:rPr>
          <w:i/>
          <w:iCs/>
          <w:color w:val="000000"/>
        </w:rPr>
      </w:pPr>
      <w:r>
        <w:rPr>
          <w:i/>
          <w:iCs/>
          <w:color w:val="000000"/>
        </w:rPr>
        <w:t>N/A</w:t>
      </w:r>
    </w:p>
    <w:p w:rsidR="00C80A7A" w:rsidRPr="00CF3977" w:rsidRDefault="00C80A7A" w:rsidP="00CF3977"/>
    <w:p w:rsidR="00AA5F79" w:rsidRDefault="00AA5F79" w:rsidP="00AA5F79">
      <w:pPr>
        <w:pStyle w:val="ONUME"/>
        <w:numPr>
          <w:ilvl w:val="0"/>
          <w:numId w:val="0"/>
        </w:numPr>
      </w:pPr>
    </w:p>
    <w:p w:rsidR="00AA5F79" w:rsidRPr="00AA5F79" w:rsidRDefault="00FA4CE0" w:rsidP="00FA4CE0">
      <w:pPr>
        <w:pStyle w:val="Endofdocument-Annex"/>
      </w:pPr>
      <w:r>
        <w:t>[End of Annex and of document]</w:t>
      </w:r>
    </w:p>
    <w:sectPr w:rsidR="00AA5F79" w:rsidRPr="00AA5F79" w:rsidSect="00AA5F79">
      <w:headerReference w:type="default" r:id="rId11"/>
      <w:headerReference w:type="first" r:id="rId12"/>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50A4" w:rsidRDefault="00C650A4">
      <w:r>
        <w:separator/>
      </w:r>
    </w:p>
  </w:endnote>
  <w:endnote w:type="continuationSeparator" w:id="0">
    <w:p w:rsidR="00C650A4" w:rsidRDefault="00C650A4" w:rsidP="003B38C1">
      <w:r>
        <w:separator/>
      </w:r>
    </w:p>
    <w:p w:rsidR="00C650A4" w:rsidRPr="003B38C1" w:rsidRDefault="00C650A4" w:rsidP="003B38C1">
      <w:pPr>
        <w:spacing w:after="60"/>
        <w:rPr>
          <w:sz w:val="17"/>
        </w:rPr>
      </w:pPr>
      <w:r>
        <w:rPr>
          <w:sz w:val="17"/>
        </w:rPr>
        <w:t>[Endnote continued from previous page]</w:t>
      </w:r>
    </w:p>
  </w:endnote>
  <w:endnote w:type="continuationNotice" w:id="1">
    <w:p w:rsidR="00C650A4" w:rsidRPr="003B38C1" w:rsidRDefault="00C650A4"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50A4" w:rsidRDefault="00C650A4">
      <w:r>
        <w:separator/>
      </w:r>
    </w:p>
  </w:footnote>
  <w:footnote w:type="continuationSeparator" w:id="0">
    <w:p w:rsidR="00C650A4" w:rsidRDefault="00C650A4" w:rsidP="008B60B2">
      <w:r>
        <w:separator/>
      </w:r>
    </w:p>
    <w:p w:rsidR="00C650A4" w:rsidRPr="00ED77FB" w:rsidRDefault="00C650A4" w:rsidP="008B60B2">
      <w:pPr>
        <w:spacing w:after="60"/>
        <w:rPr>
          <w:sz w:val="17"/>
          <w:szCs w:val="17"/>
        </w:rPr>
      </w:pPr>
      <w:r w:rsidRPr="00ED77FB">
        <w:rPr>
          <w:sz w:val="17"/>
          <w:szCs w:val="17"/>
        </w:rPr>
        <w:t>[Footnote continued from previous page]</w:t>
      </w:r>
    </w:p>
  </w:footnote>
  <w:footnote w:type="continuationNotice" w:id="1">
    <w:p w:rsidR="00C650A4" w:rsidRPr="00ED77FB" w:rsidRDefault="00C650A4" w:rsidP="008B60B2">
      <w:pPr>
        <w:spacing w:before="60"/>
        <w:jc w:val="right"/>
        <w:rPr>
          <w:sz w:val="17"/>
          <w:szCs w:val="17"/>
        </w:rPr>
      </w:pPr>
      <w:r w:rsidRPr="00ED77FB">
        <w:rPr>
          <w:sz w:val="17"/>
          <w:szCs w:val="17"/>
        </w:rPr>
        <w:t>[Footnote continued on next page]</w:t>
      </w:r>
    </w:p>
  </w:footnote>
  <w:footnote w:id="2">
    <w:p w:rsidR="00C80A7A" w:rsidRDefault="00C80A7A" w:rsidP="00C80A7A">
      <w:pPr>
        <w:pStyle w:val="FootnoteText"/>
        <w:rPr>
          <w:color w:val="000000"/>
        </w:rPr>
      </w:pPr>
      <w:r>
        <w:rPr>
          <w:rStyle w:val="FootnoteReference"/>
          <w:color w:val="000000"/>
        </w:rPr>
        <w:footnoteRef/>
      </w:r>
      <w:r>
        <w:rPr>
          <w:color w:val="000000"/>
        </w:rPr>
        <w:t xml:space="preserve"> </w:t>
      </w:r>
      <w:r w:rsidR="00CF3977">
        <w:rPr>
          <w:color w:val="000000"/>
        </w:rPr>
        <w:tab/>
      </w:r>
      <w:r>
        <w:rPr>
          <w:color w:val="000000"/>
        </w:rPr>
        <w:t>Up to</w:t>
      </w:r>
      <w:r w:rsidR="00CF3977">
        <w:rPr>
          <w:color w:val="000000"/>
        </w:rPr>
        <w:t xml:space="preserve"> </w:t>
      </w:r>
      <w:r>
        <w:rPr>
          <w:color w:val="000000"/>
        </w:rPr>
        <w:t>Dec</w:t>
      </w:r>
      <w:r w:rsidR="00CF3977">
        <w:rPr>
          <w:color w:val="000000"/>
        </w:rPr>
        <w:t xml:space="preserve">ember </w:t>
      </w:r>
      <w:r>
        <w:rPr>
          <w:color w:val="000000"/>
        </w:rPr>
        <w:t>2016, including the Patent Office and Patent Examination Cooperation Center</w:t>
      </w:r>
    </w:p>
  </w:footnote>
  <w:footnote w:id="3">
    <w:p w:rsidR="00C80A7A" w:rsidRDefault="00C80A7A" w:rsidP="00C80A7A">
      <w:pPr>
        <w:pStyle w:val="FootnoteText"/>
        <w:rPr>
          <w:color w:val="000000"/>
        </w:rPr>
      </w:pPr>
      <w:r>
        <w:rPr>
          <w:rStyle w:val="FootnoteReference"/>
          <w:color w:val="000000"/>
        </w:rPr>
        <w:footnoteRef/>
      </w:r>
      <w:r>
        <w:rPr>
          <w:color w:val="000000"/>
        </w:rPr>
        <w:t xml:space="preserve"> </w:t>
      </w:r>
      <w:r w:rsidR="00CF3977">
        <w:rPr>
          <w:color w:val="000000"/>
        </w:rPr>
        <w:tab/>
      </w:r>
      <w:r>
        <w:rPr>
          <w:color w:val="000000"/>
        </w:rPr>
        <w:t>Including invention and utility model</w:t>
      </w:r>
    </w:p>
  </w:footnote>
  <w:footnote w:id="4">
    <w:p w:rsidR="00C80A7A" w:rsidRDefault="00C80A7A" w:rsidP="00C80A7A">
      <w:pPr>
        <w:pStyle w:val="FootnoteText"/>
        <w:rPr>
          <w:color w:val="000000"/>
        </w:rPr>
      </w:pPr>
      <w:r>
        <w:rPr>
          <w:rStyle w:val="FootnoteReference"/>
          <w:color w:val="000000"/>
        </w:rPr>
        <w:footnoteRef/>
      </w:r>
      <w:r>
        <w:rPr>
          <w:color w:val="000000"/>
        </w:rPr>
        <w:t xml:space="preserve"> </w:t>
      </w:r>
      <w:r w:rsidR="00CF3977">
        <w:rPr>
          <w:color w:val="000000"/>
        </w:rPr>
        <w:tab/>
      </w:r>
      <w:r>
        <w:rPr>
          <w:color w:val="000000"/>
        </w:rPr>
        <w:t>Up to Dec</w:t>
      </w:r>
      <w:r w:rsidR="00CF3977">
        <w:rPr>
          <w:color w:val="000000"/>
        </w:rPr>
        <w:t xml:space="preserve">ember </w:t>
      </w:r>
      <w:r>
        <w:rPr>
          <w:color w:val="000000"/>
        </w:rPr>
        <w:t>2016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4E49" w:rsidRDefault="00C650A4" w:rsidP="00477D6B">
    <w:pPr>
      <w:jc w:val="right"/>
    </w:pPr>
    <w:bookmarkStart w:id="6" w:name="Code2"/>
    <w:bookmarkEnd w:id="6"/>
    <w:r>
      <w:t>PCT/CTC/30</w:t>
    </w:r>
    <w:r w:rsidR="00C80A7A">
      <w:t>/8</w:t>
    </w:r>
  </w:p>
  <w:p w:rsidR="00EC4E49" w:rsidRDefault="00EC4E49" w:rsidP="00477D6B">
    <w:pPr>
      <w:jc w:val="right"/>
    </w:pPr>
    <w:proofErr w:type="gramStart"/>
    <w:r>
      <w:t>page</w:t>
    </w:r>
    <w:proofErr w:type="gramEnd"/>
    <w:r>
      <w:t xml:space="preserve"> </w:t>
    </w:r>
    <w:r>
      <w:fldChar w:fldCharType="begin"/>
    </w:r>
    <w:r>
      <w:instrText xml:space="preserve"> PAGE  \* MERGEFORMAT </w:instrText>
    </w:r>
    <w:r>
      <w:fldChar w:fldCharType="separate"/>
    </w:r>
    <w:r w:rsidR="00BB4DE0">
      <w:rPr>
        <w:noProof/>
      </w:rPr>
      <w:t>4</w:t>
    </w:r>
    <w:r>
      <w:fldChar w:fldCharType="end"/>
    </w:r>
  </w:p>
  <w:p w:rsidR="00EC4E49" w:rsidRDefault="00EC4E49" w:rsidP="00477D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5F79" w:rsidRPr="00AA5F79" w:rsidRDefault="00AA5F79" w:rsidP="00477D6B">
    <w:pPr>
      <w:jc w:val="right"/>
      <w:rPr>
        <w:lang w:val="fr-FR"/>
      </w:rPr>
    </w:pPr>
    <w:r w:rsidRPr="00AA5F79">
      <w:rPr>
        <w:lang w:val="fr-FR"/>
      </w:rPr>
      <w:t>PCT/CTC/30</w:t>
    </w:r>
    <w:r w:rsidR="00C80A7A">
      <w:rPr>
        <w:lang w:val="fr-FR"/>
      </w:rPr>
      <w:t>/8</w:t>
    </w:r>
  </w:p>
  <w:p w:rsidR="00AA5F79" w:rsidRPr="00AA5F79" w:rsidRDefault="00AA5F79" w:rsidP="00477D6B">
    <w:pPr>
      <w:jc w:val="right"/>
      <w:rPr>
        <w:lang w:val="fr-FR"/>
      </w:rPr>
    </w:pPr>
    <w:proofErr w:type="spellStart"/>
    <w:r w:rsidRPr="00AA5F79">
      <w:rPr>
        <w:lang w:val="fr-FR"/>
      </w:rPr>
      <w:t>Annex</w:t>
    </w:r>
    <w:proofErr w:type="spellEnd"/>
    <w:r w:rsidRPr="00AA5F79">
      <w:rPr>
        <w:lang w:val="fr-FR"/>
      </w:rPr>
      <w:t xml:space="preserve">, page </w:t>
    </w:r>
    <w:r>
      <w:fldChar w:fldCharType="begin"/>
    </w:r>
    <w:r w:rsidRPr="00AA5F79">
      <w:rPr>
        <w:lang w:val="fr-FR"/>
      </w:rPr>
      <w:instrText xml:space="preserve"> PAGE  \* MERGEFORMAT </w:instrText>
    </w:r>
    <w:r>
      <w:fldChar w:fldCharType="separate"/>
    </w:r>
    <w:r w:rsidR="00095600">
      <w:rPr>
        <w:noProof/>
        <w:lang w:val="fr-FR"/>
      </w:rPr>
      <w:t>4</w:t>
    </w:r>
    <w:r>
      <w:fldChar w:fldCharType="end"/>
    </w:r>
  </w:p>
  <w:p w:rsidR="00AA5F79" w:rsidRPr="00AA5F79" w:rsidRDefault="00AA5F79" w:rsidP="00477D6B">
    <w:pPr>
      <w:jc w:val="right"/>
      <w:rPr>
        <w:lang w:val="fr-FR"/>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5F79" w:rsidRDefault="00AA5F79" w:rsidP="00AA5F79">
    <w:pPr>
      <w:pStyle w:val="Header"/>
      <w:jc w:val="right"/>
    </w:pPr>
    <w:r>
      <w:t>PCT/CTC/30</w:t>
    </w:r>
    <w:r w:rsidR="00C80A7A">
      <w:t>/8</w:t>
    </w:r>
  </w:p>
  <w:p w:rsidR="00AA5F79" w:rsidRDefault="00AA5F79" w:rsidP="00AA5F79">
    <w:pPr>
      <w:pStyle w:val="Header"/>
      <w:jc w:val="right"/>
    </w:pPr>
    <w:r>
      <w:t>ANNEX</w:t>
    </w:r>
  </w:p>
  <w:p w:rsidR="00AA5F79" w:rsidRDefault="00AA5F7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60461839"/>
    <w:multiLevelType w:val="multilevel"/>
    <w:tmpl w:val="60461839"/>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2"/>
  </w:num>
  <w:num w:numId="2">
    <w:abstractNumId w:val="4"/>
  </w:num>
  <w:num w:numId="3">
    <w:abstractNumId w:val="0"/>
  </w:num>
  <w:num w:numId="4">
    <w:abstractNumId w:val="5"/>
  </w:num>
  <w:num w:numId="5">
    <w:abstractNumId w:val="1"/>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2529"/>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50A4"/>
    <w:rsid w:val="00011582"/>
    <w:rsid w:val="00043CAA"/>
    <w:rsid w:val="00075432"/>
    <w:rsid w:val="00095600"/>
    <w:rsid w:val="000968ED"/>
    <w:rsid w:val="000F5E56"/>
    <w:rsid w:val="001362EE"/>
    <w:rsid w:val="001832A6"/>
    <w:rsid w:val="0021217E"/>
    <w:rsid w:val="002634C4"/>
    <w:rsid w:val="002928D3"/>
    <w:rsid w:val="002F1FE6"/>
    <w:rsid w:val="002F4E68"/>
    <w:rsid w:val="00312F7F"/>
    <w:rsid w:val="0035027E"/>
    <w:rsid w:val="00361450"/>
    <w:rsid w:val="003673CF"/>
    <w:rsid w:val="003845C1"/>
    <w:rsid w:val="003A6F89"/>
    <w:rsid w:val="003B38C1"/>
    <w:rsid w:val="00423E3E"/>
    <w:rsid w:val="00427AF4"/>
    <w:rsid w:val="004647DA"/>
    <w:rsid w:val="00474062"/>
    <w:rsid w:val="00477D6B"/>
    <w:rsid w:val="004F74E6"/>
    <w:rsid w:val="005019FF"/>
    <w:rsid w:val="0053057A"/>
    <w:rsid w:val="00560A29"/>
    <w:rsid w:val="00562BD1"/>
    <w:rsid w:val="005C40A3"/>
    <w:rsid w:val="005C6649"/>
    <w:rsid w:val="00605827"/>
    <w:rsid w:val="00646050"/>
    <w:rsid w:val="006713CA"/>
    <w:rsid w:val="00676C5C"/>
    <w:rsid w:val="007D1613"/>
    <w:rsid w:val="007E4856"/>
    <w:rsid w:val="007E4C0E"/>
    <w:rsid w:val="00837953"/>
    <w:rsid w:val="008B2CC1"/>
    <w:rsid w:val="008B50A2"/>
    <w:rsid w:val="008B60B2"/>
    <w:rsid w:val="0090731E"/>
    <w:rsid w:val="00916EE2"/>
    <w:rsid w:val="00966A22"/>
    <w:rsid w:val="0096722F"/>
    <w:rsid w:val="009802C1"/>
    <w:rsid w:val="00980843"/>
    <w:rsid w:val="009E2791"/>
    <w:rsid w:val="009E3F6F"/>
    <w:rsid w:val="009F499F"/>
    <w:rsid w:val="00A42DAF"/>
    <w:rsid w:val="00A45BD8"/>
    <w:rsid w:val="00A869B7"/>
    <w:rsid w:val="00A93FC2"/>
    <w:rsid w:val="00AA5F79"/>
    <w:rsid w:val="00AC205C"/>
    <w:rsid w:val="00AF0A6B"/>
    <w:rsid w:val="00B05A69"/>
    <w:rsid w:val="00B82285"/>
    <w:rsid w:val="00B9734B"/>
    <w:rsid w:val="00BA30E2"/>
    <w:rsid w:val="00BB4DE0"/>
    <w:rsid w:val="00BD078D"/>
    <w:rsid w:val="00C11BFE"/>
    <w:rsid w:val="00C37C03"/>
    <w:rsid w:val="00C5068F"/>
    <w:rsid w:val="00C650A4"/>
    <w:rsid w:val="00C80A7A"/>
    <w:rsid w:val="00CD04F1"/>
    <w:rsid w:val="00CF3977"/>
    <w:rsid w:val="00D45252"/>
    <w:rsid w:val="00D71B4D"/>
    <w:rsid w:val="00D93D55"/>
    <w:rsid w:val="00E15015"/>
    <w:rsid w:val="00E335FE"/>
    <w:rsid w:val="00E82D0C"/>
    <w:rsid w:val="00EC4E49"/>
    <w:rsid w:val="00ED77FB"/>
    <w:rsid w:val="00EE45FA"/>
    <w:rsid w:val="00F66152"/>
    <w:rsid w:val="00FA2131"/>
    <w:rsid w:val="00FA4CE0"/>
    <w:rsid w:val="00FC1FA8"/>
    <w:rsid w:val="00FD06A7"/>
    <w:rsid w:val="00FD65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semiHidden/>
    <w:rsid w:val="00CF3977"/>
    <w:rPr>
      <w:sz w:val="20"/>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uiPriority w:val="99"/>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C650A4"/>
    <w:rPr>
      <w:rFonts w:ascii="Tahoma" w:hAnsi="Tahoma" w:cs="Tahoma"/>
      <w:sz w:val="16"/>
      <w:szCs w:val="16"/>
    </w:rPr>
  </w:style>
  <w:style w:type="character" w:customStyle="1" w:styleId="BalloonTextChar">
    <w:name w:val="Balloon Text Char"/>
    <w:basedOn w:val="DefaultParagraphFont"/>
    <w:link w:val="BalloonText"/>
    <w:rsid w:val="00C650A4"/>
    <w:rPr>
      <w:rFonts w:ascii="Tahoma" w:eastAsia="SimSun" w:hAnsi="Tahoma" w:cs="Tahoma"/>
      <w:sz w:val="16"/>
      <w:szCs w:val="16"/>
      <w:lang w:eastAsia="zh-CN"/>
    </w:rPr>
  </w:style>
  <w:style w:type="character" w:customStyle="1" w:styleId="ONUMEChar">
    <w:name w:val="ONUM E Char"/>
    <w:basedOn w:val="DefaultParagraphFont"/>
    <w:link w:val="ONUME"/>
    <w:uiPriority w:val="99"/>
    <w:locked/>
    <w:rsid w:val="005C40A3"/>
    <w:rPr>
      <w:rFonts w:ascii="Arial" w:eastAsia="SimSun" w:hAnsi="Arial" w:cs="Arial"/>
      <w:sz w:val="22"/>
      <w:lang w:eastAsia="zh-CN"/>
    </w:rPr>
  </w:style>
  <w:style w:type="character" w:customStyle="1" w:styleId="FootnoteTextChar">
    <w:name w:val="Footnote Text Char"/>
    <w:basedOn w:val="DefaultParagraphFont"/>
    <w:link w:val="FootnoteText"/>
    <w:semiHidden/>
    <w:locked/>
    <w:rsid w:val="00CF3977"/>
    <w:rPr>
      <w:rFonts w:ascii="Arial" w:eastAsia="SimSun" w:hAnsi="Arial" w:cs="Arial"/>
      <w:lang w:eastAsia="zh-CN"/>
    </w:rPr>
  </w:style>
  <w:style w:type="character" w:styleId="FootnoteReference">
    <w:name w:val="footnote reference"/>
    <w:basedOn w:val="DefaultParagraphFont"/>
    <w:rsid w:val="00C80A7A"/>
    <w:rPr>
      <w:rFonts w:cs="Times New Roman"/>
      <w:vertAlign w:val="superscript"/>
    </w:rPr>
  </w:style>
  <w:style w:type="character" w:customStyle="1" w:styleId="SectionHeadingChar">
    <w:name w:val="Section Heading Char"/>
    <w:link w:val="SectionHeading"/>
    <w:locked/>
    <w:rsid w:val="00C80A7A"/>
    <w:rPr>
      <w:rFonts w:ascii="Arial" w:hAnsi="Arial"/>
      <w:b/>
      <w:caps/>
      <w:color w:val="000000"/>
      <w:kern w:val="32"/>
      <w:sz w:val="22"/>
      <w:szCs w:val="22"/>
    </w:rPr>
  </w:style>
  <w:style w:type="paragraph" w:customStyle="1" w:styleId="SectionHeading">
    <w:name w:val="Section Heading"/>
    <w:basedOn w:val="Heading1"/>
    <w:link w:val="SectionHeadingChar"/>
    <w:rsid w:val="00C80A7A"/>
    <w:pPr>
      <w:pBdr>
        <w:top w:val="single" w:sz="4" w:space="1" w:color="auto"/>
        <w:bottom w:val="single" w:sz="4" w:space="1" w:color="auto"/>
      </w:pBdr>
      <w:spacing w:before="360" w:after="220"/>
    </w:pPr>
    <w:rPr>
      <w:rFonts w:eastAsia="Times New Roman" w:cs="Times New Roman"/>
      <w:bCs w:val="0"/>
      <w:color w:val="000000"/>
      <w:szCs w:val="22"/>
      <w:lang w:eastAsia="en-US"/>
    </w:rPr>
  </w:style>
  <w:style w:type="character" w:styleId="Hyperlink">
    <w:name w:val="Hyperlink"/>
    <w:basedOn w:val="DefaultParagraphFont"/>
    <w:rsid w:val="00FC1FA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semiHidden/>
    <w:rsid w:val="00CF3977"/>
    <w:rPr>
      <w:sz w:val="20"/>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uiPriority w:val="99"/>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C650A4"/>
    <w:rPr>
      <w:rFonts w:ascii="Tahoma" w:hAnsi="Tahoma" w:cs="Tahoma"/>
      <w:sz w:val="16"/>
      <w:szCs w:val="16"/>
    </w:rPr>
  </w:style>
  <w:style w:type="character" w:customStyle="1" w:styleId="BalloonTextChar">
    <w:name w:val="Balloon Text Char"/>
    <w:basedOn w:val="DefaultParagraphFont"/>
    <w:link w:val="BalloonText"/>
    <w:rsid w:val="00C650A4"/>
    <w:rPr>
      <w:rFonts w:ascii="Tahoma" w:eastAsia="SimSun" w:hAnsi="Tahoma" w:cs="Tahoma"/>
      <w:sz w:val="16"/>
      <w:szCs w:val="16"/>
      <w:lang w:eastAsia="zh-CN"/>
    </w:rPr>
  </w:style>
  <w:style w:type="character" w:customStyle="1" w:styleId="ONUMEChar">
    <w:name w:val="ONUM E Char"/>
    <w:basedOn w:val="DefaultParagraphFont"/>
    <w:link w:val="ONUME"/>
    <w:uiPriority w:val="99"/>
    <w:locked/>
    <w:rsid w:val="005C40A3"/>
    <w:rPr>
      <w:rFonts w:ascii="Arial" w:eastAsia="SimSun" w:hAnsi="Arial" w:cs="Arial"/>
      <w:sz w:val="22"/>
      <w:lang w:eastAsia="zh-CN"/>
    </w:rPr>
  </w:style>
  <w:style w:type="character" w:customStyle="1" w:styleId="FootnoteTextChar">
    <w:name w:val="Footnote Text Char"/>
    <w:basedOn w:val="DefaultParagraphFont"/>
    <w:link w:val="FootnoteText"/>
    <w:semiHidden/>
    <w:locked/>
    <w:rsid w:val="00CF3977"/>
    <w:rPr>
      <w:rFonts w:ascii="Arial" w:eastAsia="SimSun" w:hAnsi="Arial" w:cs="Arial"/>
      <w:lang w:eastAsia="zh-CN"/>
    </w:rPr>
  </w:style>
  <w:style w:type="character" w:styleId="FootnoteReference">
    <w:name w:val="footnote reference"/>
    <w:basedOn w:val="DefaultParagraphFont"/>
    <w:rsid w:val="00C80A7A"/>
    <w:rPr>
      <w:rFonts w:cs="Times New Roman"/>
      <w:vertAlign w:val="superscript"/>
    </w:rPr>
  </w:style>
  <w:style w:type="character" w:customStyle="1" w:styleId="SectionHeadingChar">
    <w:name w:val="Section Heading Char"/>
    <w:link w:val="SectionHeading"/>
    <w:locked/>
    <w:rsid w:val="00C80A7A"/>
    <w:rPr>
      <w:rFonts w:ascii="Arial" w:hAnsi="Arial"/>
      <w:b/>
      <w:caps/>
      <w:color w:val="000000"/>
      <w:kern w:val="32"/>
      <w:sz w:val="22"/>
      <w:szCs w:val="22"/>
    </w:rPr>
  </w:style>
  <w:style w:type="paragraph" w:customStyle="1" w:styleId="SectionHeading">
    <w:name w:val="Section Heading"/>
    <w:basedOn w:val="Heading1"/>
    <w:link w:val="SectionHeadingChar"/>
    <w:rsid w:val="00C80A7A"/>
    <w:pPr>
      <w:pBdr>
        <w:top w:val="single" w:sz="4" w:space="1" w:color="auto"/>
        <w:bottom w:val="single" w:sz="4" w:space="1" w:color="auto"/>
      </w:pBdr>
      <w:spacing w:before="360" w:after="220"/>
    </w:pPr>
    <w:rPr>
      <w:rFonts w:eastAsia="Times New Roman" w:cs="Times New Roman"/>
      <w:bCs w:val="0"/>
      <w:color w:val="000000"/>
      <w:szCs w:val="22"/>
      <w:lang w:eastAsia="en-US"/>
    </w:rPr>
  </w:style>
  <w:style w:type="character" w:styleId="Hyperlink">
    <w:name w:val="Hyperlink"/>
    <w:basedOn w:val="DefaultParagraphFont"/>
    <w:rsid w:val="00FC1FA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PCT\PCT%20CTC%2030%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D52E4D-56EC-4DF1-8985-0CB343DD67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PCT CTC 30 (E).dotm</Template>
  <TotalTime>134</TotalTime>
  <Pages>5</Pages>
  <Words>1148</Words>
  <Characters>6770</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PCT/CTC/30/</vt:lpstr>
    </vt:vector>
  </TitlesOfParts>
  <Company>WIPO</Company>
  <LinksUpToDate>false</LinksUpToDate>
  <CharactersWithSpaces>7903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PCT/CTC/30/8</dc:title>
  <dc:subject>Extension of Appointment of the State Intellectual Property Office of the People's Republic of China as an International Searching and Preliminary Examining Authority Under the PCT</dc:subject>
  <dc:creator>MARLOW Thomas</dc:creator>
  <cp:lastModifiedBy>RICHARDSON Michael</cp:lastModifiedBy>
  <cp:revision>9</cp:revision>
  <cp:lastPrinted>2017-03-15T14:52:00Z</cp:lastPrinted>
  <dcterms:created xsi:type="dcterms:W3CDTF">2017-03-13T10:22:00Z</dcterms:created>
  <dcterms:modified xsi:type="dcterms:W3CDTF">2017-03-16T16:03:00Z</dcterms:modified>
</cp:coreProperties>
</file>