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E3C5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0" w:name="Code"/>
            <w:bookmarkEnd w:id="0"/>
            <w:r w:rsidR="008E2062">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BE3C51">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E3C51">
              <w:rPr>
                <w:rFonts w:ascii="Arial Black" w:hAnsi="Arial Black"/>
                <w:caps/>
                <w:sz w:val="15"/>
              </w:rPr>
              <w:t xml:space="preserve">January </w:t>
            </w:r>
            <w:r w:rsidR="00ED537B">
              <w:rPr>
                <w:rFonts w:ascii="Arial Black" w:hAnsi="Arial Black"/>
                <w:caps/>
                <w:sz w:val="15"/>
              </w:rPr>
              <w:t>15</w:t>
            </w:r>
            <w:r w:rsidR="00BE3C51">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Twenty-First Session</w:t>
      </w:r>
      <w:bookmarkStart w:id="3" w:name="_GoBack"/>
      <w:bookmarkEnd w:id="3"/>
    </w:p>
    <w:p w:rsidR="00C65280" w:rsidRPr="00C65280" w:rsidRDefault="008E2062" w:rsidP="00C65280">
      <w:pPr>
        <w:rPr>
          <w:b/>
          <w:sz w:val="24"/>
          <w:szCs w:val="24"/>
        </w:rPr>
      </w:pPr>
      <w:r>
        <w:rPr>
          <w:b/>
          <w:sz w:val="24"/>
          <w:szCs w:val="24"/>
        </w:rPr>
        <w:t>Tel Aviv</w:t>
      </w:r>
      <w:r w:rsidR="00083F35">
        <w:rPr>
          <w:b/>
          <w:sz w:val="24"/>
          <w:szCs w:val="24"/>
        </w:rPr>
        <w:t xml:space="preserve">, </w:t>
      </w:r>
      <w:r>
        <w:rPr>
          <w:b/>
          <w:sz w:val="24"/>
          <w:szCs w:val="24"/>
        </w:rPr>
        <w:t>February 11 to 13</w:t>
      </w:r>
      <w:r w:rsidR="00C65280" w:rsidRPr="00C65280">
        <w:rPr>
          <w:b/>
          <w:sz w:val="24"/>
          <w:szCs w:val="24"/>
        </w:rPr>
        <w:t>,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BE3C51" w:rsidP="008B2CC1">
      <w:pPr>
        <w:rPr>
          <w:caps/>
          <w:sz w:val="24"/>
        </w:rPr>
      </w:pPr>
      <w:bookmarkStart w:id="4" w:name="TitleOfDoc"/>
      <w:bookmarkEnd w:id="4"/>
      <w:r>
        <w:rPr>
          <w:caps/>
          <w:sz w:val="24"/>
        </w:rPr>
        <w:t>Options or Consequences when Inviting the Applicant to Select a Competent International Searching Authority after the Chosen International Searching Authority Declares Itself Non</w:t>
      </w:r>
      <w:r>
        <w:rPr>
          <w:rFonts w:ascii="MS Gothic" w:eastAsia="MS Gothic" w:hAnsi="MS Gothic" w:cs="MS Gothic"/>
          <w:caps/>
          <w:sz w:val="24"/>
        </w:rPr>
        <w:t>-</w:t>
      </w:r>
      <w:r>
        <w:rPr>
          <w:caps/>
          <w:sz w:val="24"/>
        </w:rPr>
        <w:t>Competent</w:t>
      </w:r>
    </w:p>
    <w:p w:rsidR="008B2CC1" w:rsidRPr="008B2CC1" w:rsidRDefault="008B2CC1" w:rsidP="008B2CC1"/>
    <w:p w:rsidR="008B2CC1" w:rsidRPr="008B2CC1" w:rsidRDefault="00BE3C51" w:rsidP="008B2CC1">
      <w:pPr>
        <w:rPr>
          <w:i/>
        </w:rPr>
      </w:pPr>
      <w:bookmarkStart w:id="5" w:name="Prepared"/>
      <w:bookmarkEnd w:id="5"/>
      <w:r>
        <w:rPr>
          <w:i/>
        </w:rPr>
        <w:t>Document submitted by the United States Patent and Trademark Office</w:t>
      </w:r>
    </w:p>
    <w:p w:rsidR="00AC205C" w:rsidRDefault="00AC205C"/>
    <w:p w:rsidR="000F5E56" w:rsidRDefault="000F5E56"/>
    <w:p w:rsidR="001A2654" w:rsidRPr="00097B80" w:rsidRDefault="001A2654" w:rsidP="001A2654">
      <w:pPr>
        <w:pStyle w:val="Heading1"/>
      </w:pPr>
      <w:r w:rsidRPr="00097B80">
        <w:t>SUMMARY</w:t>
      </w:r>
    </w:p>
    <w:p w:rsidR="001A2654" w:rsidRPr="00097B80" w:rsidRDefault="001A2654" w:rsidP="001A2654">
      <w:pPr>
        <w:pStyle w:val="ONUME"/>
        <w:rPr>
          <w:rFonts w:eastAsia="Arial"/>
          <w:lang w:val="en-GB"/>
        </w:rPr>
      </w:pPr>
      <w:r w:rsidRPr="00495F84">
        <w:rPr>
          <w:rFonts w:eastAsia="Arial"/>
        </w:rPr>
        <w:t xml:space="preserve">The </w:t>
      </w:r>
      <w:r w:rsidR="003012A0">
        <w:rPr>
          <w:rFonts w:eastAsia="Arial"/>
        </w:rPr>
        <w:t>United States Patent and Trademark Office (</w:t>
      </w:r>
      <w:r w:rsidRPr="00495F84">
        <w:rPr>
          <w:rFonts w:eastAsia="Arial"/>
        </w:rPr>
        <w:t>USPTO</w:t>
      </w:r>
      <w:r w:rsidR="003012A0">
        <w:rPr>
          <w:rFonts w:eastAsia="Arial"/>
        </w:rPr>
        <w:t>)</w:t>
      </w:r>
      <w:r w:rsidRPr="00495F84">
        <w:rPr>
          <w:rFonts w:eastAsia="Arial"/>
        </w:rPr>
        <w:t xml:space="preserve"> is seeking input from </w:t>
      </w:r>
      <w:r w:rsidR="003012A0">
        <w:rPr>
          <w:rFonts w:eastAsia="Arial"/>
        </w:rPr>
        <w:t>International</w:t>
      </w:r>
      <w:r w:rsidRPr="00495F84">
        <w:rPr>
          <w:rFonts w:eastAsia="Arial"/>
        </w:rPr>
        <w:t xml:space="preserve"> Authorities and </w:t>
      </w:r>
      <w:r w:rsidR="003012A0">
        <w:rPr>
          <w:rFonts w:eastAsia="Arial"/>
        </w:rPr>
        <w:t>the International Bureau</w:t>
      </w:r>
      <w:r w:rsidR="003012A0" w:rsidRPr="00495F84">
        <w:rPr>
          <w:rFonts w:eastAsia="Arial"/>
        </w:rPr>
        <w:t xml:space="preserve"> </w:t>
      </w:r>
      <w:r w:rsidRPr="00495F84">
        <w:rPr>
          <w:rFonts w:eastAsia="Arial"/>
        </w:rPr>
        <w:t xml:space="preserve">as to (1) if they, in their capacity as a receiving Office, are faced with inviting applicants to select a competent </w:t>
      </w:r>
      <w:r w:rsidR="003012A0">
        <w:rPr>
          <w:rFonts w:eastAsia="Arial"/>
        </w:rPr>
        <w:t>International Searching Authority (</w:t>
      </w:r>
      <w:r w:rsidRPr="00495F84">
        <w:rPr>
          <w:rFonts w:eastAsia="Arial"/>
        </w:rPr>
        <w:t>ISA</w:t>
      </w:r>
      <w:r w:rsidR="003012A0">
        <w:rPr>
          <w:rFonts w:eastAsia="Arial"/>
        </w:rPr>
        <w:t>)</w:t>
      </w:r>
      <w:r w:rsidRPr="00495F84">
        <w:rPr>
          <w:rFonts w:eastAsia="Arial"/>
        </w:rPr>
        <w:t xml:space="preserve"> when the originally selected ISA declares itself non-competent and, (2) what consequence or sanction they impose for non-response to such invitation.</w:t>
      </w:r>
    </w:p>
    <w:p w:rsidR="001A2654" w:rsidRPr="0006398B" w:rsidRDefault="001A2654" w:rsidP="001A2654">
      <w:pPr>
        <w:pStyle w:val="Heading1"/>
      </w:pPr>
      <w:r w:rsidRPr="0006398B">
        <w:t>Background</w:t>
      </w:r>
    </w:p>
    <w:p w:rsidR="001A2654" w:rsidRPr="0080021F" w:rsidRDefault="001A2654" w:rsidP="001A2654">
      <w:pPr>
        <w:pStyle w:val="ONUME"/>
        <w:rPr>
          <w:rFonts w:eastAsia="Arial"/>
          <w:lang w:val="en-GB"/>
        </w:rPr>
      </w:pPr>
      <w:r w:rsidRPr="00495F84">
        <w:rPr>
          <w:rFonts w:eastAsia="Arial"/>
        </w:rPr>
        <w:t xml:space="preserve">The USPTO in its capacity as a receiving Office (RO/US) under the PCT has an extensive network of competent International Searching Authorities (ISA).  Currently, U.S. applicants filing in RO/US or RO/IB may choose </w:t>
      </w:r>
      <w:r w:rsidR="003012A0">
        <w:rPr>
          <w:rFonts w:eastAsia="Arial"/>
        </w:rPr>
        <w:t xml:space="preserve">the </w:t>
      </w:r>
      <w:r w:rsidRPr="00495F84">
        <w:rPr>
          <w:rFonts w:eastAsia="Arial"/>
        </w:rPr>
        <w:t xml:space="preserve">USPTO, </w:t>
      </w:r>
      <w:r w:rsidR="003012A0">
        <w:rPr>
          <w:rFonts w:eastAsia="Arial"/>
        </w:rPr>
        <w:t xml:space="preserve">the </w:t>
      </w:r>
      <w:r w:rsidRPr="00495F84">
        <w:rPr>
          <w:rFonts w:eastAsia="Arial"/>
        </w:rPr>
        <w:t>E</w:t>
      </w:r>
      <w:r w:rsidR="003012A0">
        <w:rPr>
          <w:rFonts w:eastAsia="Arial"/>
        </w:rPr>
        <w:t xml:space="preserve">uropean </w:t>
      </w:r>
      <w:r w:rsidRPr="00495F84">
        <w:rPr>
          <w:rFonts w:eastAsia="Arial"/>
        </w:rPr>
        <w:t>P</w:t>
      </w:r>
      <w:r w:rsidR="003012A0">
        <w:rPr>
          <w:rFonts w:eastAsia="Arial"/>
        </w:rPr>
        <w:t xml:space="preserve">atent </w:t>
      </w:r>
      <w:r w:rsidRPr="00495F84">
        <w:rPr>
          <w:rFonts w:eastAsia="Arial"/>
        </w:rPr>
        <w:t>O</w:t>
      </w:r>
      <w:r w:rsidR="003012A0">
        <w:rPr>
          <w:rFonts w:eastAsia="Arial"/>
        </w:rPr>
        <w:t>ffice (EPO)</w:t>
      </w:r>
      <w:r w:rsidRPr="00495F84">
        <w:rPr>
          <w:rFonts w:eastAsia="Arial"/>
        </w:rPr>
        <w:t xml:space="preserve">, </w:t>
      </w:r>
      <w:r w:rsidR="003012A0">
        <w:rPr>
          <w:rFonts w:eastAsia="Arial"/>
        </w:rPr>
        <w:t xml:space="preserve">the </w:t>
      </w:r>
      <w:r w:rsidRPr="00495F84">
        <w:rPr>
          <w:rFonts w:eastAsia="Arial"/>
        </w:rPr>
        <w:t>K</w:t>
      </w:r>
      <w:r w:rsidR="003012A0">
        <w:rPr>
          <w:rFonts w:eastAsia="Arial"/>
        </w:rPr>
        <w:t xml:space="preserve">orean </w:t>
      </w:r>
      <w:r w:rsidRPr="00495F84">
        <w:rPr>
          <w:rFonts w:eastAsia="Arial"/>
        </w:rPr>
        <w:t>I</w:t>
      </w:r>
      <w:r w:rsidR="003012A0">
        <w:rPr>
          <w:rFonts w:eastAsia="Arial"/>
        </w:rPr>
        <w:t xml:space="preserve">ntellectual </w:t>
      </w:r>
      <w:r w:rsidRPr="00495F84">
        <w:rPr>
          <w:rFonts w:eastAsia="Arial"/>
        </w:rPr>
        <w:t>P</w:t>
      </w:r>
      <w:r w:rsidR="003012A0">
        <w:rPr>
          <w:rFonts w:eastAsia="Arial"/>
        </w:rPr>
        <w:t xml:space="preserve">roperty </w:t>
      </w:r>
      <w:r w:rsidRPr="00495F84">
        <w:rPr>
          <w:rFonts w:eastAsia="Arial"/>
        </w:rPr>
        <w:t>O</w:t>
      </w:r>
      <w:r w:rsidR="003012A0">
        <w:rPr>
          <w:rFonts w:eastAsia="Arial"/>
        </w:rPr>
        <w:t>ffice (KIPO)</w:t>
      </w:r>
      <w:r w:rsidRPr="00495F84">
        <w:rPr>
          <w:rFonts w:eastAsia="Arial"/>
        </w:rPr>
        <w:t xml:space="preserve">, IP Australia or </w:t>
      </w:r>
      <w:r w:rsidR="003012A0">
        <w:rPr>
          <w:rFonts w:eastAsia="Arial"/>
        </w:rPr>
        <w:t>the Federal Service for Intellectual Property of the Russian Federation (</w:t>
      </w:r>
      <w:proofErr w:type="spellStart"/>
      <w:r w:rsidRPr="00495F84">
        <w:rPr>
          <w:rFonts w:eastAsia="Arial"/>
        </w:rPr>
        <w:t>Rospatent</w:t>
      </w:r>
      <w:proofErr w:type="spellEnd"/>
      <w:r w:rsidR="003012A0">
        <w:rPr>
          <w:rFonts w:eastAsia="Arial"/>
        </w:rPr>
        <w:t>)</w:t>
      </w:r>
      <w:r w:rsidRPr="00495F84">
        <w:rPr>
          <w:rFonts w:eastAsia="Arial"/>
        </w:rPr>
        <w:t xml:space="preserve"> as the ISA, with some restrictions.  Some of these Offices have limited the extent of their competency for U.S. applicants.  For example, the EPO has declared itself non-competent for applications filed by U.S. applicants in RO/US or RO/IB where one or more claims is directed to the field of business methods as defined by certain International Patent Classification units</w:t>
      </w:r>
      <w:r w:rsidR="003012A0">
        <w:rPr>
          <w:rStyle w:val="FootnoteReference"/>
          <w:rFonts w:eastAsia="Arial"/>
        </w:rPr>
        <w:footnoteReference w:id="2"/>
      </w:r>
      <w:r w:rsidRPr="00495F84">
        <w:rPr>
          <w:rFonts w:eastAsia="Arial"/>
        </w:rPr>
        <w:t xml:space="preserve">.  This limitation as to EPO’s competence is beneficial to U.S. applicants whom might otherwise choose ISA/EP only to learn that the subject matter of </w:t>
      </w:r>
      <w:r w:rsidRPr="00495F84">
        <w:rPr>
          <w:rFonts w:eastAsia="Arial"/>
        </w:rPr>
        <w:lastRenderedPageBreak/>
        <w:t>their application is considered excluded subject matter under PCT Rule 39 by ISA/EP and therefore not receive a search of one or more claims.  Where all the claims are directed to the excluded matter, the applicant would receive a declaration of non-establishment of</w:t>
      </w:r>
      <w:r w:rsidR="0036289B">
        <w:rPr>
          <w:rFonts w:eastAsia="Arial"/>
        </w:rPr>
        <w:t xml:space="preserve"> the i</w:t>
      </w:r>
      <w:r w:rsidRPr="00495F84">
        <w:rPr>
          <w:rFonts w:eastAsia="Arial"/>
        </w:rPr>
        <w:t xml:space="preserve">nternational </w:t>
      </w:r>
      <w:r w:rsidR="0036289B">
        <w:rPr>
          <w:rFonts w:eastAsia="Arial"/>
        </w:rPr>
        <w:t>s</w:t>
      </w:r>
      <w:r w:rsidRPr="00495F84">
        <w:rPr>
          <w:rFonts w:eastAsia="Arial"/>
        </w:rPr>
        <w:t xml:space="preserve">earch </w:t>
      </w:r>
      <w:r w:rsidR="0036289B">
        <w:rPr>
          <w:rFonts w:eastAsia="Arial"/>
        </w:rPr>
        <w:t>r</w:t>
      </w:r>
      <w:r w:rsidRPr="00495F84">
        <w:rPr>
          <w:rFonts w:eastAsia="Arial"/>
        </w:rPr>
        <w:t>eport.</w:t>
      </w:r>
    </w:p>
    <w:p w:rsidR="001A2654" w:rsidRPr="00495F84" w:rsidRDefault="001A2654" w:rsidP="001A2654">
      <w:pPr>
        <w:pStyle w:val="ONUME"/>
        <w:rPr>
          <w:rFonts w:eastAsia="Arial"/>
          <w:lang w:val="en-GB"/>
        </w:rPr>
      </w:pPr>
      <w:r w:rsidRPr="00495F84">
        <w:rPr>
          <w:rFonts w:eastAsia="Arial"/>
        </w:rPr>
        <w:t xml:space="preserve">The USPTO in its capacity as a receiving Office has experienced an operational issue with this process.  When the chosen ISA declares itself non-competent, the RO/US is compelled to invite the applicant to select a new, competent ISA.  However, RO/US has found that some applicants are not compelled to respond to such an invitation and does not believe that there is a legal basis for imposing a consequence for non-response.  The RO/US generally uses Form PCT/RO/132 and sets a one month period for response.  A sample is attached as </w:t>
      </w:r>
      <w:r w:rsidR="0036289B" w:rsidRPr="00495F84">
        <w:rPr>
          <w:rFonts w:eastAsia="Arial"/>
        </w:rPr>
        <w:t>Annex</w:t>
      </w:r>
      <w:r w:rsidR="0036289B">
        <w:rPr>
          <w:rFonts w:eastAsia="Arial"/>
        </w:rPr>
        <w:t> </w:t>
      </w:r>
      <w:r w:rsidRPr="00495F84">
        <w:rPr>
          <w:rFonts w:eastAsia="Arial"/>
        </w:rPr>
        <w:t>A.</w:t>
      </w:r>
    </w:p>
    <w:p w:rsidR="001A2654" w:rsidRDefault="001A2654" w:rsidP="001A2654">
      <w:pPr>
        <w:pStyle w:val="Heading1"/>
        <w:rPr>
          <w:rFonts w:eastAsia="Arial"/>
          <w:lang w:val="en-GB"/>
        </w:rPr>
      </w:pPr>
      <w:r>
        <w:rPr>
          <w:rFonts w:eastAsia="Arial"/>
          <w:lang w:val="en-GB"/>
        </w:rPr>
        <w:t>ISSUE</w:t>
      </w:r>
    </w:p>
    <w:p w:rsidR="001A2654" w:rsidRPr="00435C51" w:rsidRDefault="001A2654" w:rsidP="001A2654">
      <w:pPr>
        <w:pStyle w:val="ONUME"/>
        <w:rPr>
          <w:rFonts w:eastAsia="Calibri"/>
          <w:szCs w:val="22"/>
          <w:lang w:eastAsia="en-US"/>
        </w:rPr>
      </w:pPr>
      <w:r w:rsidRPr="00495F84">
        <w:rPr>
          <w:rFonts w:eastAsia="Arial"/>
        </w:rPr>
        <w:t>The USPTO would like to set the consequence for non-response to the invitation mentioned above as either (1) that the ISA will automatically default to some “primary” ISA as set by the RO, or (2) withdrawal of the application.  In either instance, the USPTO is concerned that there is no legal basis in the Treaty or Regulations to do so.</w:t>
      </w:r>
    </w:p>
    <w:p w:rsidR="001A2654" w:rsidRPr="00495F84" w:rsidRDefault="001A2654" w:rsidP="001A2654">
      <w:pPr>
        <w:contextualSpacing/>
        <w:rPr>
          <w:rFonts w:eastAsia="Calibri"/>
          <w:szCs w:val="22"/>
          <w:lang w:eastAsia="en-US"/>
        </w:rPr>
      </w:pPr>
    </w:p>
    <w:p w:rsidR="001A2654" w:rsidRPr="00495F84" w:rsidRDefault="001943C3" w:rsidP="001A2654">
      <w:pPr>
        <w:pStyle w:val="ONUME"/>
        <w:ind w:left="5533"/>
        <w:rPr>
          <w:i/>
        </w:rPr>
      </w:pPr>
      <w:r>
        <w:rPr>
          <w:i/>
          <w:iCs/>
        </w:rPr>
        <w:t>The Meeting is</w:t>
      </w:r>
      <w:r w:rsidR="001A2654" w:rsidRPr="00435C51">
        <w:rPr>
          <w:i/>
          <w:iCs/>
        </w:rPr>
        <w:t xml:space="preserve"> invited to </w:t>
      </w:r>
      <w:r w:rsidR="001A2654" w:rsidRPr="00435C51">
        <w:rPr>
          <w:i/>
        </w:rPr>
        <w:t>comment on</w:t>
      </w:r>
      <w:r>
        <w:rPr>
          <w:i/>
        </w:rPr>
        <w:t>:</w:t>
      </w:r>
      <w:r w:rsidR="001A2654" w:rsidRPr="00435C51">
        <w:rPr>
          <w:i/>
        </w:rPr>
        <w:t xml:space="preserve"> </w:t>
      </w:r>
    </w:p>
    <w:p w:rsidR="001A2654" w:rsidRPr="00495F84" w:rsidRDefault="001A2654" w:rsidP="001A2654">
      <w:pPr>
        <w:pStyle w:val="ONUME"/>
        <w:numPr>
          <w:ilvl w:val="0"/>
          <w:numId w:val="0"/>
        </w:numPr>
        <w:ind w:left="5533"/>
        <w:rPr>
          <w:i/>
        </w:rPr>
      </w:pPr>
      <w:r w:rsidRPr="00495F84">
        <w:rPr>
          <w:i/>
        </w:rPr>
        <w:t>(a)</w:t>
      </w:r>
      <w:r w:rsidR="001943C3">
        <w:rPr>
          <w:i/>
        </w:rPr>
        <w:tab/>
      </w:r>
      <w:r w:rsidRPr="00495F84">
        <w:rPr>
          <w:i/>
        </w:rPr>
        <w:t xml:space="preserve"> </w:t>
      </w:r>
      <w:proofErr w:type="gramStart"/>
      <w:r w:rsidRPr="00495F84">
        <w:rPr>
          <w:i/>
        </w:rPr>
        <w:t>whether</w:t>
      </w:r>
      <w:proofErr w:type="gramEnd"/>
      <w:r w:rsidRPr="00495F84">
        <w:rPr>
          <w:i/>
        </w:rPr>
        <w:t xml:space="preserve"> or not their Office, in </w:t>
      </w:r>
      <w:r w:rsidR="001943C3">
        <w:rPr>
          <w:i/>
        </w:rPr>
        <w:t>its</w:t>
      </w:r>
      <w:r w:rsidR="001943C3" w:rsidRPr="00495F84">
        <w:rPr>
          <w:i/>
        </w:rPr>
        <w:t xml:space="preserve"> </w:t>
      </w:r>
      <w:r w:rsidRPr="00495F84">
        <w:rPr>
          <w:i/>
        </w:rPr>
        <w:t xml:space="preserve">capacity as </w:t>
      </w:r>
      <w:r w:rsidR="001943C3">
        <w:rPr>
          <w:i/>
        </w:rPr>
        <w:t>a receiving Office</w:t>
      </w:r>
      <w:r w:rsidRPr="00495F84">
        <w:rPr>
          <w:i/>
        </w:rPr>
        <w:t>,</w:t>
      </w:r>
      <w:r w:rsidR="00D633B5">
        <w:rPr>
          <w:i/>
        </w:rPr>
        <w:t xml:space="preserve"> has experienced similar situations to that outlined in paragraph 3, above;</w:t>
      </w:r>
      <w:r w:rsidRPr="00495F84">
        <w:rPr>
          <w:i/>
        </w:rPr>
        <w:t xml:space="preserve"> and</w:t>
      </w:r>
    </w:p>
    <w:p w:rsidR="001A2654" w:rsidRPr="002F54BC" w:rsidRDefault="001A2654" w:rsidP="001A2654">
      <w:pPr>
        <w:pStyle w:val="ONUME"/>
        <w:numPr>
          <w:ilvl w:val="0"/>
          <w:numId w:val="0"/>
        </w:numPr>
        <w:ind w:left="5533"/>
        <w:rPr>
          <w:i/>
          <w:iCs/>
        </w:rPr>
      </w:pPr>
      <w:r w:rsidRPr="00495F84">
        <w:rPr>
          <w:i/>
        </w:rPr>
        <w:t>(b)</w:t>
      </w:r>
      <w:r w:rsidR="00D633B5">
        <w:rPr>
          <w:i/>
        </w:rPr>
        <w:tab/>
      </w:r>
      <w:proofErr w:type="gramStart"/>
      <w:r w:rsidRPr="00495F84">
        <w:rPr>
          <w:i/>
        </w:rPr>
        <w:t>what</w:t>
      </w:r>
      <w:proofErr w:type="gramEnd"/>
      <w:r w:rsidRPr="00495F84">
        <w:rPr>
          <w:i/>
        </w:rPr>
        <w:t xml:space="preserve"> consequence for non-response they use or would consider appropriate when inviting an applicant to select a competent I</w:t>
      </w:r>
      <w:r w:rsidR="00D633B5">
        <w:rPr>
          <w:i/>
        </w:rPr>
        <w:t xml:space="preserve">nternational </w:t>
      </w:r>
      <w:r w:rsidRPr="00495F84">
        <w:rPr>
          <w:i/>
        </w:rPr>
        <w:t>S</w:t>
      </w:r>
      <w:r w:rsidR="00D633B5">
        <w:rPr>
          <w:i/>
        </w:rPr>
        <w:t xml:space="preserve">earching </w:t>
      </w:r>
      <w:r w:rsidRPr="00495F84">
        <w:rPr>
          <w:i/>
        </w:rPr>
        <w:t>A</w:t>
      </w:r>
      <w:r w:rsidR="00D633B5">
        <w:rPr>
          <w:i/>
        </w:rPr>
        <w:t>uthority</w:t>
      </w:r>
      <w:r w:rsidRPr="00495F84">
        <w:rPr>
          <w:i/>
        </w:rPr>
        <w:t>.</w:t>
      </w:r>
    </w:p>
    <w:p w:rsidR="001A2654" w:rsidRDefault="001A2654" w:rsidP="001A2654">
      <w:pPr>
        <w:pStyle w:val="Endofdocument-Annex"/>
      </w:pPr>
    </w:p>
    <w:p w:rsidR="001A2654" w:rsidRDefault="001A2654" w:rsidP="001A2654">
      <w:pPr>
        <w:pStyle w:val="Endofdocument-Annex"/>
        <w:sectPr w:rsidR="001A2654" w:rsidSect="00E93714">
          <w:headerReference w:type="default" r:id="rId10"/>
          <w:endnotePr>
            <w:numFmt w:val="decimal"/>
          </w:endnotePr>
          <w:pgSz w:w="11907" w:h="16840" w:code="9"/>
          <w:pgMar w:top="567" w:right="1134" w:bottom="1418" w:left="1418" w:header="510" w:footer="1021" w:gutter="0"/>
          <w:cols w:space="720"/>
          <w:titlePg/>
          <w:docGrid w:linePitch="299"/>
        </w:sectPr>
      </w:pPr>
      <w:r>
        <w:t>[Annex follows]</w:t>
      </w:r>
    </w:p>
    <w:p w:rsidR="001A2654" w:rsidRDefault="001A2654" w:rsidP="001A2654">
      <w:pPr>
        <w:jc w:val="center"/>
      </w:pPr>
      <w:r>
        <w:rPr>
          <w:noProof/>
          <w:lang w:eastAsia="en-US"/>
        </w:rPr>
        <w:lastRenderedPageBreak/>
        <w:drawing>
          <wp:inline distT="0" distB="0" distL="0" distR="0">
            <wp:extent cx="5944235" cy="731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7315835"/>
                    </a:xfrm>
                    <a:prstGeom prst="rect">
                      <a:avLst/>
                    </a:prstGeom>
                    <a:noFill/>
                  </pic:spPr>
                </pic:pic>
              </a:graphicData>
            </a:graphic>
          </wp:inline>
        </w:drawing>
      </w:r>
    </w:p>
    <w:p w:rsidR="001A2654" w:rsidRDefault="001A2654" w:rsidP="001A2654">
      <w:pPr>
        <w:jc w:val="center"/>
      </w:pPr>
    </w:p>
    <w:p w:rsidR="001A2654" w:rsidRDefault="001A2654" w:rsidP="001A2654">
      <w:pPr>
        <w:jc w:val="center"/>
      </w:pPr>
    </w:p>
    <w:p w:rsidR="001A2654" w:rsidRDefault="001A2654" w:rsidP="001A2654">
      <w:pPr>
        <w:pStyle w:val="Endofdocument-Annex"/>
      </w:pPr>
    </w:p>
    <w:p w:rsidR="001A2654" w:rsidRDefault="001A2654" w:rsidP="001A2654">
      <w:pPr>
        <w:pStyle w:val="Endofdocument-Annex"/>
      </w:pPr>
    </w:p>
    <w:p w:rsidR="001A2654" w:rsidRDefault="001A2654" w:rsidP="001A2654">
      <w:pPr>
        <w:pStyle w:val="Endofdocument-Annex"/>
      </w:pPr>
      <w:r w:rsidRPr="00E63141">
        <w:t xml:space="preserve"> [End of Annex and of document]</w:t>
      </w:r>
    </w:p>
    <w:p w:rsidR="002928D3" w:rsidRDefault="002928D3"/>
    <w:p w:rsidR="002928D3" w:rsidRDefault="002928D3" w:rsidP="0053057A"/>
    <w:p w:rsidR="002928D3" w:rsidRDefault="002928D3"/>
    <w:sectPr w:rsidR="002928D3" w:rsidSect="00BE3C51">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CE3" w:rsidRDefault="00AB6CE3">
      <w:r>
        <w:separator/>
      </w:r>
    </w:p>
  </w:endnote>
  <w:endnote w:type="continuationSeparator" w:id="0">
    <w:p w:rsidR="00AB6CE3" w:rsidRDefault="00AB6CE3" w:rsidP="003B38C1">
      <w:r>
        <w:separator/>
      </w:r>
    </w:p>
    <w:p w:rsidR="00AB6CE3" w:rsidRPr="003B38C1" w:rsidRDefault="00AB6CE3" w:rsidP="003B38C1">
      <w:pPr>
        <w:spacing w:after="60"/>
        <w:rPr>
          <w:sz w:val="17"/>
        </w:rPr>
      </w:pPr>
      <w:r>
        <w:rPr>
          <w:sz w:val="17"/>
        </w:rPr>
        <w:t>[Endnote continued from previous page]</w:t>
      </w:r>
    </w:p>
  </w:endnote>
  <w:endnote w:type="continuationNotice" w:id="1">
    <w:p w:rsidR="00AB6CE3" w:rsidRPr="003B38C1" w:rsidRDefault="00AB6C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CE3" w:rsidRDefault="00AB6CE3">
      <w:r>
        <w:separator/>
      </w:r>
    </w:p>
  </w:footnote>
  <w:footnote w:type="continuationSeparator" w:id="0">
    <w:p w:rsidR="00AB6CE3" w:rsidRDefault="00AB6CE3" w:rsidP="008B60B2">
      <w:r>
        <w:separator/>
      </w:r>
    </w:p>
    <w:p w:rsidR="00AB6CE3" w:rsidRPr="00ED77FB" w:rsidRDefault="00AB6CE3" w:rsidP="008B60B2">
      <w:pPr>
        <w:spacing w:after="60"/>
        <w:rPr>
          <w:sz w:val="17"/>
          <w:szCs w:val="17"/>
        </w:rPr>
      </w:pPr>
      <w:r w:rsidRPr="00ED77FB">
        <w:rPr>
          <w:sz w:val="17"/>
          <w:szCs w:val="17"/>
        </w:rPr>
        <w:t>[Footnote continued from previous page]</w:t>
      </w:r>
    </w:p>
  </w:footnote>
  <w:footnote w:type="continuationNotice" w:id="1">
    <w:p w:rsidR="00AB6CE3" w:rsidRPr="00ED77FB" w:rsidRDefault="00AB6CE3" w:rsidP="008B60B2">
      <w:pPr>
        <w:spacing w:before="60"/>
        <w:jc w:val="right"/>
        <w:rPr>
          <w:sz w:val="17"/>
          <w:szCs w:val="17"/>
        </w:rPr>
      </w:pPr>
      <w:r w:rsidRPr="00ED77FB">
        <w:rPr>
          <w:sz w:val="17"/>
          <w:szCs w:val="17"/>
        </w:rPr>
        <w:t>[Footnote continued on next page]</w:t>
      </w:r>
    </w:p>
  </w:footnote>
  <w:footnote w:id="2">
    <w:p w:rsidR="003012A0" w:rsidRDefault="003012A0">
      <w:pPr>
        <w:pStyle w:val="FootnoteText"/>
      </w:pPr>
      <w:r>
        <w:rPr>
          <w:rStyle w:val="FootnoteReference"/>
        </w:rPr>
        <w:footnoteRef/>
      </w:r>
      <w:r>
        <w:t xml:space="preserve"> See Annex A of the Agreement between the European Patent Organisation and the International Bureau of the WIPO in relation to the functioning of the EPO as an International Searching  Authority and International Preliminary Exa</w:t>
      </w:r>
      <w:r w:rsidR="0036289B">
        <w:t xml:space="preserve">mining Authority under the PCT at </w:t>
      </w:r>
      <w:r w:rsidRPr="003012A0">
        <w:t>http://www.wipo.int/export/sites/www/pct/en/texts/agreements/ag_ep.pdf</w:t>
      </w:r>
      <w:r w:rsidR="0036289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54" w:rsidRDefault="001A2654" w:rsidP="00A9501E">
    <w:pPr>
      <w:jc w:val="right"/>
    </w:pPr>
    <w:r>
      <w:t>PCT/MIA/21/</w:t>
    </w:r>
    <w:r w:rsidR="008E2062">
      <w:t>10</w:t>
    </w:r>
  </w:p>
  <w:p w:rsidR="001A2654" w:rsidRDefault="001A2654" w:rsidP="00477D6B">
    <w:pPr>
      <w:jc w:val="right"/>
    </w:pPr>
    <w:proofErr w:type="gramStart"/>
    <w:r>
      <w:t>page</w:t>
    </w:r>
    <w:proofErr w:type="gramEnd"/>
    <w:r>
      <w:t xml:space="preserve"> </w:t>
    </w:r>
    <w:r>
      <w:fldChar w:fldCharType="begin"/>
    </w:r>
    <w:r>
      <w:instrText xml:space="preserve"> PAGE  \* MERGEFORMAT </w:instrText>
    </w:r>
    <w:r>
      <w:fldChar w:fldCharType="separate"/>
    </w:r>
    <w:r w:rsidR="00716A9F">
      <w:rPr>
        <w:noProof/>
      </w:rPr>
      <w:t>3</w:t>
    </w:r>
    <w:r>
      <w:fldChar w:fldCharType="end"/>
    </w:r>
  </w:p>
  <w:p w:rsidR="001A2654" w:rsidRDefault="001A265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E3C51" w:rsidP="00477D6B">
    <w:pPr>
      <w:jc w:val="right"/>
    </w:pPr>
    <w:bookmarkStart w:id="6" w:name="Code2"/>
    <w:bookmarkEnd w:id="6"/>
    <w:r>
      <w:t>WIPO/MIA/21xx</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16A9F">
      <w:rPr>
        <w:noProof/>
      </w:rPr>
      <w:t>3</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62" w:rsidRDefault="008E2062" w:rsidP="001A2654">
    <w:pPr>
      <w:pStyle w:val="Header"/>
      <w:jc w:val="right"/>
    </w:pPr>
    <w:r>
      <w:t>PCT/MIA/21/10</w:t>
    </w:r>
  </w:p>
  <w:p w:rsidR="001A2654" w:rsidRDefault="001A2654" w:rsidP="001A2654">
    <w:pPr>
      <w:pStyle w:val="Header"/>
      <w:jc w:val="right"/>
    </w:pPr>
    <w:r>
      <w:t>ANNEX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88B4C15E"/>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51"/>
    <w:rsid w:val="00043CAA"/>
    <w:rsid w:val="00075432"/>
    <w:rsid w:val="00083F35"/>
    <w:rsid w:val="000968ED"/>
    <w:rsid w:val="000F5E56"/>
    <w:rsid w:val="00123799"/>
    <w:rsid w:val="001362EE"/>
    <w:rsid w:val="001832A6"/>
    <w:rsid w:val="001943C3"/>
    <w:rsid w:val="001A2654"/>
    <w:rsid w:val="002634C4"/>
    <w:rsid w:val="00267F1A"/>
    <w:rsid w:val="002928D3"/>
    <w:rsid w:val="002F1FE6"/>
    <w:rsid w:val="002F4E68"/>
    <w:rsid w:val="003012A0"/>
    <w:rsid w:val="00312F7F"/>
    <w:rsid w:val="00361450"/>
    <w:rsid w:val="0036289B"/>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16A9F"/>
    <w:rsid w:val="007D1613"/>
    <w:rsid w:val="008B2CC1"/>
    <w:rsid w:val="008B60B2"/>
    <w:rsid w:val="008E2062"/>
    <w:rsid w:val="0090731E"/>
    <w:rsid w:val="00916EE2"/>
    <w:rsid w:val="00966A22"/>
    <w:rsid w:val="0096722F"/>
    <w:rsid w:val="00980843"/>
    <w:rsid w:val="009A0BAD"/>
    <w:rsid w:val="009E2791"/>
    <w:rsid w:val="009E3F6F"/>
    <w:rsid w:val="009F499F"/>
    <w:rsid w:val="00A13444"/>
    <w:rsid w:val="00A42DAF"/>
    <w:rsid w:val="00A45BD8"/>
    <w:rsid w:val="00A869B7"/>
    <w:rsid w:val="00A91202"/>
    <w:rsid w:val="00AB6CE3"/>
    <w:rsid w:val="00AC205C"/>
    <w:rsid w:val="00AF0A6B"/>
    <w:rsid w:val="00B05A69"/>
    <w:rsid w:val="00B9734B"/>
    <w:rsid w:val="00BE3C51"/>
    <w:rsid w:val="00C11BFE"/>
    <w:rsid w:val="00C65280"/>
    <w:rsid w:val="00D45252"/>
    <w:rsid w:val="00D633B5"/>
    <w:rsid w:val="00D63690"/>
    <w:rsid w:val="00D71B4D"/>
    <w:rsid w:val="00D93D55"/>
    <w:rsid w:val="00E335FE"/>
    <w:rsid w:val="00EC4E49"/>
    <w:rsid w:val="00ED537B"/>
    <w:rsid w:val="00ED77FB"/>
    <w:rsid w:val="00EE45FA"/>
    <w:rsid w:val="00EF69C3"/>
    <w:rsid w:val="00F66152"/>
    <w:rsid w:val="00F6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A265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A2654"/>
    <w:rPr>
      <w:rFonts w:ascii="Tahoma" w:eastAsia="SimSun" w:hAnsi="Tahoma" w:cs="Tahoma"/>
      <w:sz w:val="16"/>
      <w:szCs w:val="16"/>
      <w:lang w:eastAsia="zh-CN"/>
    </w:rPr>
  </w:style>
  <w:style w:type="character" w:customStyle="1" w:styleId="ONUMEChar">
    <w:name w:val="ONUM E Char"/>
    <w:link w:val="ONUME"/>
    <w:rsid w:val="001A2654"/>
    <w:rPr>
      <w:rFonts w:ascii="Arial" w:eastAsia="SimSun" w:hAnsi="Arial" w:cs="Arial"/>
      <w:sz w:val="22"/>
      <w:lang w:eastAsia="zh-CN"/>
    </w:rPr>
  </w:style>
  <w:style w:type="character" w:customStyle="1" w:styleId="Heading1Char">
    <w:name w:val="Heading 1 Char"/>
    <w:link w:val="Heading1"/>
    <w:rsid w:val="001A2654"/>
    <w:rPr>
      <w:rFonts w:ascii="Arial" w:eastAsia="SimSun" w:hAnsi="Arial" w:cs="Arial"/>
      <w:b/>
      <w:bCs/>
      <w:caps/>
      <w:kern w:val="32"/>
      <w:sz w:val="22"/>
      <w:szCs w:val="32"/>
      <w:lang w:eastAsia="zh-CN"/>
    </w:rPr>
  </w:style>
  <w:style w:type="character" w:styleId="FootnoteReference">
    <w:name w:val="footnote reference"/>
    <w:basedOn w:val="DefaultParagraphFont"/>
    <w:rsid w:val="003012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1A265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1A2654"/>
    <w:rPr>
      <w:rFonts w:ascii="Tahoma" w:eastAsia="SimSun" w:hAnsi="Tahoma" w:cs="Tahoma"/>
      <w:sz w:val="16"/>
      <w:szCs w:val="16"/>
      <w:lang w:eastAsia="zh-CN"/>
    </w:rPr>
  </w:style>
  <w:style w:type="character" w:customStyle="1" w:styleId="ONUMEChar">
    <w:name w:val="ONUM E Char"/>
    <w:link w:val="ONUME"/>
    <w:rsid w:val="001A2654"/>
    <w:rPr>
      <w:rFonts w:ascii="Arial" w:eastAsia="SimSun" w:hAnsi="Arial" w:cs="Arial"/>
      <w:sz w:val="22"/>
      <w:lang w:eastAsia="zh-CN"/>
    </w:rPr>
  </w:style>
  <w:style w:type="character" w:customStyle="1" w:styleId="Heading1Char">
    <w:name w:val="Heading 1 Char"/>
    <w:link w:val="Heading1"/>
    <w:rsid w:val="001A2654"/>
    <w:rPr>
      <w:rFonts w:ascii="Arial" w:eastAsia="SimSun" w:hAnsi="Arial" w:cs="Arial"/>
      <w:b/>
      <w:bCs/>
      <w:caps/>
      <w:kern w:val="32"/>
      <w:sz w:val="22"/>
      <w:szCs w:val="32"/>
      <w:lang w:eastAsia="zh-CN"/>
    </w:rPr>
  </w:style>
  <w:style w:type="character" w:styleId="FootnoteReference">
    <w:name w:val="footnote reference"/>
    <w:basedOn w:val="DefaultParagraphFont"/>
    <w:rsid w:val="003012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944DE-CB7F-4429-AFB6-4DB676B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537</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PCT/MIA/21/10</vt:lpstr>
    </vt:vector>
  </TitlesOfParts>
  <Company>WIPO</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PCT/MIA/21/10</dc:title>
  <dc:subject>Options or Consequences when inviting the Applicant to select a Competent International Searching Authority after the Chosen International Searching Authority Declares Itself Non-Competent</dc:subject>
  <dc:creator>MARLOW Thomas</dc:creator>
  <cp:lastModifiedBy>MARLOW Thomas</cp:lastModifiedBy>
  <cp:revision>8</cp:revision>
  <cp:lastPrinted>2014-01-16T08:40:00Z</cp:lastPrinted>
  <dcterms:created xsi:type="dcterms:W3CDTF">2014-01-14T16:03:00Z</dcterms:created>
  <dcterms:modified xsi:type="dcterms:W3CDTF">2014-01-16T08:40:00Z</dcterms:modified>
</cp:coreProperties>
</file>