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bidi="he-IL"/>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F76533">
              <w:rPr>
                <w:rFonts w:ascii="Arial Black" w:hAnsi="Arial Black"/>
                <w:caps/>
                <w:sz w:val="15"/>
              </w:rPr>
              <w:t>21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F5EE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4BD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145DD">
              <w:rPr>
                <w:rFonts w:ascii="Arial Black" w:hAnsi="Arial Black"/>
                <w:caps/>
                <w:sz w:val="15"/>
              </w:rPr>
              <w:t>January 30</w:t>
            </w:r>
            <w:r w:rsidR="00914BDB">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Default="00914BDB" w:rsidP="008B2CC1">
      <w:pPr>
        <w:rPr>
          <w:caps/>
          <w:sz w:val="24"/>
        </w:rPr>
      </w:pPr>
      <w:bookmarkStart w:id="3" w:name="TitleOfDoc"/>
      <w:bookmarkEnd w:id="3"/>
      <w:r w:rsidRPr="00914BDB">
        <w:rPr>
          <w:caps/>
          <w:sz w:val="24"/>
        </w:rPr>
        <w:t>PCT Direct:</w:t>
      </w:r>
      <w:r w:rsidR="002D3108">
        <w:rPr>
          <w:caps/>
          <w:sz w:val="24"/>
        </w:rPr>
        <w:t xml:space="preserve"> </w:t>
      </w:r>
      <w:r w:rsidRPr="00914BDB">
        <w:rPr>
          <w:caps/>
          <w:sz w:val="24"/>
        </w:rPr>
        <w:t xml:space="preserve"> a new service strengthening the use of the PCT</w:t>
      </w:r>
    </w:p>
    <w:p w:rsidR="00914BDB" w:rsidRPr="00914BDB" w:rsidRDefault="00914BDB" w:rsidP="008B2CC1">
      <w:pPr>
        <w:rPr>
          <w:lang w:val="en-GB"/>
        </w:rPr>
      </w:pPr>
    </w:p>
    <w:p w:rsidR="00AC205C" w:rsidRDefault="00914BDB" w:rsidP="007C6963">
      <w:pPr>
        <w:rPr>
          <w:i/>
          <w:lang w:val="en-GB"/>
        </w:rPr>
      </w:pPr>
      <w:bookmarkStart w:id="4" w:name="Prepared"/>
      <w:bookmarkEnd w:id="4"/>
      <w:r w:rsidRPr="00914BDB">
        <w:rPr>
          <w:i/>
          <w:lang w:val="en-GB"/>
        </w:rPr>
        <w:t xml:space="preserve">Document </w:t>
      </w:r>
      <w:r w:rsidR="007C6963">
        <w:rPr>
          <w:i/>
          <w:lang w:val="en-GB"/>
        </w:rPr>
        <w:t xml:space="preserve">submitted </w:t>
      </w:r>
      <w:r w:rsidRPr="00914BDB">
        <w:rPr>
          <w:i/>
          <w:lang w:val="en-GB"/>
        </w:rPr>
        <w:t>by the European Patent Office</w:t>
      </w:r>
    </w:p>
    <w:p w:rsidR="00914BDB" w:rsidRDefault="00914BDB">
      <w:pPr>
        <w:rPr>
          <w:i/>
          <w:lang w:val="en-GB"/>
        </w:rPr>
      </w:pPr>
      <w:bookmarkStart w:id="5" w:name="_GoBack"/>
      <w:bookmarkEnd w:id="5"/>
    </w:p>
    <w:p w:rsidR="00914BDB" w:rsidRDefault="00914BDB">
      <w:pPr>
        <w:rPr>
          <w:i/>
          <w:lang w:val="en-GB"/>
        </w:rPr>
      </w:pPr>
    </w:p>
    <w:p w:rsidR="00914BDB" w:rsidRDefault="00914BDB">
      <w:pPr>
        <w:rPr>
          <w:i/>
          <w:lang w:val="en-GB"/>
        </w:rPr>
      </w:pPr>
    </w:p>
    <w:p w:rsidR="00914BDB" w:rsidRDefault="00914BDB"/>
    <w:p w:rsidR="000F5E56" w:rsidRDefault="000F5E56"/>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1.</w:t>
      </w:r>
      <w:r>
        <w:rPr>
          <w:rFonts w:eastAsiaTheme="minorHAnsi"/>
          <w:szCs w:val="22"/>
          <w:lang w:val="en-GB" w:eastAsia="en-US"/>
        </w:rPr>
        <w:tab/>
        <w:t>On November 1, 2014</w:t>
      </w:r>
      <w:r w:rsidR="00914BDB" w:rsidRPr="00914BDB">
        <w:rPr>
          <w:rFonts w:eastAsiaTheme="minorHAnsi"/>
          <w:szCs w:val="22"/>
          <w:lang w:val="en-GB" w:eastAsia="en-US"/>
        </w:rPr>
        <w:t xml:space="preserve"> the European Patent Office</w:t>
      </w:r>
      <w:r>
        <w:rPr>
          <w:rFonts w:eastAsiaTheme="minorHAnsi"/>
          <w:szCs w:val="22"/>
          <w:lang w:val="en-GB" w:eastAsia="en-US"/>
        </w:rPr>
        <w:t xml:space="preserve"> (EPO)</w:t>
      </w:r>
      <w:r w:rsidR="00914BDB" w:rsidRPr="00914BDB">
        <w:rPr>
          <w:rFonts w:eastAsiaTheme="minorHAnsi"/>
          <w:szCs w:val="22"/>
          <w:lang w:val="en-GB" w:eastAsia="en-US"/>
        </w:rPr>
        <w:t xml:space="preserve"> in its capacity as receiving Office and International Searching Authority launched a new PCT service, called “PCT Direct” (see Notice from the EPO dated 18 August 2014 published in OJ EPO 2014, A89). </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2.</w:t>
      </w:r>
      <w:r>
        <w:rPr>
          <w:rFonts w:eastAsiaTheme="minorHAnsi"/>
          <w:szCs w:val="22"/>
          <w:lang w:val="en-GB" w:eastAsia="en-US"/>
        </w:rPr>
        <w:tab/>
      </w:r>
      <w:r w:rsidR="00914BDB" w:rsidRPr="00914BDB">
        <w:rPr>
          <w:rFonts w:eastAsiaTheme="minorHAnsi"/>
          <w:szCs w:val="22"/>
          <w:lang w:val="en-GB" w:eastAsia="en-US"/>
        </w:rPr>
        <w:t xml:space="preserve">Under PCT Direct, an applicant filing an international application claiming priority from an earlier application already searched by the EPO will be able to react to any objections raised in the search opinion drawn up for the priority application. </w:t>
      </w:r>
      <w:r>
        <w:rPr>
          <w:rFonts w:eastAsiaTheme="minorHAnsi"/>
          <w:szCs w:val="22"/>
          <w:lang w:val="en-GB" w:eastAsia="en-US"/>
        </w:rPr>
        <w:t xml:space="preserve"> </w:t>
      </w:r>
      <w:r w:rsidR="00914BDB" w:rsidRPr="00914BDB">
        <w:rPr>
          <w:rFonts w:eastAsiaTheme="minorHAnsi"/>
          <w:szCs w:val="22"/>
          <w:lang w:val="en-GB" w:eastAsia="en-US"/>
        </w:rPr>
        <w:t>This new service will simplify the assessment of the international application and add to the value of the international search report and written opinion established by the EPO.</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bCs/>
          <w:szCs w:val="22"/>
          <w:lang w:val="en-GB" w:eastAsia="en-US"/>
        </w:rPr>
      </w:pPr>
      <w:r>
        <w:rPr>
          <w:rFonts w:eastAsiaTheme="minorHAnsi"/>
          <w:bCs/>
          <w:szCs w:val="22"/>
          <w:lang w:val="en-GB" w:eastAsia="en-US"/>
        </w:rPr>
        <w:t>3.</w:t>
      </w:r>
      <w:r>
        <w:rPr>
          <w:rFonts w:eastAsiaTheme="minorHAnsi"/>
          <w:bCs/>
          <w:szCs w:val="22"/>
          <w:lang w:val="en-GB" w:eastAsia="en-US"/>
        </w:rPr>
        <w:tab/>
      </w:r>
      <w:r w:rsidR="00914BDB" w:rsidRPr="00914BDB">
        <w:rPr>
          <w:rFonts w:eastAsiaTheme="minorHAnsi"/>
          <w:bCs/>
          <w:szCs w:val="22"/>
          <w:lang w:val="en-GB" w:eastAsia="en-US"/>
        </w:rPr>
        <w:t xml:space="preserve">Applicants may request to have their international application processed under PCT Direct by filing a letter (“PCT Direct letter”) containing informal comments aimed at overcoming objections raised in the search opinion established by the EPO for the priority application. </w:t>
      </w:r>
      <w:r>
        <w:rPr>
          <w:rFonts w:eastAsiaTheme="minorHAnsi"/>
          <w:bCs/>
          <w:szCs w:val="22"/>
          <w:lang w:val="en-GB" w:eastAsia="en-US"/>
        </w:rPr>
        <w:t xml:space="preserve"> </w:t>
      </w:r>
      <w:r w:rsidR="00914BDB" w:rsidRPr="00914BDB">
        <w:rPr>
          <w:rFonts w:eastAsiaTheme="minorHAnsi"/>
          <w:bCs/>
          <w:szCs w:val="22"/>
          <w:lang w:val="en-GB" w:eastAsia="en-US"/>
        </w:rPr>
        <w:t>Such informal comments are to be understood as arguments regarding the patentability of the claims of the international application and also possibly as explanations regarding any modifications to the application documents, in particular to the claims, in comparison with the earlier application. PCT Direct letters do not form part of the international application.</w:t>
      </w:r>
    </w:p>
    <w:p w:rsidR="00914BDB" w:rsidRPr="00914BDB" w:rsidRDefault="00914BDB" w:rsidP="00914BDB">
      <w:pPr>
        <w:autoSpaceDE w:val="0"/>
        <w:autoSpaceDN w:val="0"/>
        <w:adjustRightInd w:val="0"/>
        <w:rPr>
          <w:rFonts w:eastAsiaTheme="minorHAnsi"/>
          <w:bCs/>
          <w:szCs w:val="22"/>
          <w:lang w:val="en-GB" w:eastAsia="en-US"/>
        </w:rPr>
      </w:pPr>
    </w:p>
    <w:p w:rsidR="00914BDB" w:rsidRPr="00914BDB" w:rsidRDefault="002D3108" w:rsidP="00914BDB">
      <w:pPr>
        <w:autoSpaceDE w:val="0"/>
        <w:autoSpaceDN w:val="0"/>
        <w:adjustRightInd w:val="0"/>
        <w:rPr>
          <w:rFonts w:eastAsiaTheme="minorHAnsi"/>
          <w:bCs/>
          <w:szCs w:val="22"/>
          <w:lang w:val="en-GB" w:eastAsia="en-US"/>
        </w:rPr>
      </w:pPr>
      <w:r>
        <w:rPr>
          <w:rFonts w:eastAsiaTheme="minorHAnsi"/>
          <w:bCs/>
          <w:szCs w:val="22"/>
          <w:lang w:val="en-GB" w:eastAsia="en-US"/>
        </w:rPr>
        <w:t>4.</w:t>
      </w:r>
      <w:r>
        <w:rPr>
          <w:rFonts w:eastAsiaTheme="minorHAnsi"/>
          <w:bCs/>
          <w:szCs w:val="22"/>
          <w:lang w:val="en-GB" w:eastAsia="en-US"/>
        </w:rPr>
        <w:tab/>
      </w:r>
      <w:r w:rsidR="00914BDB" w:rsidRPr="00914BDB">
        <w:rPr>
          <w:rFonts w:eastAsiaTheme="minorHAnsi"/>
          <w:bCs/>
          <w:szCs w:val="22"/>
          <w:lang w:val="en-GB" w:eastAsia="en-US"/>
        </w:rPr>
        <w:t>At the moment, upon receipt of a PCT Direct letter, the international application will be processed under PCT Direct only where the following two requirements are met:</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914BDB" w:rsidP="002D3108">
      <w:pPr>
        <w:numPr>
          <w:ilvl w:val="0"/>
          <w:numId w:val="12"/>
        </w:numPr>
        <w:autoSpaceDE w:val="0"/>
        <w:autoSpaceDN w:val="0"/>
        <w:adjustRightInd w:val="0"/>
        <w:ind w:left="992" w:firstLine="0"/>
        <w:contextualSpacing/>
        <w:rPr>
          <w:rFonts w:eastAsiaTheme="minorHAnsi"/>
          <w:szCs w:val="22"/>
          <w:lang w:val="en-GB" w:eastAsia="en-US"/>
        </w:rPr>
      </w:pPr>
      <w:r w:rsidRPr="00914BDB">
        <w:rPr>
          <w:rFonts w:eastAsiaTheme="minorHAnsi"/>
          <w:szCs w:val="22"/>
          <w:lang w:val="en-GB" w:eastAsia="en-US"/>
        </w:rPr>
        <w:t xml:space="preserve">the informal comments are filed together with the international application with the EPO as receiving Office, </w:t>
      </w:r>
    </w:p>
    <w:p w:rsidR="00914BDB" w:rsidRPr="00914BDB" w:rsidRDefault="00914BDB" w:rsidP="002D3108">
      <w:pPr>
        <w:autoSpaceDE w:val="0"/>
        <w:autoSpaceDN w:val="0"/>
        <w:adjustRightInd w:val="0"/>
        <w:ind w:left="992"/>
        <w:contextualSpacing/>
        <w:rPr>
          <w:rFonts w:eastAsiaTheme="minorHAnsi"/>
          <w:szCs w:val="22"/>
          <w:lang w:val="en-GB" w:eastAsia="en-US"/>
        </w:rPr>
      </w:pPr>
    </w:p>
    <w:p w:rsidR="00914BDB" w:rsidRPr="00914BDB" w:rsidRDefault="00914BDB" w:rsidP="002D3108">
      <w:pPr>
        <w:numPr>
          <w:ilvl w:val="0"/>
          <w:numId w:val="12"/>
        </w:numPr>
        <w:autoSpaceDE w:val="0"/>
        <w:autoSpaceDN w:val="0"/>
        <w:adjustRightInd w:val="0"/>
        <w:ind w:left="993" w:firstLine="0"/>
        <w:contextualSpacing/>
        <w:rPr>
          <w:rFonts w:eastAsiaTheme="minorHAnsi"/>
          <w:szCs w:val="22"/>
          <w:lang w:val="en-GB" w:eastAsia="en-US"/>
        </w:rPr>
      </w:pPr>
      <w:proofErr w:type="gramStart"/>
      <w:r w:rsidRPr="00914BDB">
        <w:rPr>
          <w:rFonts w:eastAsiaTheme="minorHAnsi"/>
          <w:szCs w:val="22"/>
          <w:lang w:val="en-GB" w:eastAsia="en-US"/>
        </w:rPr>
        <w:lastRenderedPageBreak/>
        <w:t>the</w:t>
      </w:r>
      <w:proofErr w:type="gramEnd"/>
      <w:r w:rsidRPr="00914BDB">
        <w:rPr>
          <w:rFonts w:eastAsiaTheme="minorHAnsi"/>
          <w:szCs w:val="22"/>
          <w:lang w:val="en-GB" w:eastAsia="en-US"/>
        </w:rPr>
        <w:t xml:space="preserve"> international application claims priority of an earlier application searched by the EPO (i.e. a European </w:t>
      </w:r>
      <w:r w:rsidRPr="002D3108">
        <w:rPr>
          <w:rFonts w:eastAsiaTheme="minorHAnsi"/>
          <w:i/>
          <w:szCs w:val="22"/>
          <w:lang w:val="en-GB" w:eastAsia="en-US"/>
        </w:rPr>
        <w:t xml:space="preserve">premiers </w:t>
      </w:r>
      <w:proofErr w:type="spellStart"/>
      <w:r w:rsidRPr="002D3108">
        <w:rPr>
          <w:rFonts w:eastAsiaTheme="minorHAnsi"/>
          <w:i/>
          <w:szCs w:val="22"/>
          <w:lang w:val="en-GB" w:eastAsia="en-US"/>
        </w:rPr>
        <w:t>dépôts</w:t>
      </w:r>
      <w:proofErr w:type="spellEnd"/>
      <w:r w:rsidRPr="00914BDB">
        <w:rPr>
          <w:rFonts w:eastAsiaTheme="minorHAnsi"/>
          <w:szCs w:val="22"/>
          <w:lang w:val="en-GB" w:eastAsia="en-US"/>
        </w:rPr>
        <w:t xml:space="preserve"> or certain national first filings).</w:t>
      </w:r>
    </w:p>
    <w:p w:rsidR="00914BDB" w:rsidRPr="00914BDB" w:rsidRDefault="00914BDB" w:rsidP="002D3108">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5.</w:t>
      </w:r>
      <w:r>
        <w:rPr>
          <w:rFonts w:eastAsiaTheme="minorHAnsi"/>
          <w:szCs w:val="22"/>
          <w:lang w:val="en-GB" w:eastAsia="en-US"/>
        </w:rPr>
        <w:tab/>
      </w:r>
      <w:r w:rsidR="00914BDB" w:rsidRPr="00914BDB">
        <w:rPr>
          <w:rFonts w:eastAsiaTheme="minorHAnsi"/>
          <w:szCs w:val="22"/>
          <w:lang w:val="en-GB" w:eastAsia="en-US"/>
        </w:rPr>
        <w:t xml:space="preserve">The PCT Direct letter and any marked-up copy of the claims and/or description are to be submitted as a single document in PDF format and indicated by checking Box IX of the PCT request form (check list, Form PCT/RO/101). </w:t>
      </w:r>
      <w:r>
        <w:rPr>
          <w:rFonts w:eastAsiaTheme="minorHAnsi"/>
          <w:szCs w:val="22"/>
          <w:lang w:val="en-GB" w:eastAsia="en-US"/>
        </w:rPr>
        <w:t xml:space="preserve"> </w:t>
      </w:r>
      <w:r w:rsidR="00914BDB" w:rsidRPr="00914BDB">
        <w:rPr>
          <w:rFonts w:eastAsiaTheme="minorHAnsi"/>
          <w:szCs w:val="22"/>
          <w:lang w:val="en-GB" w:eastAsia="en-US"/>
        </w:rPr>
        <w:t>In particular, the words “PCT Direct / informal comments” should be specified under point 11, “Other”, for filings on paper and point 19, “Other”, for filings in electronic form.</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6.</w:t>
      </w:r>
      <w:r>
        <w:rPr>
          <w:rFonts w:eastAsiaTheme="minorHAnsi"/>
          <w:szCs w:val="22"/>
          <w:lang w:val="en-GB" w:eastAsia="en-US"/>
        </w:rPr>
        <w:tab/>
      </w:r>
      <w:r w:rsidR="00914BDB" w:rsidRPr="00914BDB">
        <w:rPr>
          <w:rFonts w:eastAsiaTheme="minorHAnsi"/>
          <w:szCs w:val="22"/>
          <w:lang w:val="en-GB" w:eastAsia="en-US"/>
        </w:rPr>
        <w:t xml:space="preserve">In 2014 in total, the EPO received 992 PCT applications with the PCT Direct letter attached (before November, it was running as a limited pilot). </w:t>
      </w:r>
      <w:r>
        <w:rPr>
          <w:rFonts w:eastAsiaTheme="minorHAnsi"/>
          <w:szCs w:val="22"/>
          <w:lang w:val="en-GB" w:eastAsia="en-US"/>
        </w:rPr>
        <w:t xml:space="preserve"> </w:t>
      </w:r>
      <w:r w:rsidR="00914BDB" w:rsidRPr="00914BDB">
        <w:rPr>
          <w:rFonts w:eastAsiaTheme="minorHAnsi"/>
          <w:szCs w:val="22"/>
          <w:lang w:val="en-GB" w:eastAsia="en-US"/>
        </w:rPr>
        <w:t xml:space="preserve">Since November 2014, PCT applications filed with PCT Direct letters increased up to 200 per month. </w:t>
      </w:r>
      <w:r>
        <w:rPr>
          <w:rFonts w:eastAsiaTheme="minorHAnsi"/>
          <w:szCs w:val="22"/>
          <w:lang w:val="en-GB" w:eastAsia="en-US"/>
        </w:rPr>
        <w:t xml:space="preserve"> </w:t>
      </w:r>
      <w:r w:rsidR="00914BDB" w:rsidRPr="00914BDB">
        <w:rPr>
          <w:rFonts w:eastAsiaTheme="minorHAnsi"/>
          <w:szCs w:val="22"/>
          <w:lang w:val="en-GB" w:eastAsia="en-US"/>
        </w:rPr>
        <w:t>User groups have praised the launch of this new service as it brings more efficiency both for them and for the EPO as ISA.</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7.</w:t>
      </w:r>
      <w:r>
        <w:rPr>
          <w:rFonts w:eastAsiaTheme="minorHAnsi"/>
          <w:szCs w:val="22"/>
          <w:lang w:val="en-GB" w:eastAsia="en-US"/>
        </w:rPr>
        <w:tab/>
      </w:r>
      <w:r w:rsidR="00914BDB" w:rsidRPr="00914BDB">
        <w:rPr>
          <w:rFonts w:eastAsiaTheme="minorHAnsi"/>
          <w:szCs w:val="22"/>
          <w:lang w:val="en-GB" w:eastAsia="en-US"/>
        </w:rPr>
        <w:t xml:space="preserve">The EPO and the IB are exploring ways to extend the use of the PCT Direct service to other receiving Offices. </w:t>
      </w:r>
      <w:r>
        <w:rPr>
          <w:rFonts w:eastAsiaTheme="minorHAnsi"/>
          <w:szCs w:val="22"/>
          <w:lang w:val="en-GB" w:eastAsia="en-US"/>
        </w:rPr>
        <w:t xml:space="preserve"> </w:t>
      </w:r>
      <w:r w:rsidR="00914BDB" w:rsidRPr="00914BDB">
        <w:rPr>
          <w:rFonts w:eastAsiaTheme="minorHAnsi"/>
          <w:szCs w:val="22"/>
          <w:lang w:val="en-GB" w:eastAsia="en-US"/>
        </w:rPr>
        <w:t xml:space="preserve">With such extension, PCT applicants who selected the EPO as ISA (or any other ISA who wishes to offer a similar service) could submit PCT Direct letters with their applications irrespective of the receiving Office. </w:t>
      </w:r>
      <w:r>
        <w:rPr>
          <w:rFonts w:eastAsiaTheme="minorHAnsi"/>
          <w:szCs w:val="22"/>
          <w:lang w:val="en-GB" w:eastAsia="en-US"/>
        </w:rPr>
        <w:t xml:space="preserve"> </w:t>
      </w:r>
      <w:r w:rsidR="00914BDB" w:rsidRPr="00914BDB">
        <w:rPr>
          <w:rFonts w:eastAsiaTheme="minorHAnsi"/>
          <w:szCs w:val="22"/>
          <w:lang w:val="en-GB" w:eastAsia="en-US"/>
        </w:rPr>
        <w:t>Such a measure would enhance equal treatment amongst PCT applicants and streamline procedures amongst receiving Offices.</w:t>
      </w:r>
      <w:r>
        <w:rPr>
          <w:rFonts w:eastAsiaTheme="minorHAnsi"/>
          <w:szCs w:val="22"/>
          <w:lang w:val="en-GB" w:eastAsia="en-US"/>
        </w:rPr>
        <w:t xml:space="preserve">  </w:t>
      </w:r>
    </w:p>
    <w:p w:rsidR="00914BDB" w:rsidRPr="00914BDB" w:rsidRDefault="00914BDB" w:rsidP="00914BDB">
      <w:pPr>
        <w:autoSpaceDE w:val="0"/>
        <w:autoSpaceDN w:val="0"/>
        <w:adjustRightInd w:val="0"/>
        <w:rPr>
          <w:rFonts w:eastAsiaTheme="minorHAnsi"/>
          <w:szCs w:val="22"/>
          <w:lang w:val="en-GB" w:eastAsia="en-US"/>
        </w:rPr>
      </w:pPr>
      <w:r w:rsidRPr="00914BDB">
        <w:rPr>
          <w:rFonts w:eastAsiaTheme="minorHAnsi"/>
          <w:szCs w:val="22"/>
          <w:lang w:val="en-GB" w:eastAsia="en-US"/>
        </w:rPr>
        <w:t xml:space="preserve">The extension of the new PCT Direct service to other receiving Offices would require an update of the PCT RO Guidelines to ensure a smooth prosecution of the PCT Direct letters from the part of the receiving Offices. </w:t>
      </w:r>
      <w:r w:rsidR="002D3108">
        <w:rPr>
          <w:rFonts w:eastAsiaTheme="minorHAnsi"/>
          <w:szCs w:val="22"/>
          <w:lang w:val="en-GB" w:eastAsia="en-US"/>
        </w:rPr>
        <w:t xml:space="preserve"> </w:t>
      </w:r>
      <w:r w:rsidRPr="00914BDB">
        <w:rPr>
          <w:rFonts w:eastAsiaTheme="minorHAnsi"/>
          <w:szCs w:val="22"/>
          <w:lang w:val="en-GB" w:eastAsia="en-US"/>
        </w:rPr>
        <w:t xml:space="preserve">In a nutshell these would need to be added to the search copies sent to the competent ISA. </w:t>
      </w:r>
      <w:r w:rsidR="002D3108">
        <w:rPr>
          <w:rFonts w:eastAsiaTheme="minorHAnsi"/>
          <w:szCs w:val="22"/>
          <w:lang w:val="en-GB" w:eastAsia="en-US"/>
        </w:rPr>
        <w:t xml:space="preserve"> </w:t>
      </w:r>
      <w:r w:rsidRPr="00914BDB">
        <w:rPr>
          <w:rFonts w:eastAsiaTheme="minorHAnsi"/>
          <w:szCs w:val="22"/>
          <w:lang w:val="en-GB" w:eastAsia="en-US"/>
        </w:rPr>
        <w:t xml:space="preserve">Also the PCT electronic filing tools may need to be adapted (PCT check list). </w:t>
      </w:r>
    </w:p>
    <w:p w:rsidR="00914BDB" w:rsidRPr="00914BDB" w:rsidRDefault="00914BDB" w:rsidP="00914BDB">
      <w:pPr>
        <w:autoSpaceDE w:val="0"/>
        <w:autoSpaceDN w:val="0"/>
        <w:adjustRightInd w:val="0"/>
        <w:rPr>
          <w:rFonts w:eastAsiaTheme="minorHAnsi"/>
          <w:szCs w:val="22"/>
          <w:lang w:val="en-GB" w:eastAsia="en-US"/>
        </w:rPr>
      </w:pPr>
    </w:p>
    <w:p w:rsidR="00914BDB" w:rsidRPr="002D3108" w:rsidRDefault="00914BDB" w:rsidP="002D3108">
      <w:pPr>
        <w:ind w:left="5533"/>
        <w:rPr>
          <w:rFonts w:eastAsiaTheme="minorHAnsi"/>
          <w:i/>
          <w:szCs w:val="22"/>
          <w:lang w:val="en-GB" w:eastAsia="en-US"/>
        </w:rPr>
      </w:pPr>
      <w:r w:rsidRPr="002D3108">
        <w:rPr>
          <w:rFonts w:eastAsiaTheme="minorHAnsi"/>
          <w:i/>
          <w:szCs w:val="22"/>
          <w:lang w:val="en-GB" w:eastAsia="en-US"/>
        </w:rPr>
        <w:t xml:space="preserve">8. The Meeting is invited to comment on the proposed extension of the PCT Direct service </w:t>
      </w:r>
      <w:r w:rsidR="002D3108">
        <w:rPr>
          <w:rFonts w:eastAsiaTheme="minorHAnsi"/>
          <w:i/>
          <w:szCs w:val="22"/>
          <w:lang w:val="en-GB" w:eastAsia="en-US"/>
        </w:rPr>
        <w:t>to other receiving Offices out</w:t>
      </w:r>
      <w:r w:rsidRPr="002D3108">
        <w:rPr>
          <w:rFonts w:eastAsiaTheme="minorHAnsi"/>
          <w:i/>
          <w:szCs w:val="22"/>
          <w:lang w:val="en-GB" w:eastAsia="en-US"/>
        </w:rPr>
        <w:t>lined in paragraph 7.</w:t>
      </w:r>
    </w:p>
    <w:p w:rsidR="002928D3" w:rsidRPr="00914BDB" w:rsidRDefault="002928D3">
      <w:pPr>
        <w:rPr>
          <w:szCs w:val="22"/>
          <w:lang w:val="en-GB"/>
        </w:rPr>
      </w:pPr>
    </w:p>
    <w:p w:rsidR="00EE0FCD" w:rsidRDefault="00EE0FCD" w:rsidP="00EE0FCD">
      <w:pPr>
        <w:pStyle w:val="Endofdocument-Annex"/>
      </w:pPr>
    </w:p>
    <w:p w:rsidR="00EE0FCD" w:rsidRPr="00104115" w:rsidRDefault="00EE0FCD" w:rsidP="00EE0FCD">
      <w:pPr>
        <w:pStyle w:val="Endofdocument-Annex"/>
      </w:pPr>
      <w:r>
        <w:t>[End of document]</w:t>
      </w:r>
    </w:p>
    <w:sectPr w:rsidR="00EE0FCD" w:rsidRPr="00104115" w:rsidSect="00DF5EE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63" w:rsidRDefault="00885563">
      <w:r>
        <w:separator/>
      </w:r>
    </w:p>
  </w:endnote>
  <w:endnote w:type="continuationSeparator" w:id="0">
    <w:p w:rsidR="00885563" w:rsidRDefault="00885563" w:rsidP="003B38C1">
      <w:r>
        <w:separator/>
      </w:r>
    </w:p>
    <w:p w:rsidR="00885563" w:rsidRPr="003B38C1" w:rsidRDefault="00885563" w:rsidP="003B38C1">
      <w:pPr>
        <w:spacing w:after="60"/>
        <w:rPr>
          <w:sz w:val="17"/>
        </w:rPr>
      </w:pPr>
      <w:r>
        <w:rPr>
          <w:sz w:val="17"/>
        </w:rPr>
        <w:t>[Endnote continued from previous page]</w:t>
      </w:r>
    </w:p>
  </w:endnote>
  <w:endnote w:type="continuationNotice" w:id="1">
    <w:p w:rsidR="00885563" w:rsidRPr="003B38C1" w:rsidRDefault="008855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63" w:rsidRDefault="00885563">
      <w:r>
        <w:separator/>
      </w:r>
    </w:p>
  </w:footnote>
  <w:footnote w:type="continuationSeparator" w:id="0">
    <w:p w:rsidR="00885563" w:rsidRDefault="00885563" w:rsidP="008B60B2">
      <w:r>
        <w:separator/>
      </w:r>
    </w:p>
    <w:p w:rsidR="00885563" w:rsidRPr="00ED77FB" w:rsidRDefault="00885563" w:rsidP="008B60B2">
      <w:pPr>
        <w:spacing w:after="60"/>
        <w:rPr>
          <w:sz w:val="17"/>
          <w:szCs w:val="17"/>
        </w:rPr>
      </w:pPr>
      <w:r w:rsidRPr="00ED77FB">
        <w:rPr>
          <w:sz w:val="17"/>
          <w:szCs w:val="17"/>
        </w:rPr>
        <w:t>[Footnote continued from previous page]</w:t>
      </w:r>
    </w:p>
  </w:footnote>
  <w:footnote w:type="continuationNotice" w:id="1">
    <w:p w:rsidR="00885563" w:rsidRPr="00ED77FB" w:rsidRDefault="008855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5EEB" w:rsidP="00477D6B">
    <w:pPr>
      <w:jc w:val="right"/>
    </w:pPr>
    <w:bookmarkStart w:id="6" w:name="Code2"/>
    <w:bookmarkEnd w:id="6"/>
    <w:r>
      <w:t>P</w:t>
    </w:r>
    <w:r w:rsidR="00914BDB">
      <w:t>CT/MIA/22/</w:t>
    </w:r>
    <w:r w:rsidR="002D3108">
      <w:t>21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C6963">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04CAB"/>
    <w:multiLevelType w:val="multilevel"/>
    <w:tmpl w:val="3C923C98"/>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046643"/>
    <w:multiLevelType w:val="multilevel"/>
    <w:tmpl w:val="01C4F322"/>
    <w:lvl w:ilvl="0">
      <w:start w:val="1"/>
      <w:numFmt w:val="bullet"/>
      <w:lvlRestart w:val="0"/>
      <w:lvlText w:val=""/>
      <w:lvlJc w:val="left"/>
      <w:pPr>
        <w:tabs>
          <w:tab w:val="num" w:pos="1134"/>
        </w:tabs>
        <w:ind w:left="1134" w:hanging="567"/>
      </w:pPr>
      <w:rPr>
        <w:rFonts w:ascii="Symbol" w:hAnsi="Symbo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767D91"/>
    <w:multiLevelType w:val="multilevel"/>
    <w:tmpl w:val="FB56CCAC"/>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BD6A80"/>
    <w:multiLevelType w:val="multilevel"/>
    <w:tmpl w:val="372278B6"/>
    <w:lvl w:ilvl="0">
      <w:start w:val="1"/>
      <w:numFmt w:val="bullet"/>
      <w:lvlRestart w:val="0"/>
      <w:lvlText w:val=""/>
      <w:lvlJc w:val="left"/>
      <w:pPr>
        <w:tabs>
          <w:tab w:val="num" w:pos="1134"/>
        </w:tabs>
        <w:ind w:left="1134" w:hanging="567"/>
      </w:pPr>
      <w:rPr>
        <w:rFonts w:ascii="Symbol" w:hAnsi="Symbo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796899"/>
    <w:multiLevelType w:val="hybridMultilevel"/>
    <w:tmpl w:val="B900BF60"/>
    <w:lvl w:ilvl="0" w:tplc="688E67B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7A5505D"/>
    <w:multiLevelType w:val="multilevel"/>
    <w:tmpl w:val="FDB46E74"/>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8"/>
  </w:num>
  <w:num w:numId="8">
    <w:abstractNumId w:val="4"/>
  </w:num>
  <w:num w:numId="9">
    <w:abstractNumId w:val="6"/>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EB"/>
    <w:rsid w:val="00026DCA"/>
    <w:rsid w:val="00043142"/>
    <w:rsid w:val="00043CAA"/>
    <w:rsid w:val="00075432"/>
    <w:rsid w:val="000968ED"/>
    <w:rsid w:val="000F5E56"/>
    <w:rsid w:val="000F73B7"/>
    <w:rsid w:val="00104115"/>
    <w:rsid w:val="001362EE"/>
    <w:rsid w:val="0014552E"/>
    <w:rsid w:val="001832A6"/>
    <w:rsid w:val="001A62E4"/>
    <w:rsid w:val="00200BF5"/>
    <w:rsid w:val="00202430"/>
    <w:rsid w:val="00233056"/>
    <w:rsid w:val="00246343"/>
    <w:rsid w:val="00256854"/>
    <w:rsid w:val="002634C4"/>
    <w:rsid w:val="002928D3"/>
    <w:rsid w:val="002B5CD1"/>
    <w:rsid w:val="002D3108"/>
    <w:rsid w:val="002F1FE6"/>
    <w:rsid w:val="002F4E68"/>
    <w:rsid w:val="00312F7F"/>
    <w:rsid w:val="00361450"/>
    <w:rsid w:val="003673CF"/>
    <w:rsid w:val="003845C1"/>
    <w:rsid w:val="003A6F89"/>
    <w:rsid w:val="003B38C1"/>
    <w:rsid w:val="00423E3E"/>
    <w:rsid w:val="00427AF4"/>
    <w:rsid w:val="004647DA"/>
    <w:rsid w:val="00474062"/>
    <w:rsid w:val="00477D6B"/>
    <w:rsid w:val="004E1CEC"/>
    <w:rsid w:val="005019FF"/>
    <w:rsid w:val="00523FC0"/>
    <w:rsid w:val="0053057A"/>
    <w:rsid w:val="00560A29"/>
    <w:rsid w:val="005B5F2B"/>
    <w:rsid w:val="005C6649"/>
    <w:rsid w:val="00605827"/>
    <w:rsid w:val="00636332"/>
    <w:rsid w:val="00646050"/>
    <w:rsid w:val="006713CA"/>
    <w:rsid w:val="00676C5C"/>
    <w:rsid w:val="0072075E"/>
    <w:rsid w:val="007C6963"/>
    <w:rsid w:val="007D1613"/>
    <w:rsid w:val="00885563"/>
    <w:rsid w:val="008B2CC1"/>
    <w:rsid w:val="008B60B2"/>
    <w:rsid w:val="0090731E"/>
    <w:rsid w:val="009145DD"/>
    <w:rsid w:val="00914BDB"/>
    <w:rsid w:val="00916EE2"/>
    <w:rsid w:val="00931AAE"/>
    <w:rsid w:val="00966A22"/>
    <w:rsid w:val="0096722F"/>
    <w:rsid w:val="00980843"/>
    <w:rsid w:val="009B1950"/>
    <w:rsid w:val="009D0497"/>
    <w:rsid w:val="009E2791"/>
    <w:rsid w:val="009E3F6F"/>
    <w:rsid w:val="009F499F"/>
    <w:rsid w:val="00A155E5"/>
    <w:rsid w:val="00A42DAF"/>
    <w:rsid w:val="00A45BD8"/>
    <w:rsid w:val="00A6453D"/>
    <w:rsid w:val="00A869B7"/>
    <w:rsid w:val="00AC205C"/>
    <w:rsid w:val="00AF0A6B"/>
    <w:rsid w:val="00B04FFD"/>
    <w:rsid w:val="00B05A69"/>
    <w:rsid w:val="00B9734B"/>
    <w:rsid w:val="00C11BFE"/>
    <w:rsid w:val="00CD0890"/>
    <w:rsid w:val="00CE154B"/>
    <w:rsid w:val="00D10490"/>
    <w:rsid w:val="00D45252"/>
    <w:rsid w:val="00D55B17"/>
    <w:rsid w:val="00D71B4D"/>
    <w:rsid w:val="00D867F3"/>
    <w:rsid w:val="00D93D55"/>
    <w:rsid w:val="00DF5EEB"/>
    <w:rsid w:val="00E335FE"/>
    <w:rsid w:val="00E947D7"/>
    <w:rsid w:val="00EC4E49"/>
    <w:rsid w:val="00ED77FB"/>
    <w:rsid w:val="00EE0FCD"/>
    <w:rsid w:val="00EE45FA"/>
    <w:rsid w:val="00F13B0F"/>
    <w:rsid w:val="00F66152"/>
    <w:rsid w:val="00F76533"/>
    <w:rsid w:val="00F87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B04FFD"/>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B04FFD"/>
    <w:rPr>
      <w:color w:val="0000FF" w:themeColor="hyperlink"/>
      <w:u w:val="single"/>
    </w:rPr>
  </w:style>
  <w:style w:type="character" w:styleId="FootnoteReference">
    <w:name w:val="footnote reference"/>
    <w:basedOn w:val="DefaultParagraphFont"/>
    <w:rsid w:val="00B04FFD"/>
    <w:rPr>
      <w:vertAlign w:val="superscript"/>
    </w:rPr>
  </w:style>
  <w:style w:type="paragraph" w:styleId="BalloonText">
    <w:name w:val="Balloon Text"/>
    <w:basedOn w:val="Normal"/>
    <w:link w:val="BalloonTextChar"/>
    <w:rsid w:val="00D55B17"/>
    <w:rPr>
      <w:rFonts w:ascii="Tahoma" w:hAnsi="Tahoma" w:cs="Tahoma"/>
      <w:sz w:val="16"/>
      <w:szCs w:val="16"/>
    </w:rPr>
  </w:style>
  <w:style w:type="character" w:customStyle="1" w:styleId="BalloonTextChar">
    <w:name w:val="Balloon Text Char"/>
    <w:basedOn w:val="DefaultParagraphFont"/>
    <w:link w:val="BalloonText"/>
    <w:rsid w:val="00D55B17"/>
    <w:rPr>
      <w:rFonts w:ascii="Tahoma" w:eastAsia="SimSun" w:hAnsi="Tahoma" w:cs="Tahoma"/>
      <w:sz w:val="16"/>
      <w:szCs w:val="16"/>
      <w:lang w:eastAsia="zh-CN"/>
    </w:rPr>
  </w:style>
  <w:style w:type="paragraph" w:customStyle="1" w:styleId="EPONormal">
    <w:name w:val="EPONormal"/>
    <w:basedOn w:val="Normal"/>
    <w:link w:val="EPONormalChar"/>
    <w:qFormat/>
    <w:rsid w:val="00D55B17"/>
    <w:rPr>
      <w:sz w:val="24"/>
    </w:rPr>
  </w:style>
  <w:style w:type="character" w:customStyle="1" w:styleId="EPONormalChar">
    <w:name w:val="EPONormal Char"/>
    <w:basedOn w:val="DefaultParagraphFont"/>
    <w:link w:val="EPONormal"/>
    <w:rsid w:val="00D55B17"/>
    <w:rPr>
      <w:rFonts w:ascii="Arial" w:eastAsia="SimSun" w:hAnsi="Arial" w:cs="Arial"/>
      <w:sz w:val="24"/>
      <w:lang w:eastAsia="zh-CN"/>
    </w:rPr>
  </w:style>
  <w:style w:type="paragraph" w:customStyle="1" w:styleId="EPODocNormal">
    <w:name w:val="EPODocNormal"/>
    <w:basedOn w:val="Normal"/>
    <w:link w:val="EPODocNormalChar"/>
    <w:qFormat/>
    <w:rsid w:val="00D55B17"/>
  </w:style>
  <w:style w:type="character" w:customStyle="1" w:styleId="EPODocNormalChar">
    <w:name w:val="EPODocNormal Char"/>
    <w:basedOn w:val="DefaultParagraphFont"/>
    <w:link w:val="EPODocNormal"/>
    <w:rsid w:val="00D55B17"/>
    <w:rPr>
      <w:rFonts w:ascii="Arial" w:eastAsia="SimSun" w:hAnsi="Arial" w:cs="Arial"/>
      <w:sz w:val="22"/>
      <w:lang w:eastAsia="zh-CN"/>
    </w:rPr>
  </w:style>
  <w:style w:type="paragraph" w:customStyle="1" w:styleId="EPODocHeading1">
    <w:name w:val="EPODocHeading1"/>
    <w:basedOn w:val="Normal"/>
    <w:link w:val="EPODocHeading1Char"/>
    <w:qFormat/>
    <w:rsid w:val="00D55B17"/>
  </w:style>
  <w:style w:type="character" w:customStyle="1" w:styleId="EPODocHeading1Char">
    <w:name w:val="EPODocHeading1 Char"/>
    <w:basedOn w:val="DefaultParagraphFont"/>
    <w:link w:val="EPODocHeading1"/>
    <w:rsid w:val="00D55B17"/>
    <w:rPr>
      <w:rFonts w:ascii="Arial" w:eastAsia="SimSun" w:hAnsi="Arial" w:cs="Arial"/>
      <w:sz w:val="22"/>
      <w:lang w:eastAsia="zh-CN"/>
    </w:rPr>
  </w:style>
  <w:style w:type="paragraph" w:customStyle="1" w:styleId="EPOBullet">
    <w:name w:val="EPOBullet"/>
    <w:basedOn w:val="Normal"/>
    <w:link w:val="EPOBulletChar"/>
    <w:qFormat/>
    <w:rsid w:val="00914BDB"/>
    <w:pPr>
      <w:numPr>
        <w:numId w:val="9"/>
      </w:numPr>
    </w:pPr>
  </w:style>
  <w:style w:type="character" w:customStyle="1" w:styleId="EPOBulletChar">
    <w:name w:val="EPOBullet Char"/>
    <w:basedOn w:val="DefaultParagraphFont"/>
    <w:link w:val="EPOBullet"/>
    <w:rsid w:val="00914BDB"/>
    <w:rPr>
      <w:rFonts w:ascii="Arial" w:eastAsia="SimSun" w:hAnsi="Arial" w:cs="Arial"/>
      <w:sz w:val="22"/>
      <w:lang w:eastAsia="zh-CN"/>
    </w:rPr>
  </w:style>
  <w:style w:type="paragraph" w:customStyle="1" w:styleId="EPOList">
    <w:name w:val="EPOList"/>
    <w:basedOn w:val="Normal"/>
    <w:link w:val="EPOListChar"/>
    <w:qFormat/>
    <w:rsid w:val="00D55B17"/>
  </w:style>
  <w:style w:type="character" w:customStyle="1" w:styleId="EPOListChar">
    <w:name w:val="EPOList Char"/>
    <w:basedOn w:val="DefaultParagraphFont"/>
    <w:link w:val="EPOList"/>
    <w:rsid w:val="00D55B17"/>
    <w:rPr>
      <w:rFonts w:ascii="Arial" w:eastAsia="SimSun" w:hAnsi="Arial" w:cs="Arial"/>
      <w:sz w:val="22"/>
      <w:lang w:eastAsia="zh-CN"/>
    </w:rPr>
  </w:style>
  <w:style w:type="paragraph" w:customStyle="1" w:styleId="EPODocHeading2">
    <w:name w:val="EPODocHeading2"/>
    <w:basedOn w:val="EPONormal"/>
    <w:next w:val="EPODocNormal"/>
    <w:link w:val="EPODocHeading2Char"/>
    <w:qFormat/>
    <w:rsid w:val="00914BDB"/>
    <w:pPr>
      <w:numPr>
        <w:ilvl w:val="1"/>
        <w:numId w:val="9"/>
      </w:numPr>
      <w:spacing w:before="240" w:after="240"/>
      <w:outlineLvl w:val="1"/>
    </w:pPr>
    <w:rPr>
      <w:b/>
      <w:caps/>
    </w:rPr>
  </w:style>
  <w:style w:type="character" w:customStyle="1" w:styleId="EPODocHeading2Char">
    <w:name w:val="EPODocHeading2 Char"/>
    <w:basedOn w:val="DefaultParagraphFont"/>
    <w:link w:val="EPODocHeading2"/>
    <w:rsid w:val="00914BDB"/>
    <w:rPr>
      <w:rFonts w:ascii="Arial" w:eastAsia="SimSun" w:hAnsi="Arial" w:cs="Arial"/>
      <w:b/>
      <w:caps/>
      <w:sz w:val="24"/>
      <w:lang w:eastAsia="zh-CN"/>
    </w:rPr>
  </w:style>
  <w:style w:type="paragraph" w:customStyle="1" w:styleId="EPODocHeading3">
    <w:name w:val="EPODocHeading3"/>
    <w:basedOn w:val="EPONormal"/>
    <w:next w:val="EPODocNormal"/>
    <w:link w:val="EPODocHeading3Char"/>
    <w:qFormat/>
    <w:rsid w:val="00914BDB"/>
    <w:pPr>
      <w:numPr>
        <w:ilvl w:val="2"/>
        <w:numId w:val="9"/>
      </w:numPr>
      <w:spacing w:before="240" w:after="240"/>
      <w:outlineLvl w:val="2"/>
    </w:pPr>
    <w:rPr>
      <w:b/>
    </w:rPr>
  </w:style>
  <w:style w:type="character" w:customStyle="1" w:styleId="EPODocHeading3Char">
    <w:name w:val="EPODocHeading3 Char"/>
    <w:basedOn w:val="DefaultParagraphFont"/>
    <w:link w:val="EPODocHeading3"/>
    <w:rsid w:val="00914BDB"/>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914BDB"/>
    <w:pPr>
      <w:numPr>
        <w:ilvl w:val="3"/>
        <w:numId w:val="9"/>
      </w:numPr>
      <w:spacing w:before="240" w:after="240"/>
      <w:outlineLvl w:val="3"/>
    </w:pPr>
    <w:rPr>
      <w:b/>
    </w:rPr>
  </w:style>
  <w:style w:type="character" w:customStyle="1" w:styleId="EPODocHeading4Char">
    <w:name w:val="EPODocHeading4 Char"/>
    <w:basedOn w:val="DefaultParagraphFont"/>
    <w:link w:val="EPODocHeading4"/>
    <w:rsid w:val="00914BDB"/>
    <w:rPr>
      <w:rFonts w:ascii="Arial" w:eastAsia="SimSun" w:hAnsi="Arial" w:cs="Arial"/>
      <w:b/>
      <w:sz w:val="24"/>
      <w:lang w:eastAsia="zh-CN"/>
    </w:rPr>
  </w:style>
  <w:style w:type="paragraph" w:customStyle="1" w:styleId="EPODocBullet">
    <w:name w:val="EPODocBullet"/>
    <w:basedOn w:val="EPONormal"/>
    <w:link w:val="EPODocBulletChar"/>
    <w:qFormat/>
    <w:rsid w:val="00914BDB"/>
    <w:pPr>
      <w:numPr>
        <w:numId w:val="10"/>
      </w:numPr>
    </w:pPr>
  </w:style>
  <w:style w:type="character" w:customStyle="1" w:styleId="EPODocBulletChar">
    <w:name w:val="EPODocBullet Char"/>
    <w:basedOn w:val="DefaultParagraphFont"/>
    <w:link w:val="EPODocBullet"/>
    <w:rsid w:val="00914BDB"/>
    <w:rPr>
      <w:rFonts w:ascii="Arial" w:eastAsia="SimSun" w:hAnsi="Arial" w:cs="Arial"/>
      <w:sz w:val="24"/>
      <w:lang w:eastAsia="zh-CN"/>
    </w:rPr>
  </w:style>
  <w:style w:type="paragraph" w:customStyle="1" w:styleId="EPODocList">
    <w:name w:val="EPODocList"/>
    <w:basedOn w:val="EPONormal"/>
    <w:link w:val="EPODocListChar"/>
    <w:qFormat/>
    <w:rsid w:val="00914BDB"/>
    <w:pPr>
      <w:numPr>
        <w:numId w:val="11"/>
      </w:numPr>
    </w:pPr>
  </w:style>
  <w:style w:type="character" w:customStyle="1" w:styleId="EPODocListChar">
    <w:name w:val="EPODocList Char"/>
    <w:basedOn w:val="DefaultParagraphFont"/>
    <w:link w:val="EPODocList"/>
    <w:rsid w:val="00914BDB"/>
    <w:rPr>
      <w:rFonts w:ascii="Arial" w:eastAsia="SimSun" w:hAnsi="Arial" w:cs="Arial"/>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B04FFD"/>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B04FFD"/>
    <w:rPr>
      <w:color w:val="0000FF" w:themeColor="hyperlink"/>
      <w:u w:val="single"/>
    </w:rPr>
  </w:style>
  <w:style w:type="character" w:styleId="FootnoteReference">
    <w:name w:val="footnote reference"/>
    <w:basedOn w:val="DefaultParagraphFont"/>
    <w:rsid w:val="00B04FFD"/>
    <w:rPr>
      <w:vertAlign w:val="superscript"/>
    </w:rPr>
  </w:style>
  <w:style w:type="paragraph" w:styleId="BalloonText">
    <w:name w:val="Balloon Text"/>
    <w:basedOn w:val="Normal"/>
    <w:link w:val="BalloonTextChar"/>
    <w:rsid w:val="00D55B17"/>
    <w:rPr>
      <w:rFonts w:ascii="Tahoma" w:hAnsi="Tahoma" w:cs="Tahoma"/>
      <w:sz w:val="16"/>
      <w:szCs w:val="16"/>
    </w:rPr>
  </w:style>
  <w:style w:type="character" w:customStyle="1" w:styleId="BalloonTextChar">
    <w:name w:val="Balloon Text Char"/>
    <w:basedOn w:val="DefaultParagraphFont"/>
    <w:link w:val="BalloonText"/>
    <w:rsid w:val="00D55B17"/>
    <w:rPr>
      <w:rFonts w:ascii="Tahoma" w:eastAsia="SimSun" w:hAnsi="Tahoma" w:cs="Tahoma"/>
      <w:sz w:val="16"/>
      <w:szCs w:val="16"/>
      <w:lang w:eastAsia="zh-CN"/>
    </w:rPr>
  </w:style>
  <w:style w:type="paragraph" w:customStyle="1" w:styleId="EPONormal">
    <w:name w:val="EPONormal"/>
    <w:basedOn w:val="Normal"/>
    <w:link w:val="EPONormalChar"/>
    <w:qFormat/>
    <w:rsid w:val="00D55B17"/>
    <w:rPr>
      <w:sz w:val="24"/>
    </w:rPr>
  </w:style>
  <w:style w:type="character" w:customStyle="1" w:styleId="EPONormalChar">
    <w:name w:val="EPONormal Char"/>
    <w:basedOn w:val="DefaultParagraphFont"/>
    <w:link w:val="EPONormal"/>
    <w:rsid w:val="00D55B17"/>
    <w:rPr>
      <w:rFonts w:ascii="Arial" w:eastAsia="SimSun" w:hAnsi="Arial" w:cs="Arial"/>
      <w:sz w:val="24"/>
      <w:lang w:eastAsia="zh-CN"/>
    </w:rPr>
  </w:style>
  <w:style w:type="paragraph" w:customStyle="1" w:styleId="EPODocNormal">
    <w:name w:val="EPODocNormal"/>
    <w:basedOn w:val="Normal"/>
    <w:link w:val="EPODocNormalChar"/>
    <w:qFormat/>
    <w:rsid w:val="00D55B17"/>
  </w:style>
  <w:style w:type="character" w:customStyle="1" w:styleId="EPODocNormalChar">
    <w:name w:val="EPODocNormal Char"/>
    <w:basedOn w:val="DefaultParagraphFont"/>
    <w:link w:val="EPODocNormal"/>
    <w:rsid w:val="00D55B17"/>
    <w:rPr>
      <w:rFonts w:ascii="Arial" w:eastAsia="SimSun" w:hAnsi="Arial" w:cs="Arial"/>
      <w:sz w:val="22"/>
      <w:lang w:eastAsia="zh-CN"/>
    </w:rPr>
  </w:style>
  <w:style w:type="paragraph" w:customStyle="1" w:styleId="EPODocHeading1">
    <w:name w:val="EPODocHeading1"/>
    <w:basedOn w:val="Normal"/>
    <w:link w:val="EPODocHeading1Char"/>
    <w:qFormat/>
    <w:rsid w:val="00D55B17"/>
  </w:style>
  <w:style w:type="character" w:customStyle="1" w:styleId="EPODocHeading1Char">
    <w:name w:val="EPODocHeading1 Char"/>
    <w:basedOn w:val="DefaultParagraphFont"/>
    <w:link w:val="EPODocHeading1"/>
    <w:rsid w:val="00D55B17"/>
    <w:rPr>
      <w:rFonts w:ascii="Arial" w:eastAsia="SimSun" w:hAnsi="Arial" w:cs="Arial"/>
      <w:sz w:val="22"/>
      <w:lang w:eastAsia="zh-CN"/>
    </w:rPr>
  </w:style>
  <w:style w:type="paragraph" w:customStyle="1" w:styleId="EPOBullet">
    <w:name w:val="EPOBullet"/>
    <w:basedOn w:val="Normal"/>
    <w:link w:val="EPOBulletChar"/>
    <w:qFormat/>
    <w:rsid w:val="00914BDB"/>
    <w:pPr>
      <w:numPr>
        <w:numId w:val="9"/>
      </w:numPr>
    </w:pPr>
  </w:style>
  <w:style w:type="character" w:customStyle="1" w:styleId="EPOBulletChar">
    <w:name w:val="EPOBullet Char"/>
    <w:basedOn w:val="DefaultParagraphFont"/>
    <w:link w:val="EPOBullet"/>
    <w:rsid w:val="00914BDB"/>
    <w:rPr>
      <w:rFonts w:ascii="Arial" w:eastAsia="SimSun" w:hAnsi="Arial" w:cs="Arial"/>
      <w:sz w:val="22"/>
      <w:lang w:eastAsia="zh-CN"/>
    </w:rPr>
  </w:style>
  <w:style w:type="paragraph" w:customStyle="1" w:styleId="EPOList">
    <w:name w:val="EPOList"/>
    <w:basedOn w:val="Normal"/>
    <w:link w:val="EPOListChar"/>
    <w:qFormat/>
    <w:rsid w:val="00D55B17"/>
  </w:style>
  <w:style w:type="character" w:customStyle="1" w:styleId="EPOListChar">
    <w:name w:val="EPOList Char"/>
    <w:basedOn w:val="DefaultParagraphFont"/>
    <w:link w:val="EPOList"/>
    <w:rsid w:val="00D55B17"/>
    <w:rPr>
      <w:rFonts w:ascii="Arial" w:eastAsia="SimSun" w:hAnsi="Arial" w:cs="Arial"/>
      <w:sz w:val="22"/>
      <w:lang w:eastAsia="zh-CN"/>
    </w:rPr>
  </w:style>
  <w:style w:type="paragraph" w:customStyle="1" w:styleId="EPODocHeading2">
    <w:name w:val="EPODocHeading2"/>
    <w:basedOn w:val="EPONormal"/>
    <w:next w:val="EPODocNormal"/>
    <w:link w:val="EPODocHeading2Char"/>
    <w:qFormat/>
    <w:rsid w:val="00914BDB"/>
    <w:pPr>
      <w:numPr>
        <w:ilvl w:val="1"/>
        <w:numId w:val="9"/>
      </w:numPr>
      <w:spacing w:before="240" w:after="240"/>
      <w:outlineLvl w:val="1"/>
    </w:pPr>
    <w:rPr>
      <w:b/>
      <w:caps/>
    </w:rPr>
  </w:style>
  <w:style w:type="character" w:customStyle="1" w:styleId="EPODocHeading2Char">
    <w:name w:val="EPODocHeading2 Char"/>
    <w:basedOn w:val="DefaultParagraphFont"/>
    <w:link w:val="EPODocHeading2"/>
    <w:rsid w:val="00914BDB"/>
    <w:rPr>
      <w:rFonts w:ascii="Arial" w:eastAsia="SimSun" w:hAnsi="Arial" w:cs="Arial"/>
      <w:b/>
      <w:caps/>
      <w:sz w:val="24"/>
      <w:lang w:eastAsia="zh-CN"/>
    </w:rPr>
  </w:style>
  <w:style w:type="paragraph" w:customStyle="1" w:styleId="EPODocHeading3">
    <w:name w:val="EPODocHeading3"/>
    <w:basedOn w:val="EPONormal"/>
    <w:next w:val="EPODocNormal"/>
    <w:link w:val="EPODocHeading3Char"/>
    <w:qFormat/>
    <w:rsid w:val="00914BDB"/>
    <w:pPr>
      <w:numPr>
        <w:ilvl w:val="2"/>
        <w:numId w:val="9"/>
      </w:numPr>
      <w:spacing w:before="240" w:after="240"/>
      <w:outlineLvl w:val="2"/>
    </w:pPr>
    <w:rPr>
      <w:b/>
    </w:rPr>
  </w:style>
  <w:style w:type="character" w:customStyle="1" w:styleId="EPODocHeading3Char">
    <w:name w:val="EPODocHeading3 Char"/>
    <w:basedOn w:val="DefaultParagraphFont"/>
    <w:link w:val="EPODocHeading3"/>
    <w:rsid w:val="00914BDB"/>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914BDB"/>
    <w:pPr>
      <w:numPr>
        <w:ilvl w:val="3"/>
        <w:numId w:val="9"/>
      </w:numPr>
      <w:spacing w:before="240" w:after="240"/>
      <w:outlineLvl w:val="3"/>
    </w:pPr>
    <w:rPr>
      <w:b/>
    </w:rPr>
  </w:style>
  <w:style w:type="character" w:customStyle="1" w:styleId="EPODocHeading4Char">
    <w:name w:val="EPODocHeading4 Char"/>
    <w:basedOn w:val="DefaultParagraphFont"/>
    <w:link w:val="EPODocHeading4"/>
    <w:rsid w:val="00914BDB"/>
    <w:rPr>
      <w:rFonts w:ascii="Arial" w:eastAsia="SimSun" w:hAnsi="Arial" w:cs="Arial"/>
      <w:b/>
      <w:sz w:val="24"/>
      <w:lang w:eastAsia="zh-CN"/>
    </w:rPr>
  </w:style>
  <w:style w:type="paragraph" w:customStyle="1" w:styleId="EPODocBullet">
    <w:name w:val="EPODocBullet"/>
    <w:basedOn w:val="EPONormal"/>
    <w:link w:val="EPODocBulletChar"/>
    <w:qFormat/>
    <w:rsid w:val="00914BDB"/>
    <w:pPr>
      <w:numPr>
        <w:numId w:val="10"/>
      </w:numPr>
    </w:pPr>
  </w:style>
  <w:style w:type="character" w:customStyle="1" w:styleId="EPODocBulletChar">
    <w:name w:val="EPODocBullet Char"/>
    <w:basedOn w:val="DefaultParagraphFont"/>
    <w:link w:val="EPODocBullet"/>
    <w:rsid w:val="00914BDB"/>
    <w:rPr>
      <w:rFonts w:ascii="Arial" w:eastAsia="SimSun" w:hAnsi="Arial" w:cs="Arial"/>
      <w:sz w:val="24"/>
      <w:lang w:eastAsia="zh-CN"/>
    </w:rPr>
  </w:style>
  <w:style w:type="paragraph" w:customStyle="1" w:styleId="EPODocList">
    <w:name w:val="EPODocList"/>
    <w:basedOn w:val="EPONormal"/>
    <w:link w:val="EPODocListChar"/>
    <w:qFormat/>
    <w:rsid w:val="00914BDB"/>
    <w:pPr>
      <w:numPr>
        <w:numId w:val="11"/>
      </w:numPr>
    </w:pPr>
  </w:style>
  <w:style w:type="character" w:customStyle="1" w:styleId="EPODocListChar">
    <w:name w:val="EPODocList Char"/>
    <w:basedOn w:val="DefaultParagraphFont"/>
    <w:link w:val="EPODocList"/>
    <w:rsid w:val="00914BDB"/>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C522-8623-495F-85C0-8ECE40EE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622</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creator>RICHARDSON Michael</dc:creator>
  <cp:lastModifiedBy>RICHARDSON Michael</cp:lastModifiedBy>
  <cp:revision>6</cp:revision>
  <cp:lastPrinted>2015-01-29T17:05:00Z</cp:lastPrinted>
  <dcterms:created xsi:type="dcterms:W3CDTF">2015-01-29T16:58:00Z</dcterms:created>
  <dcterms:modified xsi:type="dcterms:W3CDTF">2015-01-30T10:34:00Z</dcterms:modified>
</cp:coreProperties>
</file>