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2BEF7" w14:textId="77777777" w:rsidR="008B2CC1" w:rsidRPr="00F043DE" w:rsidRDefault="00B92F1F" w:rsidP="00FD2CCA">
      <w:pPr>
        <w:pBdr>
          <w:bottom w:val="single" w:sz="4" w:space="11" w:color="auto"/>
        </w:pBdr>
        <w:spacing w:after="120"/>
        <w:jc w:val="right"/>
        <w:rPr>
          <w:b/>
          <w:sz w:val="32"/>
          <w:szCs w:val="40"/>
        </w:rPr>
      </w:pPr>
      <w:r>
        <w:rPr>
          <w:noProof/>
          <w:sz w:val="28"/>
          <w:szCs w:val="28"/>
          <w:lang w:eastAsia="en-US"/>
        </w:rPr>
        <w:drawing>
          <wp:inline distT="0" distB="0" distL="0" distR="0" wp14:anchorId="1BB08673" wp14:editId="5E229E2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CD4DC01" w14:textId="77777777"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0" w:name="Code"/>
      <w:bookmarkEnd w:id="0"/>
      <w:r w:rsidR="004F76CF">
        <w:rPr>
          <w:rFonts w:ascii="Arial Black" w:hAnsi="Arial Black"/>
          <w:caps/>
          <w:sz w:val="15"/>
          <w:szCs w:val="15"/>
        </w:rPr>
        <w:t>7</w:t>
      </w:r>
    </w:p>
    <w:p w14:paraId="4D08D6C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4F76CF">
        <w:rPr>
          <w:rFonts w:ascii="Arial Black" w:hAnsi="Arial Black"/>
          <w:caps/>
          <w:sz w:val="15"/>
          <w:szCs w:val="15"/>
        </w:rPr>
        <w:t>English</w:t>
      </w:r>
    </w:p>
    <w:bookmarkEnd w:id="1"/>
    <w:p w14:paraId="67243D8C" w14:textId="37E2AECF"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F76CF">
        <w:rPr>
          <w:rFonts w:ascii="Arial Black" w:hAnsi="Arial Black"/>
          <w:caps/>
          <w:sz w:val="15"/>
          <w:szCs w:val="15"/>
        </w:rPr>
        <w:t xml:space="preserve">August </w:t>
      </w:r>
      <w:r w:rsidR="00864FCB">
        <w:rPr>
          <w:rFonts w:ascii="Arial Black" w:hAnsi="Arial Black"/>
          <w:caps/>
          <w:sz w:val="15"/>
          <w:szCs w:val="15"/>
        </w:rPr>
        <w:t>31</w:t>
      </w:r>
      <w:r w:rsidR="004F76CF">
        <w:rPr>
          <w:rFonts w:ascii="Arial Black" w:hAnsi="Arial Black"/>
          <w:caps/>
          <w:sz w:val="15"/>
          <w:szCs w:val="15"/>
        </w:rPr>
        <w:t>, 2022</w:t>
      </w:r>
    </w:p>
    <w:bookmarkEnd w:id="2"/>
    <w:p w14:paraId="745A18F8"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3F7CDEA0"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347575C5"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1933D1A6" w14:textId="77777777" w:rsidR="008B2CC1" w:rsidRPr="003845C1" w:rsidRDefault="004F76CF" w:rsidP="00DD7B7F">
      <w:pPr>
        <w:spacing w:after="360"/>
        <w:outlineLvl w:val="0"/>
        <w:rPr>
          <w:caps/>
          <w:sz w:val="24"/>
        </w:rPr>
      </w:pPr>
      <w:bookmarkStart w:id="3" w:name="TitleOfDoc"/>
      <w:r>
        <w:rPr>
          <w:caps/>
          <w:sz w:val="24"/>
        </w:rPr>
        <w:t>Coordination of Patent Examiner Training</w:t>
      </w:r>
    </w:p>
    <w:p w14:paraId="73FE80ED" w14:textId="77777777" w:rsidR="002928D3" w:rsidRPr="00F9165B" w:rsidRDefault="004F76CF" w:rsidP="001D4107">
      <w:pPr>
        <w:spacing w:after="1040"/>
        <w:rPr>
          <w:i/>
        </w:rPr>
      </w:pPr>
      <w:bookmarkStart w:id="4" w:name="Prepared"/>
      <w:bookmarkEnd w:id="3"/>
      <w:bookmarkEnd w:id="4"/>
      <w:r>
        <w:rPr>
          <w:i/>
        </w:rPr>
        <w:t>Document prepared by the International Bureau</w:t>
      </w:r>
    </w:p>
    <w:p w14:paraId="05A50A13" w14:textId="77777777" w:rsidR="00DF35F9" w:rsidRDefault="00DF35F9" w:rsidP="00DF35F9">
      <w:pPr>
        <w:pStyle w:val="Heading1"/>
      </w:pPr>
      <w:r>
        <w:t>Summary</w:t>
      </w:r>
    </w:p>
    <w:p w14:paraId="278025B0" w14:textId="72EF88CD" w:rsidR="00DF35F9" w:rsidRDefault="00DF35F9" w:rsidP="00DF35F9">
      <w:pPr>
        <w:pStyle w:val="ONUME"/>
      </w:pPr>
      <w:r>
        <w:t>This document presents a progress report regarding a concept for improving the coordination of the training of substantive patent examiners and the development of tools for the management of the training of substantive patent examiners</w:t>
      </w:r>
      <w:r w:rsidR="00162EC6">
        <w:t xml:space="preserve">. </w:t>
      </w:r>
      <w:r>
        <w:t xml:space="preserve"> </w:t>
      </w:r>
      <w:r w:rsidR="00162EC6">
        <w:t>T</w:t>
      </w:r>
      <w:r>
        <w:t xml:space="preserve">he </w:t>
      </w:r>
      <w:r w:rsidR="00162EC6">
        <w:t>document</w:t>
      </w:r>
      <w:r>
        <w:t xml:space="preserve"> </w:t>
      </w:r>
      <w:r w:rsidR="00162EC6">
        <w:t xml:space="preserve">also </w:t>
      </w:r>
      <w:r>
        <w:t xml:space="preserve">addresses further aspects of technical assistance for examiner training </w:t>
      </w:r>
      <w:r w:rsidR="00BC5E8E">
        <w:t xml:space="preserve">that </w:t>
      </w:r>
      <w:r>
        <w:t xml:space="preserve">the International Bureau </w:t>
      </w:r>
      <w:r w:rsidR="00BC5E8E">
        <w:t xml:space="preserve">has become aware of </w:t>
      </w:r>
      <w:r>
        <w:t xml:space="preserve">since the </w:t>
      </w:r>
      <w:r w:rsidR="00BC5E8E">
        <w:t>fourteenth</w:t>
      </w:r>
      <w:r>
        <w:t xml:space="preserve"> session of the PCT Working Group</w:t>
      </w:r>
      <w:r w:rsidR="00BC5E8E">
        <w:t xml:space="preserve"> that it proposes to include in the forthcoming survey to small and medium Offices with regard to training policies, needs for technical assistance</w:t>
      </w:r>
      <w:r w:rsidR="005A473F">
        <w:t>,</w:t>
      </w:r>
      <w:r w:rsidR="00BC5E8E">
        <w:t xml:space="preserve"> and organization of such assistance</w:t>
      </w:r>
      <w:r>
        <w:t>.</w:t>
      </w:r>
    </w:p>
    <w:p w14:paraId="7A329FE9" w14:textId="77777777" w:rsidR="00DF35F9" w:rsidRDefault="00DF35F9" w:rsidP="00DF35F9">
      <w:pPr>
        <w:pStyle w:val="Heading1"/>
      </w:pPr>
      <w:r>
        <w:t>Introduction</w:t>
      </w:r>
    </w:p>
    <w:p w14:paraId="032D98B9" w14:textId="77777777" w:rsidR="00DF35F9" w:rsidRDefault="00DF35F9" w:rsidP="00DF35F9">
      <w:pPr>
        <w:pStyle w:val="ONUME"/>
      </w:pPr>
      <w:r>
        <w:t>The PCT Working Group, at its tenth session, held in Geneva from May</w:t>
      </w:r>
      <w:r w:rsidR="00F9210B">
        <w:t> </w:t>
      </w:r>
      <w:r>
        <w:t>8 to</w:t>
      </w:r>
      <w:r w:rsidR="00F9210B">
        <w:t> </w:t>
      </w:r>
      <w:r>
        <w:t>12, 2017, discussed a proposal for improved coordination of patent examiner training (see document PCT/WG/10/9).  Paragraph</w:t>
      </w:r>
      <w:r w:rsidR="00F9210B">
        <w:t> </w:t>
      </w:r>
      <w:r>
        <w:t>10 of the document summarizes deficiencies in the current support provided by donor Offices to the training of patent examiners in developing countries.  These deficiencies highlighted the need for improved coordination, which would aim to assure that individual patent examiners acquired competencies according to their job descriptions, supply from donor Offices was matched by individual or institutional demand, participation in training activities and assessment of learning was tracked, training opportunities were used efficiently, and training collaborations between beneficiaries and providers were monitored and evaluated.</w:t>
      </w:r>
    </w:p>
    <w:p w14:paraId="0748940D" w14:textId="043A0587" w:rsidR="00DF35F9" w:rsidRDefault="00DF35F9" w:rsidP="00DF35F9">
      <w:pPr>
        <w:pStyle w:val="ONUME"/>
      </w:pPr>
      <w:r>
        <w:t xml:space="preserve"> To achieve these objectives, paragraph</w:t>
      </w:r>
      <w:r w:rsidR="00F9210B">
        <w:t> </w:t>
      </w:r>
      <w:r>
        <w:t>12 of the document proposed the use of generic competency frameworks (CF), which would be sufficiently comprehensive and detailed to enable Offices to define individual learning plans (competency models) adapted to an individual examiner</w:t>
      </w:r>
      <w:r w:rsidR="00E46075">
        <w:t>’</w:t>
      </w:r>
      <w:r>
        <w:t>s job description and the Office</w:t>
      </w:r>
      <w:r w:rsidR="00E46075">
        <w:t>’</w:t>
      </w:r>
      <w:r>
        <w:t>s examination policy by selecting appropriate competencies from the generic framework.</w:t>
      </w:r>
    </w:p>
    <w:p w14:paraId="06647BF6" w14:textId="77777777" w:rsidR="00DF35F9" w:rsidRDefault="00DF35F9" w:rsidP="00DF35F9">
      <w:pPr>
        <w:pStyle w:val="ONUME"/>
      </w:pPr>
      <w:r>
        <w:lastRenderedPageBreak/>
        <w:t>In order to facilitate the coordination of the training of patent examiners, document PCT/WG/10/9 further proposed to develop a learning management system (LMS) that supports the managing, in particular the composing of learning plans, the tracking of progress and assessments, and the reporting to managers, as described in paragraphs</w:t>
      </w:r>
      <w:r w:rsidR="00F9210B">
        <w:t> </w:t>
      </w:r>
      <w:r>
        <w:t>15 and</w:t>
      </w:r>
      <w:r w:rsidR="00F9210B">
        <w:t> </w:t>
      </w:r>
      <w:r w:rsidR="00936064">
        <w:t>1</w:t>
      </w:r>
      <w:r>
        <w:t>6 of the document.</w:t>
      </w:r>
    </w:p>
    <w:p w14:paraId="57F4508B" w14:textId="06683B89" w:rsidR="00DF35F9" w:rsidRDefault="00DF35F9" w:rsidP="00DF35F9">
      <w:pPr>
        <w:pStyle w:val="ONUME"/>
      </w:pPr>
      <w:r>
        <w:t>At the thirteenth and fourteenth sessions of the PCT Working Group</w:t>
      </w:r>
      <w:r w:rsidR="00936064">
        <w:t xml:space="preserve"> in 2020 and 2021, respectively</w:t>
      </w:r>
      <w:r>
        <w:t xml:space="preserve">, the International Bureau presented progress reports </w:t>
      </w:r>
      <w:r w:rsidR="003361FC">
        <w:t xml:space="preserve">on the development of a CF and LMS </w:t>
      </w:r>
      <w:r>
        <w:t xml:space="preserve">(documents PCT/WG/13/6 REV and PCT/WG/14/13).  Further details were presented at a recorded side event </w:t>
      </w:r>
      <w:r w:rsidR="003361FC">
        <w:t>at</w:t>
      </w:r>
      <w:r>
        <w:t xml:space="preserve"> the fourteenth session (see </w:t>
      </w:r>
      <w:hyperlink r:id="rId9" w:history="1">
        <w:r w:rsidR="003361FC" w:rsidRPr="003361FC">
          <w:rPr>
            <w:rStyle w:val="Hyperlink"/>
            <w:color w:val="auto"/>
            <w:u w:val="none"/>
          </w:rPr>
          <w:t>https://www.wipo.int/meetings/en/details.jsp?meeting_id=64588</w:t>
        </w:r>
      </w:hyperlink>
      <w:r w:rsidR="003361FC">
        <w:t>)</w:t>
      </w:r>
      <w:r>
        <w:t>.  The International Bureau indicated that it would report on further progress to the Working Group at its session in</w:t>
      </w:r>
      <w:r w:rsidR="00F9210B">
        <w:t> </w:t>
      </w:r>
      <w:r>
        <w:t>2022.</w:t>
      </w:r>
    </w:p>
    <w:p w14:paraId="52C2BA51" w14:textId="77777777" w:rsidR="00DF35F9" w:rsidRDefault="00DF35F9" w:rsidP="00DF35F9">
      <w:pPr>
        <w:pStyle w:val="Heading1"/>
      </w:pPr>
      <w:r>
        <w:t>Progress Report</w:t>
      </w:r>
    </w:p>
    <w:p w14:paraId="137295DD" w14:textId="65DCDE38" w:rsidR="00DF35F9" w:rsidRDefault="00DF35F9" w:rsidP="00DF35F9">
      <w:pPr>
        <w:pStyle w:val="ONUME"/>
      </w:pPr>
      <w:r>
        <w:t>At the fourteenth session of the Working Group</w:t>
      </w:r>
      <w:r w:rsidR="003361FC">
        <w:t>,</w:t>
      </w:r>
      <w:r>
        <w:t xml:space="preserve"> it was reported that the Intellectual Property Office of the Philippines (IPOPHL) had started, in collaboration with the International Bureau, the development of a local site of an LMS based on the open source Moodle software as a client server system accessible for internal users via the office intranet.  This development has progressed further and IPOPHL will present an update at a side event of th</w:t>
      </w:r>
      <w:r w:rsidR="003361FC">
        <w:t>is</w:t>
      </w:r>
      <w:r>
        <w:t xml:space="preserve"> session of</w:t>
      </w:r>
      <w:r w:rsidR="00F9210B">
        <w:t xml:space="preserve"> Working Group (see paragraph </w:t>
      </w:r>
      <w:r w:rsidR="00F9210B">
        <w:fldChar w:fldCharType="begin"/>
      </w:r>
      <w:r w:rsidR="00F9210B">
        <w:instrText xml:space="preserve"> REF _Ref112164696 \r \h </w:instrText>
      </w:r>
      <w:r w:rsidR="00F9210B">
        <w:fldChar w:fldCharType="separate"/>
      </w:r>
      <w:r w:rsidR="00561F6A">
        <w:t>10</w:t>
      </w:r>
      <w:r w:rsidR="00F9210B">
        <w:fldChar w:fldCharType="end"/>
      </w:r>
      <w:r w:rsidR="00F9210B">
        <w:t>,</w:t>
      </w:r>
      <w:r>
        <w:t xml:space="preserve"> below).</w:t>
      </w:r>
    </w:p>
    <w:p w14:paraId="2DEBE9FF" w14:textId="7924A3BE" w:rsidR="00DF35F9" w:rsidRDefault="00DF35F9" w:rsidP="00DF35F9">
      <w:pPr>
        <w:pStyle w:val="ONUME"/>
      </w:pPr>
      <w:r>
        <w:t>The International Bureau has also continued the development of the web-based test site (</w:t>
      </w:r>
      <w:hyperlink r:id="rId10" w:history="1">
        <w:r w:rsidR="003361FC" w:rsidRPr="003361FC">
          <w:rPr>
            <w:rStyle w:val="Hyperlink"/>
            <w:color w:val="auto"/>
            <w:u w:val="none"/>
          </w:rPr>
          <w:t>https://icblm.moodlecloud.com</w:t>
        </w:r>
      </w:hyperlink>
      <w:r w:rsidR="003361FC">
        <w:t>)</w:t>
      </w:r>
      <w:r>
        <w:t xml:space="preserve"> of an LMS for demonstrating uses and certain functionalities of an LMS for competency based learning management (see the set of courses </w:t>
      </w:r>
      <w:r w:rsidR="00E46075">
        <w:t>“</w:t>
      </w:r>
      <w:r>
        <w:t>Using a</w:t>
      </w:r>
      <w:r w:rsidR="003361FC">
        <w:t>n</w:t>
      </w:r>
      <w:r>
        <w:t xml:space="preserve"> LMS for Examiner Training and Performance Management</w:t>
      </w:r>
      <w:r w:rsidR="00E46075">
        <w:t>”</w:t>
      </w:r>
      <w:r w:rsidR="003361FC">
        <w:t>,</w:t>
      </w:r>
      <w:r>
        <w:t xml:space="preserve"> which is freely available at </w:t>
      </w:r>
      <w:hyperlink r:id="rId11" w:history="1">
        <w:r w:rsidR="003361FC" w:rsidRPr="003361FC">
          <w:rPr>
            <w:rStyle w:val="Hyperlink"/>
            <w:color w:val="auto"/>
            <w:u w:val="none"/>
          </w:rPr>
          <w:t>https://icblm.moodlecloud.com/course/index.php?categoryid=7</w:t>
        </w:r>
      </w:hyperlink>
      <w:r w:rsidR="003361FC">
        <w:t xml:space="preserve"> </w:t>
      </w:r>
      <w:r>
        <w:t xml:space="preserve">with guest access). </w:t>
      </w:r>
      <w:r w:rsidR="00F9210B">
        <w:t xml:space="preserve"> </w:t>
      </w:r>
      <w:r>
        <w:t>In particular, a simple mock-up for demonstrating the use of an LMS as a platform for accessing various e</w:t>
      </w:r>
      <w:r w:rsidR="003361FC">
        <w:noBreakHyphen/>
      </w:r>
      <w:r>
        <w:t>learning resources from different providing institutions was develop</w:t>
      </w:r>
      <w:r w:rsidR="003361FC">
        <w:t>ed</w:t>
      </w:r>
      <w:r>
        <w:t xml:space="preserve"> for facilitating discussions of the Working Group on a proposal for a repository of e-learning resources (see document PCT/WG/15/4). </w:t>
      </w:r>
      <w:r w:rsidR="00F9210B">
        <w:t xml:space="preserve"> </w:t>
      </w:r>
      <w:r>
        <w:t xml:space="preserve">Details of </w:t>
      </w:r>
      <w:r w:rsidR="003361FC">
        <w:t>the LMS</w:t>
      </w:r>
      <w:r>
        <w:t xml:space="preserve"> will be presented at a side event </w:t>
      </w:r>
      <w:r w:rsidR="003361FC">
        <w:t>during</w:t>
      </w:r>
      <w:r>
        <w:t xml:space="preserve"> th</w:t>
      </w:r>
      <w:r w:rsidR="003361FC">
        <w:t>is</w:t>
      </w:r>
      <w:r>
        <w:t xml:space="preserve"> session of</w:t>
      </w:r>
      <w:r w:rsidR="00F9210B">
        <w:t xml:space="preserve"> Working Group (see paragraph </w:t>
      </w:r>
      <w:r w:rsidR="00F9210B">
        <w:fldChar w:fldCharType="begin"/>
      </w:r>
      <w:r w:rsidR="00F9210B">
        <w:instrText xml:space="preserve"> REF _Ref112164696 \r \h </w:instrText>
      </w:r>
      <w:r w:rsidR="00F9210B">
        <w:fldChar w:fldCharType="separate"/>
      </w:r>
      <w:r w:rsidR="00561F6A">
        <w:t>10</w:t>
      </w:r>
      <w:r w:rsidR="00F9210B">
        <w:fldChar w:fldCharType="end"/>
      </w:r>
      <w:r w:rsidR="00F9210B">
        <w:t>,</w:t>
      </w:r>
      <w:r>
        <w:t xml:space="preserve"> below).</w:t>
      </w:r>
    </w:p>
    <w:p w14:paraId="4E7CA3A4" w14:textId="7F83EBC9" w:rsidR="00DF35F9" w:rsidRDefault="00DF35F9" w:rsidP="00DF35F9">
      <w:pPr>
        <w:pStyle w:val="ONUME"/>
      </w:pPr>
      <w:r>
        <w:t xml:space="preserve">The test site includes further components such as a course </w:t>
      </w:r>
      <w:r w:rsidR="00E46075">
        <w:t>“</w:t>
      </w:r>
      <w:r>
        <w:t>Work-sharing in the PCT national phase</w:t>
      </w:r>
      <w:r w:rsidR="00E46075">
        <w:t>”</w:t>
      </w:r>
      <w:r>
        <w:t>, which addresses skills and knowledge required for proper utilization of examination work products from other national phases.  Currently additional sample cases are</w:t>
      </w:r>
      <w:bookmarkStart w:id="5" w:name="_GoBack"/>
      <w:bookmarkEnd w:id="5"/>
      <w:r>
        <w:t xml:space="preserve"> added which illustrate various issues that examiners may encounter with specific cases.  This course</w:t>
      </w:r>
      <w:r w:rsidR="009B45EC">
        <w:t>,</w:t>
      </w:r>
      <w:r>
        <w:t xml:space="preserve"> and other components requiring responses from users</w:t>
      </w:r>
      <w:r w:rsidR="009B45EC">
        <w:t>,</w:t>
      </w:r>
      <w:r>
        <w:t xml:space="preserve"> can only be accessed after login; </w:t>
      </w:r>
      <w:r w:rsidR="009B45EC">
        <w:t xml:space="preserve"> </w:t>
      </w:r>
      <w:r>
        <w:t>test accounts with limited permissions can be made available through the International Bureau.</w:t>
      </w:r>
    </w:p>
    <w:p w14:paraId="1E9EB9C6" w14:textId="1644391B" w:rsidR="00DF35F9" w:rsidRDefault="00DF35F9" w:rsidP="00DF35F9">
      <w:pPr>
        <w:pStyle w:val="ONUME"/>
      </w:pPr>
      <w:r>
        <w:t xml:space="preserve">The development of the CF is still under way, and a review of its part on patent classification is under way in collaboration with the Committee of Experts of the IPC </w:t>
      </w:r>
      <w:r w:rsidR="00965BCE">
        <w:t xml:space="preserve">Union </w:t>
      </w:r>
      <w:r>
        <w:t>(</w:t>
      </w:r>
      <w:hyperlink r:id="rId12" w:history="1">
        <w:r w:rsidR="00965BCE" w:rsidRPr="003674EA">
          <w:rPr>
            <w:rStyle w:val="Hyperlink"/>
            <w:color w:val="auto"/>
          </w:rPr>
          <w:t>P</w:t>
        </w:r>
        <w:r w:rsidRPr="003674EA">
          <w:rPr>
            <w:rStyle w:val="Hyperlink"/>
            <w:color w:val="auto"/>
          </w:rPr>
          <w:t>roject</w:t>
        </w:r>
        <w:r w:rsidR="00F9210B" w:rsidRPr="003674EA">
          <w:rPr>
            <w:rStyle w:val="Hyperlink"/>
            <w:color w:val="auto"/>
          </w:rPr>
          <w:t> </w:t>
        </w:r>
        <w:r w:rsidRPr="003674EA">
          <w:rPr>
            <w:rStyle w:val="Hyperlink"/>
            <w:color w:val="auto"/>
          </w:rPr>
          <w:t>CE</w:t>
        </w:r>
        <w:r w:rsidR="00965BCE" w:rsidRPr="003674EA">
          <w:rPr>
            <w:rStyle w:val="Hyperlink"/>
            <w:color w:val="auto"/>
          </w:rPr>
          <w:t> </w:t>
        </w:r>
        <w:r w:rsidRPr="003674EA">
          <w:rPr>
            <w:rStyle w:val="Hyperlink"/>
            <w:color w:val="auto"/>
          </w:rPr>
          <w:t>523</w:t>
        </w:r>
      </w:hyperlink>
      <w:r>
        <w:t>).</w:t>
      </w:r>
    </w:p>
    <w:p w14:paraId="4A49A9AF" w14:textId="36A8D6D5" w:rsidR="00DF35F9" w:rsidRDefault="00DF35F9" w:rsidP="00DF35F9">
      <w:pPr>
        <w:pStyle w:val="ONUME"/>
      </w:pPr>
      <w:r>
        <w:t xml:space="preserve"> </w:t>
      </w:r>
      <w:bookmarkStart w:id="6" w:name="_Ref112164696"/>
      <w:r>
        <w:t>The International Bureau and IPOPHL will provide more detailed explanations of these developments at a side event, which will be held on Tuesday, October</w:t>
      </w:r>
      <w:r w:rsidR="00F9210B">
        <w:t> </w:t>
      </w:r>
      <w:r>
        <w:t>4, 2022 at 1</w:t>
      </w:r>
      <w:r w:rsidR="00F9210B">
        <w:t> </w:t>
      </w:r>
      <w:r>
        <w:t>p.m. Central European Summer Time (UTC+2).</w:t>
      </w:r>
      <w:bookmarkEnd w:id="6"/>
    </w:p>
    <w:p w14:paraId="06FF86BA" w14:textId="77777777" w:rsidR="00DF35F9" w:rsidRDefault="00DF35F9" w:rsidP="00F9210B">
      <w:pPr>
        <w:pStyle w:val="Heading1"/>
      </w:pPr>
      <w:r>
        <w:t>Assistance for Developing Training Frameworks and for Managing Examiner Training</w:t>
      </w:r>
    </w:p>
    <w:p w14:paraId="13E0537B" w14:textId="5D60003F" w:rsidR="00DF35F9" w:rsidRDefault="00DF35F9" w:rsidP="00DF35F9">
      <w:pPr>
        <w:pStyle w:val="ONUME"/>
      </w:pPr>
      <w:r>
        <w:t>At its fourteenth session, the Working Group discussed various aspects of assistance for developing training frameworks for small and medium Offic</w:t>
      </w:r>
      <w:r w:rsidR="00F9210B">
        <w:t>es (see paragraphs </w:t>
      </w:r>
      <w:r>
        <w:t>16 to</w:t>
      </w:r>
      <w:r w:rsidR="00F9210B">
        <w:t> </w:t>
      </w:r>
      <w:r>
        <w:t>20 of document PCT/WG/14/13)</w:t>
      </w:r>
      <w:r w:rsidR="00296F5F">
        <w:t xml:space="preserve">.  The Working Group invited the International Bureau </w:t>
      </w:r>
      <w:r>
        <w:t xml:space="preserve">to conduct a survey among those </w:t>
      </w:r>
      <w:r w:rsidR="00296F5F">
        <w:t>O</w:t>
      </w:r>
      <w:r>
        <w:t>ffices</w:t>
      </w:r>
      <w:r w:rsidR="00296F5F">
        <w:t xml:space="preserve">, taking into account the comments made during the session (see </w:t>
      </w:r>
      <w:r w:rsidR="00296F5F">
        <w:lastRenderedPageBreak/>
        <w:t>paragraph </w:t>
      </w:r>
      <w:r w:rsidR="009B45EC">
        <w:t>56</w:t>
      </w:r>
      <w:r w:rsidR="00296F5F">
        <w:t xml:space="preserve"> of the Summary by the Chair, document PCT/WG/14/18, and paragraphs 177 to 186 of the Report of the session, document PCT/WG/14/19)</w:t>
      </w:r>
      <w:r>
        <w:t>.</w:t>
      </w:r>
    </w:p>
    <w:p w14:paraId="1FEF5B38" w14:textId="51874DAE" w:rsidR="00DF35F9" w:rsidRDefault="00DF35F9" w:rsidP="00DF35F9">
      <w:pPr>
        <w:pStyle w:val="ONUME"/>
      </w:pPr>
      <w:r>
        <w:t xml:space="preserve">The terms small Office and medium Office may be understood as referring to the size of an </w:t>
      </w:r>
      <w:r w:rsidR="00296F5F">
        <w:t>O</w:t>
      </w:r>
      <w:r>
        <w:t xml:space="preserve">ffice in terms of the number of </w:t>
      </w:r>
      <w:r w:rsidR="00296F5F">
        <w:t xml:space="preserve">patent </w:t>
      </w:r>
      <w:r>
        <w:t xml:space="preserve">examiners. </w:t>
      </w:r>
      <w:r w:rsidR="00F9210B">
        <w:t xml:space="preserve"> </w:t>
      </w:r>
      <w:r>
        <w:t xml:space="preserve">In the context of managing the training of those examiners, document </w:t>
      </w:r>
      <w:r w:rsidR="00296F5F">
        <w:t xml:space="preserve">PCT/WG/14/18 </w:t>
      </w:r>
      <w:r>
        <w:t>explained that small Offices would normally not have the resources to maintain their own training infrastructure, and which might not have a frequent recurrent training need for new recruits as medium Offices may have</w:t>
      </w:r>
      <w:r w:rsidR="00296F5F">
        <w:t>.</w:t>
      </w:r>
      <w:r w:rsidR="009B45EC">
        <w:t xml:space="preserve"> </w:t>
      </w:r>
      <w:r>
        <w:t xml:space="preserve"> </w:t>
      </w:r>
      <w:r w:rsidR="00145465">
        <w:t xml:space="preserve">Small Offices </w:t>
      </w:r>
      <w:r>
        <w:t>may also have partly differing training needs, for example, a stronger focus on work sharing</w:t>
      </w:r>
      <w:r w:rsidR="00145465">
        <w:t>.</w:t>
      </w:r>
      <w:r>
        <w:t xml:space="preserve"> </w:t>
      </w:r>
      <w:r w:rsidR="00145465">
        <w:t xml:space="preserve"> S</w:t>
      </w:r>
      <w:r>
        <w:t xml:space="preserve">uch Offices would </w:t>
      </w:r>
      <w:r w:rsidR="00145465">
        <w:t xml:space="preserve">continue to </w:t>
      </w:r>
      <w:r>
        <w:t xml:space="preserve">depend on external training support by different providers. </w:t>
      </w:r>
    </w:p>
    <w:p w14:paraId="3C8B3C66" w14:textId="1E98E5EA" w:rsidR="00DF35F9" w:rsidRDefault="00DF35F9" w:rsidP="00DF35F9">
      <w:pPr>
        <w:pStyle w:val="ONUME"/>
      </w:pPr>
      <w:r>
        <w:t xml:space="preserve">As examples of medium Offices, document </w:t>
      </w:r>
      <w:r w:rsidR="00145465">
        <w:t xml:space="preserve">PCT/WG/14/18 </w:t>
      </w:r>
      <w:r>
        <w:t xml:space="preserve">mentioned the five ASEAN </w:t>
      </w:r>
      <w:r w:rsidR="00145465">
        <w:t>O</w:t>
      </w:r>
      <w:r>
        <w:t xml:space="preserve">ffices of Indonesia, Malaysia, Philippines, Thailand, </w:t>
      </w:r>
      <w:r w:rsidR="00145465">
        <w:t xml:space="preserve">and </w:t>
      </w:r>
      <w:r>
        <w:t>Viet Nam</w:t>
      </w:r>
      <w:r w:rsidR="00145465">
        <w:t>,</w:t>
      </w:r>
      <w:r>
        <w:t xml:space="preserve"> which </w:t>
      </w:r>
      <w:r w:rsidR="00145465">
        <w:t xml:space="preserve">have </w:t>
      </w:r>
      <w:r>
        <w:t>embarked on developing sustainable training infrastructures for their entry</w:t>
      </w:r>
      <w:r w:rsidR="009B45EC">
        <w:noBreakHyphen/>
      </w:r>
      <w:r>
        <w:t xml:space="preserve">level patent examiners with the assistance of, in particular, IP Australia and the European Patent Office. </w:t>
      </w:r>
      <w:r w:rsidR="009B45EC">
        <w:t xml:space="preserve"> However, m</w:t>
      </w:r>
      <w:r>
        <w:t>edium Offices may still need external support for post entry</w:t>
      </w:r>
      <w:r w:rsidR="009B45EC">
        <w:noBreakHyphen/>
      </w:r>
      <w:r>
        <w:t>level training, such as technology</w:t>
      </w:r>
      <w:r w:rsidR="009B45EC">
        <w:noBreakHyphen/>
      </w:r>
      <w:r>
        <w:t>specific training.</w:t>
      </w:r>
    </w:p>
    <w:p w14:paraId="4498F2B7" w14:textId="000E7DE8" w:rsidR="00DF35F9" w:rsidRDefault="00DF35F9" w:rsidP="00DF35F9">
      <w:pPr>
        <w:pStyle w:val="ONUME"/>
      </w:pPr>
      <w:r>
        <w:t xml:space="preserve">During the past year, the International Bureau </w:t>
      </w:r>
      <w:r w:rsidR="00145465">
        <w:t xml:space="preserve">has </w:t>
      </w:r>
      <w:r>
        <w:t xml:space="preserve">learned of further training needs, in particular, </w:t>
      </w:r>
      <w:r w:rsidR="00145465">
        <w:t>those</w:t>
      </w:r>
      <w:r>
        <w:t xml:space="preserve"> beyond the training of entry</w:t>
      </w:r>
      <w:r w:rsidR="00145465">
        <w:noBreakHyphen/>
      </w:r>
      <w:r>
        <w:t>level examiners</w:t>
      </w:r>
      <w:r w:rsidR="00145465">
        <w:t xml:space="preserve">. </w:t>
      </w:r>
      <w:r>
        <w:t xml:space="preserve"> </w:t>
      </w:r>
      <w:r w:rsidR="00145465">
        <w:t>O</w:t>
      </w:r>
      <w:r>
        <w:t xml:space="preserve">ne request </w:t>
      </w:r>
      <w:r w:rsidR="00761EE6">
        <w:t xml:space="preserve">has </w:t>
      </w:r>
      <w:r>
        <w:t>related to training on Artificial Intelligence (AI)</w:t>
      </w:r>
      <w:r w:rsidR="00761EE6">
        <w:t xml:space="preserve"> in terms</w:t>
      </w:r>
      <w:r w:rsidR="00E56147">
        <w:t xml:space="preserve"> of examiners</w:t>
      </w:r>
      <w:r w:rsidR="009B45EC">
        <w:t xml:space="preserve"> </w:t>
      </w:r>
      <w:r w:rsidR="00E56147">
        <w:t xml:space="preserve">acquiring an understanding of the </w:t>
      </w:r>
      <w:r w:rsidR="009B45EC">
        <w:t>scientific concepts</w:t>
      </w:r>
      <w:r w:rsidR="006E7DF5">
        <w:t xml:space="preserve"> in a</w:t>
      </w:r>
      <w:r w:rsidR="00E56147">
        <w:t xml:space="preserve"> technological domain</w:t>
      </w:r>
      <w:r w:rsidR="006E7DF5">
        <w:t xml:space="preserve"> whose importance has increased since many examiners completed </w:t>
      </w:r>
      <w:r w:rsidR="00761EE6">
        <w:t>their academic stud</w:t>
      </w:r>
      <w:r w:rsidR="009B45EC">
        <w:t>ies</w:t>
      </w:r>
      <w:r w:rsidR="006E7DF5">
        <w:t>,</w:t>
      </w:r>
      <w:r w:rsidR="009B45EC">
        <w:t xml:space="preserve"> as distinct from</w:t>
      </w:r>
      <w:r w:rsidR="00761EE6">
        <w:t xml:space="preserve"> the </w:t>
      </w:r>
      <w:r>
        <w:t xml:space="preserve">patentability aspects of AI. </w:t>
      </w:r>
      <w:r w:rsidR="00F9210B">
        <w:t xml:space="preserve"> </w:t>
      </w:r>
      <w:r>
        <w:t>In this context, there may be further similar training demand</w:t>
      </w:r>
      <w:r w:rsidR="00761EE6">
        <w:t>s</w:t>
      </w:r>
      <w:r>
        <w:t xml:space="preserve"> </w:t>
      </w:r>
      <w:r w:rsidR="00761EE6">
        <w:t>from</w:t>
      </w:r>
      <w:r>
        <w:t xml:space="preserve"> Offices for keeping examiners abreast </w:t>
      </w:r>
      <w:r w:rsidR="00761EE6">
        <w:t>with</w:t>
      </w:r>
      <w:r>
        <w:t xml:space="preserve"> scientific foundations of emerging technologies.</w:t>
      </w:r>
    </w:p>
    <w:p w14:paraId="3AA43245" w14:textId="6FBC9696" w:rsidR="00DF35F9" w:rsidRDefault="00DF35F9" w:rsidP="00DF35F9">
      <w:pPr>
        <w:pStyle w:val="ONUME"/>
      </w:pPr>
      <w:r>
        <w:t xml:space="preserve">Other training needs </w:t>
      </w:r>
      <w:r w:rsidR="00761EE6">
        <w:t>that</w:t>
      </w:r>
      <w:r>
        <w:t xml:space="preserve"> the International Bureau </w:t>
      </w:r>
      <w:r w:rsidR="00761EE6">
        <w:t>has be</w:t>
      </w:r>
      <w:r w:rsidR="009B45EC">
        <w:t>come</w:t>
      </w:r>
      <w:r w:rsidR="00761EE6">
        <w:t xml:space="preserve"> aware of </w:t>
      </w:r>
      <w:r>
        <w:t>relate to medium</w:t>
      </w:r>
      <w:r w:rsidR="00761EE6">
        <w:noBreakHyphen/>
      </w:r>
      <w:r>
        <w:t>size</w:t>
      </w:r>
      <w:r w:rsidR="00761EE6">
        <w:t>d</w:t>
      </w:r>
      <w:r>
        <w:t xml:space="preserve"> </w:t>
      </w:r>
      <w:r w:rsidR="00761EE6">
        <w:t>O</w:t>
      </w:r>
      <w:r>
        <w:t xml:space="preserve">ffices functioning as International Searching </w:t>
      </w:r>
      <w:r w:rsidR="00761EE6">
        <w:t xml:space="preserve">and Preliminary Examining </w:t>
      </w:r>
      <w:r>
        <w:t>Authorities (ISA</w:t>
      </w:r>
      <w:r w:rsidR="00761EE6">
        <w:t>/IPEA</w:t>
      </w:r>
      <w:r>
        <w:t xml:space="preserve">) or preparing for functioning as such. </w:t>
      </w:r>
      <w:r w:rsidR="00761EE6">
        <w:t xml:space="preserve"> </w:t>
      </w:r>
      <w:r>
        <w:t>If such training w</w:t>
      </w:r>
      <w:r w:rsidR="00761EE6">
        <w:t>ere</w:t>
      </w:r>
      <w:r w:rsidR="0084379A">
        <w:t xml:space="preserve"> </w:t>
      </w:r>
      <w:r>
        <w:t>managed centrally, one m</w:t>
      </w:r>
      <w:r w:rsidR="009B45EC">
        <w:t>ight</w:t>
      </w:r>
      <w:r>
        <w:t xml:space="preserve"> better match recurrent training needs, for example</w:t>
      </w:r>
      <w:r w:rsidR="00761EE6">
        <w:t>,</w:t>
      </w:r>
      <w:r>
        <w:t xml:space="preserve"> of less well</w:t>
      </w:r>
      <w:r w:rsidR="00761EE6">
        <w:noBreakHyphen/>
      </w:r>
      <w:r>
        <w:t>resourced ISAs by major ISAs, and assure common standards by sharing best practices.</w:t>
      </w:r>
    </w:p>
    <w:p w14:paraId="48294819" w14:textId="30E9FB3E" w:rsidR="00DF35F9" w:rsidRDefault="00DF35F9" w:rsidP="00DF35F9">
      <w:pPr>
        <w:pStyle w:val="ONUME"/>
      </w:pPr>
      <w:bookmarkStart w:id="7" w:name="_Ref112164848"/>
      <w:r>
        <w:t>It is therefore proposed to widen the focus of the previously envisaged survey, and to conduct a modified survey with respect to:</w:t>
      </w:r>
      <w:bookmarkEnd w:id="7"/>
    </w:p>
    <w:p w14:paraId="72BFC869" w14:textId="77777777" w:rsidR="00DF35F9" w:rsidRDefault="00DF35F9" w:rsidP="00DF35F9">
      <w:pPr>
        <w:pStyle w:val="ONUME"/>
        <w:numPr>
          <w:ilvl w:val="1"/>
          <w:numId w:val="5"/>
        </w:numPr>
      </w:pPr>
      <w:r>
        <w:t>whether training policies, training management methodologies and respective infrastructures are in place;</w:t>
      </w:r>
    </w:p>
    <w:p w14:paraId="42786279" w14:textId="77777777" w:rsidR="00DF35F9" w:rsidRDefault="00DF35F9" w:rsidP="00DF35F9">
      <w:pPr>
        <w:pStyle w:val="ONUME"/>
        <w:numPr>
          <w:ilvl w:val="1"/>
          <w:numId w:val="5"/>
        </w:numPr>
      </w:pPr>
      <w:r>
        <w:t>the needs, in particular, of small and medium Offices for technical assistance for developing such policies, methodologies and infrastructures;</w:t>
      </w:r>
    </w:p>
    <w:p w14:paraId="1F669F64" w14:textId="77777777" w:rsidR="00DF35F9" w:rsidRDefault="00DF35F9" w:rsidP="00DF35F9">
      <w:pPr>
        <w:pStyle w:val="ONUME"/>
        <w:numPr>
          <w:ilvl w:val="1"/>
          <w:numId w:val="5"/>
        </w:numPr>
      </w:pPr>
      <w:r>
        <w:t>their views on how such technical assistance for developing such policies, methodologies and infrastructures should be organized;</w:t>
      </w:r>
    </w:p>
    <w:p w14:paraId="3EFD743A" w14:textId="77777777" w:rsidR="00DF35F9" w:rsidRDefault="00DF35F9" w:rsidP="00DF35F9">
      <w:pPr>
        <w:pStyle w:val="ONUME"/>
        <w:numPr>
          <w:ilvl w:val="1"/>
          <w:numId w:val="5"/>
        </w:numPr>
      </w:pPr>
      <w:r>
        <w:t>specific needs of Offices for training support by external providers;</w:t>
      </w:r>
    </w:p>
    <w:p w14:paraId="1C60B80E" w14:textId="57CBA3FB" w:rsidR="00DF35F9" w:rsidRDefault="00DF35F9" w:rsidP="00DF35F9">
      <w:pPr>
        <w:pStyle w:val="ONUME"/>
        <w:numPr>
          <w:ilvl w:val="1"/>
          <w:numId w:val="5"/>
        </w:numPr>
      </w:pPr>
      <w:r>
        <w:t xml:space="preserve">their views on whether and how such technical assistance for training of examiners at entry level and post entry level should be organized in a cooperative and timely and efficient manner, and, in particular, the role of the International Bureau in </w:t>
      </w:r>
      <w:r w:rsidR="0084379A">
        <w:t>such organization</w:t>
      </w:r>
      <w:r>
        <w:t>;</w:t>
      </w:r>
    </w:p>
    <w:p w14:paraId="4581A28A" w14:textId="5F0A398C" w:rsidR="00DF35F9" w:rsidRDefault="00DF35F9" w:rsidP="00DF35F9">
      <w:pPr>
        <w:pStyle w:val="ONUME"/>
        <w:numPr>
          <w:ilvl w:val="1"/>
          <w:numId w:val="5"/>
        </w:numPr>
      </w:pPr>
      <w:r>
        <w:t>the views of potential provider Offices to assist other Offices in developing sustainable training infrastructures, or contribute to match</w:t>
      </w:r>
      <w:r w:rsidR="005170B6">
        <w:t>ing</w:t>
      </w:r>
      <w:r>
        <w:t xml:space="preserve"> </w:t>
      </w:r>
      <w:r w:rsidR="0084379A">
        <w:t>identified</w:t>
      </w:r>
      <w:r>
        <w:t xml:space="preserve"> training needs with supply.</w:t>
      </w:r>
    </w:p>
    <w:p w14:paraId="19455D7B" w14:textId="77777777" w:rsidR="00DF35F9" w:rsidRDefault="00DF35F9" w:rsidP="00DF35F9">
      <w:pPr>
        <w:pStyle w:val="Heading1"/>
      </w:pPr>
      <w:r>
        <w:lastRenderedPageBreak/>
        <w:t>Reporting on Survey and Developments</w:t>
      </w:r>
    </w:p>
    <w:p w14:paraId="151FE6E4" w14:textId="7093DB04" w:rsidR="00DF35F9" w:rsidRDefault="00DF35F9" w:rsidP="00DF35F9">
      <w:pPr>
        <w:pStyle w:val="ONUME"/>
      </w:pPr>
      <w:r>
        <w:t>The International Bureau will present an evaluation of the pr</w:t>
      </w:r>
      <w:r w:rsidR="009F33D9">
        <w:t xml:space="preserve">oposed survey and report on </w:t>
      </w:r>
      <w:r>
        <w:t xml:space="preserve">further progress regarding the coordination of examiner training to </w:t>
      </w:r>
      <w:r w:rsidR="00561F6A">
        <w:t xml:space="preserve">future sessions of </w:t>
      </w:r>
      <w:r>
        <w:t>the Working G</w:t>
      </w:r>
      <w:r w:rsidR="00561F6A">
        <w:t>roup</w:t>
      </w:r>
      <w:r>
        <w:t>.</w:t>
      </w:r>
    </w:p>
    <w:p w14:paraId="03E97CF1" w14:textId="77777777" w:rsidR="00DF35F9" w:rsidRPr="00DF35F9" w:rsidRDefault="00DF35F9" w:rsidP="00DF35F9">
      <w:pPr>
        <w:pStyle w:val="ONUME"/>
        <w:ind w:left="5533"/>
        <w:rPr>
          <w:i/>
        </w:rPr>
      </w:pPr>
      <w:r w:rsidRPr="00DF35F9">
        <w:rPr>
          <w:i/>
        </w:rPr>
        <w:t>The Working Group is invited:</w:t>
      </w:r>
    </w:p>
    <w:p w14:paraId="2F6AE14C" w14:textId="77777777" w:rsidR="00DF35F9" w:rsidRPr="00DF35F9" w:rsidRDefault="00DF35F9" w:rsidP="00DF35F9">
      <w:pPr>
        <w:spacing w:after="220"/>
        <w:ind w:left="5533"/>
        <w:rPr>
          <w:i/>
        </w:rPr>
      </w:pPr>
      <w:r w:rsidRPr="00DF35F9">
        <w:rPr>
          <w:i/>
        </w:rPr>
        <w:t xml:space="preserve">(i) </w:t>
      </w:r>
      <w:r w:rsidR="00F9210B">
        <w:rPr>
          <w:i/>
        </w:rPr>
        <w:tab/>
      </w:r>
      <w:r w:rsidRPr="00DF35F9">
        <w:rPr>
          <w:i/>
        </w:rPr>
        <w:t xml:space="preserve">to note the contents of the present document;  and </w:t>
      </w:r>
    </w:p>
    <w:p w14:paraId="3251FFD8" w14:textId="26D343E7" w:rsidR="00DF35F9" w:rsidRDefault="00DF35F9" w:rsidP="00DF35F9">
      <w:pPr>
        <w:spacing w:after="220"/>
        <w:ind w:left="5533"/>
        <w:rPr>
          <w:i/>
        </w:rPr>
      </w:pPr>
      <w:r w:rsidRPr="00DF35F9">
        <w:rPr>
          <w:i/>
        </w:rPr>
        <w:t>(ii)</w:t>
      </w:r>
      <w:r w:rsidR="00F9210B">
        <w:rPr>
          <w:i/>
        </w:rPr>
        <w:tab/>
      </w:r>
      <w:r w:rsidRPr="00DF35F9">
        <w:rPr>
          <w:i/>
        </w:rPr>
        <w:t>to comment on the proposal to conduct a sur</w:t>
      </w:r>
      <w:r w:rsidR="00F9210B">
        <w:rPr>
          <w:i/>
        </w:rPr>
        <w:t>vey, as outlined in paragraph </w:t>
      </w:r>
      <w:r w:rsidR="00F9210B">
        <w:rPr>
          <w:i/>
        </w:rPr>
        <w:fldChar w:fldCharType="begin"/>
      </w:r>
      <w:r w:rsidR="00F9210B">
        <w:rPr>
          <w:i/>
        </w:rPr>
        <w:instrText xml:space="preserve"> REF _Ref112164848 \r \h </w:instrText>
      </w:r>
      <w:r w:rsidR="00F9210B">
        <w:rPr>
          <w:i/>
        </w:rPr>
      </w:r>
      <w:r w:rsidR="00F9210B">
        <w:rPr>
          <w:i/>
        </w:rPr>
        <w:fldChar w:fldCharType="separate"/>
      </w:r>
      <w:r w:rsidR="00561F6A">
        <w:rPr>
          <w:i/>
        </w:rPr>
        <w:t>16</w:t>
      </w:r>
      <w:r w:rsidR="00F9210B">
        <w:rPr>
          <w:i/>
        </w:rPr>
        <w:fldChar w:fldCharType="end"/>
      </w:r>
      <w:r w:rsidRPr="00DF35F9">
        <w:rPr>
          <w:i/>
        </w:rPr>
        <w:t>, above.</w:t>
      </w:r>
    </w:p>
    <w:p w14:paraId="0ED0D624" w14:textId="77777777" w:rsidR="00DF35F9" w:rsidRDefault="00DF35F9" w:rsidP="00DF35F9">
      <w:pPr>
        <w:pStyle w:val="Endofdocument-Annex"/>
      </w:pPr>
    </w:p>
    <w:p w14:paraId="7CB3E04B" w14:textId="77777777" w:rsidR="002326AB" w:rsidRDefault="00DF35F9" w:rsidP="00DF35F9">
      <w:pPr>
        <w:pStyle w:val="Endofdocument-Annex"/>
      </w:pPr>
      <w:r>
        <w:t>[End of document]</w:t>
      </w:r>
    </w:p>
    <w:sectPr w:rsidR="002326AB" w:rsidSect="004A1AE0">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0F55F" w14:textId="77777777" w:rsidR="004F76CF" w:rsidRDefault="004F76CF">
      <w:r>
        <w:separator/>
      </w:r>
    </w:p>
  </w:endnote>
  <w:endnote w:type="continuationSeparator" w:id="0">
    <w:p w14:paraId="057EB1A6" w14:textId="77777777" w:rsidR="004F76CF" w:rsidRDefault="004F76CF" w:rsidP="003B38C1">
      <w:r>
        <w:separator/>
      </w:r>
    </w:p>
    <w:p w14:paraId="6871DBAF" w14:textId="77777777" w:rsidR="004F76CF" w:rsidRPr="003B38C1" w:rsidRDefault="004F76CF" w:rsidP="003B38C1">
      <w:pPr>
        <w:spacing w:after="60"/>
        <w:rPr>
          <w:sz w:val="17"/>
        </w:rPr>
      </w:pPr>
      <w:r>
        <w:rPr>
          <w:sz w:val="17"/>
        </w:rPr>
        <w:t>[Endnote continued from previous page]</w:t>
      </w:r>
    </w:p>
  </w:endnote>
  <w:endnote w:type="continuationNotice" w:id="1">
    <w:p w14:paraId="3CB59157" w14:textId="77777777" w:rsidR="004F76CF" w:rsidRPr="003B38C1" w:rsidRDefault="004F76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B49C" w14:textId="77777777" w:rsidR="004A1AE0" w:rsidRDefault="004A1AE0" w:rsidP="004A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B9FE" w14:textId="77777777" w:rsidR="00E46075" w:rsidRDefault="00E46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6DFAB" w14:textId="77777777" w:rsidR="00E46075" w:rsidRDefault="00E4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0568B" w14:textId="77777777" w:rsidR="004F76CF" w:rsidRDefault="004F76CF">
      <w:r>
        <w:separator/>
      </w:r>
    </w:p>
  </w:footnote>
  <w:footnote w:type="continuationSeparator" w:id="0">
    <w:p w14:paraId="03067406" w14:textId="77777777" w:rsidR="004F76CF" w:rsidRDefault="004F76CF" w:rsidP="008B60B2">
      <w:r>
        <w:separator/>
      </w:r>
    </w:p>
    <w:p w14:paraId="299DAD06" w14:textId="77777777" w:rsidR="004F76CF" w:rsidRPr="00ED77FB" w:rsidRDefault="004F76CF" w:rsidP="008B60B2">
      <w:pPr>
        <w:spacing w:after="60"/>
        <w:rPr>
          <w:sz w:val="17"/>
          <w:szCs w:val="17"/>
        </w:rPr>
      </w:pPr>
      <w:r w:rsidRPr="00ED77FB">
        <w:rPr>
          <w:sz w:val="17"/>
          <w:szCs w:val="17"/>
        </w:rPr>
        <w:t>[Footnote continued from previous page]</w:t>
      </w:r>
    </w:p>
  </w:footnote>
  <w:footnote w:type="continuationNotice" w:id="1">
    <w:p w14:paraId="1EFBC10F" w14:textId="77777777" w:rsidR="004F76CF" w:rsidRPr="00ED77FB" w:rsidRDefault="004F76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CD44" w14:textId="24F55350" w:rsidR="004A1AE0" w:rsidRPr="002326AB" w:rsidRDefault="004A1AE0" w:rsidP="004A1AE0">
    <w:pPr>
      <w:jc w:val="right"/>
      <w:rPr>
        <w:caps/>
      </w:rPr>
    </w:pPr>
    <w:r>
      <w:rPr>
        <w:caps/>
      </w:rPr>
      <w:t>PCT/WG/15/7</w:t>
    </w:r>
  </w:p>
  <w:p w14:paraId="519D78AD" w14:textId="1CF7CE64" w:rsidR="004A1AE0" w:rsidRDefault="004A1AE0" w:rsidP="004A1AE0">
    <w:pPr>
      <w:jc w:val="right"/>
    </w:pPr>
    <w:r>
      <w:t xml:space="preserve">page </w:t>
    </w:r>
    <w:r>
      <w:fldChar w:fldCharType="begin"/>
    </w:r>
    <w:r>
      <w:instrText xml:space="preserve"> PAGE  \* MERGEFORMAT </w:instrText>
    </w:r>
    <w:r>
      <w:fldChar w:fldCharType="separate"/>
    </w:r>
    <w:r w:rsidR="00B42401">
      <w:rPr>
        <w:noProof/>
      </w:rPr>
      <w:t>4</w:t>
    </w:r>
    <w:r>
      <w:fldChar w:fldCharType="end"/>
    </w:r>
  </w:p>
  <w:p w14:paraId="212B6FEC" w14:textId="77777777" w:rsidR="004A1AE0" w:rsidRDefault="004A1AE0" w:rsidP="004A1AE0">
    <w:pPr>
      <w:jc w:val="right"/>
    </w:pPr>
  </w:p>
  <w:p w14:paraId="1A7179DE" w14:textId="77777777" w:rsidR="004A1AE0" w:rsidRDefault="004A1AE0" w:rsidP="004A1AE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F4C2" w14:textId="5A996D2B" w:rsidR="00D07C78" w:rsidRPr="002326AB" w:rsidRDefault="004F76CF" w:rsidP="00477D6B">
    <w:pPr>
      <w:jc w:val="right"/>
      <w:rPr>
        <w:caps/>
      </w:rPr>
    </w:pPr>
    <w:r>
      <w:rPr>
        <w:caps/>
      </w:rPr>
      <w:t>PCT/WG/15/7</w:t>
    </w:r>
  </w:p>
  <w:p w14:paraId="72E89269" w14:textId="3A851F0E" w:rsidR="00D07C78" w:rsidRDefault="00D07C78" w:rsidP="00477D6B">
    <w:pPr>
      <w:jc w:val="right"/>
    </w:pPr>
    <w:r>
      <w:t xml:space="preserve">page </w:t>
    </w:r>
    <w:r>
      <w:fldChar w:fldCharType="begin"/>
    </w:r>
    <w:r>
      <w:instrText xml:space="preserve"> PAGE  \* MERGEFORMAT </w:instrText>
    </w:r>
    <w:r>
      <w:fldChar w:fldCharType="separate"/>
    </w:r>
    <w:r w:rsidR="004A1AE0">
      <w:rPr>
        <w:noProof/>
      </w:rPr>
      <w:t>3</w:t>
    </w:r>
    <w:r>
      <w:fldChar w:fldCharType="end"/>
    </w:r>
  </w:p>
  <w:p w14:paraId="5F45C17A" w14:textId="77777777" w:rsidR="00D07C78" w:rsidRDefault="00D07C78" w:rsidP="00477D6B">
    <w:pPr>
      <w:jc w:val="right"/>
    </w:pPr>
  </w:p>
  <w:p w14:paraId="121C3E9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99DE" w14:textId="26476B57" w:rsidR="00E46075" w:rsidRDefault="00E46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6CF"/>
    <w:rsid w:val="00043CAA"/>
    <w:rsid w:val="00053AB7"/>
    <w:rsid w:val="00056816"/>
    <w:rsid w:val="00075432"/>
    <w:rsid w:val="000968ED"/>
    <w:rsid w:val="000A3D97"/>
    <w:rsid w:val="000B58F7"/>
    <w:rsid w:val="000F5E56"/>
    <w:rsid w:val="001362EE"/>
    <w:rsid w:val="00145465"/>
    <w:rsid w:val="001507CB"/>
    <w:rsid w:val="00162EC6"/>
    <w:rsid w:val="001647D5"/>
    <w:rsid w:val="001832A6"/>
    <w:rsid w:val="001D4107"/>
    <w:rsid w:val="00203D24"/>
    <w:rsid w:val="0021217E"/>
    <w:rsid w:val="002326AB"/>
    <w:rsid w:val="00243430"/>
    <w:rsid w:val="002634C4"/>
    <w:rsid w:val="002928D3"/>
    <w:rsid w:val="00296F5F"/>
    <w:rsid w:val="002F1FE6"/>
    <w:rsid w:val="002F4E68"/>
    <w:rsid w:val="00312F7F"/>
    <w:rsid w:val="003361FC"/>
    <w:rsid w:val="0033777F"/>
    <w:rsid w:val="00361450"/>
    <w:rsid w:val="003673CF"/>
    <w:rsid w:val="003674EA"/>
    <w:rsid w:val="003845C1"/>
    <w:rsid w:val="003A6F89"/>
    <w:rsid w:val="003B38C1"/>
    <w:rsid w:val="003C34E9"/>
    <w:rsid w:val="003C551D"/>
    <w:rsid w:val="00423E3E"/>
    <w:rsid w:val="00427AF4"/>
    <w:rsid w:val="004647DA"/>
    <w:rsid w:val="00474062"/>
    <w:rsid w:val="00477D6B"/>
    <w:rsid w:val="004A1AE0"/>
    <w:rsid w:val="004E2EBA"/>
    <w:rsid w:val="004F76CF"/>
    <w:rsid w:val="005019FF"/>
    <w:rsid w:val="005170B6"/>
    <w:rsid w:val="0053057A"/>
    <w:rsid w:val="00556076"/>
    <w:rsid w:val="00560A29"/>
    <w:rsid w:val="00561F6A"/>
    <w:rsid w:val="005A473F"/>
    <w:rsid w:val="005C6649"/>
    <w:rsid w:val="00605827"/>
    <w:rsid w:val="00646050"/>
    <w:rsid w:val="006713CA"/>
    <w:rsid w:val="00676C5C"/>
    <w:rsid w:val="006E7DF5"/>
    <w:rsid w:val="00720EFD"/>
    <w:rsid w:val="00761EE6"/>
    <w:rsid w:val="0077079D"/>
    <w:rsid w:val="007854AF"/>
    <w:rsid w:val="00793A7C"/>
    <w:rsid w:val="007A398A"/>
    <w:rsid w:val="007D1613"/>
    <w:rsid w:val="007E4C0E"/>
    <w:rsid w:val="0084379A"/>
    <w:rsid w:val="00864FCB"/>
    <w:rsid w:val="008A134B"/>
    <w:rsid w:val="008B2CC1"/>
    <w:rsid w:val="008B60B2"/>
    <w:rsid w:val="008D0D0A"/>
    <w:rsid w:val="008E1EFF"/>
    <w:rsid w:val="0090731E"/>
    <w:rsid w:val="00916EE2"/>
    <w:rsid w:val="00936064"/>
    <w:rsid w:val="00965BCE"/>
    <w:rsid w:val="00966A22"/>
    <w:rsid w:val="0096722F"/>
    <w:rsid w:val="00972675"/>
    <w:rsid w:val="00980843"/>
    <w:rsid w:val="009B45EC"/>
    <w:rsid w:val="009E2791"/>
    <w:rsid w:val="009E3F6F"/>
    <w:rsid w:val="009F33D9"/>
    <w:rsid w:val="009F499F"/>
    <w:rsid w:val="00A37342"/>
    <w:rsid w:val="00A42DAF"/>
    <w:rsid w:val="00A45BD8"/>
    <w:rsid w:val="00A5305C"/>
    <w:rsid w:val="00A869B7"/>
    <w:rsid w:val="00A90F0A"/>
    <w:rsid w:val="00AC205C"/>
    <w:rsid w:val="00AF0A6B"/>
    <w:rsid w:val="00B05A69"/>
    <w:rsid w:val="00B42401"/>
    <w:rsid w:val="00B75281"/>
    <w:rsid w:val="00B92F1F"/>
    <w:rsid w:val="00B9734B"/>
    <w:rsid w:val="00BA30E2"/>
    <w:rsid w:val="00BC5E8E"/>
    <w:rsid w:val="00C11BFE"/>
    <w:rsid w:val="00C5068F"/>
    <w:rsid w:val="00C82D15"/>
    <w:rsid w:val="00C86D74"/>
    <w:rsid w:val="00CD04F1"/>
    <w:rsid w:val="00CF681A"/>
    <w:rsid w:val="00D07C78"/>
    <w:rsid w:val="00D23326"/>
    <w:rsid w:val="00D45252"/>
    <w:rsid w:val="00D71B4D"/>
    <w:rsid w:val="00D93D55"/>
    <w:rsid w:val="00DD7B7F"/>
    <w:rsid w:val="00DF35F9"/>
    <w:rsid w:val="00E15015"/>
    <w:rsid w:val="00E335FE"/>
    <w:rsid w:val="00E46075"/>
    <w:rsid w:val="00E56147"/>
    <w:rsid w:val="00EA7D6E"/>
    <w:rsid w:val="00EB2F76"/>
    <w:rsid w:val="00EC4E49"/>
    <w:rsid w:val="00ED77FB"/>
    <w:rsid w:val="00EE45FA"/>
    <w:rsid w:val="00F043DE"/>
    <w:rsid w:val="00F66152"/>
    <w:rsid w:val="00F9165B"/>
    <w:rsid w:val="00F9210B"/>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C9A6787"/>
  <w15:docId w15:val="{8CC55EB8-8E3F-44A2-82AA-2E7CCA0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3361FC"/>
    <w:rPr>
      <w:color w:val="0000FF" w:themeColor="hyperlink"/>
      <w:u w:val="single"/>
    </w:rPr>
  </w:style>
  <w:style w:type="paragraph" w:styleId="BalloonText">
    <w:name w:val="Balloon Text"/>
    <w:basedOn w:val="Normal"/>
    <w:link w:val="BalloonTextChar"/>
    <w:semiHidden/>
    <w:unhideWhenUsed/>
    <w:rsid w:val="00965BCE"/>
    <w:rPr>
      <w:rFonts w:ascii="Segoe UI" w:hAnsi="Segoe UI" w:cs="Segoe UI"/>
      <w:sz w:val="18"/>
      <w:szCs w:val="18"/>
    </w:rPr>
  </w:style>
  <w:style w:type="character" w:customStyle="1" w:styleId="BalloonTextChar">
    <w:name w:val="Balloon Text Char"/>
    <w:basedOn w:val="DefaultParagraphFont"/>
    <w:link w:val="BalloonText"/>
    <w:semiHidden/>
    <w:rsid w:val="00965BCE"/>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4379A"/>
    <w:rPr>
      <w:sz w:val="16"/>
      <w:szCs w:val="16"/>
    </w:rPr>
  </w:style>
  <w:style w:type="paragraph" w:styleId="CommentSubject">
    <w:name w:val="annotation subject"/>
    <w:basedOn w:val="CommentText"/>
    <w:next w:val="CommentText"/>
    <w:link w:val="CommentSubjectChar"/>
    <w:semiHidden/>
    <w:unhideWhenUsed/>
    <w:rsid w:val="0084379A"/>
    <w:rPr>
      <w:b/>
      <w:bCs/>
      <w:sz w:val="20"/>
    </w:rPr>
  </w:style>
  <w:style w:type="character" w:customStyle="1" w:styleId="CommentTextChar">
    <w:name w:val="Comment Text Char"/>
    <w:basedOn w:val="DefaultParagraphFont"/>
    <w:link w:val="CommentText"/>
    <w:semiHidden/>
    <w:rsid w:val="0084379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4379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wipo.int/classifications/ipc/ipcef/public/en/project/CE52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blm.moodlecloud.com/course/index.php?categoryid=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cblm.moodlecloud.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etails.jsp?meeting_id=6458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EDDF-721B-4000-9551-1EFBFC66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1408</Words>
  <Characters>8155</Characters>
  <Application>Microsoft Office Word</Application>
  <DocSecurity>0</DocSecurity>
  <Lines>134</Lines>
  <Paragraphs>40</Paragraphs>
  <ScaleCrop>false</ScaleCrop>
  <HeadingPairs>
    <vt:vector size="2" baseType="variant">
      <vt:variant>
        <vt:lpstr>Title</vt:lpstr>
      </vt:variant>
      <vt:variant>
        <vt:i4>1</vt:i4>
      </vt:variant>
    </vt:vector>
  </HeadingPairs>
  <TitlesOfParts>
    <vt:vector size="1" baseType="lpstr">
      <vt:lpstr>PCT/WG/15/7</vt:lpstr>
    </vt:vector>
  </TitlesOfParts>
  <Company>WIPO</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PCT/WG/15/7</dc:title>
  <dc:subject>Coordination of Patent Examiner Training</dc:subject>
  <dc:creator>MARLOW Thomas</dc:creator>
  <cp:keywords>PUBLIC</cp:keywords>
  <cp:lastModifiedBy>MARLOW Thomas</cp:lastModifiedBy>
  <cp:revision>6</cp:revision>
  <cp:lastPrinted>2022-08-23T15:46:00Z</cp:lastPrinted>
  <dcterms:created xsi:type="dcterms:W3CDTF">2022-08-31T08:07:00Z</dcterms:created>
  <dcterms:modified xsi:type="dcterms:W3CDTF">2022-08-31T12:38:00Z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