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61DB311C" wp14:editId="30F7D9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AD6BF3">
              <w:rPr>
                <w:rFonts w:ascii="Arial Black" w:hAnsi="Arial Black"/>
                <w:caps/>
                <w:sz w:val="15"/>
              </w:rPr>
              <w:t>15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833D3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B054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33D30">
              <w:rPr>
                <w:rFonts w:ascii="Arial Black" w:hAnsi="Arial Black"/>
                <w:caps/>
                <w:sz w:val="15"/>
              </w:rPr>
              <w:t xml:space="preserve">April </w:t>
            </w:r>
            <w:r w:rsidR="005B0546">
              <w:rPr>
                <w:rFonts w:ascii="Arial Black" w:hAnsi="Arial Black"/>
                <w:caps/>
                <w:sz w:val="15"/>
              </w:rPr>
              <w:t>29</w:t>
            </w:r>
            <w:r w:rsidR="00833D30">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833D30" w:rsidP="008B2CC1">
      <w:pPr>
        <w:rPr>
          <w:caps/>
          <w:sz w:val="24"/>
        </w:rPr>
      </w:pPr>
      <w:bookmarkStart w:id="3" w:name="TitleOfDoc"/>
      <w:bookmarkEnd w:id="3"/>
      <w:r>
        <w:rPr>
          <w:caps/>
          <w:sz w:val="24"/>
        </w:rPr>
        <w:t>Miscellaneous Proposed Amendments to the PCT Regulations</w:t>
      </w:r>
    </w:p>
    <w:p w:rsidR="008B2CC1" w:rsidRPr="008B2CC1" w:rsidRDefault="008B2CC1" w:rsidP="008B2CC1"/>
    <w:p w:rsidR="008B2CC1" w:rsidRPr="008B2CC1" w:rsidRDefault="00833D30"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833D30" w:rsidRDefault="00833D30" w:rsidP="00763997">
      <w:pPr>
        <w:pStyle w:val="Heading1"/>
      </w:pPr>
      <w:r>
        <w:t>Summary</w:t>
      </w:r>
    </w:p>
    <w:p w:rsidR="001F5467" w:rsidRDefault="001F66D3" w:rsidP="00833D30">
      <w:pPr>
        <w:pStyle w:val="ONUME"/>
      </w:pPr>
      <w:r>
        <w:t>Th</w:t>
      </w:r>
      <w:r w:rsidR="00611C10">
        <w:t>e present</w:t>
      </w:r>
      <w:r>
        <w:t xml:space="preserve"> document proposes amendments to the </w:t>
      </w:r>
      <w:r w:rsidR="001F5467">
        <w:t>PCT Regulations in three areas:</w:t>
      </w:r>
    </w:p>
    <w:p w:rsidR="001F5467" w:rsidRDefault="001F5467" w:rsidP="001F5467">
      <w:pPr>
        <w:pStyle w:val="ONUME"/>
        <w:numPr>
          <w:ilvl w:val="1"/>
          <w:numId w:val="5"/>
        </w:numPr>
      </w:pPr>
      <w:r>
        <w:t>F</w:t>
      </w:r>
      <w:r w:rsidR="000D070B">
        <w:t xml:space="preserve">ollowing formal consultations with all Member States and consequential on the agreement </w:t>
      </w:r>
      <w:r w:rsidR="00565045">
        <w:t xml:space="preserve">in principle </w:t>
      </w:r>
      <w:r w:rsidR="000D070B">
        <w:t xml:space="preserve">to decommission the PCT-EASY software with effect from July 1, 2015, </w:t>
      </w:r>
      <w:r w:rsidR="002A1BB2">
        <w:t xml:space="preserve">it is proposed to remove the fee reduction </w:t>
      </w:r>
      <w:r w:rsidR="00CB2F5F">
        <w:t xml:space="preserve">available to PCT-EASY filings </w:t>
      </w:r>
      <w:r w:rsidR="002A1BB2">
        <w:t>from the Schedule of Fees.</w:t>
      </w:r>
    </w:p>
    <w:p w:rsidR="001F5467" w:rsidRDefault="001F5467" w:rsidP="001F5467">
      <w:pPr>
        <w:pStyle w:val="ONUME"/>
        <w:numPr>
          <w:ilvl w:val="1"/>
          <w:numId w:val="5"/>
        </w:numPr>
      </w:pPr>
      <w:r>
        <w:t>I</w:t>
      </w:r>
      <w:r w:rsidR="002A1BB2">
        <w:t xml:space="preserve">t is proposed to require applicants making an express request for early national phase entry to file any request for </w:t>
      </w:r>
      <w:r w:rsidR="00810E8A">
        <w:t xml:space="preserve">the </w:t>
      </w:r>
      <w:r w:rsidR="002A1BB2">
        <w:t xml:space="preserve">restoration of </w:t>
      </w:r>
      <w:r w:rsidR="00810E8A">
        <w:t xml:space="preserve">the </w:t>
      </w:r>
      <w:r w:rsidR="002A1BB2">
        <w:t xml:space="preserve">priority </w:t>
      </w:r>
      <w:r w:rsidR="00810E8A">
        <w:t xml:space="preserve">of </w:t>
      </w:r>
      <w:r w:rsidR="002A1BB2">
        <w:t xml:space="preserve">right at the designated or elected Office </w:t>
      </w:r>
      <w:r w:rsidR="000D070B">
        <w:t xml:space="preserve">within one month from the date of receipt of </w:t>
      </w:r>
      <w:r w:rsidR="002A1BB2">
        <w:t>the express request</w:t>
      </w:r>
      <w:r w:rsidR="00611C10">
        <w:t xml:space="preserve"> for early national phase entry</w:t>
      </w:r>
      <w:r w:rsidR="002A1BB2">
        <w:t>.</w:t>
      </w:r>
    </w:p>
    <w:p w:rsidR="00833D30" w:rsidRDefault="001F5467" w:rsidP="001F5467">
      <w:pPr>
        <w:pStyle w:val="ONUME"/>
        <w:numPr>
          <w:ilvl w:val="1"/>
          <w:numId w:val="5"/>
        </w:numPr>
      </w:pPr>
      <w:r>
        <w:t>I</w:t>
      </w:r>
      <w:r w:rsidR="002A1BB2">
        <w:t xml:space="preserve">t is proposed to </w:t>
      </w:r>
      <w:r w:rsidR="007A4E5E">
        <w:t xml:space="preserve">amend </w:t>
      </w:r>
      <w:r w:rsidR="002A1BB2">
        <w:t xml:space="preserve">Rule 90.3 </w:t>
      </w:r>
      <w:r w:rsidR="007A4E5E">
        <w:t>by deleting the reference to paragraph (a) of Rule 90</w:t>
      </w:r>
      <w:r w:rsidR="007A4E5E" w:rsidRPr="0064421D">
        <w:rPr>
          <w:i/>
        </w:rPr>
        <w:t>bis</w:t>
      </w:r>
      <w:r w:rsidR="007A4E5E">
        <w:t>.5, consequential on the amendment of Rule 90</w:t>
      </w:r>
      <w:r w:rsidR="007A4E5E" w:rsidRPr="00647DD8">
        <w:rPr>
          <w:i/>
        </w:rPr>
        <w:t>bis</w:t>
      </w:r>
      <w:r w:rsidR="007A4E5E">
        <w:t xml:space="preserve">.5 adopted by the PCT Assembly </w:t>
      </w:r>
      <w:r w:rsidR="002A1BB2">
        <w:t>in October 2012.</w:t>
      </w:r>
    </w:p>
    <w:p w:rsidR="00833D30" w:rsidRDefault="00833D30" w:rsidP="00763997">
      <w:pPr>
        <w:pStyle w:val="Heading1"/>
      </w:pPr>
      <w:r>
        <w:lastRenderedPageBreak/>
        <w:t>Decommissioning of PCT-EASY</w:t>
      </w:r>
    </w:p>
    <w:p w:rsidR="00C616F3" w:rsidRPr="00C616F3" w:rsidRDefault="00C616F3" w:rsidP="00C616F3">
      <w:pPr>
        <w:pStyle w:val="Heading2"/>
      </w:pPr>
      <w:r>
        <w:t>Background</w:t>
      </w:r>
    </w:p>
    <w:p w:rsidR="006A5FBA" w:rsidRDefault="006A5FBA" w:rsidP="001F5467">
      <w:pPr>
        <w:pStyle w:val="ONUME"/>
        <w:keepLines/>
      </w:pPr>
      <w:r>
        <w:t>The PCT-EASY service was introduced in 1998 "as a first step towards a future filing system which will enable applicants to create and file patent applications electronically" (PCT Gazette 8/1998).  The service allowed a diskette (or now CD-R) containing bibliographic data to be provided alongside a printout of the request form and an application body in paper form at a time when it was not yet possible to submit the request form and application body in fully electronic form.  A fee reduction was al</w:t>
      </w:r>
      <w:r w:rsidR="00232ED5">
        <w:t>so accorded to PCT-EASY filings</w:t>
      </w:r>
      <w:r>
        <w:t xml:space="preserve"> as an incentive to provide the I</w:t>
      </w:r>
      <w:r w:rsidR="00CB2F5F">
        <w:t xml:space="preserve">nternational </w:t>
      </w:r>
      <w:r>
        <w:t>B</w:t>
      </w:r>
      <w:r w:rsidR="00CB2F5F">
        <w:t>ureau</w:t>
      </w:r>
      <w:r>
        <w:t xml:space="preserve"> with the bibliographic data in electronic form.</w:t>
      </w:r>
    </w:p>
    <w:p w:rsidR="006A5FBA" w:rsidRDefault="00D212CD" w:rsidP="00D212CD">
      <w:pPr>
        <w:pStyle w:val="ONUME"/>
      </w:pPr>
      <w:r>
        <w:t>The service was quickly very popular and by 2003 was used for 45</w:t>
      </w:r>
      <w:r w:rsidR="00716E2F">
        <w:t xml:space="preserve"> per cent </w:t>
      </w:r>
      <w:r>
        <w:t>of all international applications.  However, that year fully electronic applications became possible at several receiving Offices and the use of PCT</w:t>
      </w:r>
      <w:r>
        <w:noBreakHyphen/>
        <w:t xml:space="preserve">EASY began to decline.  </w:t>
      </w:r>
      <w:r w:rsidR="006A5FBA">
        <w:t>The service is now used for less than 2.5 per cent of international applications</w:t>
      </w:r>
      <w:r w:rsidR="00CB2F5F">
        <w:t xml:space="preserve">.  By comparison, </w:t>
      </w:r>
      <w:r w:rsidR="006A5FBA">
        <w:t xml:space="preserve">nearly 90 per cent of international applications </w:t>
      </w:r>
      <w:r w:rsidR="00CB2F5F">
        <w:t>are</w:t>
      </w:r>
      <w:r w:rsidR="006A5FBA">
        <w:t xml:space="preserve"> filed in fully electronic format.  Moreover, the International Bureau is now able to offer a hosted </w:t>
      </w:r>
      <w:proofErr w:type="spellStart"/>
      <w:r w:rsidR="00F972E5">
        <w:t>ePCT</w:t>
      </w:r>
      <w:proofErr w:type="spellEnd"/>
      <w:r w:rsidR="00F972E5">
        <w:t xml:space="preserve"> </w:t>
      </w:r>
      <w:r w:rsidR="006A5FBA">
        <w:t>e-filing service for any receiv</w:t>
      </w:r>
      <w:r w:rsidR="00CB2F5F">
        <w:t>ing Office which wishes to provide</w:t>
      </w:r>
      <w:r w:rsidR="006A5FBA">
        <w:t xml:space="preserve"> electronic filing to its applicants but is unable or does not wish to maintain the necessa</w:t>
      </w:r>
      <w:r w:rsidR="00CB2F5F">
        <w:t xml:space="preserve">ry costly IT infrastructure </w:t>
      </w:r>
      <w:r w:rsidR="006A5FBA">
        <w:t xml:space="preserve">itself.  </w:t>
      </w:r>
    </w:p>
    <w:p w:rsidR="00003728" w:rsidRDefault="00003728" w:rsidP="00565045">
      <w:pPr>
        <w:pStyle w:val="ONUME"/>
        <w:rPr>
          <w:lang w:eastAsia="en-US"/>
        </w:rPr>
      </w:pPr>
      <w:r>
        <w:rPr>
          <w:lang w:eastAsia="en-US"/>
        </w:rPr>
        <w:t xml:space="preserve">Consequently, </w:t>
      </w:r>
      <w:r w:rsidR="00810E8A">
        <w:rPr>
          <w:lang w:eastAsia="en-US"/>
        </w:rPr>
        <w:t>b</w:t>
      </w:r>
      <w:r>
        <w:rPr>
          <w:lang w:eastAsia="en-US"/>
        </w:rPr>
        <w:t xml:space="preserve">y way of Circular C. PCT 1376, dated April 5, 2013, the International Bureau consulted receiving Offices and non-governmental organizations representing users of the PCT system on the decommissioning of PCT-EASY.  The Circular proposed that PCT-EASY should cease to be a recognized mode for filing international applications under the PCT as of July 1, 2015.  The responses received by the International Bureau in reply to Circular C. PCT 1376 indicated agreement in principle to the proposed decommissioning of PCT-EASY as of July 1, 2015. </w:t>
      </w:r>
      <w:r w:rsidR="00810E8A">
        <w:rPr>
          <w:lang w:eastAsia="en-US"/>
        </w:rPr>
        <w:t xml:space="preserve"> </w:t>
      </w:r>
      <w:r>
        <w:rPr>
          <w:lang w:eastAsia="en-US"/>
        </w:rPr>
        <w:t>Member States were subsequently informed, by way of Circular C. PCT 1408, dated March 13, 2014, that the International Bureau would take the necessary steps towards implementing the agreement in principle to decommission PCT-EASY as of that date.</w:t>
      </w:r>
    </w:p>
    <w:p w:rsidR="00CC086A" w:rsidRDefault="00CC086A" w:rsidP="0064421D">
      <w:pPr>
        <w:pStyle w:val="Heading2"/>
      </w:pPr>
      <w:r>
        <w:t>Proposal</w:t>
      </w:r>
    </w:p>
    <w:p w:rsidR="00CC086A" w:rsidRDefault="00003728" w:rsidP="00565045">
      <w:pPr>
        <w:pStyle w:val="ONUME"/>
        <w:keepNext/>
        <w:autoSpaceDE w:val="0"/>
        <w:autoSpaceDN w:val="0"/>
        <w:adjustRightInd w:val="0"/>
      </w:pPr>
      <w:r>
        <w:rPr>
          <w:lang w:eastAsia="en-US"/>
        </w:rPr>
        <w:t xml:space="preserve">It is thus proposed </w:t>
      </w:r>
      <w:r w:rsidRPr="00003728">
        <w:rPr>
          <w:rFonts w:eastAsia="Times New Roman"/>
          <w:sz w:val="21"/>
          <w:szCs w:val="21"/>
          <w:lang w:eastAsia="en-US"/>
        </w:rPr>
        <w:t xml:space="preserve">to remove the relevant fee reduction </w:t>
      </w:r>
      <w:r>
        <w:rPr>
          <w:rFonts w:eastAsia="Times New Roman"/>
          <w:sz w:val="21"/>
          <w:szCs w:val="21"/>
          <w:lang w:eastAsia="en-US"/>
        </w:rPr>
        <w:t xml:space="preserve">for PCT-EASY filings </w:t>
      </w:r>
      <w:r w:rsidRPr="00003728">
        <w:rPr>
          <w:rFonts w:eastAsia="Times New Roman"/>
          <w:sz w:val="21"/>
          <w:szCs w:val="21"/>
          <w:lang w:eastAsia="en-US"/>
        </w:rPr>
        <w:t>from the Schedule of Fees under the PCT Regulations with effect from July 1, 2015</w:t>
      </w:r>
      <w:r>
        <w:rPr>
          <w:rFonts w:eastAsia="Times New Roman"/>
          <w:sz w:val="21"/>
          <w:szCs w:val="21"/>
          <w:lang w:eastAsia="en-US"/>
        </w:rPr>
        <w:t xml:space="preserve"> and to amend the Schedule of Fees </w:t>
      </w:r>
      <w:r w:rsidR="00810E8A">
        <w:rPr>
          <w:rFonts w:eastAsia="Times New Roman"/>
          <w:sz w:val="21"/>
          <w:szCs w:val="21"/>
          <w:lang w:eastAsia="en-US"/>
        </w:rPr>
        <w:t xml:space="preserve">accordingly, </w:t>
      </w:r>
      <w:r>
        <w:rPr>
          <w:rFonts w:eastAsia="Times New Roman"/>
          <w:sz w:val="21"/>
          <w:szCs w:val="21"/>
          <w:lang w:eastAsia="en-US"/>
        </w:rPr>
        <w:t xml:space="preserve">as set out in </w:t>
      </w:r>
      <w:r w:rsidR="00515DCC">
        <w:rPr>
          <w:rFonts w:eastAsia="Times New Roman"/>
          <w:sz w:val="21"/>
          <w:szCs w:val="21"/>
          <w:lang w:eastAsia="en-US"/>
        </w:rPr>
        <w:t xml:space="preserve">the </w:t>
      </w:r>
      <w:r w:rsidR="00CC086A">
        <w:t>Annex</w:t>
      </w:r>
      <w:r>
        <w:t xml:space="preserve"> to the present document</w:t>
      </w:r>
      <w:r w:rsidR="00CC086A">
        <w:t>.</w:t>
      </w:r>
      <w:r w:rsidR="009C17C0">
        <w:t xml:space="preserve">  It is </w:t>
      </w:r>
      <w:r>
        <w:t xml:space="preserve">further </w:t>
      </w:r>
      <w:r w:rsidR="009C17C0">
        <w:t xml:space="preserve">proposed that these amendments </w:t>
      </w:r>
      <w:r w:rsidR="00810E8A">
        <w:t xml:space="preserve">to the PCT Schedule of Fees </w:t>
      </w:r>
      <w:r w:rsidR="009C17C0">
        <w:t>should enter into force on July 1,</w:t>
      </w:r>
      <w:r w:rsidR="00CB2F5F">
        <w:t xml:space="preserve"> 2015</w:t>
      </w:r>
      <w:r>
        <w:t>,</w:t>
      </w:r>
      <w:r w:rsidR="00CB2F5F">
        <w:t xml:space="preserve"> and </w:t>
      </w:r>
      <w:r w:rsidR="00611C10">
        <w:t>sh</w:t>
      </w:r>
      <w:r w:rsidR="00CB2F5F">
        <w:t>ould</w:t>
      </w:r>
      <w:r w:rsidR="009C17C0">
        <w:t xml:space="preserve"> apply to all international applications filed on or after th</w:t>
      </w:r>
      <w:r>
        <w:t>at</w:t>
      </w:r>
      <w:r w:rsidR="009C17C0">
        <w:t xml:space="preserve"> date.</w:t>
      </w:r>
    </w:p>
    <w:p w:rsidR="00CC086A" w:rsidRDefault="00CC086A" w:rsidP="00CC086A">
      <w:pPr>
        <w:pStyle w:val="ONUME"/>
        <w:keepLines/>
      </w:pPr>
      <w:r>
        <w:t xml:space="preserve">The International Bureau will consult by way of PCT Circulars on consequential modifications required to the PCT Administrative Instructions and </w:t>
      </w:r>
      <w:r w:rsidR="00611C10">
        <w:t xml:space="preserve">the </w:t>
      </w:r>
      <w:r>
        <w:t>Receiving Office Guidelines</w:t>
      </w:r>
      <w:r w:rsidR="00611C10">
        <w:t>,</w:t>
      </w:r>
      <w:r>
        <w:t xml:space="preserve"> </w:t>
      </w:r>
      <w:r w:rsidR="00CB2F5F">
        <w:t>following a</w:t>
      </w:r>
      <w:r w:rsidR="00232ED5">
        <w:t>doption</w:t>
      </w:r>
      <w:r w:rsidR="00CB2F5F">
        <w:t xml:space="preserve"> of these proposed amendments</w:t>
      </w:r>
      <w:r>
        <w:t>.</w:t>
      </w:r>
      <w:r w:rsidR="00003728">
        <w:t xml:space="preserve">  </w:t>
      </w:r>
      <w:r w:rsidR="00003728" w:rsidRPr="00003728">
        <w:rPr>
          <w:rFonts w:eastAsia="Times New Roman"/>
          <w:sz w:val="21"/>
          <w:szCs w:val="21"/>
          <w:lang w:eastAsia="en-US"/>
        </w:rPr>
        <w:t>While the PCT-EASY functionality will thus formally be removed from the PCT-SAFE e-filing software as of July 1, 2015, it is to be noted that Offices may, of course, choose to cease to accept</w:t>
      </w:r>
      <w:r w:rsidR="00003728" w:rsidRPr="00434C65">
        <w:rPr>
          <w:rFonts w:eastAsia="Times New Roman"/>
          <w:sz w:val="21"/>
          <w:szCs w:val="21"/>
          <w:lang w:eastAsia="en-US"/>
        </w:rPr>
        <w:t xml:space="preserve"> filings for international applications using PCT-EASY at any time prior to the official decommissioning date.</w:t>
      </w:r>
      <w:r w:rsidR="00763997">
        <w:rPr>
          <w:rFonts w:eastAsia="Times New Roman"/>
          <w:sz w:val="21"/>
          <w:szCs w:val="21"/>
          <w:lang w:eastAsia="en-US"/>
        </w:rPr>
        <w:t xml:space="preserve">  If PCT</w:t>
      </w:r>
      <w:r w:rsidR="00763997">
        <w:rPr>
          <w:rFonts w:eastAsia="Times New Roman"/>
          <w:sz w:val="21"/>
          <w:szCs w:val="21"/>
          <w:lang w:eastAsia="en-US"/>
        </w:rPr>
        <w:noBreakHyphen/>
        <w:t>EASY diskettes are received after that date (created by versions of PCT</w:t>
      </w:r>
      <w:r w:rsidR="00763997">
        <w:rPr>
          <w:rFonts w:eastAsia="Times New Roman"/>
          <w:sz w:val="21"/>
          <w:szCs w:val="21"/>
          <w:lang w:eastAsia="en-US"/>
        </w:rPr>
        <w:noBreakHyphen/>
        <w:t xml:space="preserve">SAFE prior to the change), the international application will still be accepted and the diskette may be </w:t>
      </w:r>
      <w:r w:rsidR="004A6103">
        <w:rPr>
          <w:rFonts w:eastAsia="Times New Roman"/>
          <w:sz w:val="21"/>
          <w:szCs w:val="21"/>
          <w:lang w:eastAsia="en-US"/>
        </w:rPr>
        <w:t xml:space="preserve">forwarded to the International </w:t>
      </w:r>
      <w:r w:rsidR="00763997">
        <w:rPr>
          <w:rFonts w:eastAsia="Times New Roman"/>
          <w:sz w:val="21"/>
          <w:szCs w:val="21"/>
          <w:lang w:eastAsia="en-US"/>
        </w:rPr>
        <w:t>Bureau, but the international application will be treated as a paper filing and no filing fee discount will be given.</w:t>
      </w:r>
    </w:p>
    <w:p w:rsidR="004E2A52" w:rsidRDefault="004E2A52" w:rsidP="00763997">
      <w:pPr>
        <w:pStyle w:val="Heading1"/>
      </w:pPr>
      <w:r>
        <w:lastRenderedPageBreak/>
        <w:t>Restoration of Right of Priority by Designated Offices after Early National Phase Entry</w:t>
      </w:r>
    </w:p>
    <w:p w:rsidR="004E2A52" w:rsidRDefault="004E2A52" w:rsidP="004E2A52">
      <w:pPr>
        <w:pStyle w:val="Heading2"/>
      </w:pPr>
      <w:r>
        <w:t>Background</w:t>
      </w:r>
    </w:p>
    <w:p w:rsidR="00600519" w:rsidRDefault="0091080F" w:rsidP="00D006CF">
      <w:pPr>
        <w:pStyle w:val="ONUME"/>
        <w:keepLines/>
      </w:pPr>
      <w:r>
        <w:t>Since April 1, 2007, it has been possible for applicants to request restoration of the right of priority where an international application has an international filing date which is later than the date on which the priority period expired but within the period of two months from that</w:t>
      </w:r>
      <w:r w:rsidR="00CB2F5F">
        <w:t xml:space="preserve"> date.  This is</w:t>
      </w:r>
      <w:r>
        <w:t xml:space="preserve"> consistent with the provisions for restoration </w:t>
      </w:r>
      <w:r w:rsidR="004C3306">
        <w:t xml:space="preserve">of </w:t>
      </w:r>
      <w:r w:rsidR="00611C10">
        <w:t xml:space="preserve">the </w:t>
      </w:r>
      <w:r w:rsidR="004C3306">
        <w:t xml:space="preserve">priority </w:t>
      </w:r>
      <w:r w:rsidR="00611C10">
        <w:t xml:space="preserve">of </w:t>
      </w:r>
      <w:r w:rsidR="004C3306">
        <w:t xml:space="preserve">right </w:t>
      </w:r>
      <w:r>
        <w:t xml:space="preserve">under the Patent Law Treaty.  </w:t>
      </w:r>
      <w:r w:rsidR="005B514E">
        <w:t xml:space="preserve">A request </w:t>
      </w:r>
      <w:r w:rsidR="00611C10">
        <w:t xml:space="preserve">for the restoration of the right of priority </w:t>
      </w:r>
      <w:r w:rsidR="005B514E">
        <w:t>can be made to the receiving Office (Rule 26</w:t>
      </w:r>
      <w:r w:rsidR="005B514E" w:rsidRPr="005B514E">
        <w:rPr>
          <w:i/>
        </w:rPr>
        <w:t>bis</w:t>
      </w:r>
      <w:r w:rsidR="005B514E">
        <w:t>.3) or a designated/elected Office (Rule</w:t>
      </w:r>
      <w:r w:rsidR="004C3306">
        <w:t>s</w:t>
      </w:r>
      <w:r w:rsidR="005B514E">
        <w:t xml:space="preserve"> 49</w:t>
      </w:r>
      <w:r w:rsidR="005B514E" w:rsidRPr="005B514E">
        <w:rPr>
          <w:i/>
        </w:rPr>
        <w:t>ter</w:t>
      </w:r>
      <w:r w:rsidR="005B514E">
        <w:t>.2</w:t>
      </w:r>
      <w:r w:rsidR="004C3306">
        <w:t xml:space="preserve"> and 76.5</w:t>
      </w:r>
      <w:r w:rsidR="005B514E">
        <w:t>).</w:t>
      </w:r>
    </w:p>
    <w:p w:rsidR="009F75A8" w:rsidRDefault="005B514E" w:rsidP="00600519">
      <w:pPr>
        <w:pStyle w:val="ONUME"/>
      </w:pPr>
      <w:r>
        <w:t xml:space="preserve">The time limit </w:t>
      </w:r>
      <w:r w:rsidR="00CB2F5F">
        <w:t>specified under</w:t>
      </w:r>
      <w:r w:rsidR="008A1D3B">
        <w:t xml:space="preserve"> Rule </w:t>
      </w:r>
      <w:proofErr w:type="gramStart"/>
      <w:r w:rsidR="008A1D3B">
        <w:t>49</w:t>
      </w:r>
      <w:r w:rsidR="008A1D3B" w:rsidRPr="005B514E">
        <w:rPr>
          <w:i/>
        </w:rPr>
        <w:t>ter</w:t>
      </w:r>
      <w:r w:rsidR="007C0D6F">
        <w:t>.2</w:t>
      </w:r>
      <w:r w:rsidR="008A1D3B">
        <w:t>(</w:t>
      </w:r>
      <w:proofErr w:type="gramEnd"/>
      <w:r w:rsidR="008A1D3B">
        <w:t>b)(</w:t>
      </w:r>
      <w:proofErr w:type="spellStart"/>
      <w:r w:rsidR="008A1D3B">
        <w:t>i</w:t>
      </w:r>
      <w:proofErr w:type="spellEnd"/>
      <w:r w:rsidR="008A1D3B">
        <w:t xml:space="preserve">) </w:t>
      </w:r>
      <w:r>
        <w:t xml:space="preserve">for filing a request for </w:t>
      </w:r>
      <w:r w:rsidR="00611C10">
        <w:t xml:space="preserve">the </w:t>
      </w:r>
      <w:r>
        <w:t xml:space="preserve">restoration of </w:t>
      </w:r>
      <w:r w:rsidR="00611C10">
        <w:t xml:space="preserve">the </w:t>
      </w:r>
      <w:r>
        <w:t xml:space="preserve">right of priority at a designated Office was set at one month from the applicable time limit </w:t>
      </w:r>
      <w:r w:rsidR="00611C10">
        <w:t xml:space="preserve">for national phase entry </w:t>
      </w:r>
      <w:r>
        <w:t>under Article 22</w:t>
      </w:r>
      <w:r w:rsidR="00611C10">
        <w:t>,</w:t>
      </w:r>
      <w:r w:rsidR="00CB2F5F">
        <w:t xml:space="preserve"> since </w:t>
      </w:r>
      <w:r w:rsidR="007C0D6F">
        <w:t xml:space="preserve">it </w:t>
      </w:r>
      <w:r w:rsidR="009F75A8">
        <w:t xml:space="preserve">was considered </w:t>
      </w:r>
      <w:r w:rsidR="007C0D6F">
        <w:t xml:space="preserve">reasonable to give the applicant at least one month from the applicable time limit </w:t>
      </w:r>
      <w:r w:rsidR="00810E8A">
        <w:t xml:space="preserve">for national phase entry </w:t>
      </w:r>
      <w:r w:rsidR="007C0D6F">
        <w:t>to request restoration before the designated Office</w:t>
      </w:r>
      <w:r w:rsidR="009F75A8">
        <w:t xml:space="preserve"> (see page 15 of Annex I to document PCT/R/WG/5/7).  </w:t>
      </w:r>
    </w:p>
    <w:p w:rsidR="009F75A8" w:rsidRDefault="00611C10" w:rsidP="00600519">
      <w:pPr>
        <w:pStyle w:val="ONUME"/>
      </w:pPr>
      <w:r>
        <w:t>However, i</w:t>
      </w:r>
      <w:r w:rsidR="009F75A8">
        <w:t xml:space="preserve">n the case of early entry into the national phase, the time limit </w:t>
      </w:r>
      <w:r>
        <w:t xml:space="preserve">set </w:t>
      </w:r>
      <w:r w:rsidR="009F75A8">
        <w:t>in Rule</w:t>
      </w:r>
      <w:r>
        <w:t> </w:t>
      </w:r>
      <w:r w:rsidR="009F75A8">
        <w:t>49</w:t>
      </w:r>
      <w:r w:rsidR="009F75A8" w:rsidRPr="005B514E">
        <w:rPr>
          <w:i/>
        </w:rPr>
        <w:t>ter</w:t>
      </w:r>
      <w:r w:rsidR="009F75A8">
        <w:t>.2(b)(</w:t>
      </w:r>
      <w:proofErr w:type="spellStart"/>
      <w:r w:rsidR="009F75A8">
        <w:t>i</w:t>
      </w:r>
      <w:proofErr w:type="spellEnd"/>
      <w:r w:rsidR="009F75A8">
        <w:t xml:space="preserve">) to file a request for </w:t>
      </w:r>
      <w:r>
        <w:t xml:space="preserve">the </w:t>
      </w:r>
      <w:r w:rsidR="009F75A8">
        <w:t xml:space="preserve">restoration of </w:t>
      </w:r>
      <w:r>
        <w:t xml:space="preserve">the </w:t>
      </w:r>
      <w:r w:rsidR="009F75A8">
        <w:t xml:space="preserve">right of priority at a designated Office could be several months after national </w:t>
      </w:r>
      <w:r w:rsidR="004E50AA">
        <w:t xml:space="preserve">phase </w:t>
      </w:r>
      <w:r w:rsidR="009F75A8">
        <w:t>processing has started.</w:t>
      </w:r>
      <w:r w:rsidR="004E50AA">
        <w:t xml:space="preserve">  </w:t>
      </w:r>
      <w:r>
        <w:t xml:space="preserve">Example:  the applicable time limit under Article 22 for national phase entry before Office X is 30 </w:t>
      </w:r>
      <w:r w:rsidR="00716E2F">
        <w:t xml:space="preserve">months </w:t>
      </w:r>
      <w:r>
        <w:t xml:space="preserve">from the priority date;  an applicant enters the national phase before that Office early, say, at 21 months, and requests </w:t>
      </w:r>
      <w:r w:rsidR="00810E8A">
        <w:t xml:space="preserve">the start of </w:t>
      </w:r>
      <w:r>
        <w:t>national phase processing before that Office;  under present Rule 49</w:t>
      </w:r>
      <w:r w:rsidRPr="005B514E">
        <w:rPr>
          <w:i/>
        </w:rPr>
        <w:t>ter</w:t>
      </w:r>
      <w:r>
        <w:t>.2(b)(</w:t>
      </w:r>
      <w:proofErr w:type="spellStart"/>
      <w:r>
        <w:t>i</w:t>
      </w:r>
      <w:proofErr w:type="spellEnd"/>
      <w:r>
        <w:t xml:space="preserve">), </w:t>
      </w:r>
      <w:r w:rsidR="00294D2B">
        <w:t>the time limit for requesting the restoration of the right of priority before Office X only expires at 31</w:t>
      </w:r>
      <w:r w:rsidR="00810E8A">
        <w:t> </w:t>
      </w:r>
      <w:r w:rsidR="00294D2B">
        <w:t>months fr</w:t>
      </w:r>
      <w:r w:rsidR="004A6103">
        <w:t>om the priority date, that is, eight</w:t>
      </w:r>
      <w:r w:rsidR="00294D2B">
        <w:t xml:space="preserve"> months after national phase processing by that Office has started. </w:t>
      </w:r>
      <w:r>
        <w:t xml:space="preserve"> </w:t>
      </w:r>
      <w:r w:rsidR="004E50AA">
        <w:t>It is ther</w:t>
      </w:r>
      <w:r w:rsidR="00CB2F5F">
        <w:t>efore po</w:t>
      </w:r>
      <w:bookmarkStart w:id="5" w:name="_GoBack"/>
      <w:bookmarkEnd w:id="5"/>
      <w:r w:rsidR="00CB2F5F">
        <w:t>ssible for a designated</w:t>
      </w:r>
      <w:r w:rsidR="004C3306">
        <w:t xml:space="preserve"> or </w:t>
      </w:r>
      <w:r w:rsidR="00A26ABF">
        <w:t xml:space="preserve">elected </w:t>
      </w:r>
      <w:r w:rsidR="004E50AA">
        <w:t xml:space="preserve">Office to receive a request for restoration at a </w:t>
      </w:r>
      <w:r w:rsidR="00294D2B">
        <w:t xml:space="preserve">very </w:t>
      </w:r>
      <w:r w:rsidR="004E50AA">
        <w:t>late stage in the national phase processing</w:t>
      </w:r>
      <w:r w:rsidR="00320C01">
        <w:t>.  Yet</w:t>
      </w:r>
      <w:r w:rsidR="00294D2B">
        <w:t>,</w:t>
      </w:r>
      <w:r w:rsidR="004E50AA">
        <w:t xml:space="preserve"> there appears to be no reason</w:t>
      </w:r>
      <w:r w:rsidR="00CB2F5F">
        <w:t xml:space="preserve">, where </w:t>
      </w:r>
      <w:r w:rsidR="004E50AA">
        <w:t xml:space="preserve">an express request for early national phase entry </w:t>
      </w:r>
      <w:r w:rsidR="00CB2F5F">
        <w:t xml:space="preserve">is made, for an applicant not </w:t>
      </w:r>
      <w:r w:rsidR="00810E8A">
        <w:t xml:space="preserve">to </w:t>
      </w:r>
      <w:r w:rsidR="00CB2F5F">
        <w:t xml:space="preserve">be </w:t>
      </w:r>
      <w:r w:rsidR="004E50AA">
        <w:t>able to file the request for restoration at the beginning of national phase processing.</w:t>
      </w:r>
    </w:p>
    <w:p w:rsidR="004E50AA" w:rsidRDefault="004E50AA" w:rsidP="004E50AA">
      <w:pPr>
        <w:pStyle w:val="Heading2"/>
      </w:pPr>
      <w:r>
        <w:t>Proposal</w:t>
      </w:r>
    </w:p>
    <w:p w:rsidR="00325469" w:rsidRDefault="00320C01" w:rsidP="00325469">
      <w:pPr>
        <w:pStyle w:val="ONUME"/>
      </w:pPr>
      <w:r>
        <w:t xml:space="preserve">It is </w:t>
      </w:r>
      <w:r w:rsidR="00294D2B">
        <w:t xml:space="preserve">therefore </w:t>
      </w:r>
      <w:r>
        <w:t xml:space="preserve">proposed to amend Rule </w:t>
      </w:r>
      <w:proofErr w:type="gramStart"/>
      <w:r>
        <w:t>49</w:t>
      </w:r>
      <w:r w:rsidRPr="005B514E">
        <w:rPr>
          <w:i/>
        </w:rPr>
        <w:t>ter</w:t>
      </w:r>
      <w:r>
        <w:t>.2(</w:t>
      </w:r>
      <w:proofErr w:type="gramEnd"/>
      <w:r>
        <w:t>b)(</w:t>
      </w:r>
      <w:proofErr w:type="spellStart"/>
      <w:r>
        <w:t>i</w:t>
      </w:r>
      <w:proofErr w:type="spellEnd"/>
      <w:r>
        <w:t>)</w:t>
      </w:r>
      <w:r w:rsidR="00432DCC">
        <w:t xml:space="preserve"> </w:t>
      </w:r>
      <w:r w:rsidR="006C553A">
        <w:t xml:space="preserve">as set out in the Annex to the present document </w:t>
      </w:r>
      <w:r w:rsidR="00432DCC">
        <w:t>to require</w:t>
      </w:r>
      <w:r w:rsidR="007D4567">
        <w:t xml:space="preserve"> that</w:t>
      </w:r>
      <w:r w:rsidR="004C3306">
        <w:t>,</w:t>
      </w:r>
      <w:r w:rsidR="007D4567">
        <w:t xml:space="preserve"> where an express request for early national phase entry at a designated Office is made under Article 23(2)</w:t>
      </w:r>
      <w:r w:rsidR="004C3306">
        <w:t>,</w:t>
      </w:r>
      <w:r w:rsidR="007D4567">
        <w:t xml:space="preserve"> </w:t>
      </w:r>
      <w:r w:rsidR="00294D2B">
        <w:t xml:space="preserve">any request for the restoration of the right of priority has </w:t>
      </w:r>
      <w:r w:rsidR="007D4567">
        <w:t xml:space="preserve">to be filed </w:t>
      </w:r>
      <w:r w:rsidR="00294D2B">
        <w:t xml:space="preserve">within one month from the date on which </w:t>
      </w:r>
      <w:r w:rsidR="007D4567">
        <w:t>the express request</w:t>
      </w:r>
      <w:r w:rsidR="00294D2B">
        <w:t xml:space="preserve"> is </w:t>
      </w:r>
      <w:r w:rsidR="00810E8A">
        <w:t>received by the designated Office</w:t>
      </w:r>
      <w:r w:rsidR="001154FB">
        <w:t xml:space="preserve"> (though designated Offices would remain free to offer longer periods if desired)</w:t>
      </w:r>
      <w:r w:rsidR="007D4567">
        <w:t xml:space="preserve">. </w:t>
      </w:r>
      <w:r w:rsidR="00325469">
        <w:t xml:space="preserve"> It is also proposed to amend Rule 76.5 </w:t>
      </w:r>
      <w:r w:rsidR="006C553A">
        <w:t xml:space="preserve">as set out in the Annex </w:t>
      </w:r>
      <w:r w:rsidR="00325469">
        <w:t xml:space="preserve">so </w:t>
      </w:r>
      <w:r w:rsidR="00810E8A">
        <w:t xml:space="preserve">that </w:t>
      </w:r>
      <w:r w:rsidR="00325469">
        <w:t xml:space="preserve">this requirement </w:t>
      </w:r>
      <w:r w:rsidR="00810E8A">
        <w:t xml:space="preserve">would also </w:t>
      </w:r>
      <w:r w:rsidR="00325469">
        <w:t>appl</w:t>
      </w:r>
      <w:r w:rsidR="00810E8A">
        <w:t>y</w:t>
      </w:r>
      <w:r w:rsidR="00325469">
        <w:t xml:space="preserve"> to early national phase entry before an elected Office after an express request is made under Article 40(2).  It is </w:t>
      </w:r>
      <w:r w:rsidR="00810E8A">
        <w:t xml:space="preserve">further </w:t>
      </w:r>
      <w:r w:rsidR="00325469">
        <w:t xml:space="preserve">proposed that these amendments should apply to any express request under Article 23(2) or Article 40(2) </w:t>
      </w:r>
      <w:r w:rsidR="00810E8A">
        <w:t xml:space="preserve">received </w:t>
      </w:r>
      <w:r w:rsidR="00294D2B">
        <w:t xml:space="preserve">on or </w:t>
      </w:r>
      <w:r w:rsidR="00325469">
        <w:t>after July 1, 2015.</w:t>
      </w:r>
    </w:p>
    <w:p w:rsidR="00CC086A" w:rsidRDefault="00913C10" w:rsidP="00763997">
      <w:pPr>
        <w:pStyle w:val="Heading1"/>
      </w:pPr>
      <w:r>
        <w:t>Consequential Amendment to Rule 90.3</w:t>
      </w:r>
    </w:p>
    <w:p w:rsidR="00913C10" w:rsidRDefault="00913C10" w:rsidP="00913C10">
      <w:pPr>
        <w:pStyle w:val="Heading2"/>
      </w:pPr>
      <w:r>
        <w:t>Background</w:t>
      </w:r>
    </w:p>
    <w:p w:rsidR="00647DD8" w:rsidRDefault="00913C10" w:rsidP="00CC086A">
      <w:pPr>
        <w:pStyle w:val="ONUME"/>
        <w:keepLines/>
      </w:pPr>
      <w:r>
        <w:t>The PCT Assembly, at its forty</w:t>
      </w:r>
      <w:r>
        <w:noBreakHyphen/>
        <w:t>third session in October 2012, adopted a set of amendments to the Regulations to simplify procedures for applicants</w:t>
      </w:r>
      <w:r w:rsidR="00294D2B">
        <w:t>, consequential</w:t>
      </w:r>
      <w:r w:rsidR="0064421D">
        <w:t xml:space="preserve"> </w:t>
      </w:r>
      <w:r w:rsidR="00294D2B">
        <w:t xml:space="preserve">on </w:t>
      </w:r>
      <w:r>
        <w:t xml:space="preserve">the enactment of the America Invents Act (see document PCT/A/43/4 and paragraphs 28 to 33 of document PCT/A/43/7).  </w:t>
      </w:r>
    </w:p>
    <w:p w:rsidR="002004A8" w:rsidRDefault="00913C10" w:rsidP="00D006CF">
      <w:pPr>
        <w:pStyle w:val="ONUME"/>
        <w:keepLines/>
      </w:pPr>
      <w:r>
        <w:lastRenderedPageBreak/>
        <w:t>One of these amendments re</w:t>
      </w:r>
      <w:r w:rsidR="00647DD8">
        <w:t xml:space="preserve">lated to removing the special procedure that applied where it was not possible to obtain the signature of an inventor who had been named as an applicant only for the purpose of the designation of the United States of America.  </w:t>
      </w:r>
      <w:r w:rsidR="00810E8A" w:rsidRPr="00565045">
        <w:rPr>
          <w:i/>
        </w:rPr>
        <w:t>Inter alia</w:t>
      </w:r>
      <w:r w:rsidR="00810E8A">
        <w:t xml:space="preserve">, with regard to </w:t>
      </w:r>
      <w:r w:rsidR="00647DD8">
        <w:t>withdrawals</w:t>
      </w:r>
      <w:r w:rsidR="0064421D">
        <w:t xml:space="preserve"> under Rule 90</w:t>
      </w:r>
      <w:r w:rsidR="0064421D" w:rsidRPr="0064421D">
        <w:rPr>
          <w:i/>
        </w:rPr>
        <w:t>bis</w:t>
      </w:r>
      <w:r w:rsidR="00647DD8">
        <w:t xml:space="preserve">, </w:t>
      </w:r>
      <w:r w:rsidR="0064421D">
        <w:t xml:space="preserve">paragraph (b) was deleted from </w:t>
      </w:r>
      <w:r w:rsidR="00647DD8">
        <w:t>Rule 90</w:t>
      </w:r>
      <w:r w:rsidR="00647DD8" w:rsidRPr="00647DD8">
        <w:rPr>
          <w:i/>
        </w:rPr>
        <w:t>bis</w:t>
      </w:r>
      <w:r w:rsidR="00647DD8">
        <w:t>.5</w:t>
      </w:r>
      <w:r w:rsidR="0064421D">
        <w:t xml:space="preserve"> and the paragraph numbering was removed from paragraph (a).</w:t>
      </w:r>
      <w:r w:rsidR="00565045">
        <w:t xml:space="preserve">  </w:t>
      </w:r>
      <w:r w:rsidR="00810E8A">
        <w:t xml:space="preserve">However, at the time, </w:t>
      </w:r>
      <w:r w:rsidR="00B66300">
        <w:t xml:space="preserve">the need for a </w:t>
      </w:r>
      <w:r w:rsidR="00810E8A">
        <w:t>consequential amendment to Rule 90.3 (</w:t>
      </w:r>
      <w:r w:rsidR="00B66300">
        <w:t>deleting the reference to paragraph (a) of Rule 90</w:t>
      </w:r>
      <w:r w:rsidR="00B66300" w:rsidRPr="0064421D">
        <w:rPr>
          <w:i/>
        </w:rPr>
        <w:t>bis</w:t>
      </w:r>
      <w:r w:rsidR="00B66300">
        <w:t>.5) was overlooked.</w:t>
      </w:r>
    </w:p>
    <w:p w:rsidR="002004A8" w:rsidRDefault="002004A8" w:rsidP="00B66300">
      <w:pPr>
        <w:pStyle w:val="Heading2"/>
      </w:pPr>
      <w:r>
        <w:t>Proposal</w:t>
      </w:r>
    </w:p>
    <w:p w:rsidR="00CC086A" w:rsidRDefault="002004A8" w:rsidP="0064421D">
      <w:pPr>
        <w:pStyle w:val="ONUME"/>
      </w:pPr>
      <w:r>
        <w:t xml:space="preserve">It is </w:t>
      </w:r>
      <w:r w:rsidR="00294D2B">
        <w:t xml:space="preserve">thus </w:t>
      </w:r>
      <w:r>
        <w:t xml:space="preserve">proposed to amend Rule 90.3 </w:t>
      </w:r>
      <w:r w:rsidR="00B66300">
        <w:t xml:space="preserve">by deleting the reference </w:t>
      </w:r>
      <w:r>
        <w:t xml:space="preserve">to </w:t>
      </w:r>
      <w:r w:rsidR="00B66300">
        <w:t xml:space="preserve">paragraph (a) of </w:t>
      </w:r>
      <w:r>
        <w:t>Rule 90</w:t>
      </w:r>
      <w:r w:rsidRPr="002004A8">
        <w:rPr>
          <w:i/>
        </w:rPr>
        <w:t>bis</w:t>
      </w:r>
      <w:r>
        <w:t>.</w:t>
      </w:r>
      <w:r w:rsidR="007A0676">
        <w:t xml:space="preserve">5, as </w:t>
      </w:r>
      <w:r w:rsidR="00B66300">
        <w:t xml:space="preserve">set out </w:t>
      </w:r>
      <w:r w:rsidR="007A0676">
        <w:t xml:space="preserve">in </w:t>
      </w:r>
      <w:r w:rsidR="006C553A">
        <w:t xml:space="preserve">the </w:t>
      </w:r>
      <w:r>
        <w:t>Annex</w:t>
      </w:r>
      <w:r w:rsidR="00B66300">
        <w:t xml:space="preserve"> to the present document</w:t>
      </w:r>
      <w:r w:rsidR="0037387F">
        <w:t>, to</w:t>
      </w:r>
      <w:r w:rsidR="007A0676">
        <w:t xml:space="preserve"> </w:t>
      </w:r>
      <w:r>
        <w:t>enter into force on July 1,</w:t>
      </w:r>
      <w:r w:rsidR="006C553A">
        <w:t> </w:t>
      </w:r>
      <w:r>
        <w:t>2015.</w:t>
      </w:r>
    </w:p>
    <w:p w:rsidR="00C616F3" w:rsidRDefault="00C616F3" w:rsidP="00C616F3">
      <w:pPr>
        <w:pStyle w:val="ONUME"/>
        <w:ind w:left="5533"/>
      </w:pPr>
      <w:r w:rsidRPr="00C616F3">
        <w:rPr>
          <w:i/>
        </w:rPr>
        <w:t xml:space="preserve">The Working Group is invited to consider the proposed amendments to </w:t>
      </w:r>
      <w:r w:rsidR="00CC086A">
        <w:rPr>
          <w:i/>
        </w:rPr>
        <w:t>the Regulations contained in</w:t>
      </w:r>
      <w:r w:rsidRPr="00C616F3">
        <w:rPr>
          <w:i/>
        </w:rPr>
        <w:t xml:space="preserve"> </w:t>
      </w:r>
      <w:r w:rsidR="00D006CF">
        <w:rPr>
          <w:i/>
        </w:rPr>
        <w:t xml:space="preserve">the </w:t>
      </w:r>
      <w:r w:rsidRPr="00C616F3">
        <w:rPr>
          <w:i/>
        </w:rPr>
        <w:t>Annex</w:t>
      </w:r>
      <w:r w:rsidR="00CC086A">
        <w:rPr>
          <w:i/>
        </w:rPr>
        <w:t xml:space="preserve"> </w:t>
      </w:r>
      <w:r w:rsidRPr="00C616F3">
        <w:rPr>
          <w:i/>
        </w:rPr>
        <w:t>to this document</w:t>
      </w:r>
      <w:r>
        <w:t>.</w:t>
      </w:r>
    </w:p>
    <w:p w:rsidR="00C616F3" w:rsidRDefault="00C616F3" w:rsidP="00C616F3">
      <w:pPr>
        <w:pStyle w:val="ONUME"/>
        <w:numPr>
          <w:ilvl w:val="0"/>
          <w:numId w:val="0"/>
        </w:numPr>
        <w:ind w:left="5533"/>
      </w:pPr>
    </w:p>
    <w:p w:rsidR="00C616F3" w:rsidRDefault="00C616F3" w:rsidP="00C616F3">
      <w:pPr>
        <w:pStyle w:val="Endofdocument-Annex"/>
        <w:sectPr w:rsidR="00C616F3" w:rsidSect="00833D30">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4C20DB" w:rsidRDefault="004C20DB" w:rsidP="002607E3">
      <w:pPr>
        <w:jc w:val="center"/>
      </w:pPr>
    </w:p>
    <w:p w:rsidR="002607E3" w:rsidRDefault="002607E3" w:rsidP="002607E3">
      <w:pPr>
        <w:jc w:val="center"/>
      </w:pPr>
      <w:r>
        <w:t>PROPOSED AMENDMENTS TO THE PCT REGULATIONS</w:t>
      </w:r>
      <w:r>
        <w:rPr>
          <w:rStyle w:val="FootnoteReference"/>
        </w:rPr>
        <w:footnoteReference w:id="2"/>
      </w:r>
    </w:p>
    <w:p w:rsidR="002607E3" w:rsidRDefault="002607E3" w:rsidP="002607E3">
      <w:pPr>
        <w:jc w:val="center"/>
      </w:pPr>
    </w:p>
    <w:p w:rsidR="002607E3" w:rsidRDefault="002607E3" w:rsidP="002607E3">
      <w:pPr>
        <w:jc w:val="center"/>
      </w:pPr>
    </w:p>
    <w:p w:rsidR="002607E3" w:rsidRDefault="002607E3" w:rsidP="002607E3">
      <w:pPr>
        <w:jc w:val="center"/>
      </w:pPr>
      <w:r>
        <w:t>TABLE OF CONTENTS</w:t>
      </w:r>
    </w:p>
    <w:p w:rsidR="00C616F3" w:rsidRDefault="00C616F3" w:rsidP="002607E3">
      <w:pPr>
        <w:pStyle w:val="Endofdocument-Annex"/>
        <w:ind w:left="0"/>
      </w:pPr>
    </w:p>
    <w:p w:rsidR="002A1BB2" w:rsidRDefault="002A1BB2" w:rsidP="002A1BB2"/>
    <w:p w:rsidR="00D006CF" w:rsidRDefault="002A1BB2">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 Title,1,Leg SubRule #,2" </w:instrText>
      </w:r>
      <w:r>
        <w:fldChar w:fldCharType="separate"/>
      </w:r>
      <w:hyperlink w:anchor="_Toc386449385" w:history="1">
        <w:r w:rsidR="00D006CF" w:rsidRPr="00516224">
          <w:rPr>
            <w:rStyle w:val="Hyperlink"/>
            <w:noProof/>
          </w:rPr>
          <w:t>Rule 49</w:t>
        </w:r>
        <w:r w:rsidR="00D006CF" w:rsidRPr="00516224">
          <w:rPr>
            <w:rStyle w:val="Hyperlink"/>
            <w:i/>
            <w:noProof/>
          </w:rPr>
          <w:t>ter</w:t>
        </w:r>
        <w:r w:rsidR="00D006CF" w:rsidRPr="00516224">
          <w:rPr>
            <w:rStyle w:val="Hyperlink"/>
            <w:noProof/>
          </w:rPr>
          <w:t xml:space="preserve">   Effect of Restoration of Right of Priority by Receiving Office;   Restoration of Right of Priority by Designated Office</w:t>
        </w:r>
        <w:r w:rsidR="00D006CF">
          <w:rPr>
            <w:noProof/>
            <w:webHidden/>
          </w:rPr>
          <w:tab/>
        </w:r>
        <w:r w:rsidR="00D006CF">
          <w:rPr>
            <w:noProof/>
            <w:webHidden/>
          </w:rPr>
          <w:fldChar w:fldCharType="begin"/>
        </w:r>
        <w:r w:rsidR="00D006CF">
          <w:rPr>
            <w:noProof/>
            <w:webHidden/>
          </w:rPr>
          <w:instrText xml:space="preserve"> PAGEREF _Toc386449385 \h </w:instrText>
        </w:r>
        <w:r w:rsidR="00D006CF">
          <w:rPr>
            <w:noProof/>
            <w:webHidden/>
          </w:rPr>
        </w:r>
        <w:r w:rsidR="00D006CF">
          <w:rPr>
            <w:noProof/>
            <w:webHidden/>
          </w:rPr>
          <w:fldChar w:fldCharType="separate"/>
        </w:r>
        <w:r w:rsidR="004A6103">
          <w:rPr>
            <w:noProof/>
            <w:webHidden/>
          </w:rPr>
          <w:t>2</w:t>
        </w:r>
        <w:r w:rsidR="00D006CF">
          <w:rPr>
            <w:noProof/>
            <w:webHidden/>
          </w:rPr>
          <w:fldChar w:fldCharType="end"/>
        </w:r>
      </w:hyperlink>
    </w:p>
    <w:p w:rsidR="00D006CF" w:rsidRDefault="004A6103">
      <w:pPr>
        <w:pStyle w:val="TOC2"/>
        <w:tabs>
          <w:tab w:val="right" w:leader="dot" w:pos="9345"/>
        </w:tabs>
        <w:rPr>
          <w:rFonts w:asciiTheme="minorHAnsi" w:eastAsiaTheme="minorEastAsia" w:hAnsiTheme="minorHAnsi" w:cstheme="minorBidi"/>
          <w:noProof/>
          <w:szCs w:val="22"/>
          <w:lang w:eastAsia="en-US"/>
        </w:rPr>
      </w:pPr>
      <w:hyperlink w:anchor="_Toc386449386" w:history="1">
        <w:r w:rsidR="00D006CF" w:rsidRPr="00516224">
          <w:rPr>
            <w:rStyle w:val="Hyperlink"/>
            <w:noProof/>
          </w:rPr>
          <w:t>49</w:t>
        </w:r>
        <w:r w:rsidR="00D006CF" w:rsidRPr="00516224">
          <w:rPr>
            <w:rStyle w:val="Hyperlink"/>
            <w:i/>
            <w:noProof/>
          </w:rPr>
          <w:t>ter</w:t>
        </w:r>
        <w:r w:rsidR="00D006CF" w:rsidRPr="00516224">
          <w:rPr>
            <w:rStyle w:val="Hyperlink"/>
            <w:noProof/>
          </w:rPr>
          <w:t>.1   </w:t>
        </w:r>
        <w:r w:rsidR="00D006CF" w:rsidRPr="00516224">
          <w:rPr>
            <w:rStyle w:val="Hyperlink"/>
            <w:i/>
            <w:noProof/>
          </w:rPr>
          <w:t>[No change]</w:t>
        </w:r>
        <w:r w:rsidR="00D006CF">
          <w:rPr>
            <w:noProof/>
            <w:webHidden/>
          </w:rPr>
          <w:tab/>
        </w:r>
        <w:r w:rsidR="00D006CF">
          <w:rPr>
            <w:noProof/>
            <w:webHidden/>
          </w:rPr>
          <w:fldChar w:fldCharType="begin"/>
        </w:r>
        <w:r w:rsidR="00D006CF">
          <w:rPr>
            <w:noProof/>
            <w:webHidden/>
          </w:rPr>
          <w:instrText xml:space="preserve"> PAGEREF _Toc386449386 \h </w:instrText>
        </w:r>
        <w:r w:rsidR="00D006CF">
          <w:rPr>
            <w:noProof/>
            <w:webHidden/>
          </w:rPr>
        </w:r>
        <w:r w:rsidR="00D006CF">
          <w:rPr>
            <w:noProof/>
            <w:webHidden/>
          </w:rPr>
          <w:fldChar w:fldCharType="separate"/>
        </w:r>
        <w:r>
          <w:rPr>
            <w:noProof/>
            <w:webHidden/>
          </w:rPr>
          <w:t>2</w:t>
        </w:r>
        <w:r w:rsidR="00D006CF">
          <w:rPr>
            <w:noProof/>
            <w:webHidden/>
          </w:rPr>
          <w:fldChar w:fldCharType="end"/>
        </w:r>
      </w:hyperlink>
    </w:p>
    <w:p w:rsidR="00D006CF" w:rsidRDefault="004A6103">
      <w:pPr>
        <w:pStyle w:val="TOC2"/>
        <w:tabs>
          <w:tab w:val="right" w:leader="dot" w:pos="9345"/>
        </w:tabs>
        <w:rPr>
          <w:rFonts w:asciiTheme="minorHAnsi" w:eastAsiaTheme="minorEastAsia" w:hAnsiTheme="minorHAnsi" w:cstheme="minorBidi"/>
          <w:noProof/>
          <w:szCs w:val="22"/>
          <w:lang w:eastAsia="en-US"/>
        </w:rPr>
      </w:pPr>
      <w:hyperlink w:anchor="_Toc386449387" w:history="1">
        <w:r w:rsidR="00D006CF" w:rsidRPr="00516224">
          <w:rPr>
            <w:rStyle w:val="Hyperlink"/>
            <w:noProof/>
          </w:rPr>
          <w:t>49</w:t>
        </w:r>
        <w:r w:rsidR="00D006CF" w:rsidRPr="00516224">
          <w:rPr>
            <w:rStyle w:val="Hyperlink"/>
            <w:i/>
            <w:noProof/>
          </w:rPr>
          <w:t>ter</w:t>
        </w:r>
        <w:r w:rsidR="00D006CF" w:rsidRPr="00516224">
          <w:rPr>
            <w:rStyle w:val="Hyperlink"/>
            <w:noProof/>
          </w:rPr>
          <w:t>.2   </w:t>
        </w:r>
        <w:r w:rsidR="00D006CF" w:rsidRPr="00516224">
          <w:rPr>
            <w:rStyle w:val="Hyperlink"/>
            <w:i/>
            <w:noProof/>
          </w:rPr>
          <w:t>Restoration of Right of Priority by Designated Office</w:t>
        </w:r>
        <w:r w:rsidR="00D006CF">
          <w:rPr>
            <w:noProof/>
            <w:webHidden/>
          </w:rPr>
          <w:tab/>
        </w:r>
        <w:r w:rsidR="00D006CF">
          <w:rPr>
            <w:noProof/>
            <w:webHidden/>
          </w:rPr>
          <w:fldChar w:fldCharType="begin"/>
        </w:r>
        <w:r w:rsidR="00D006CF">
          <w:rPr>
            <w:noProof/>
            <w:webHidden/>
          </w:rPr>
          <w:instrText xml:space="preserve"> PAGEREF _Toc386449387 \h </w:instrText>
        </w:r>
        <w:r w:rsidR="00D006CF">
          <w:rPr>
            <w:noProof/>
            <w:webHidden/>
          </w:rPr>
        </w:r>
        <w:r w:rsidR="00D006CF">
          <w:rPr>
            <w:noProof/>
            <w:webHidden/>
          </w:rPr>
          <w:fldChar w:fldCharType="separate"/>
        </w:r>
        <w:r>
          <w:rPr>
            <w:noProof/>
            <w:webHidden/>
          </w:rPr>
          <w:t>2</w:t>
        </w:r>
        <w:r w:rsidR="00D006CF">
          <w:rPr>
            <w:noProof/>
            <w:webHidden/>
          </w:rPr>
          <w:fldChar w:fldCharType="end"/>
        </w:r>
      </w:hyperlink>
    </w:p>
    <w:p w:rsidR="00D006CF" w:rsidRDefault="004A6103">
      <w:pPr>
        <w:pStyle w:val="TOC1"/>
        <w:tabs>
          <w:tab w:val="right" w:leader="dot" w:pos="9345"/>
        </w:tabs>
        <w:rPr>
          <w:rFonts w:asciiTheme="minorHAnsi" w:eastAsiaTheme="minorEastAsia" w:hAnsiTheme="minorHAnsi" w:cstheme="minorBidi"/>
          <w:noProof/>
          <w:szCs w:val="22"/>
          <w:lang w:eastAsia="en-US"/>
        </w:rPr>
      </w:pPr>
      <w:hyperlink w:anchor="_Toc386449388" w:history="1">
        <w:r w:rsidR="00D006CF" w:rsidRPr="00516224">
          <w:rPr>
            <w:rStyle w:val="Hyperlink"/>
            <w:noProof/>
          </w:rPr>
          <w:t>Rule 76   Translation of Priority Document;   Application of Certain Rules to Procedures before Elected Offices</w:t>
        </w:r>
        <w:r w:rsidR="00D006CF">
          <w:rPr>
            <w:noProof/>
            <w:webHidden/>
          </w:rPr>
          <w:tab/>
        </w:r>
        <w:r w:rsidR="00D006CF">
          <w:rPr>
            <w:noProof/>
            <w:webHidden/>
          </w:rPr>
          <w:fldChar w:fldCharType="begin"/>
        </w:r>
        <w:r w:rsidR="00D006CF">
          <w:rPr>
            <w:noProof/>
            <w:webHidden/>
          </w:rPr>
          <w:instrText xml:space="preserve"> PAGEREF _Toc386449388 \h </w:instrText>
        </w:r>
        <w:r w:rsidR="00D006CF">
          <w:rPr>
            <w:noProof/>
            <w:webHidden/>
          </w:rPr>
        </w:r>
        <w:r w:rsidR="00D006CF">
          <w:rPr>
            <w:noProof/>
            <w:webHidden/>
          </w:rPr>
          <w:fldChar w:fldCharType="separate"/>
        </w:r>
        <w:r>
          <w:rPr>
            <w:noProof/>
            <w:webHidden/>
          </w:rPr>
          <w:t>3</w:t>
        </w:r>
        <w:r w:rsidR="00D006CF">
          <w:rPr>
            <w:noProof/>
            <w:webHidden/>
          </w:rPr>
          <w:fldChar w:fldCharType="end"/>
        </w:r>
      </w:hyperlink>
    </w:p>
    <w:p w:rsidR="00D006CF" w:rsidRDefault="004A6103">
      <w:pPr>
        <w:pStyle w:val="TOC2"/>
        <w:tabs>
          <w:tab w:val="right" w:leader="dot" w:pos="9345"/>
        </w:tabs>
        <w:rPr>
          <w:rFonts w:asciiTheme="minorHAnsi" w:eastAsiaTheme="minorEastAsia" w:hAnsiTheme="minorHAnsi" w:cstheme="minorBidi"/>
          <w:noProof/>
          <w:szCs w:val="22"/>
          <w:lang w:eastAsia="en-US"/>
        </w:rPr>
      </w:pPr>
      <w:hyperlink w:anchor="_Toc386449389" w:history="1">
        <w:r w:rsidR="00D006CF" w:rsidRPr="00516224">
          <w:rPr>
            <w:rStyle w:val="Hyperlink"/>
            <w:noProof/>
          </w:rPr>
          <w:t>76.1 to 76.4   </w:t>
        </w:r>
        <w:r w:rsidR="00D006CF" w:rsidRPr="00516224">
          <w:rPr>
            <w:rStyle w:val="Hyperlink"/>
            <w:i/>
            <w:noProof/>
          </w:rPr>
          <w:t>[No change]</w:t>
        </w:r>
        <w:r w:rsidR="00D006CF">
          <w:rPr>
            <w:noProof/>
            <w:webHidden/>
          </w:rPr>
          <w:tab/>
        </w:r>
        <w:r w:rsidR="00D006CF">
          <w:rPr>
            <w:noProof/>
            <w:webHidden/>
          </w:rPr>
          <w:fldChar w:fldCharType="begin"/>
        </w:r>
        <w:r w:rsidR="00D006CF">
          <w:rPr>
            <w:noProof/>
            <w:webHidden/>
          </w:rPr>
          <w:instrText xml:space="preserve"> PAGEREF _Toc386449389 \h </w:instrText>
        </w:r>
        <w:r w:rsidR="00D006CF">
          <w:rPr>
            <w:noProof/>
            <w:webHidden/>
          </w:rPr>
        </w:r>
        <w:r w:rsidR="00D006CF">
          <w:rPr>
            <w:noProof/>
            <w:webHidden/>
          </w:rPr>
          <w:fldChar w:fldCharType="separate"/>
        </w:r>
        <w:r>
          <w:rPr>
            <w:noProof/>
            <w:webHidden/>
          </w:rPr>
          <w:t>3</w:t>
        </w:r>
        <w:r w:rsidR="00D006CF">
          <w:rPr>
            <w:noProof/>
            <w:webHidden/>
          </w:rPr>
          <w:fldChar w:fldCharType="end"/>
        </w:r>
      </w:hyperlink>
    </w:p>
    <w:p w:rsidR="00D006CF" w:rsidRDefault="004A6103">
      <w:pPr>
        <w:pStyle w:val="TOC2"/>
        <w:tabs>
          <w:tab w:val="right" w:leader="dot" w:pos="9345"/>
        </w:tabs>
        <w:rPr>
          <w:rFonts w:asciiTheme="minorHAnsi" w:eastAsiaTheme="minorEastAsia" w:hAnsiTheme="minorHAnsi" w:cstheme="minorBidi"/>
          <w:noProof/>
          <w:szCs w:val="22"/>
          <w:lang w:eastAsia="en-US"/>
        </w:rPr>
      </w:pPr>
      <w:hyperlink w:anchor="_Toc386449390" w:history="1">
        <w:r w:rsidR="00D006CF" w:rsidRPr="00516224">
          <w:rPr>
            <w:rStyle w:val="Hyperlink"/>
            <w:noProof/>
          </w:rPr>
          <w:t>76.5   </w:t>
        </w:r>
        <w:r w:rsidR="00D006CF" w:rsidRPr="00516224">
          <w:rPr>
            <w:rStyle w:val="Hyperlink"/>
            <w:i/>
            <w:noProof/>
          </w:rPr>
          <w:t>Application of Certain Rules to Procedures before Elected Offices</w:t>
        </w:r>
        <w:r w:rsidR="00D006CF">
          <w:rPr>
            <w:noProof/>
            <w:webHidden/>
          </w:rPr>
          <w:tab/>
        </w:r>
        <w:r w:rsidR="00D006CF">
          <w:rPr>
            <w:noProof/>
            <w:webHidden/>
          </w:rPr>
          <w:fldChar w:fldCharType="begin"/>
        </w:r>
        <w:r w:rsidR="00D006CF">
          <w:rPr>
            <w:noProof/>
            <w:webHidden/>
          </w:rPr>
          <w:instrText xml:space="preserve"> PAGEREF _Toc386449390 \h </w:instrText>
        </w:r>
        <w:r w:rsidR="00D006CF">
          <w:rPr>
            <w:noProof/>
            <w:webHidden/>
          </w:rPr>
        </w:r>
        <w:r w:rsidR="00D006CF">
          <w:rPr>
            <w:noProof/>
            <w:webHidden/>
          </w:rPr>
          <w:fldChar w:fldCharType="separate"/>
        </w:r>
        <w:r>
          <w:rPr>
            <w:noProof/>
            <w:webHidden/>
          </w:rPr>
          <w:t>3</w:t>
        </w:r>
        <w:r w:rsidR="00D006CF">
          <w:rPr>
            <w:noProof/>
            <w:webHidden/>
          </w:rPr>
          <w:fldChar w:fldCharType="end"/>
        </w:r>
      </w:hyperlink>
    </w:p>
    <w:p w:rsidR="00D006CF" w:rsidRDefault="004A6103">
      <w:pPr>
        <w:pStyle w:val="TOC1"/>
        <w:tabs>
          <w:tab w:val="right" w:leader="dot" w:pos="9345"/>
        </w:tabs>
        <w:rPr>
          <w:rFonts w:asciiTheme="minorHAnsi" w:eastAsiaTheme="minorEastAsia" w:hAnsiTheme="minorHAnsi" w:cstheme="minorBidi"/>
          <w:noProof/>
          <w:szCs w:val="22"/>
          <w:lang w:eastAsia="en-US"/>
        </w:rPr>
      </w:pPr>
      <w:hyperlink w:anchor="_Toc386449391" w:history="1">
        <w:r w:rsidR="00D006CF" w:rsidRPr="00516224">
          <w:rPr>
            <w:rStyle w:val="Hyperlink"/>
            <w:noProof/>
          </w:rPr>
          <w:t>Rule 90   Agents and Common Representatives</w:t>
        </w:r>
        <w:r w:rsidR="00D006CF">
          <w:rPr>
            <w:noProof/>
            <w:webHidden/>
          </w:rPr>
          <w:tab/>
        </w:r>
        <w:r w:rsidR="00D006CF">
          <w:rPr>
            <w:noProof/>
            <w:webHidden/>
          </w:rPr>
          <w:fldChar w:fldCharType="begin"/>
        </w:r>
        <w:r w:rsidR="00D006CF">
          <w:rPr>
            <w:noProof/>
            <w:webHidden/>
          </w:rPr>
          <w:instrText xml:space="preserve"> PAGEREF _Toc386449391 \h </w:instrText>
        </w:r>
        <w:r w:rsidR="00D006CF">
          <w:rPr>
            <w:noProof/>
            <w:webHidden/>
          </w:rPr>
        </w:r>
        <w:r w:rsidR="00D006CF">
          <w:rPr>
            <w:noProof/>
            <w:webHidden/>
          </w:rPr>
          <w:fldChar w:fldCharType="separate"/>
        </w:r>
        <w:r>
          <w:rPr>
            <w:noProof/>
            <w:webHidden/>
          </w:rPr>
          <w:t>4</w:t>
        </w:r>
        <w:r w:rsidR="00D006CF">
          <w:rPr>
            <w:noProof/>
            <w:webHidden/>
          </w:rPr>
          <w:fldChar w:fldCharType="end"/>
        </w:r>
      </w:hyperlink>
    </w:p>
    <w:p w:rsidR="00D006CF" w:rsidRDefault="004A6103">
      <w:pPr>
        <w:pStyle w:val="TOC2"/>
        <w:tabs>
          <w:tab w:val="right" w:leader="dot" w:pos="9345"/>
        </w:tabs>
        <w:rPr>
          <w:rFonts w:asciiTheme="minorHAnsi" w:eastAsiaTheme="minorEastAsia" w:hAnsiTheme="minorHAnsi" w:cstheme="minorBidi"/>
          <w:noProof/>
          <w:szCs w:val="22"/>
          <w:lang w:eastAsia="en-US"/>
        </w:rPr>
      </w:pPr>
      <w:hyperlink w:anchor="_Toc386449392" w:history="1">
        <w:r w:rsidR="00D006CF" w:rsidRPr="00516224">
          <w:rPr>
            <w:rStyle w:val="Hyperlink"/>
            <w:noProof/>
          </w:rPr>
          <w:t>90.1 and 90.2   </w:t>
        </w:r>
        <w:r w:rsidR="00D006CF" w:rsidRPr="00516224">
          <w:rPr>
            <w:rStyle w:val="Hyperlink"/>
            <w:i/>
            <w:noProof/>
          </w:rPr>
          <w:t>[No Change]</w:t>
        </w:r>
        <w:r w:rsidR="00D006CF">
          <w:rPr>
            <w:noProof/>
            <w:webHidden/>
          </w:rPr>
          <w:tab/>
        </w:r>
        <w:r w:rsidR="00D006CF">
          <w:rPr>
            <w:noProof/>
            <w:webHidden/>
          </w:rPr>
          <w:fldChar w:fldCharType="begin"/>
        </w:r>
        <w:r w:rsidR="00D006CF">
          <w:rPr>
            <w:noProof/>
            <w:webHidden/>
          </w:rPr>
          <w:instrText xml:space="preserve"> PAGEREF _Toc386449392 \h </w:instrText>
        </w:r>
        <w:r w:rsidR="00D006CF">
          <w:rPr>
            <w:noProof/>
            <w:webHidden/>
          </w:rPr>
        </w:r>
        <w:r w:rsidR="00D006CF">
          <w:rPr>
            <w:noProof/>
            <w:webHidden/>
          </w:rPr>
          <w:fldChar w:fldCharType="separate"/>
        </w:r>
        <w:r>
          <w:rPr>
            <w:noProof/>
            <w:webHidden/>
          </w:rPr>
          <w:t>4</w:t>
        </w:r>
        <w:r w:rsidR="00D006CF">
          <w:rPr>
            <w:noProof/>
            <w:webHidden/>
          </w:rPr>
          <w:fldChar w:fldCharType="end"/>
        </w:r>
      </w:hyperlink>
    </w:p>
    <w:p w:rsidR="00D006CF" w:rsidRDefault="004A6103">
      <w:pPr>
        <w:pStyle w:val="TOC2"/>
        <w:tabs>
          <w:tab w:val="right" w:leader="dot" w:pos="9345"/>
        </w:tabs>
        <w:rPr>
          <w:rFonts w:asciiTheme="minorHAnsi" w:eastAsiaTheme="minorEastAsia" w:hAnsiTheme="minorHAnsi" w:cstheme="minorBidi"/>
          <w:noProof/>
          <w:szCs w:val="22"/>
          <w:lang w:eastAsia="en-US"/>
        </w:rPr>
      </w:pPr>
      <w:hyperlink w:anchor="_Toc386449393" w:history="1">
        <w:r w:rsidR="00D006CF" w:rsidRPr="00516224">
          <w:rPr>
            <w:rStyle w:val="Hyperlink"/>
            <w:noProof/>
          </w:rPr>
          <w:t>90.3   </w:t>
        </w:r>
        <w:r w:rsidR="00D006CF" w:rsidRPr="00516224">
          <w:rPr>
            <w:rStyle w:val="Hyperlink"/>
            <w:i/>
            <w:noProof/>
          </w:rPr>
          <w:t>Effects of Acts by or in Relation to Agents and Common Representatives</w:t>
        </w:r>
        <w:r w:rsidR="00D006CF">
          <w:rPr>
            <w:noProof/>
            <w:webHidden/>
          </w:rPr>
          <w:tab/>
        </w:r>
        <w:r w:rsidR="00D006CF">
          <w:rPr>
            <w:noProof/>
            <w:webHidden/>
          </w:rPr>
          <w:fldChar w:fldCharType="begin"/>
        </w:r>
        <w:r w:rsidR="00D006CF">
          <w:rPr>
            <w:noProof/>
            <w:webHidden/>
          </w:rPr>
          <w:instrText xml:space="preserve"> PAGEREF _Toc386449393 \h </w:instrText>
        </w:r>
        <w:r w:rsidR="00D006CF">
          <w:rPr>
            <w:noProof/>
            <w:webHidden/>
          </w:rPr>
        </w:r>
        <w:r w:rsidR="00D006CF">
          <w:rPr>
            <w:noProof/>
            <w:webHidden/>
          </w:rPr>
          <w:fldChar w:fldCharType="separate"/>
        </w:r>
        <w:r>
          <w:rPr>
            <w:noProof/>
            <w:webHidden/>
          </w:rPr>
          <w:t>4</w:t>
        </w:r>
        <w:r w:rsidR="00D006CF">
          <w:rPr>
            <w:noProof/>
            <w:webHidden/>
          </w:rPr>
          <w:fldChar w:fldCharType="end"/>
        </w:r>
      </w:hyperlink>
    </w:p>
    <w:p w:rsidR="00D006CF" w:rsidRDefault="004A6103">
      <w:pPr>
        <w:pStyle w:val="TOC2"/>
        <w:tabs>
          <w:tab w:val="right" w:leader="dot" w:pos="9345"/>
        </w:tabs>
        <w:rPr>
          <w:rFonts w:asciiTheme="minorHAnsi" w:eastAsiaTheme="minorEastAsia" w:hAnsiTheme="minorHAnsi" w:cstheme="minorBidi"/>
          <w:noProof/>
          <w:szCs w:val="22"/>
          <w:lang w:eastAsia="en-US"/>
        </w:rPr>
      </w:pPr>
      <w:hyperlink w:anchor="_Toc386449394" w:history="1">
        <w:r w:rsidR="00D006CF" w:rsidRPr="00516224">
          <w:rPr>
            <w:rStyle w:val="Hyperlink"/>
            <w:noProof/>
          </w:rPr>
          <w:t>90.4 to 90.6   </w:t>
        </w:r>
        <w:r w:rsidR="00D006CF" w:rsidRPr="00516224">
          <w:rPr>
            <w:rStyle w:val="Hyperlink"/>
            <w:i/>
            <w:noProof/>
          </w:rPr>
          <w:t>[No Change]</w:t>
        </w:r>
        <w:r w:rsidR="00D006CF">
          <w:rPr>
            <w:noProof/>
            <w:webHidden/>
          </w:rPr>
          <w:tab/>
        </w:r>
        <w:r w:rsidR="00D006CF">
          <w:rPr>
            <w:noProof/>
            <w:webHidden/>
          </w:rPr>
          <w:fldChar w:fldCharType="begin"/>
        </w:r>
        <w:r w:rsidR="00D006CF">
          <w:rPr>
            <w:noProof/>
            <w:webHidden/>
          </w:rPr>
          <w:instrText xml:space="preserve"> PAGEREF _Toc386449394 \h </w:instrText>
        </w:r>
        <w:r w:rsidR="00D006CF">
          <w:rPr>
            <w:noProof/>
            <w:webHidden/>
          </w:rPr>
        </w:r>
        <w:r w:rsidR="00D006CF">
          <w:rPr>
            <w:noProof/>
            <w:webHidden/>
          </w:rPr>
          <w:fldChar w:fldCharType="separate"/>
        </w:r>
        <w:r>
          <w:rPr>
            <w:noProof/>
            <w:webHidden/>
          </w:rPr>
          <w:t>4</w:t>
        </w:r>
        <w:r w:rsidR="00D006CF">
          <w:rPr>
            <w:noProof/>
            <w:webHidden/>
          </w:rPr>
          <w:fldChar w:fldCharType="end"/>
        </w:r>
      </w:hyperlink>
    </w:p>
    <w:p w:rsidR="00D006CF" w:rsidRDefault="004A6103">
      <w:pPr>
        <w:pStyle w:val="TOC1"/>
        <w:tabs>
          <w:tab w:val="right" w:leader="dot" w:pos="9345"/>
        </w:tabs>
        <w:rPr>
          <w:rFonts w:asciiTheme="minorHAnsi" w:eastAsiaTheme="minorEastAsia" w:hAnsiTheme="minorHAnsi" w:cstheme="minorBidi"/>
          <w:noProof/>
          <w:szCs w:val="22"/>
          <w:lang w:eastAsia="en-US"/>
        </w:rPr>
      </w:pPr>
      <w:hyperlink w:anchor="_Toc386449395" w:history="1">
        <w:r w:rsidR="00D006CF" w:rsidRPr="00516224">
          <w:rPr>
            <w:rStyle w:val="Hyperlink"/>
            <w:noProof/>
          </w:rPr>
          <w:t>SCHEDULE OF FEES</w:t>
        </w:r>
        <w:r w:rsidR="00D006CF">
          <w:rPr>
            <w:noProof/>
            <w:webHidden/>
          </w:rPr>
          <w:tab/>
        </w:r>
        <w:r w:rsidR="00D006CF">
          <w:rPr>
            <w:noProof/>
            <w:webHidden/>
          </w:rPr>
          <w:fldChar w:fldCharType="begin"/>
        </w:r>
        <w:r w:rsidR="00D006CF">
          <w:rPr>
            <w:noProof/>
            <w:webHidden/>
          </w:rPr>
          <w:instrText xml:space="preserve"> PAGEREF _Toc386449395 \h </w:instrText>
        </w:r>
        <w:r w:rsidR="00D006CF">
          <w:rPr>
            <w:noProof/>
            <w:webHidden/>
          </w:rPr>
        </w:r>
        <w:r w:rsidR="00D006CF">
          <w:rPr>
            <w:noProof/>
            <w:webHidden/>
          </w:rPr>
          <w:fldChar w:fldCharType="separate"/>
        </w:r>
        <w:r>
          <w:rPr>
            <w:noProof/>
            <w:webHidden/>
          </w:rPr>
          <w:t>5</w:t>
        </w:r>
        <w:r w:rsidR="00D006CF">
          <w:rPr>
            <w:noProof/>
            <w:webHidden/>
          </w:rPr>
          <w:fldChar w:fldCharType="end"/>
        </w:r>
      </w:hyperlink>
    </w:p>
    <w:p w:rsidR="001F66D3" w:rsidRDefault="002A1BB2" w:rsidP="002A1BB2">
      <w:pPr>
        <w:pStyle w:val="Endofdocument-Annex"/>
        <w:ind w:left="0"/>
      </w:pPr>
      <w:r>
        <w:fldChar w:fldCharType="end"/>
      </w:r>
    </w:p>
    <w:p w:rsidR="000D1EBC" w:rsidRDefault="000D1EBC" w:rsidP="000D1EBC">
      <w:pPr>
        <w:pStyle w:val="LegTitle"/>
      </w:pPr>
      <w:bookmarkStart w:id="7" w:name="_Toc100481227"/>
      <w:bookmarkStart w:id="8" w:name="_Toc105480534"/>
      <w:bookmarkStart w:id="9" w:name="_Toc116097072"/>
      <w:bookmarkStart w:id="10" w:name="_Toc386449385"/>
      <w:bookmarkStart w:id="11" w:name="_Toc358360712"/>
      <w:r>
        <w:lastRenderedPageBreak/>
        <w:t xml:space="preserve">Rule </w:t>
      </w:r>
      <w:proofErr w:type="gramStart"/>
      <w:r>
        <w:t>49</w:t>
      </w:r>
      <w:r>
        <w:rPr>
          <w:rStyle w:val="RItalic"/>
        </w:rPr>
        <w:t>ter</w:t>
      </w:r>
      <w:r>
        <w:t xml:space="preserve">  </w:t>
      </w:r>
      <w:proofErr w:type="gramEnd"/>
      <w:r>
        <w:br/>
        <w:t xml:space="preserve">Effect of Restoration of Right of Priority by Receiving Office;  </w:t>
      </w:r>
      <w:r>
        <w:br/>
        <w:t>Restoration of Right of Priority by Designated Office</w:t>
      </w:r>
      <w:bookmarkEnd w:id="7"/>
      <w:bookmarkEnd w:id="8"/>
      <w:bookmarkEnd w:id="9"/>
      <w:bookmarkEnd w:id="10"/>
    </w:p>
    <w:p w:rsidR="000D1EBC" w:rsidRDefault="000D1EBC" w:rsidP="004E2A52">
      <w:pPr>
        <w:pStyle w:val="LegSubRule"/>
      </w:pPr>
      <w:bookmarkStart w:id="12" w:name="_Toc100481228"/>
      <w:bookmarkStart w:id="13" w:name="_Toc105480535"/>
      <w:bookmarkStart w:id="14" w:name="_Toc116097073"/>
      <w:bookmarkStart w:id="15" w:name="_Toc386449386"/>
      <w:r>
        <w:t>49</w:t>
      </w:r>
      <w:r>
        <w:rPr>
          <w:rStyle w:val="RItalic"/>
        </w:rPr>
        <w:t>ter</w:t>
      </w:r>
      <w:r>
        <w:t>.1   </w:t>
      </w:r>
      <w:bookmarkEnd w:id="12"/>
      <w:bookmarkEnd w:id="13"/>
      <w:bookmarkEnd w:id="14"/>
      <w:r w:rsidR="004E2A52">
        <w:rPr>
          <w:rStyle w:val="RItalic"/>
        </w:rPr>
        <w:t>[No change]</w:t>
      </w:r>
      <w:bookmarkStart w:id="16" w:name="_Toc100481229"/>
      <w:bookmarkStart w:id="17" w:name="_Toc105480536"/>
      <w:bookmarkStart w:id="18" w:name="_Toc116097074"/>
      <w:bookmarkEnd w:id="15"/>
    </w:p>
    <w:p w:rsidR="000D1EBC" w:rsidRDefault="000D1EBC" w:rsidP="00796A75">
      <w:pPr>
        <w:pStyle w:val="LegSubRule"/>
      </w:pPr>
      <w:bookmarkStart w:id="19" w:name="_Toc386449387"/>
      <w:r>
        <w:t>49</w:t>
      </w:r>
      <w:r w:rsidRPr="004E2A52">
        <w:rPr>
          <w:i/>
        </w:rPr>
        <w:t>ter</w:t>
      </w:r>
      <w:r>
        <w:t>.2   </w:t>
      </w:r>
      <w:r w:rsidRPr="00565045">
        <w:rPr>
          <w:i/>
        </w:rPr>
        <w:t>Restoration of Right of Priority by Designated Office</w:t>
      </w:r>
      <w:bookmarkEnd w:id="16"/>
      <w:bookmarkEnd w:id="17"/>
      <w:bookmarkEnd w:id="18"/>
      <w:bookmarkEnd w:id="19"/>
    </w:p>
    <w:p w:rsidR="000D1EBC" w:rsidRDefault="000D1EBC" w:rsidP="00565045">
      <w:pPr>
        <w:pStyle w:val="Lega"/>
        <w:jc w:val="left"/>
      </w:pPr>
      <w:r>
        <w:tab/>
        <w:t>(a)  </w:t>
      </w:r>
      <w:r w:rsidR="007D182A">
        <w:t xml:space="preserve">[No change] </w:t>
      </w:r>
      <w:r>
        <w:t>Where the international application claims the priority of an earlier application and has an international filing date which is later than the date on which the priority period expired but within the period of two months from that date, the designated Office shall, on the request of the applicant in accordance with paragraph (b), restore the right of priority if the Office finds that a criterion applied by it (“criterion for restoration”) is satisfied, namely, that the failure to file the international application within the priority period:</w:t>
      </w:r>
    </w:p>
    <w:p w:rsidR="000D1EBC" w:rsidRDefault="000D1EBC" w:rsidP="00565045">
      <w:pPr>
        <w:pStyle w:val="Legi"/>
        <w:jc w:val="left"/>
      </w:pPr>
      <w:r>
        <w:tab/>
        <w:t>(</w:t>
      </w:r>
      <w:proofErr w:type="spellStart"/>
      <w:r>
        <w:t>i</w:t>
      </w:r>
      <w:proofErr w:type="spellEnd"/>
      <w:r>
        <w:t>)</w:t>
      </w:r>
      <w:r>
        <w:tab/>
      </w:r>
      <w:proofErr w:type="gramStart"/>
      <w:r>
        <w:t>occurred</w:t>
      </w:r>
      <w:proofErr w:type="gramEnd"/>
      <w:r>
        <w:t xml:space="preserve"> in spite of due care required by the circumstances having been taken;  or</w:t>
      </w:r>
    </w:p>
    <w:p w:rsidR="000D1EBC" w:rsidRDefault="000D1EBC" w:rsidP="00565045">
      <w:pPr>
        <w:pStyle w:val="Legi"/>
        <w:jc w:val="left"/>
      </w:pPr>
      <w:r>
        <w:tab/>
        <w:t>(</w:t>
      </w:r>
      <w:proofErr w:type="gramStart"/>
      <w:r>
        <w:t>ii</w:t>
      </w:r>
      <w:proofErr w:type="gramEnd"/>
      <w:r>
        <w:t>)</w:t>
      </w:r>
      <w:r>
        <w:tab/>
        <w:t>was unintentional.</w:t>
      </w:r>
    </w:p>
    <w:p w:rsidR="000D1EBC" w:rsidRDefault="000D1EBC" w:rsidP="00565045">
      <w:pPr>
        <w:pStyle w:val="Legacont"/>
        <w:jc w:val="left"/>
      </w:pPr>
      <w:r>
        <w:t>Each designated Office shall apply at least one of those criteria and may apply both of them.</w:t>
      </w:r>
    </w:p>
    <w:p w:rsidR="000D1EBC" w:rsidRDefault="000D1EBC" w:rsidP="00565045">
      <w:pPr>
        <w:pStyle w:val="Lega"/>
        <w:jc w:val="left"/>
      </w:pPr>
      <w:r>
        <w:tab/>
        <w:t>(b)  A request under paragraph (a) shall:</w:t>
      </w:r>
    </w:p>
    <w:p w:rsidR="000D1EBC" w:rsidRDefault="000D1EBC" w:rsidP="00565045">
      <w:pPr>
        <w:pStyle w:val="Legi"/>
        <w:jc w:val="left"/>
      </w:pPr>
      <w:r>
        <w:tab/>
        <w:t>(</w:t>
      </w:r>
      <w:proofErr w:type="spellStart"/>
      <w:r>
        <w:t>i</w:t>
      </w:r>
      <w:proofErr w:type="spellEnd"/>
      <w:r>
        <w:t>)</w:t>
      </w:r>
      <w:r>
        <w:tab/>
        <w:t>be filed with the designated Office within a time limit of one month from the applicable time limit under Article 22</w:t>
      </w:r>
      <w:r w:rsidR="00600519" w:rsidRPr="007D182A">
        <w:rPr>
          <w:rStyle w:val="InsertedText"/>
          <w:color w:val="0070C0"/>
        </w:rPr>
        <w:t xml:space="preserve"> </w:t>
      </w:r>
      <w:r w:rsidR="00294D2B">
        <w:rPr>
          <w:rStyle w:val="InsertedText"/>
          <w:color w:val="0070C0"/>
        </w:rPr>
        <w:t>or</w:t>
      </w:r>
      <w:r w:rsidR="00524B9E">
        <w:rPr>
          <w:rStyle w:val="InsertedText"/>
          <w:color w:val="0070C0"/>
        </w:rPr>
        <w:t>,</w:t>
      </w:r>
      <w:r w:rsidR="00600519" w:rsidRPr="007D182A">
        <w:rPr>
          <w:rStyle w:val="InsertedText"/>
          <w:color w:val="0070C0"/>
        </w:rPr>
        <w:t xml:space="preserve"> </w:t>
      </w:r>
      <w:r w:rsidR="004E2A52" w:rsidRPr="007D182A">
        <w:rPr>
          <w:rStyle w:val="InsertedText"/>
          <w:color w:val="0070C0"/>
        </w:rPr>
        <w:t xml:space="preserve">where </w:t>
      </w:r>
      <w:r w:rsidR="00294D2B">
        <w:rPr>
          <w:rStyle w:val="InsertedText"/>
          <w:color w:val="0070C0"/>
        </w:rPr>
        <w:t>the</w:t>
      </w:r>
      <w:r w:rsidR="004E2A52" w:rsidRPr="007D182A">
        <w:rPr>
          <w:rStyle w:val="InsertedText"/>
          <w:color w:val="0070C0"/>
        </w:rPr>
        <w:t xml:space="preserve"> applicant makes an express request to </w:t>
      </w:r>
      <w:r w:rsidR="00326A80">
        <w:rPr>
          <w:rStyle w:val="InsertedText"/>
          <w:color w:val="0070C0"/>
        </w:rPr>
        <w:t>the</w:t>
      </w:r>
      <w:r w:rsidR="004E2A52" w:rsidRPr="007D182A">
        <w:rPr>
          <w:rStyle w:val="InsertedText"/>
          <w:color w:val="0070C0"/>
        </w:rPr>
        <w:t xml:space="preserve"> designated Office under Article 23(2),</w:t>
      </w:r>
      <w:r w:rsidR="00600519" w:rsidRPr="007D182A">
        <w:rPr>
          <w:rStyle w:val="InsertedText"/>
          <w:color w:val="0070C0"/>
        </w:rPr>
        <w:t xml:space="preserve"> </w:t>
      </w:r>
      <w:r w:rsidR="00326A80">
        <w:rPr>
          <w:rStyle w:val="InsertedText"/>
          <w:color w:val="0070C0"/>
        </w:rPr>
        <w:t>within a time limit of one month from the date of receipt of that request by the designated Office</w:t>
      </w:r>
      <w:r>
        <w:t>;</w:t>
      </w:r>
    </w:p>
    <w:p w:rsidR="000D1EBC" w:rsidRDefault="003378DF" w:rsidP="00565045">
      <w:pPr>
        <w:pStyle w:val="Legi"/>
        <w:tabs>
          <w:tab w:val="clear" w:pos="1191"/>
          <w:tab w:val="left" w:pos="1134"/>
        </w:tabs>
        <w:jc w:val="left"/>
      </w:pPr>
      <w:r>
        <w:tab/>
        <w:t>(</w:t>
      </w:r>
      <w:proofErr w:type="gramStart"/>
      <w:r>
        <w:t>ii</w:t>
      </w:r>
      <w:proofErr w:type="gramEnd"/>
      <w:r>
        <w:t>)</w:t>
      </w:r>
      <w:r>
        <w:tab/>
        <w:t xml:space="preserve"> and (iii)  </w:t>
      </w:r>
      <w:r w:rsidR="007D182A">
        <w:t xml:space="preserve">[No change] </w:t>
      </w:r>
    </w:p>
    <w:p w:rsidR="000D1EBC" w:rsidRDefault="00C867D5" w:rsidP="00565045">
      <w:pPr>
        <w:pStyle w:val="Lega"/>
        <w:jc w:val="left"/>
      </w:pPr>
      <w:r>
        <w:tab/>
        <w:t xml:space="preserve">(c) </w:t>
      </w:r>
      <w:proofErr w:type="gramStart"/>
      <w:r>
        <w:t>to</w:t>
      </w:r>
      <w:proofErr w:type="gramEnd"/>
      <w:r>
        <w:t xml:space="preserve"> (h)  [No change] </w:t>
      </w:r>
    </w:p>
    <w:p w:rsidR="0089546A" w:rsidRDefault="0089546A" w:rsidP="0089546A">
      <w:pPr>
        <w:pStyle w:val="LegTitle"/>
      </w:pPr>
      <w:bookmarkStart w:id="20" w:name="_Toc386449388"/>
      <w:r>
        <w:lastRenderedPageBreak/>
        <w:t xml:space="preserve">Rule </w:t>
      </w:r>
      <w:proofErr w:type="gramStart"/>
      <w:r>
        <w:t xml:space="preserve">76  </w:t>
      </w:r>
      <w:proofErr w:type="gramEnd"/>
      <w:r>
        <w:br/>
        <w:t xml:space="preserve">Translation of Priority Document;  </w:t>
      </w:r>
      <w:r>
        <w:br/>
        <w:t>Application of Certain Rules to Procedures before Elected Offices</w:t>
      </w:r>
      <w:bookmarkEnd w:id="20"/>
    </w:p>
    <w:p w:rsidR="0089546A" w:rsidRDefault="0089546A" w:rsidP="0089546A">
      <w:pPr>
        <w:pStyle w:val="LegSubRule"/>
      </w:pPr>
      <w:bookmarkStart w:id="21" w:name="_Toc386449389"/>
      <w:r>
        <w:t>76.1 to 76.4   </w:t>
      </w:r>
      <w:r>
        <w:rPr>
          <w:rStyle w:val="RItalic"/>
        </w:rPr>
        <w:t>[No change]</w:t>
      </w:r>
      <w:bookmarkEnd w:id="21"/>
    </w:p>
    <w:p w:rsidR="0089546A" w:rsidRDefault="0089546A" w:rsidP="0089546A">
      <w:pPr>
        <w:pStyle w:val="LegSubRule"/>
      </w:pPr>
      <w:bookmarkStart w:id="22" w:name="_Toc386449390"/>
      <w:r>
        <w:t>76.5   </w:t>
      </w:r>
      <w:r w:rsidRPr="00565045">
        <w:rPr>
          <w:i/>
        </w:rPr>
        <w:t>Application of Certain Rules to Procedures before Elected Offices</w:t>
      </w:r>
      <w:bookmarkEnd w:id="22"/>
    </w:p>
    <w:p w:rsidR="0089546A" w:rsidRDefault="0089546A" w:rsidP="00565045">
      <w:pPr>
        <w:pStyle w:val="Legacont"/>
        <w:jc w:val="left"/>
      </w:pPr>
      <w:r>
        <w:tab/>
      </w:r>
      <w:r w:rsidRPr="0089546A">
        <w:t>Rules 13</w:t>
      </w:r>
      <w:r w:rsidRPr="00A168D8">
        <w:rPr>
          <w:i/>
        </w:rPr>
        <w:t>ter</w:t>
      </w:r>
      <w:r w:rsidRPr="0089546A">
        <w:t>.3, 20.8(c), 22.1(g), 47.1, 49, 49</w:t>
      </w:r>
      <w:r w:rsidRPr="00A168D8">
        <w:rPr>
          <w:i/>
        </w:rPr>
        <w:t>bis</w:t>
      </w:r>
      <w:r w:rsidRPr="0089546A">
        <w:t>, 49</w:t>
      </w:r>
      <w:r w:rsidRPr="00A168D8">
        <w:rPr>
          <w:i/>
        </w:rPr>
        <w:t>ter</w:t>
      </w:r>
      <w:r w:rsidRPr="0089546A">
        <w:t xml:space="preserve"> and 51</w:t>
      </w:r>
      <w:r w:rsidRPr="00A168D8">
        <w:rPr>
          <w:i/>
        </w:rPr>
        <w:t>bis</w:t>
      </w:r>
      <w:r w:rsidRPr="0089546A">
        <w:t xml:space="preserve"> shall apply, provided that</w:t>
      </w:r>
      <w:r w:rsidR="00A168D8">
        <w:t xml:space="preserve">:  </w:t>
      </w:r>
    </w:p>
    <w:p w:rsidR="0089546A" w:rsidRDefault="0089546A" w:rsidP="00565045">
      <w:pPr>
        <w:pStyle w:val="Legi"/>
        <w:jc w:val="left"/>
      </w:pPr>
      <w:r>
        <w:tab/>
        <w:t>(</w:t>
      </w:r>
      <w:proofErr w:type="spellStart"/>
      <w:r>
        <w:t>i</w:t>
      </w:r>
      <w:proofErr w:type="spellEnd"/>
      <w:r>
        <w:t>)</w:t>
      </w:r>
      <w:r>
        <w:tab/>
      </w:r>
      <w:r w:rsidR="00A168D8">
        <w:t>[No change];</w:t>
      </w:r>
    </w:p>
    <w:p w:rsidR="0089546A" w:rsidRDefault="0089546A" w:rsidP="00565045">
      <w:pPr>
        <w:pStyle w:val="Legi"/>
        <w:jc w:val="left"/>
      </w:pPr>
      <w:r>
        <w:tab/>
        <w:t>(ii)</w:t>
      </w:r>
      <w:r>
        <w:tab/>
      </w:r>
      <w:proofErr w:type="gramStart"/>
      <w:r w:rsidR="00A168D8" w:rsidRPr="00A168D8">
        <w:t>any</w:t>
      </w:r>
      <w:proofErr w:type="gramEnd"/>
      <w:r w:rsidR="00A168D8" w:rsidRPr="00A168D8">
        <w:t xml:space="preserve"> reference in the said Rules to Article</w:t>
      </w:r>
      <w:r w:rsidR="00A168D8">
        <w:t> </w:t>
      </w:r>
      <w:r w:rsidR="00A168D8" w:rsidRPr="00A168D8">
        <w:t>22</w:t>
      </w:r>
      <w:r w:rsidR="00A168D8" w:rsidRPr="00325469">
        <w:rPr>
          <w:rStyle w:val="InsertedText"/>
          <w:color w:val="0070C0"/>
        </w:rPr>
        <w:t>, Article 23(2)</w:t>
      </w:r>
      <w:r w:rsidR="00A168D8" w:rsidRPr="00325469">
        <w:rPr>
          <w:color w:val="0070C0"/>
        </w:rPr>
        <w:t xml:space="preserve"> </w:t>
      </w:r>
      <w:r w:rsidR="00A168D8" w:rsidRPr="00A168D8">
        <w:t>or Article 24(2) shall be construed as a reference to Article</w:t>
      </w:r>
      <w:r w:rsidR="00A168D8">
        <w:t> </w:t>
      </w:r>
      <w:r w:rsidR="00A168D8" w:rsidRPr="00A168D8">
        <w:t>39(1)</w:t>
      </w:r>
      <w:r w:rsidR="00A168D8" w:rsidRPr="00325469">
        <w:rPr>
          <w:rStyle w:val="InsertedText"/>
          <w:color w:val="0070C0"/>
        </w:rPr>
        <w:t>, Article 40(2)</w:t>
      </w:r>
      <w:r w:rsidR="00A168D8" w:rsidRPr="00325469">
        <w:rPr>
          <w:color w:val="0070C0"/>
        </w:rPr>
        <w:t xml:space="preserve"> </w:t>
      </w:r>
      <w:r w:rsidR="00A168D8" w:rsidRPr="00A168D8">
        <w:t>or Article</w:t>
      </w:r>
      <w:r w:rsidR="00A168D8">
        <w:t> </w:t>
      </w:r>
      <w:r w:rsidR="00A168D8" w:rsidRPr="00A168D8">
        <w:t>39(3), respectively</w:t>
      </w:r>
      <w:r w:rsidR="00A168D8">
        <w:t>;</w:t>
      </w:r>
    </w:p>
    <w:p w:rsidR="0089546A" w:rsidRDefault="0089546A" w:rsidP="00565045">
      <w:pPr>
        <w:pStyle w:val="Legi"/>
        <w:tabs>
          <w:tab w:val="clear" w:pos="1191"/>
          <w:tab w:val="left" w:pos="1134"/>
          <w:tab w:val="left" w:pos="1276"/>
        </w:tabs>
        <w:jc w:val="left"/>
      </w:pPr>
      <w:r>
        <w:tab/>
        <w:t>(i</w:t>
      </w:r>
      <w:r w:rsidR="00A168D8">
        <w:t>ii</w:t>
      </w:r>
      <w:r>
        <w:t>)</w:t>
      </w:r>
      <w:r>
        <w:tab/>
      </w:r>
      <w:proofErr w:type="gramStart"/>
      <w:r w:rsidR="00A168D8">
        <w:t>to</w:t>
      </w:r>
      <w:proofErr w:type="gramEnd"/>
      <w:r w:rsidR="00A168D8">
        <w:t xml:space="preserve"> (v)  [No change] </w:t>
      </w:r>
    </w:p>
    <w:p w:rsidR="0053061F" w:rsidRPr="00357623" w:rsidRDefault="0053061F" w:rsidP="000D1EBC">
      <w:pPr>
        <w:pStyle w:val="LegTitle"/>
        <w:tabs>
          <w:tab w:val="left" w:pos="5670"/>
        </w:tabs>
        <w:rPr>
          <w:szCs w:val="22"/>
        </w:rPr>
      </w:pPr>
      <w:bookmarkStart w:id="23" w:name="_Toc386449391"/>
      <w:r w:rsidRPr="00357623">
        <w:rPr>
          <w:szCs w:val="22"/>
        </w:rPr>
        <w:lastRenderedPageBreak/>
        <w:t xml:space="preserve">Rule </w:t>
      </w:r>
      <w:proofErr w:type="gramStart"/>
      <w:r>
        <w:rPr>
          <w:szCs w:val="22"/>
        </w:rPr>
        <w:t>90</w:t>
      </w:r>
      <w:r w:rsidR="00D006CF">
        <w:rPr>
          <w:szCs w:val="22"/>
        </w:rPr>
        <w:t xml:space="preserve">  </w:t>
      </w:r>
      <w:proofErr w:type="gramEnd"/>
      <w:r w:rsidRPr="00357623">
        <w:rPr>
          <w:szCs w:val="22"/>
        </w:rPr>
        <w:br/>
      </w:r>
      <w:bookmarkEnd w:id="11"/>
      <w:r>
        <w:t>Agents and Common Representatives</w:t>
      </w:r>
      <w:bookmarkEnd w:id="23"/>
    </w:p>
    <w:p w:rsidR="0037387F" w:rsidRPr="00796A75" w:rsidRDefault="0037387F" w:rsidP="00081FA9">
      <w:pPr>
        <w:pStyle w:val="LegSubRule"/>
      </w:pPr>
      <w:bookmarkStart w:id="24" w:name="_Toc386449392"/>
      <w:bookmarkStart w:id="25" w:name="_Toc358360713"/>
      <w:r w:rsidRPr="00796A75">
        <w:t xml:space="preserve">90.1 </w:t>
      </w:r>
      <w:proofErr w:type="gramStart"/>
      <w:r w:rsidRPr="00796A75">
        <w:t>and</w:t>
      </w:r>
      <w:proofErr w:type="gramEnd"/>
      <w:r w:rsidRPr="00796A75">
        <w:t xml:space="preserve"> 90.2   </w:t>
      </w:r>
      <w:r w:rsidRPr="00565045">
        <w:rPr>
          <w:i/>
        </w:rPr>
        <w:t>[No Change]</w:t>
      </w:r>
      <w:bookmarkEnd w:id="24"/>
    </w:p>
    <w:p w:rsidR="0037387F" w:rsidRPr="00357623" w:rsidRDefault="0037387F" w:rsidP="000D070B">
      <w:pPr>
        <w:pStyle w:val="LegSubRule"/>
        <w:rPr>
          <w:szCs w:val="22"/>
        </w:rPr>
      </w:pPr>
      <w:bookmarkStart w:id="26" w:name="_Toc386449393"/>
      <w:r>
        <w:rPr>
          <w:szCs w:val="22"/>
        </w:rPr>
        <w:t>90.3</w:t>
      </w:r>
      <w:r w:rsidRPr="00357623">
        <w:rPr>
          <w:szCs w:val="22"/>
        </w:rPr>
        <w:t>   </w:t>
      </w:r>
      <w:r w:rsidRPr="00565045">
        <w:rPr>
          <w:i/>
        </w:rPr>
        <w:t>Effects of Acts by or in Relation to Agents and Common Representatives</w:t>
      </w:r>
      <w:bookmarkEnd w:id="26"/>
    </w:p>
    <w:p w:rsidR="0037387F" w:rsidRPr="00357623" w:rsidRDefault="0037387F" w:rsidP="00565045">
      <w:pPr>
        <w:pStyle w:val="Lega"/>
        <w:jc w:val="left"/>
      </w:pPr>
      <w:r>
        <w:tab/>
        <w:t>(</w:t>
      </w:r>
      <w:proofErr w:type="gramStart"/>
      <w:r>
        <w:t>a</w:t>
      </w:r>
      <w:proofErr w:type="gramEnd"/>
      <w:r>
        <w:t>) and (b</w:t>
      </w:r>
      <w:r w:rsidRPr="00357623">
        <w:t>)  [No change]</w:t>
      </w:r>
    </w:p>
    <w:p w:rsidR="0037387F" w:rsidRPr="00357623" w:rsidRDefault="0037387F" w:rsidP="00565045">
      <w:pPr>
        <w:pStyle w:val="Lega"/>
        <w:jc w:val="left"/>
        <w:rPr>
          <w:rStyle w:val="InsertedText"/>
        </w:rPr>
      </w:pPr>
      <w:r w:rsidRPr="00357623">
        <w:tab/>
      </w:r>
      <w:r>
        <w:t>(c)</w:t>
      </w:r>
      <w:r w:rsidRPr="0053061F">
        <w:t xml:space="preserve">  Subject to Rule </w:t>
      </w:r>
      <w:proofErr w:type="gramStart"/>
      <w:r w:rsidRPr="0053061F">
        <w:t>90</w:t>
      </w:r>
      <w:r w:rsidRPr="0053061F">
        <w:rPr>
          <w:i/>
        </w:rPr>
        <w:t>bis</w:t>
      </w:r>
      <w:r w:rsidRPr="0053061F">
        <w:t>.5</w:t>
      </w:r>
      <w:r w:rsidRPr="0037387F">
        <w:rPr>
          <w:rStyle w:val="DeletedText"/>
        </w:rPr>
        <w:t>(</w:t>
      </w:r>
      <w:proofErr w:type="gramEnd"/>
      <w:r w:rsidRPr="0037387F">
        <w:rPr>
          <w:rStyle w:val="DeletedText"/>
        </w:rPr>
        <w:t>a)</w:t>
      </w:r>
      <w:r w:rsidRPr="0053061F">
        <w:t>, second sentence, any act by or in relation to a common representative or his agent shall have the effect of an act by or in relation to all the applicants</w:t>
      </w:r>
      <w:r w:rsidR="003378DF" w:rsidRPr="003378DF">
        <w:rPr>
          <w:rStyle w:val="InsertedText"/>
          <w:u w:val="none"/>
        </w:rPr>
        <w:t>.</w:t>
      </w:r>
    </w:p>
    <w:p w:rsidR="0037387F" w:rsidRPr="00796A75" w:rsidRDefault="0037387F" w:rsidP="00081FA9">
      <w:pPr>
        <w:pStyle w:val="LegSubRule"/>
      </w:pPr>
      <w:bookmarkStart w:id="27" w:name="_Toc386449394"/>
      <w:r w:rsidRPr="00796A75">
        <w:t>90.4 to 90.6   </w:t>
      </w:r>
      <w:r w:rsidRPr="00565045">
        <w:rPr>
          <w:i/>
        </w:rPr>
        <w:t>[No Change]</w:t>
      </w:r>
      <w:bookmarkEnd w:id="27"/>
    </w:p>
    <w:bookmarkEnd w:id="25"/>
    <w:p w:rsidR="0053061F" w:rsidRDefault="0053061F" w:rsidP="00D212CD">
      <w:pPr>
        <w:pStyle w:val="Endofdocument-Annex"/>
        <w:ind w:left="0"/>
      </w:pPr>
    </w:p>
    <w:p w:rsidR="0053061F" w:rsidRDefault="0053061F" w:rsidP="002607E3">
      <w:pPr>
        <w:pStyle w:val="Endofdocument-Annex"/>
        <w:ind w:left="0"/>
      </w:pPr>
    </w:p>
    <w:p w:rsidR="002607E3" w:rsidRDefault="002607E3" w:rsidP="0037387F">
      <w:pPr>
        <w:pStyle w:val="LegTitle"/>
      </w:pPr>
      <w:bookmarkStart w:id="28" w:name="_Toc386449395"/>
      <w:r>
        <w:lastRenderedPageBreak/>
        <w:t>SCHEDULE OF FEES</w:t>
      </w:r>
      <w:bookmarkEnd w:id="28"/>
      <w:r w:rsidR="00D006CF">
        <w:t xml:space="preserve">  </w:t>
      </w:r>
    </w:p>
    <w:p w:rsidR="002607E3" w:rsidRDefault="002607E3" w:rsidP="002607E3">
      <w:pPr>
        <w:pStyle w:val="Endofdocument-Annex"/>
        <w:ind w:left="0"/>
        <w:jc w:val="center"/>
      </w:pPr>
    </w:p>
    <w:p w:rsidR="00187D54" w:rsidRDefault="00187D54" w:rsidP="002607E3">
      <w:pPr>
        <w:pStyle w:val="Endofdocument-Annex"/>
        <w:ind w:left="0"/>
      </w:pPr>
    </w:p>
    <w:tbl>
      <w:tblPr>
        <w:tblW w:w="0" w:type="auto"/>
        <w:jc w:val="center"/>
        <w:tblLayout w:type="fixed"/>
        <w:tblCellMar>
          <w:left w:w="56" w:type="dxa"/>
          <w:right w:w="56" w:type="dxa"/>
        </w:tblCellMar>
        <w:tblLook w:val="0000" w:firstRow="0" w:lastRow="0" w:firstColumn="0" w:lastColumn="0" w:noHBand="0" w:noVBand="0"/>
      </w:tblPr>
      <w:tblGrid>
        <w:gridCol w:w="33"/>
        <w:gridCol w:w="583"/>
        <w:gridCol w:w="5496"/>
        <w:gridCol w:w="33"/>
        <w:gridCol w:w="2968"/>
        <w:gridCol w:w="33"/>
      </w:tblGrid>
      <w:tr w:rsidR="00187D54" w:rsidRPr="0092784E" w:rsidTr="004D47CC">
        <w:trPr>
          <w:gridAfter w:val="1"/>
          <w:wAfter w:w="33" w:type="dxa"/>
          <w:jc w:val="center"/>
        </w:trPr>
        <w:tc>
          <w:tcPr>
            <w:tcW w:w="6112" w:type="dxa"/>
            <w:gridSpan w:val="3"/>
          </w:tcPr>
          <w:p w:rsidR="00187D54" w:rsidRPr="0092784E" w:rsidRDefault="00187D54" w:rsidP="004D47CC">
            <w:pPr>
              <w:suppressAutoHyphens/>
              <w:spacing w:after="120"/>
              <w:rPr>
                <w:b/>
                <w:szCs w:val="28"/>
              </w:rPr>
            </w:pPr>
            <w:r w:rsidRPr="0092784E">
              <w:rPr>
                <w:b/>
                <w:szCs w:val="28"/>
              </w:rPr>
              <w:t>Fees</w:t>
            </w:r>
          </w:p>
        </w:tc>
        <w:tc>
          <w:tcPr>
            <w:tcW w:w="3001" w:type="dxa"/>
            <w:gridSpan w:val="2"/>
          </w:tcPr>
          <w:p w:rsidR="00187D54" w:rsidRPr="0092784E" w:rsidRDefault="00187D54" w:rsidP="004D47CC">
            <w:pPr>
              <w:suppressAutoHyphens/>
              <w:spacing w:after="120"/>
              <w:rPr>
                <w:b/>
                <w:szCs w:val="28"/>
              </w:rPr>
            </w:pPr>
            <w:r w:rsidRPr="0092784E">
              <w:rPr>
                <w:b/>
                <w:szCs w:val="28"/>
              </w:rPr>
              <w:t>Amounts</w:t>
            </w:r>
          </w:p>
        </w:tc>
      </w:tr>
      <w:tr w:rsidR="00187D54" w:rsidRPr="0092784E" w:rsidTr="004D47CC">
        <w:trPr>
          <w:gridBefore w:val="1"/>
          <w:wBefore w:w="33" w:type="dxa"/>
          <w:jc w:val="center"/>
        </w:trPr>
        <w:tc>
          <w:tcPr>
            <w:tcW w:w="583" w:type="dxa"/>
          </w:tcPr>
          <w:p w:rsidR="00187D54" w:rsidRPr="0092784E" w:rsidRDefault="00187D54" w:rsidP="004D47CC">
            <w:pPr>
              <w:suppressAutoHyphens/>
              <w:spacing w:after="120"/>
              <w:rPr>
                <w:szCs w:val="28"/>
              </w:rPr>
            </w:pPr>
            <w:r w:rsidRPr="0092784E">
              <w:rPr>
                <w:szCs w:val="28"/>
              </w:rPr>
              <w:t>1.</w:t>
            </w:r>
          </w:p>
        </w:tc>
        <w:tc>
          <w:tcPr>
            <w:tcW w:w="5529" w:type="dxa"/>
            <w:gridSpan w:val="2"/>
          </w:tcPr>
          <w:p w:rsidR="00187D54" w:rsidRPr="0092784E" w:rsidRDefault="00187D54" w:rsidP="004D47CC">
            <w:pPr>
              <w:suppressAutoHyphens/>
              <w:spacing w:after="120"/>
              <w:ind w:right="313"/>
              <w:rPr>
                <w:szCs w:val="28"/>
              </w:rPr>
            </w:pPr>
            <w:r w:rsidRPr="0092784E">
              <w:rPr>
                <w:szCs w:val="28"/>
              </w:rPr>
              <w:t>International filing fee:</w:t>
            </w:r>
            <w:r w:rsidRPr="0092784E">
              <w:rPr>
                <w:szCs w:val="28"/>
              </w:rPr>
              <w:br/>
              <w:t>(Rule 15.2)</w:t>
            </w:r>
          </w:p>
        </w:tc>
        <w:tc>
          <w:tcPr>
            <w:tcW w:w="3001" w:type="dxa"/>
            <w:gridSpan w:val="2"/>
          </w:tcPr>
          <w:p w:rsidR="00187D54" w:rsidRPr="0037387F" w:rsidRDefault="00187D54" w:rsidP="00187D54">
            <w:pPr>
              <w:tabs>
                <w:tab w:val="right" w:pos="680"/>
                <w:tab w:val="left" w:pos="851"/>
              </w:tabs>
              <w:suppressAutoHyphens/>
              <w:ind w:left="851" w:hanging="851"/>
              <w:rPr>
                <w:i/>
                <w:szCs w:val="28"/>
              </w:rPr>
            </w:pPr>
            <w:r w:rsidRPr="0092784E">
              <w:rPr>
                <w:szCs w:val="28"/>
              </w:rPr>
              <w:tab/>
            </w:r>
            <w:r w:rsidRPr="0037387F">
              <w:rPr>
                <w:i/>
                <w:szCs w:val="28"/>
              </w:rPr>
              <w:t>[No change]</w:t>
            </w:r>
          </w:p>
          <w:p w:rsidR="00187D54" w:rsidRPr="0092784E" w:rsidRDefault="00187D54" w:rsidP="004D47CC">
            <w:pPr>
              <w:tabs>
                <w:tab w:val="right" w:pos="680"/>
                <w:tab w:val="left" w:pos="851"/>
              </w:tabs>
              <w:suppressAutoHyphens/>
              <w:spacing w:after="120"/>
              <w:ind w:left="851" w:hanging="851"/>
              <w:rPr>
                <w:szCs w:val="28"/>
              </w:rPr>
            </w:pPr>
          </w:p>
        </w:tc>
      </w:tr>
      <w:tr w:rsidR="00187D54" w:rsidRPr="0092784E" w:rsidTr="004D47CC">
        <w:trPr>
          <w:gridBefore w:val="1"/>
          <w:wBefore w:w="33" w:type="dxa"/>
          <w:jc w:val="center"/>
        </w:trPr>
        <w:tc>
          <w:tcPr>
            <w:tcW w:w="583" w:type="dxa"/>
          </w:tcPr>
          <w:p w:rsidR="00187D54" w:rsidRPr="0092784E" w:rsidRDefault="00187D54" w:rsidP="004D47CC">
            <w:pPr>
              <w:suppressAutoHyphens/>
              <w:spacing w:after="120"/>
              <w:rPr>
                <w:szCs w:val="28"/>
              </w:rPr>
            </w:pPr>
            <w:r w:rsidRPr="0092784E">
              <w:rPr>
                <w:szCs w:val="28"/>
              </w:rPr>
              <w:t>2.</w:t>
            </w:r>
          </w:p>
        </w:tc>
        <w:tc>
          <w:tcPr>
            <w:tcW w:w="5529" w:type="dxa"/>
            <w:gridSpan w:val="2"/>
          </w:tcPr>
          <w:p w:rsidR="00187D54" w:rsidRPr="0092784E" w:rsidRDefault="00187D54" w:rsidP="004D47CC">
            <w:pPr>
              <w:suppressAutoHyphens/>
              <w:spacing w:after="120"/>
              <w:ind w:right="313"/>
              <w:rPr>
                <w:szCs w:val="28"/>
              </w:rPr>
            </w:pPr>
            <w:r w:rsidRPr="0092784E">
              <w:rPr>
                <w:szCs w:val="28"/>
              </w:rPr>
              <w:t>Supplementary search handling fee:</w:t>
            </w:r>
            <w:r w:rsidRPr="0092784E">
              <w:rPr>
                <w:szCs w:val="28"/>
              </w:rPr>
              <w:br/>
              <w:t>(Rule 45</w:t>
            </w:r>
            <w:r w:rsidRPr="0092784E">
              <w:rPr>
                <w:i/>
                <w:szCs w:val="28"/>
              </w:rPr>
              <w:t>bis</w:t>
            </w:r>
            <w:r w:rsidRPr="0092784E">
              <w:rPr>
                <w:szCs w:val="28"/>
              </w:rPr>
              <w:t>.2)</w:t>
            </w:r>
          </w:p>
        </w:tc>
        <w:tc>
          <w:tcPr>
            <w:tcW w:w="3001" w:type="dxa"/>
            <w:gridSpan w:val="2"/>
          </w:tcPr>
          <w:p w:rsidR="00187D54" w:rsidRPr="0037387F" w:rsidRDefault="00187D54" w:rsidP="00187D54">
            <w:pPr>
              <w:tabs>
                <w:tab w:val="right" w:pos="680"/>
                <w:tab w:val="left" w:pos="851"/>
              </w:tabs>
              <w:suppressAutoHyphens/>
              <w:spacing w:after="120"/>
              <w:rPr>
                <w:i/>
                <w:szCs w:val="28"/>
              </w:rPr>
            </w:pPr>
            <w:r w:rsidRPr="0092784E">
              <w:rPr>
                <w:szCs w:val="28"/>
              </w:rPr>
              <w:tab/>
            </w:r>
            <w:r w:rsidRPr="0037387F">
              <w:rPr>
                <w:i/>
                <w:szCs w:val="28"/>
              </w:rPr>
              <w:t>[No change]</w:t>
            </w:r>
          </w:p>
        </w:tc>
      </w:tr>
      <w:tr w:rsidR="00187D54" w:rsidRPr="0092784E" w:rsidTr="004D47CC">
        <w:trPr>
          <w:gridBefore w:val="1"/>
          <w:wBefore w:w="33" w:type="dxa"/>
          <w:jc w:val="center"/>
        </w:trPr>
        <w:tc>
          <w:tcPr>
            <w:tcW w:w="583" w:type="dxa"/>
          </w:tcPr>
          <w:p w:rsidR="00187D54" w:rsidRPr="0092784E" w:rsidRDefault="00187D54" w:rsidP="004D47CC">
            <w:pPr>
              <w:suppressAutoHyphens/>
              <w:spacing w:after="120"/>
              <w:rPr>
                <w:szCs w:val="28"/>
              </w:rPr>
            </w:pPr>
            <w:r w:rsidRPr="0092784E">
              <w:rPr>
                <w:szCs w:val="28"/>
              </w:rPr>
              <w:t>3.</w:t>
            </w:r>
          </w:p>
        </w:tc>
        <w:tc>
          <w:tcPr>
            <w:tcW w:w="5529" w:type="dxa"/>
            <w:gridSpan w:val="2"/>
          </w:tcPr>
          <w:p w:rsidR="00187D54" w:rsidRPr="0092784E" w:rsidRDefault="00187D54" w:rsidP="004D47CC">
            <w:pPr>
              <w:suppressAutoHyphens/>
              <w:spacing w:after="120"/>
              <w:ind w:right="313"/>
              <w:rPr>
                <w:szCs w:val="28"/>
              </w:rPr>
            </w:pPr>
            <w:r w:rsidRPr="0092784E">
              <w:rPr>
                <w:szCs w:val="28"/>
              </w:rPr>
              <w:t>Handling fee:</w:t>
            </w:r>
            <w:r w:rsidRPr="0092784E">
              <w:rPr>
                <w:szCs w:val="28"/>
              </w:rPr>
              <w:br/>
              <w:t>(Rule 57.2)</w:t>
            </w:r>
          </w:p>
        </w:tc>
        <w:tc>
          <w:tcPr>
            <w:tcW w:w="3001" w:type="dxa"/>
            <w:gridSpan w:val="2"/>
          </w:tcPr>
          <w:p w:rsidR="00187D54" w:rsidRPr="0037387F" w:rsidRDefault="00187D54" w:rsidP="00187D54">
            <w:pPr>
              <w:tabs>
                <w:tab w:val="right" w:pos="680"/>
                <w:tab w:val="left" w:pos="851"/>
              </w:tabs>
              <w:suppressAutoHyphens/>
              <w:spacing w:after="120"/>
              <w:rPr>
                <w:i/>
                <w:szCs w:val="28"/>
              </w:rPr>
            </w:pPr>
            <w:r w:rsidRPr="0092784E">
              <w:rPr>
                <w:szCs w:val="28"/>
              </w:rPr>
              <w:tab/>
            </w:r>
            <w:r w:rsidRPr="0037387F">
              <w:rPr>
                <w:i/>
                <w:szCs w:val="28"/>
              </w:rPr>
              <w:t>[No change]</w:t>
            </w:r>
          </w:p>
        </w:tc>
      </w:tr>
      <w:tr w:rsidR="00187D54" w:rsidRPr="0092784E" w:rsidTr="004D47CC">
        <w:trPr>
          <w:gridBefore w:val="1"/>
          <w:wBefore w:w="33" w:type="dxa"/>
          <w:cantSplit/>
          <w:jc w:val="center"/>
        </w:trPr>
        <w:tc>
          <w:tcPr>
            <w:tcW w:w="6112" w:type="dxa"/>
            <w:gridSpan w:val="3"/>
          </w:tcPr>
          <w:p w:rsidR="00187D54" w:rsidRPr="0092784E" w:rsidRDefault="00187D54" w:rsidP="004D47CC">
            <w:pPr>
              <w:suppressAutoHyphens/>
              <w:spacing w:after="120"/>
              <w:ind w:right="313"/>
              <w:rPr>
                <w:szCs w:val="28"/>
              </w:rPr>
            </w:pPr>
            <w:r w:rsidRPr="0092784E">
              <w:rPr>
                <w:b/>
                <w:szCs w:val="28"/>
              </w:rPr>
              <w:t>Reductions</w:t>
            </w:r>
          </w:p>
        </w:tc>
        <w:tc>
          <w:tcPr>
            <w:tcW w:w="3001" w:type="dxa"/>
            <w:gridSpan w:val="2"/>
          </w:tcPr>
          <w:p w:rsidR="00187D54" w:rsidRPr="0092784E" w:rsidRDefault="00187D54" w:rsidP="004D47CC">
            <w:pPr>
              <w:suppressAutoHyphens/>
              <w:spacing w:after="120"/>
              <w:ind w:left="454" w:hanging="454"/>
              <w:rPr>
                <w:strike/>
                <w:szCs w:val="28"/>
              </w:rPr>
            </w:pPr>
          </w:p>
        </w:tc>
      </w:tr>
      <w:tr w:rsidR="00187D54" w:rsidRPr="0092784E" w:rsidTr="004D47CC">
        <w:trPr>
          <w:gridBefore w:val="1"/>
          <w:wBefore w:w="33" w:type="dxa"/>
          <w:cantSplit/>
          <w:jc w:val="center"/>
        </w:trPr>
        <w:tc>
          <w:tcPr>
            <w:tcW w:w="9113" w:type="dxa"/>
            <w:gridSpan w:val="5"/>
          </w:tcPr>
          <w:p w:rsidR="00187D54" w:rsidRPr="0092784E" w:rsidRDefault="00187D54" w:rsidP="004D47CC">
            <w:pPr>
              <w:tabs>
                <w:tab w:val="left" w:pos="532"/>
              </w:tabs>
              <w:spacing w:after="120"/>
              <w:jc w:val="both"/>
              <w:rPr>
                <w:szCs w:val="28"/>
              </w:rPr>
            </w:pPr>
            <w:r w:rsidRPr="0092784E">
              <w:rPr>
                <w:szCs w:val="28"/>
              </w:rPr>
              <w:t>4.</w:t>
            </w:r>
            <w:r w:rsidRPr="0092784E">
              <w:rPr>
                <w:szCs w:val="28"/>
              </w:rPr>
              <w:tab/>
              <w:t>The international filing fee is reduced by the following amount if the international application is, as provided for in the Administrative Instructions, filed:</w:t>
            </w:r>
          </w:p>
        </w:tc>
      </w:tr>
      <w:tr w:rsidR="00187D54" w:rsidRPr="0092784E" w:rsidTr="004D47CC">
        <w:trPr>
          <w:gridBefore w:val="1"/>
          <w:wBefore w:w="33" w:type="dxa"/>
          <w:jc w:val="center"/>
        </w:trPr>
        <w:tc>
          <w:tcPr>
            <w:tcW w:w="583" w:type="dxa"/>
          </w:tcPr>
          <w:p w:rsidR="00187D54" w:rsidRPr="0092784E" w:rsidRDefault="00187D54" w:rsidP="004D47CC">
            <w:pPr>
              <w:suppressAutoHyphens/>
              <w:spacing w:after="120"/>
              <w:rPr>
                <w:szCs w:val="28"/>
              </w:rPr>
            </w:pPr>
          </w:p>
        </w:tc>
        <w:tc>
          <w:tcPr>
            <w:tcW w:w="5529" w:type="dxa"/>
            <w:gridSpan w:val="2"/>
          </w:tcPr>
          <w:p w:rsidR="00187D54" w:rsidRPr="006A5FBA" w:rsidRDefault="00187D54" w:rsidP="004D47CC">
            <w:pPr>
              <w:suppressAutoHyphens/>
              <w:spacing w:after="120"/>
              <w:ind w:left="567" w:right="284" w:hanging="567"/>
              <w:jc w:val="both"/>
              <w:rPr>
                <w:rStyle w:val="DeletedText"/>
              </w:rPr>
            </w:pPr>
            <w:r w:rsidRPr="006A5FBA">
              <w:rPr>
                <w:rStyle w:val="DeletedText"/>
              </w:rPr>
              <w:t>(a)</w:t>
            </w:r>
            <w:r w:rsidRPr="006A5FBA">
              <w:rPr>
                <w:rStyle w:val="DeletedText"/>
              </w:rPr>
              <w:tab/>
              <w:t>on paper together with a copy in electronic form, in character coded format, of the request and the abstract:</w:t>
            </w:r>
          </w:p>
        </w:tc>
        <w:tc>
          <w:tcPr>
            <w:tcW w:w="3001" w:type="dxa"/>
            <w:gridSpan w:val="2"/>
          </w:tcPr>
          <w:p w:rsidR="00187D54" w:rsidRPr="006A5FBA" w:rsidRDefault="00187D54" w:rsidP="004D47CC">
            <w:pPr>
              <w:tabs>
                <w:tab w:val="right" w:pos="680"/>
                <w:tab w:val="left" w:pos="851"/>
              </w:tabs>
              <w:suppressAutoHyphens/>
              <w:spacing w:after="120"/>
              <w:rPr>
                <w:rStyle w:val="DeletedText"/>
              </w:rPr>
            </w:pPr>
            <w:r w:rsidRPr="006A5FBA">
              <w:rPr>
                <w:rStyle w:val="DeletedText"/>
              </w:rPr>
              <w:br/>
            </w:r>
            <w:r w:rsidRPr="006A5FBA">
              <w:rPr>
                <w:rStyle w:val="DeletedText"/>
              </w:rPr>
              <w:br/>
            </w:r>
            <w:r w:rsidRPr="006A5FBA">
              <w:rPr>
                <w:rStyle w:val="DeletedText"/>
              </w:rPr>
              <w:tab/>
              <w:t xml:space="preserve">100 </w:t>
            </w:r>
            <w:r w:rsidRPr="006A5FBA">
              <w:rPr>
                <w:rStyle w:val="DeletedText"/>
              </w:rPr>
              <w:tab/>
              <w:t>Swiss francs</w:t>
            </w:r>
          </w:p>
        </w:tc>
      </w:tr>
      <w:tr w:rsidR="00187D54" w:rsidRPr="0092784E" w:rsidTr="004D47CC">
        <w:trPr>
          <w:gridBefore w:val="1"/>
          <w:wBefore w:w="33" w:type="dxa"/>
          <w:jc w:val="center"/>
        </w:trPr>
        <w:tc>
          <w:tcPr>
            <w:tcW w:w="583" w:type="dxa"/>
          </w:tcPr>
          <w:p w:rsidR="00187D54" w:rsidRPr="0092784E" w:rsidRDefault="00187D54" w:rsidP="004D47CC">
            <w:pPr>
              <w:suppressAutoHyphens/>
              <w:spacing w:after="120"/>
              <w:rPr>
                <w:szCs w:val="28"/>
              </w:rPr>
            </w:pPr>
          </w:p>
        </w:tc>
        <w:tc>
          <w:tcPr>
            <w:tcW w:w="5529" w:type="dxa"/>
            <w:gridSpan w:val="2"/>
          </w:tcPr>
          <w:p w:rsidR="00187D54" w:rsidRPr="0092784E" w:rsidRDefault="00187D54" w:rsidP="004D47CC">
            <w:pPr>
              <w:suppressAutoHyphens/>
              <w:spacing w:after="120"/>
              <w:ind w:left="567" w:right="284" w:hanging="567"/>
              <w:jc w:val="both"/>
              <w:rPr>
                <w:szCs w:val="28"/>
              </w:rPr>
            </w:pPr>
            <w:r w:rsidRPr="006A5FBA">
              <w:rPr>
                <w:rStyle w:val="DeletedText"/>
              </w:rPr>
              <w:t>(b)</w:t>
            </w:r>
            <w:r w:rsidR="006A5FBA" w:rsidRPr="004C20DB">
              <w:rPr>
                <w:rStyle w:val="InsertedText"/>
                <w:color w:val="0070C0"/>
              </w:rPr>
              <w:t>(a)</w:t>
            </w:r>
            <w:r w:rsidRPr="006A5FBA">
              <w:rPr>
                <w:rStyle w:val="InsertedText"/>
              </w:rPr>
              <w:tab/>
            </w:r>
            <w:r w:rsidRPr="0092784E">
              <w:rPr>
                <w:szCs w:val="28"/>
              </w:rPr>
              <w:t>in electronic form, the request not being in character coded format:</w:t>
            </w:r>
          </w:p>
        </w:tc>
        <w:tc>
          <w:tcPr>
            <w:tcW w:w="3001" w:type="dxa"/>
            <w:gridSpan w:val="2"/>
          </w:tcPr>
          <w:p w:rsidR="00187D54" w:rsidRPr="0092784E" w:rsidRDefault="00187D54" w:rsidP="004D47CC">
            <w:pPr>
              <w:tabs>
                <w:tab w:val="right" w:pos="680"/>
                <w:tab w:val="left" w:pos="851"/>
              </w:tabs>
              <w:suppressAutoHyphens/>
              <w:spacing w:after="120"/>
              <w:rPr>
                <w:szCs w:val="28"/>
                <w:u w:val="single"/>
              </w:rPr>
            </w:pPr>
            <w:r w:rsidRPr="0092784E">
              <w:rPr>
                <w:szCs w:val="28"/>
              </w:rPr>
              <w:br/>
            </w:r>
            <w:r w:rsidRPr="0092784E">
              <w:rPr>
                <w:szCs w:val="28"/>
              </w:rPr>
              <w:tab/>
            </w:r>
            <w:r w:rsidR="00081FA9" w:rsidRPr="0037387F">
              <w:rPr>
                <w:i/>
                <w:szCs w:val="28"/>
              </w:rPr>
              <w:t>[No change]</w:t>
            </w:r>
          </w:p>
        </w:tc>
      </w:tr>
      <w:tr w:rsidR="00187D54" w:rsidRPr="0092784E" w:rsidTr="004D47CC">
        <w:trPr>
          <w:gridBefore w:val="1"/>
          <w:wBefore w:w="33" w:type="dxa"/>
          <w:jc w:val="center"/>
        </w:trPr>
        <w:tc>
          <w:tcPr>
            <w:tcW w:w="583" w:type="dxa"/>
          </w:tcPr>
          <w:p w:rsidR="00187D54" w:rsidRPr="0092784E" w:rsidRDefault="00187D54" w:rsidP="004D47CC">
            <w:pPr>
              <w:suppressAutoHyphens/>
              <w:spacing w:after="120"/>
              <w:rPr>
                <w:szCs w:val="28"/>
              </w:rPr>
            </w:pPr>
          </w:p>
        </w:tc>
        <w:tc>
          <w:tcPr>
            <w:tcW w:w="5529" w:type="dxa"/>
            <w:gridSpan w:val="2"/>
          </w:tcPr>
          <w:p w:rsidR="00187D54" w:rsidRPr="0092784E" w:rsidRDefault="00187D54" w:rsidP="004D47CC">
            <w:pPr>
              <w:suppressAutoHyphens/>
              <w:spacing w:after="120"/>
              <w:ind w:left="567" w:right="284" w:hanging="567"/>
              <w:jc w:val="both"/>
              <w:rPr>
                <w:szCs w:val="28"/>
              </w:rPr>
            </w:pPr>
            <w:r w:rsidRPr="006A5FBA">
              <w:rPr>
                <w:rStyle w:val="DeletedText"/>
              </w:rPr>
              <w:t>(c)</w:t>
            </w:r>
            <w:r w:rsidR="006A5FBA" w:rsidRPr="004C20DB">
              <w:rPr>
                <w:rStyle w:val="InsertedText"/>
                <w:color w:val="0070C0"/>
              </w:rPr>
              <w:t>(b)</w:t>
            </w:r>
            <w:r w:rsidRPr="0092784E">
              <w:rPr>
                <w:szCs w:val="28"/>
              </w:rPr>
              <w:tab/>
              <w:t>in electronic form, the request being in character coded format:</w:t>
            </w:r>
          </w:p>
        </w:tc>
        <w:tc>
          <w:tcPr>
            <w:tcW w:w="3001" w:type="dxa"/>
            <w:gridSpan w:val="2"/>
          </w:tcPr>
          <w:p w:rsidR="00187D54" w:rsidRPr="0092784E" w:rsidRDefault="00187D54" w:rsidP="00081FA9">
            <w:pPr>
              <w:tabs>
                <w:tab w:val="right" w:pos="680"/>
                <w:tab w:val="left" w:pos="851"/>
              </w:tabs>
              <w:suppressAutoHyphens/>
              <w:spacing w:after="120"/>
              <w:rPr>
                <w:szCs w:val="28"/>
              </w:rPr>
            </w:pPr>
            <w:r w:rsidRPr="0092784E">
              <w:rPr>
                <w:szCs w:val="28"/>
                <w:u w:val="single"/>
              </w:rPr>
              <w:br/>
            </w:r>
            <w:r w:rsidRPr="0092784E">
              <w:rPr>
                <w:szCs w:val="28"/>
              </w:rPr>
              <w:tab/>
            </w:r>
            <w:r w:rsidR="00081FA9" w:rsidRPr="0037387F">
              <w:rPr>
                <w:i/>
                <w:szCs w:val="28"/>
              </w:rPr>
              <w:t>[No change]</w:t>
            </w:r>
          </w:p>
        </w:tc>
      </w:tr>
      <w:tr w:rsidR="00187D54" w:rsidRPr="0092784E" w:rsidTr="004D47CC">
        <w:trPr>
          <w:gridBefore w:val="1"/>
          <w:wBefore w:w="33" w:type="dxa"/>
          <w:jc w:val="center"/>
        </w:trPr>
        <w:tc>
          <w:tcPr>
            <w:tcW w:w="583" w:type="dxa"/>
          </w:tcPr>
          <w:p w:rsidR="00187D54" w:rsidRPr="0092784E" w:rsidRDefault="00187D54" w:rsidP="004D47CC">
            <w:pPr>
              <w:suppressAutoHyphens/>
              <w:spacing w:after="120"/>
              <w:rPr>
                <w:szCs w:val="28"/>
              </w:rPr>
            </w:pPr>
          </w:p>
        </w:tc>
        <w:tc>
          <w:tcPr>
            <w:tcW w:w="5529" w:type="dxa"/>
            <w:gridSpan w:val="2"/>
          </w:tcPr>
          <w:p w:rsidR="00187D54" w:rsidRPr="0092784E" w:rsidRDefault="00187D54" w:rsidP="004D47CC">
            <w:pPr>
              <w:suppressAutoHyphens/>
              <w:spacing w:after="120"/>
              <w:ind w:left="567" w:right="284" w:hanging="567"/>
              <w:jc w:val="both"/>
              <w:rPr>
                <w:szCs w:val="28"/>
              </w:rPr>
            </w:pPr>
            <w:r w:rsidRPr="006A5FBA">
              <w:rPr>
                <w:rStyle w:val="DeletedText"/>
              </w:rPr>
              <w:t>(d)</w:t>
            </w:r>
            <w:r w:rsidR="006A5FBA" w:rsidRPr="004C20DB">
              <w:rPr>
                <w:rStyle w:val="InsertedText"/>
                <w:color w:val="0070C0"/>
              </w:rPr>
              <w:t>(c)</w:t>
            </w:r>
            <w:r w:rsidRPr="0092784E">
              <w:rPr>
                <w:szCs w:val="28"/>
              </w:rPr>
              <w:tab/>
              <w:t>in electronic form, the request, description, claims and abstract being in character coded format:</w:t>
            </w:r>
          </w:p>
        </w:tc>
        <w:tc>
          <w:tcPr>
            <w:tcW w:w="3001" w:type="dxa"/>
            <w:gridSpan w:val="2"/>
          </w:tcPr>
          <w:p w:rsidR="00187D54" w:rsidRPr="0092784E" w:rsidRDefault="00187D54" w:rsidP="00081FA9">
            <w:pPr>
              <w:tabs>
                <w:tab w:val="right" w:pos="680"/>
                <w:tab w:val="left" w:pos="851"/>
              </w:tabs>
              <w:suppressAutoHyphens/>
              <w:spacing w:after="120"/>
              <w:rPr>
                <w:szCs w:val="28"/>
              </w:rPr>
            </w:pPr>
            <w:r w:rsidRPr="0092784E">
              <w:rPr>
                <w:szCs w:val="28"/>
                <w:u w:val="single"/>
              </w:rPr>
              <w:br/>
            </w:r>
            <w:r w:rsidRPr="0092784E">
              <w:rPr>
                <w:szCs w:val="28"/>
                <w:u w:val="single"/>
              </w:rPr>
              <w:br/>
            </w:r>
            <w:r w:rsidRPr="0092784E">
              <w:rPr>
                <w:szCs w:val="28"/>
              </w:rPr>
              <w:tab/>
            </w:r>
            <w:r w:rsidR="00081FA9" w:rsidRPr="0037387F">
              <w:rPr>
                <w:i/>
                <w:szCs w:val="28"/>
              </w:rPr>
              <w:t>[No change]</w:t>
            </w:r>
          </w:p>
        </w:tc>
      </w:tr>
      <w:tr w:rsidR="00187D54" w:rsidRPr="0092784E" w:rsidTr="004D47CC">
        <w:trPr>
          <w:gridBefore w:val="1"/>
          <w:wBefore w:w="33" w:type="dxa"/>
          <w:cantSplit/>
          <w:jc w:val="center"/>
        </w:trPr>
        <w:tc>
          <w:tcPr>
            <w:tcW w:w="9113" w:type="dxa"/>
            <w:gridSpan w:val="5"/>
          </w:tcPr>
          <w:p w:rsidR="00187D54" w:rsidRPr="0092784E" w:rsidRDefault="00187D54" w:rsidP="006A5FBA">
            <w:pPr>
              <w:tabs>
                <w:tab w:val="left" w:pos="532"/>
              </w:tabs>
              <w:suppressAutoHyphens/>
              <w:spacing w:after="120"/>
              <w:jc w:val="both"/>
              <w:rPr>
                <w:szCs w:val="28"/>
              </w:rPr>
            </w:pPr>
            <w:r w:rsidRPr="0092784E">
              <w:rPr>
                <w:szCs w:val="28"/>
              </w:rPr>
              <w:t>5.</w:t>
            </w:r>
            <w:r w:rsidRPr="0092784E">
              <w:rPr>
                <w:szCs w:val="28"/>
              </w:rPr>
              <w:tab/>
            </w:r>
            <w:r w:rsidR="006A5FBA" w:rsidRPr="0037387F">
              <w:rPr>
                <w:i/>
                <w:szCs w:val="28"/>
              </w:rPr>
              <w:t>[No change]</w:t>
            </w:r>
            <w:r w:rsidR="006A5FBA">
              <w:rPr>
                <w:szCs w:val="28"/>
              </w:rPr>
              <w:t xml:space="preserve"> </w:t>
            </w:r>
          </w:p>
        </w:tc>
      </w:tr>
    </w:tbl>
    <w:p w:rsidR="00187D54" w:rsidRDefault="00187D54" w:rsidP="002607E3">
      <w:pPr>
        <w:pStyle w:val="Endofdocument-Annex"/>
        <w:ind w:left="0"/>
      </w:pPr>
    </w:p>
    <w:p w:rsidR="00367107" w:rsidRDefault="00367107" w:rsidP="002607E3">
      <w:pPr>
        <w:pStyle w:val="Endofdocument-Annex"/>
        <w:ind w:left="0"/>
      </w:pPr>
    </w:p>
    <w:p w:rsidR="002607E3" w:rsidRPr="00515DCC" w:rsidRDefault="00515DCC" w:rsidP="00515DCC">
      <w:pPr>
        <w:pStyle w:val="Endofdocument-Annex"/>
      </w:pPr>
      <w:r w:rsidRPr="00515DCC">
        <w:t>[</w:t>
      </w:r>
      <w:r>
        <w:t xml:space="preserve">End of </w:t>
      </w:r>
      <w:r w:rsidRPr="00515DCC">
        <w:t xml:space="preserve">Annex </w:t>
      </w:r>
      <w:r>
        <w:t>and of document</w:t>
      </w:r>
      <w:r w:rsidRPr="00515DCC">
        <w:t>]</w:t>
      </w:r>
    </w:p>
    <w:sectPr w:rsidR="002607E3" w:rsidRPr="00515DCC" w:rsidSect="002A1BB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D30" w:rsidRDefault="00833D30">
      <w:r>
        <w:separator/>
      </w:r>
    </w:p>
  </w:endnote>
  <w:endnote w:type="continuationSeparator" w:id="0">
    <w:p w:rsidR="00833D30" w:rsidRDefault="00833D30" w:rsidP="003B38C1">
      <w:r>
        <w:separator/>
      </w:r>
    </w:p>
    <w:p w:rsidR="00833D30" w:rsidRPr="003B38C1" w:rsidRDefault="00833D30" w:rsidP="003B38C1">
      <w:pPr>
        <w:spacing w:after="60"/>
        <w:rPr>
          <w:sz w:val="17"/>
        </w:rPr>
      </w:pPr>
      <w:r>
        <w:rPr>
          <w:sz w:val="17"/>
        </w:rPr>
        <w:t>[Endnote continued from previous page]</w:t>
      </w:r>
    </w:p>
  </w:endnote>
  <w:endnote w:type="continuationNotice" w:id="1">
    <w:p w:rsidR="00833D30" w:rsidRPr="003B38C1" w:rsidRDefault="00833D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D30" w:rsidRDefault="00833D30">
      <w:r>
        <w:separator/>
      </w:r>
    </w:p>
  </w:footnote>
  <w:footnote w:type="continuationSeparator" w:id="0">
    <w:p w:rsidR="00833D30" w:rsidRDefault="00833D30" w:rsidP="008B60B2">
      <w:r>
        <w:separator/>
      </w:r>
    </w:p>
    <w:p w:rsidR="00833D30" w:rsidRPr="00ED77FB" w:rsidRDefault="00833D30" w:rsidP="008B60B2">
      <w:pPr>
        <w:spacing w:after="60"/>
        <w:rPr>
          <w:sz w:val="17"/>
          <w:szCs w:val="17"/>
        </w:rPr>
      </w:pPr>
      <w:r w:rsidRPr="00ED77FB">
        <w:rPr>
          <w:sz w:val="17"/>
          <w:szCs w:val="17"/>
        </w:rPr>
        <w:t>[Footnote continued from previous page]</w:t>
      </w:r>
    </w:p>
  </w:footnote>
  <w:footnote w:type="continuationNotice" w:id="1">
    <w:p w:rsidR="00833D30" w:rsidRPr="00ED77FB" w:rsidRDefault="00833D30" w:rsidP="008B60B2">
      <w:pPr>
        <w:spacing w:before="60"/>
        <w:jc w:val="right"/>
        <w:rPr>
          <w:sz w:val="17"/>
          <w:szCs w:val="17"/>
        </w:rPr>
      </w:pPr>
      <w:r w:rsidRPr="00ED77FB">
        <w:rPr>
          <w:sz w:val="17"/>
          <w:szCs w:val="17"/>
        </w:rPr>
        <w:t>[Footnote continued on next page]</w:t>
      </w:r>
    </w:p>
  </w:footnote>
  <w:footnote w:id="2">
    <w:p w:rsidR="002607E3" w:rsidRDefault="002607E3" w:rsidP="002607E3">
      <w:pPr>
        <w:pStyle w:val="FootnoteText"/>
        <w:tabs>
          <w:tab w:val="left" w:pos="567"/>
        </w:tabs>
      </w:pPr>
      <w:r>
        <w:rPr>
          <w:rStyle w:val="FootnoteReference"/>
        </w:rPr>
        <w:footnoteRef/>
      </w:r>
      <w:r>
        <w:t xml:space="preserve"> </w:t>
      </w:r>
      <w:r>
        <w:tab/>
        <w:t>Proposed additions and deletions are indicated, respectively, by underlining and striking through the text concerned.</w:t>
      </w:r>
      <w:r w:rsidR="001F66D3">
        <w:t xml:space="preserve">  Certain provisions that are not proposed to be amended may be included for ease of 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33D30" w:rsidP="00477D6B">
    <w:pPr>
      <w:jc w:val="right"/>
    </w:pPr>
    <w:bookmarkStart w:id="6" w:name="Code2"/>
    <w:bookmarkEnd w:id="6"/>
    <w:r>
      <w:t>PCT/WG/7/</w:t>
    </w:r>
    <w:r w:rsidR="003C6D36">
      <w:t>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A6103">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BB2" w:rsidRDefault="002A1BB2" w:rsidP="00477D6B">
    <w:pPr>
      <w:jc w:val="right"/>
    </w:pPr>
    <w:r>
      <w:t>PCT/WG/7/15</w:t>
    </w:r>
  </w:p>
  <w:p w:rsidR="002A1BB2" w:rsidRDefault="002A1BB2" w:rsidP="00477D6B">
    <w:pPr>
      <w:jc w:val="right"/>
    </w:pPr>
    <w:r>
      <w:t xml:space="preserve">Annex, page </w:t>
    </w:r>
    <w:r>
      <w:fldChar w:fldCharType="begin"/>
    </w:r>
    <w:r>
      <w:instrText xml:space="preserve"> PAGE  \* MERGEFORMAT </w:instrText>
    </w:r>
    <w:r>
      <w:fldChar w:fldCharType="separate"/>
    </w:r>
    <w:r w:rsidR="004A6103">
      <w:rPr>
        <w:noProof/>
      </w:rPr>
      <w:t>2</w:t>
    </w:r>
    <w:r>
      <w:fldChar w:fldCharType="end"/>
    </w:r>
  </w:p>
  <w:p w:rsidR="002A1BB2" w:rsidRDefault="002A1BB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BB2" w:rsidRDefault="002A1BB2" w:rsidP="002A1BB2">
    <w:pPr>
      <w:pStyle w:val="Header"/>
      <w:jc w:val="right"/>
    </w:pPr>
    <w:r>
      <w:t>PCT/WG/7/15</w:t>
    </w:r>
  </w:p>
  <w:p w:rsidR="002A1BB2" w:rsidRDefault="002A1BB2" w:rsidP="002A1BB2">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A7E8100"/>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30"/>
    <w:rsid w:val="00003728"/>
    <w:rsid w:val="00043CAA"/>
    <w:rsid w:val="00044032"/>
    <w:rsid w:val="0005099A"/>
    <w:rsid w:val="00075432"/>
    <w:rsid w:val="00081FA9"/>
    <w:rsid w:val="000968ED"/>
    <w:rsid w:val="000B1B6D"/>
    <w:rsid w:val="000D070B"/>
    <w:rsid w:val="000D1EBC"/>
    <w:rsid w:val="000F5E56"/>
    <w:rsid w:val="001154FB"/>
    <w:rsid w:val="00135ACB"/>
    <w:rsid w:val="001362EE"/>
    <w:rsid w:val="001832A6"/>
    <w:rsid w:val="00187D54"/>
    <w:rsid w:val="001F5467"/>
    <w:rsid w:val="001F66D3"/>
    <w:rsid w:val="002004A8"/>
    <w:rsid w:val="00232ED5"/>
    <w:rsid w:val="00242E6A"/>
    <w:rsid w:val="002607E3"/>
    <w:rsid w:val="002634C4"/>
    <w:rsid w:val="002928D3"/>
    <w:rsid w:val="00294D2B"/>
    <w:rsid w:val="002A1BB2"/>
    <w:rsid w:val="002F1FE6"/>
    <w:rsid w:val="002F4E68"/>
    <w:rsid w:val="00312F7F"/>
    <w:rsid w:val="00320C01"/>
    <w:rsid w:val="00325469"/>
    <w:rsid w:val="00326A80"/>
    <w:rsid w:val="003378DF"/>
    <w:rsid w:val="00340A4C"/>
    <w:rsid w:val="00361450"/>
    <w:rsid w:val="00367107"/>
    <w:rsid w:val="003673CF"/>
    <w:rsid w:val="0037387F"/>
    <w:rsid w:val="003845C1"/>
    <w:rsid w:val="003A6F89"/>
    <w:rsid w:val="003B38C1"/>
    <w:rsid w:val="003C6D36"/>
    <w:rsid w:val="00423E3E"/>
    <w:rsid w:val="00427AF4"/>
    <w:rsid w:val="00432DCC"/>
    <w:rsid w:val="004647DA"/>
    <w:rsid w:val="00474062"/>
    <w:rsid w:val="00477D6B"/>
    <w:rsid w:val="004A6103"/>
    <w:rsid w:val="004B6350"/>
    <w:rsid w:val="004C20DB"/>
    <w:rsid w:val="004C3306"/>
    <w:rsid w:val="004E2A52"/>
    <w:rsid w:val="004E50AA"/>
    <w:rsid w:val="004F6417"/>
    <w:rsid w:val="005019FF"/>
    <w:rsid w:val="00515DCC"/>
    <w:rsid w:val="00524B9E"/>
    <w:rsid w:val="0053057A"/>
    <w:rsid w:val="0053061F"/>
    <w:rsid w:val="00530AB6"/>
    <w:rsid w:val="00560A29"/>
    <w:rsid w:val="00565045"/>
    <w:rsid w:val="005B0546"/>
    <w:rsid w:val="005B514E"/>
    <w:rsid w:val="005C6649"/>
    <w:rsid w:val="00600519"/>
    <w:rsid w:val="00605827"/>
    <w:rsid w:val="00611C10"/>
    <w:rsid w:val="0064421D"/>
    <w:rsid w:val="00646050"/>
    <w:rsid w:val="00647DD8"/>
    <w:rsid w:val="006713CA"/>
    <w:rsid w:val="00674941"/>
    <w:rsid w:val="00676C5C"/>
    <w:rsid w:val="006A5FBA"/>
    <w:rsid w:val="006C553A"/>
    <w:rsid w:val="00716E2F"/>
    <w:rsid w:val="00763997"/>
    <w:rsid w:val="00796A75"/>
    <w:rsid w:val="007A0676"/>
    <w:rsid w:val="007A4E5E"/>
    <w:rsid w:val="007C0D6F"/>
    <w:rsid w:val="007D1613"/>
    <w:rsid w:val="007D182A"/>
    <w:rsid w:val="007D4567"/>
    <w:rsid w:val="007F1959"/>
    <w:rsid w:val="00810E8A"/>
    <w:rsid w:val="00833D30"/>
    <w:rsid w:val="0089546A"/>
    <w:rsid w:val="008A1D3B"/>
    <w:rsid w:val="008B2CC1"/>
    <w:rsid w:val="008B60B2"/>
    <w:rsid w:val="0090731E"/>
    <w:rsid w:val="0091080F"/>
    <w:rsid w:val="00913C10"/>
    <w:rsid w:val="00916EE2"/>
    <w:rsid w:val="00950AD1"/>
    <w:rsid w:val="00966A22"/>
    <w:rsid w:val="0096722F"/>
    <w:rsid w:val="00980843"/>
    <w:rsid w:val="009C17C0"/>
    <w:rsid w:val="009C52C1"/>
    <w:rsid w:val="009E2791"/>
    <w:rsid w:val="009E3F6F"/>
    <w:rsid w:val="009F499F"/>
    <w:rsid w:val="009F75A8"/>
    <w:rsid w:val="00A168D8"/>
    <w:rsid w:val="00A26ABF"/>
    <w:rsid w:val="00A42DAF"/>
    <w:rsid w:val="00A45BD8"/>
    <w:rsid w:val="00A869B7"/>
    <w:rsid w:val="00AA5AD8"/>
    <w:rsid w:val="00AC205C"/>
    <w:rsid w:val="00AC482E"/>
    <w:rsid w:val="00AD6BF3"/>
    <w:rsid w:val="00AF0A6B"/>
    <w:rsid w:val="00B05A69"/>
    <w:rsid w:val="00B528F9"/>
    <w:rsid w:val="00B66300"/>
    <w:rsid w:val="00B9734B"/>
    <w:rsid w:val="00BA59CB"/>
    <w:rsid w:val="00BB7BF5"/>
    <w:rsid w:val="00C11BFE"/>
    <w:rsid w:val="00C616F3"/>
    <w:rsid w:val="00C867D5"/>
    <w:rsid w:val="00CB2F5F"/>
    <w:rsid w:val="00CC086A"/>
    <w:rsid w:val="00D006CF"/>
    <w:rsid w:val="00D212CD"/>
    <w:rsid w:val="00D45252"/>
    <w:rsid w:val="00D71B4D"/>
    <w:rsid w:val="00D93D55"/>
    <w:rsid w:val="00E129C5"/>
    <w:rsid w:val="00E335FE"/>
    <w:rsid w:val="00E979D1"/>
    <w:rsid w:val="00EC4E49"/>
    <w:rsid w:val="00ED77FB"/>
    <w:rsid w:val="00EE45FA"/>
    <w:rsid w:val="00F54B85"/>
    <w:rsid w:val="00F66152"/>
    <w:rsid w:val="00F9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63997"/>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2607E3"/>
    <w:rPr>
      <w:color w:val="1F497D" w:themeColor="text2"/>
      <w:u w:val="single"/>
    </w:rPr>
  </w:style>
  <w:style w:type="paragraph" w:customStyle="1" w:styleId="Lega">
    <w:name w:val="Leg (a)"/>
    <w:basedOn w:val="Normal"/>
    <w:rsid w:val="003378DF"/>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796A75"/>
    <w:pPr>
      <w:tabs>
        <w:tab w:val="right" w:pos="1020"/>
        <w:tab w:val="left" w:pos="1191"/>
      </w:tabs>
      <w:spacing w:before="60" w:line="480" w:lineRule="auto"/>
      <w:jc w:val="both"/>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796A75"/>
    <w:pPr>
      <w:tabs>
        <w:tab w:val="left" w:pos="454"/>
      </w:tabs>
      <w:spacing w:before="60" w:line="480" w:lineRule="auto"/>
      <w:jc w:val="both"/>
    </w:pPr>
    <w:rPr>
      <w:rFonts w:eastAsia="Times New Roman" w:cs="Times New Roman"/>
      <w:snapToGrid w:val="0"/>
      <w:lang w:eastAsia="en-US"/>
    </w:rPr>
  </w:style>
  <w:style w:type="paragraph" w:customStyle="1" w:styleId="Legiindent">
    <w:name w:val="Leg (i) indent"/>
    <w:basedOn w:val="Normal"/>
    <w:rsid w:val="000D1EBC"/>
    <w:pPr>
      <w:tabs>
        <w:tab w:val="right" w:pos="1020"/>
        <w:tab w:val="left" w:pos="1191"/>
      </w:tabs>
      <w:spacing w:before="60"/>
      <w:ind w:left="1191" w:hanging="1191"/>
      <w:jc w:val="both"/>
    </w:pPr>
    <w:rPr>
      <w:rFonts w:ascii="Times New Roman" w:eastAsia="Times New Roman" w:hAnsi="Times New Roman" w:cs="Times New Roman"/>
      <w:snapToGrid w:val="0"/>
      <w:sz w:val="28"/>
      <w:lang w:eastAsia="en-US"/>
    </w:rPr>
  </w:style>
  <w:style w:type="character" w:customStyle="1" w:styleId="RItalic">
    <w:name w:val="RItalic"/>
    <w:rsid w:val="000D1EBC"/>
    <w:rPr>
      <w:i/>
    </w:rPr>
  </w:style>
  <w:style w:type="paragraph" w:styleId="TOC2">
    <w:name w:val="toc 2"/>
    <w:basedOn w:val="Normal"/>
    <w:next w:val="Normal"/>
    <w:autoRedefine/>
    <w:uiPriority w:val="39"/>
    <w:rsid w:val="002A1BB2"/>
    <w:pPr>
      <w:spacing w:after="100"/>
      <w:ind w:left="220"/>
    </w:pPr>
  </w:style>
  <w:style w:type="paragraph" w:styleId="TOC1">
    <w:name w:val="toc 1"/>
    <w:basedOn w:val="Normal"/>
    <w:next w:val="Normal"/>
    <w:autoRedefine/>
    <w:uiPriority w:val="39"/>
    <w:rsid w:val="002A1BB2"/>
    <w:pPr>
      <w:spacing w:after="100"/>
    </w:pPr>
  </w:style>
  <w:style w:type="character" w:styleId="Hyperlink">
    <w:name w:val="Hyperlink"/>
    <w:basedOn w:val="DefaultParagraphFont"/>
    <w:uiPriority w:val="99"/>
    <w:unhideWhenUsed/>
    <w:rsid w:val="002A1B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63997"/>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2607E3"/>
    <w:rPr>
      <w:color w:val="1F497D" w:themeColor="text2"/>
      <w:u w:val="single"/>
    </w:rPr>
  </w:style>
  <w:style w:type="paragraph" w:customStyle="1" w:styleId="Lega">
    <w:name w:val="Leg (a)"/>
    <w:basedOn w:val="Normal"/>
    <w:rsid w:val="003378DF"/>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796A75"/>
    <w:pPr>
      <w:tabs>
        <w:tab w:val="right" w:pos="1020"/>
        <w:tab w:val="left" w:pos="1191"/>
      </w:tabs>
      <w:spacing w:before="60" w:line="480" w:lineRule="auto"/>
      <w:jc w:val="both"/>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796A75"/>
    <w:pPr>
      <w:tabs>
        <w:tab w:val="left" w:pos="454"/>
      </w:tabs>
      <w:spacing w:before="60" w:line="480" w:lineRule="auto"/>
      <w:jc w:val="both"/>
    </w:pPr>
    <w:rPr>
      <w:rFonts w:eastAsia="Times New Roman" w:cs="Times New Roman"/>
      <w:snapToGrid w:val="0"/>
      <w:lang w:eastAsia="en-US"/>
    </w:rPr>
  </w:style>
  <w:style w:type="paragraph" w:customStyle="1" w:styleId="Legiindent">
    <w:name w:val="Leg (i) indent"/>
    <w:basedOn w:val="Normal"/>
    <w:rsid w:val="000D1EBC"/>
    <w:pPr>
      <w:tabs>
        <w:tab w:val="right" w:pos="1020"/>
        <w:tab w:val="left" w:pos="1191"/>
      </w:tabs>
      <w:spacing w:before="60"/>
      <w:ind w:left="1191" w:hanging="1191"/>
      <w:jc w:val="both"/>
    </w:pPr>
    <w:rPr>
      <w:rFonts w:ascii="Times New Roman" w:eastAsia="Times New Roman" w:hAnsi="Times New Roman" w:cs="Times New Roman"/>
      <w:snapToGrid w:val="0"/>
      <w:sz w:val="28"/>
      <w:lang w:eastAsia="en-US"/>
    </w:rPr>
  </w:style>
  <w:style w:type="character" w:customStyle="1" w:styleId="RItalic">
    <w:name w:val="RItalic"/>
    <w:rsid w:val="000D1EBC"/>
    <w:rPr>
      <w:i/>
    </w:rPr>
  </w:style>
  <w:style w:type="paragraph" w:styleId="TOC2">
    <w:name w:val="toc 2"/>
    <w:basedOn w:val="Normal"/>
    <w:next w:val="Normal"/>
    <w:autoRedefine/>
    <w:uiPriority w:val="39"/>
    <w:rsid w:val="002A1BB2"/>
    <w:pPr>
      <w:spacing w:after="100"/>
      <w:ind w:left="220"/>
    </w:pPr>
  </w:style>
  <w:style w:type="paragraph" w:styleId="TOC1">
    <w:name w:val="toc 1"/>
    <w:basedOn w:val="Normal"/>
    <w:next w:val="Normal"/>
    <w:autoRedefine/>
    <w:uiPriority w:val="39"/>
    <w:rsid w:val="002A1BB2"/>
    <w:pPr>
      <w:spacing w:after="100"/>
    </w:pPr>
  </w:style>
  <w:style w:type="character" w:styleId="Hyperlink">
    <w:name w:val="Hyperlink"/>
    <w:basedOn w:val="DefaultParagraphFont"/>
    <w:uiPriority w:val="99"/>
    <w:unhideWhenUsed/>
    <w:rsid w:val="002A1B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204">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335-109F-4B81-82B5-3636F9E4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9</TotalTime>
  <Pages>9</Pages>
  <Words>2098</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creator>MARLOW Thomas</dc:creator>
  <cp:lastModifiedBy>MARLOW Thomas</cp:lastModifiedBy>
  <cp:revision>9</cp:revision>
  <cp:lastPrinted>2014-04-28T09:56:00Z</cp:lastPrinted>
  <dcterms:created xsi:type="dcterms:W3CDTF">2014-04-28T09:52:00Z</dcterms:created>
  <dcterms:modified xsi:type="dcterms:W3CDTF">2014-04-29T08:12:00Z</dcterms:modified>
</cp:coreProperties>
</file>