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7B5EFB" w:rsidTr="00361450">
        <w:tc>
          <w:tcPr>
            <w:tcW w:w="4513" w:type="dxa"/>
            <w:tcBorders>
              <w:bottom w:val="single" w:sz="4" w:space="0" w:color="auto"/>
            </w:tcBorders>
            <w:tcMar>
              <w:bottom w:w="170" w:type="dxa"/>
            </w:tcMar>
          </w:tcPr>
          <w:p w:rsidR="00EC4E49" w:rsidRPr="009B0815" w:rsidRDefault="00EC4E49" w:rsidP="00916EE2"/>
        </w:tc>
        <w:tc>
          <w:tcPr>
            <w:tcW w:w="4337" w:type="dxa"/>
            <w:tcBorders>
              <w:bottom w:val="single" w:sz="4" w:space="0" w:color="auto"/>
            </w:tcBorders>
            <w:tcMar>
              <w:left w:w="0" w:type="dxa"/>
              <w:right w:w="0" w:type="dxa"/>
            </w:tcMar>
          </w:tcPr>
          <w:p w:rsidR="00EC4E49" w:rsidRPr="007B5EFB" w:rsidRDefault="00424263" w:rsidP="00916EE2">
            <w:r w:rsidRPr="007B5EFB">
              <w:rPr>
                <w:noProof/>
                <w:lang w:eastAsia="en-US"/>
              </w:rPr>
              <w:drawing>
                <wp:inline distT="0" distB="0" distL="0" distR="0" wp14:anchorId="6B196218" wp14:editId="47D51553">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7B5EFB" w:rsidRDefault="00EC4E49" w:rsidP="00916EE2">
            <w:pPr>
              <w:jc w:val="right"/>
            </w:pPr>
            <w:r w:rsidRPr="007B5EFB">
              <w:rPr>
                <w:b/>
                <w:sz w:val="40"/>
                <w:szCs w:val="40"/>
              </w:rPr>
              <w:t>E</w:t>
            </w:r>
          </w:p>
        </w:tc>
      </w:tr>
      <w:tr w:rsidR="008B2CC1" w:rsidRPr="007B5EFB"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7B5EFB" w:rsidRDefault="003A2A01" w:rsidP="0090527E">
            <w:pPr>
              <w:jc w:val="right"/>
              <w:rPr>
                <w:rFonts w:ascii="Arial Black" w:hAnsi="Arial Black"/>
                <w:caps/>
                <w:sz w:val="15"/>
              </w:rPr>
            </w:pPr>
            <w:r w:rsidRPr="007B5EFB">
              <w:rPr>
                <w:rFonts w:ascii="Arial Black" w:hAnsi="Arial Black"/>
                <w:caps/>
                <w:sz w:val="15"/>
              </w:rPr>
              <w:t>PCT/WG/8/</w:t>
            </w:r>
            <w:bookmarkStart w:id="0" w:name="Code"/>
            <w:bookmarkEnd w:id="0"/>
            <w:r w:rsidR="0090527E" w:rsidRPr="007B5EFB">
              <w:rPr>
                <w:rFonts w:ascii="Arial Black" w:hAnsi="Arial Black"/>
                <w:caps/>
                <w:sz w:val="15"/>
              </w:rPr>
              <w:t>15</w:t>
            </w:r>
            <w:r w:rsidR="008B2CC1" w:rsidRPr="007B5EFB">
              <w:rPr>
                <w:rFonts w:ascii="Arial Black" w:hAnsi="Arial Black"/>
                <w:caps/>
                <w:sz w:val="15"/>
              </w:rPr>
              <w:t xml:space="preserve">  </w:t>
            </w:r>
          </w:p>
        </w:tc>
      </w:tr>
      <w:tr w:rsidR="008B2CC1" w:rsidRPr="007B5EFB" w:rsidTr="00916EE2">
        <w:trPr>
          <w:trHeight w:hRule="exact" w:val="170"/>
        </w:trPr>
        <w:tc>
          <w:tcPr>
            <w:tcW w:w="9356" w:type="dxa"/>
            <w:gridSpan w:val="3"/>
            <w:noWrap/>
            <w:tcMar>
              <w:left w:w="0" w:type="dxa"/>
              <w:right w:w="0" w:type="dxa"/>
            </w:tcMar>
            <w:vAlign w:val="bottom"/>
          </w:tcPr>
          <w:p w:rsidR="008B2CC1" w:rsidRPr="007B5EFB" w:rsidRDefault="008B2CC1" w:rsidP="00916EE2">
            <w:pPr>
              <w:jc w:val="right"/>
              <w:rPr>
                <w:rFonts w:ascii="Arial Black" w:hAnsi="Arial Black"/>
                <w:caps/>
                <w:sz w:val="15"/>
              </w:rPr>
            </w:pPr>
            <w:r w:rsidRPr="007B5EFB">
              <w:rPr>
                <w:rFonts w:ascii="Arial Black" w:hAnsi="Arial Black"/>
                <w:caps/>
                <w:sz w:val="15"/>
              </w:rPr>
              <w:t>ORIGINAL:</w:t>
            </w:r>
            <w:r w:rsidR="00A42DAF" w:rsidRPr="007B5EFB">
              <w:rPr>
                <w:rFonts w:ascii="Arial Black" w:hAnsi="Arial Black"/>
                <w:caps/>
                <w:sz w:val="15"/>
              </w:rPr>
              <w:t xml:space="preserve"> </w:t>
            </w:r>
            <w:r w:rsidRPr="007B5EFB">
              <w:rPr>
                <w:rFonts w:ascii="Arial Black" w:hAnsi="Arial Black"/>
                <w:caps/>
                <w:sz w:val="15"/>
              </w:rPr>
              <w:t xml:space="preserve"> </w:t>
            </w:r>
            <w:bookmarkStart w:id="1" w:name="Original"/>
            <w:bookmarkEnd w:id="1"/>
            <w:r w:rsidR="00902B10" w:rsidRPr="007B5EFB">
              <w:rPr>
                <w:rFonts w:ascii="Arial Black" w:hAnsi="Arial Black"/>
                <w:caps/>
                <w:sz w:val="15"/>
              </w:rPr>
              <w:t>English</w:t>
            </w:r>
          </w:p>
        </w:tc>
      </w:tr>
      <w:tr w:rsidR="008B2CC1" w:rsidRPr="007B5EFB" w:rsidTr="00916EE2">
        <w:trPr>
          <w:trHeight w:hRule="exact" w:val="198"/>
        </w:trPr>
        <w:tc>
          <w:tcPr>
            <w:tcW w:w="9356" w:type="dxa"/>
            <w:gridSpan w:val="3"/>
            <w:tcMar>
              <w:left w:w="0" w:type="dxa"/>
              <w:right w:w="0" w:type="dxa"/>
            </w:tcMar>
            <w:vAlign w:val="bottom"/>
          </w:tcPr>
          <w:p w:rsidR="008B2CC1" w:rsidRPr="007B5EFB" w:rsidRDefault="008B2CC1" w:rsidP="00844B05">
            <w:pPr>
              <w:jc w:val="right"/>
              <w:rPr>
                <w:rFonts w:ascii="Arial Black" w:hAnsi="Arial Black"/>
                <w:caps/>
                <w:sz w:val="15"/>
              </w:rPr>
            </w:pPr>
            <w:r w:rsidRPr="007B5EFB">
              <w:rPr>
                <w:rFonts w:ascii="Arial Black" w:hAnsi="Arial Black"/>
                <w:caps/>
                <w:sz w:val="15"/>
              </w:rPr>
              <w:t>DATE:</w:t>
            </w:r>
            <w:r w:rsidR="00A42DAF" w:rsidRPr="007B5EFB">
              <w:rPr>
                <w:rFonts w:ascii="Arial Black" w:hAnsi="Arial Black"/>
                <w:caps/>
                <w:sz w:val="15"/>
              </w:rPr>
              <w:t xml:space="preserve"> </w:t>
            </w:r>
            <w:r w:rsidRPr="007B5EFB">
              <w:rPr>
                <w:rFonts w:ascii="Arial Black" w:hAnsi="Arial Black"/>
                <w:caps/>
                <w:sz w:val="15"/>
              </w:rPr>
              <w:t xml:space="preserve"> </w:t>
            </w:r>
            <w:bookmarkStart w:id="2" w:name="Date"/>
            <w:bookmarkEnd w:id="2"/>
            <w:r w:rsidR="00C849E5" w:rsidRPr="007B5EFB">
              <w:rPr>
                <w:rFonts w:ascii="Arial Black" w:hAnsi="Arial Black"/>
                <w:caps/>
                <w:sz w:val="15"/>
              </w:rPr>
              <w:t>may</w:t>
            </w:r>
            <w:r w:rsidR="00902B10" w:rsidRPr="007B5EFB">
              <w:rPr>
                <w:rFonts w:ascii="Arial Black" w:hAnsi="Arial Black"/>
                <w:caps/>
                <w:sz w:val="15"/>
              </w:rPr>
              <w:t xml:space="preserve"> </w:t>
            </w:r>
            <w:r w:rsidR="0097369F" w:rsidRPr="007B5EFB">
              <w:rPr>
                <w:rFonts w:ascii="Arial Black" w:hAnsi="Arial Black"/>
                <w:caps/>
                <w:sz w:val="15"/>
              </w:rPr>
              <w:t>1</w:t>
            </w:r>
            <w:r w:rsidR="00844B05">
              <w:rPr>
                <w:rFonts w:ascii="Arial Black" w:hAnsi="Arial Black"/>
                <w:caps/>
                <w:sz w:val="15"/>
              </w:rPr>
              <w:t>2</w:t>
            </w:r>
            <w:r w:rsidR="00902B10" w:rsidRPr="007B5EFB">
              <w:rPr>
                <w:rFonts w:ascii="Arial Black" w:hAnsi="Arial Black"/>
                <w:caps/>
                <w:sz w:val="15"/>
              </w:rPr>
              <w:t>, 2015</w:t>
            </w:r>
          </w:p>
        </w:tc>
      </w:tr>
    </w:tbl>
    <w:p w:rsidR="008B2CC1" w:rsidRPr="007B5EFB" w:rsidRDefault="008B2CC1" w:rsidP="008B2CC1"/>
    <w:p w:rsidR="008B2CC1" w:rsidRPr="007B5EFB" w:rsidRDefault="008B2CC1" w:rsidP="008B2CC1"/>
    <w:p w:rsidR="008B2CC1" w:rsidRPr="007B5EFB" w:rsidRDefault="008B2CC1" w:rsidP="008B2CC1"/>
    <w:p w:rsidR="008B2CC1" w:rsidRPr="007B5EFB" w:rsidRDefault="008B2CC1" w:rsidP="008B2CC1"/>
    <w:p w:rsidR="008B2CC1" w:rsidRPr="007B5EFB" w:rsidRDefault="008B2CC1" w:rsidP="008B2CC1"/>
    <w:p w:rsidR="00424263" w:rsidRPr="007B5EFB" w:rsidRDefault="003A2A01" w:rsidP="008B2CC1">
      <w:pPr>
        <w:rPr>
          <w:b/>
          <w:sz w:val="28"/>
          <w:szCs w:val="28"/>
        </w:rPr>
      </w:pPr>
      <w:r w:rsidRPr="007B5EFB">
        <w:rPr>
          <w:b/>
          <w:sz w:val="28"/>
          <w:szCs w:val="28"/>
        </w:rPr>
        <w:t xml:space="preserve">Patent Cooperation </w:t>
      </w:r>
      <w:r w:rsidR="00424263" w:rsidRPr="007B5EFB">
        <w:rPr>
          <w:b/>
          <w:sz w:val="28"/>
          <w:szCs w:val="28"/>
        </w:rPr>
        <w:t>Treaty (PCT)</w:t>
      </w:r>
    </w:p>
    <w:p w:rsidR="008B2CC1" w:rsidRPr="007B5EFB" w:rsidRDefault="00424263" w:rsidP="008B2CC1">
      <w:pPr>
        <w:rPr>
          <w:b/>
          <w:sz w:val="28"/>
          <w:szCs w:val="28"/>
        </w:rPr>
      </w:pPr>
      <w:r w:rsidRPr="007B5EFB">
        <w:rPr>
          <w:b/>
          <w:sz w:val="28"/>
          <w:szCs w:val="28"/>
        </w:rPr>
        <w:t>Working Group</w:t>
      </w:r>
    </w:p>
    <w:p w:rsidR="003845C1" w:rsidRPr="007B5EFB" w:rsidRDefault="003845C1" w:rsidP="003845C1"/>
    <w:p w:rsidR="003845C1" w:rsidRPr="007B5EFB" w:rsidRDefault="003845C1" w:rsidP="003845C1"/>
    <w:p w:rsidR="008B2CC1" w:rsidRPr="007B5EFB" w:rsidRDefault="00424263" w:rsidP="008B2CC1">
      <w:pPr>
        <w:rPr>
          <w:b/>
          <w:sz w:val="24"/>
          <w:szCs w:val="24"/>
        </w:rPr>
      </w:pPr>
      <w:r w:rsidRPr="007B5EFB">
        <w:rPr>
          <w:b/>
          <w:sz w:val="24"/>
          <w:szCs w:val="24"/>
        </w:rPr>
        <w:t xml:space="preserve">Eighth </w:t>
      </w:r>
      <w:r w:rsidR="003845C1" w:rsidRPr="007B5EFB">
        <w:rPr>
          <w:b/>
          <w:sz w:val="24"/>
          <w:szCs w:val="24"/>
        </w:rPr>
        <w:t>Session</w:t>
      </w:r>
    </w:p>
    <w:p w:rsidR="008B2CC1" w:rsidRPr="007B5EFB" w:rsidRDefault="00424263" w:rsidP="008B2CC1">
      <w:pPr>
        <w:rPr>
          <w:b/>
          <w:sz w:val="24"/>
          <w:szCs w:val="24"/>
        </w:rPr>
      </w:pPr>
      <w:r w:rsidRPr="007B5EFB">
        <w:rPr>
          <w:b/>
          <w:sz w:val="24"/>
          <w:szCs w:val="24"/>
        </w:rPr>
        <w:t>Geneva, May 26 to 29, 2015</w:t>
      </w:r>
    </w:p>
    <w:p w:rsidR="008B2CC1" w:rsidRPr="007B5EFB" w:rsidRDefault="008B2CC1" w:rsidP="008B2CC1"/>
    <w:p w:rsidR="008B2CC1" w:rsidRPr="007B5EFB" w:rsidRDefault="008B2CC1" w:rsidP="008B2CC1"/>
    <w:p w:rsidR="008B2CC1" w:rsidRPr="007B5EFB" w:rsidRDefault="008B2CC1" w:rsidP="008B2CC1"/>
    <w:p w:rsidR="00C85064" w:rsidRPr="007B5EFB" w:rsidRDefault="00C85064" w:rsidP="00C85064">
      <w:pPr>
        <w:rPr>
          <w:caps/>
          <w:sz w:val="24"/>
        </w:rPr>
      </w:pPr>
      <w:bookmarkStart w:id="3" w:name="TitleOfDoc"/>
      <w:bookmarkEnd w:id="3"/>
      <w:r w:rsidRPr="007B5EFB">
        <w:rPr>
          <w:caps/>
        </w:rPr>
        <w:t>PCT Fee income:  Possible Measures to Reduce Exposure to Movements</w:t>
      </w:r>
      <w:r w:rsidRPr="007B5EFB">
        <w:rPr>
          <w:caps/>
        </w:rPr>
        <w:br/>
        <w:t>in Currency Exchange Rates</w:t>
      </w:r>
    </w:p>
    <w:p w:rsidR="00C85064" w:rsidRPr="007B5EFB" w:rsidRDefault="00C85064" w:rsidP="00C85064"/>
    <w:p w:rsidR="00C85064" w:rsidRPr="007B5EFB" w:rsidRDefault="00C85064" w:rsidP="00C85064">
      <w:pPr>
        <w:rPr>
          <w:i/>
        </w:rPr>
      </w:pPr>
      <w:bookmarkStart w:id="4" w:name="Prepared"/>
      <w:bookmarkEnd w:id="4"/>
      <w:r w:rsidRPr="007B5EFB">
        <w:rPr>
          <w:i/>
        </w:rPr>
        <w:t>Document prepared by the International Bureau</w:t>
      </w:r>
    </w:p>
    <w:p w:rsidR="00C85064" w:rsidRPr="007B5EFB" w:rsidRDefault="00C85064" w:rsidP="00C85064"/>
    <w:p w:rsidR="00C85064" w:rsidRPr="007B5EFB" w:rsidRDefault="00C85064" w:rsidP="00C85064"/>
    <w:p w:rsidR="00C85064" w:rsidRPr="007B5EFB" w:rsidRDefault="00C85064" w:rsidP="00C85064"/>
    <w:p w:rsidR="00C85064" w:rsidRPr="007B5EFB" w:rsidRDefault="00C85064" w:rsidP="00C85064"/>
    <w:p w:rsidR="00C85064" w:rsidRPr="007B5EFB" w:rsidRDefault="00C85064" w:rsidP="00C85064">
      <w:pPr>
        <w:pStyle w:val="Heading1"/>
      </w:pPr>
      <w:r w:rsidRPr="007B5EFB">
        <w:t>SUMMARY</w:t>
      </w:r>
    </w:p>
    <w:p w:rsidR="00C85064" w:rsidRPr="007B5EFB" w:rsidRDefault="00C85064" w:rsidP="00C85064">
      <w:pPr>
        <w:pStyle w:val="ONUME"/>
      </w:pPr>
      <w:r w:rsidRPr="007B5EFB">
        <w:t xml:space="preserve">By way of Circular C. PCT 1440, the International Bureau </w:t>
      </w:r>
      <w:r w:rsidR="00EE5C75" w:rsidRPr="007B5EFB">
        <w:t xml:space="preserve">(IB) </w:t>
      </w:r>
      <w:r w:rsidRPr="007B5EFB">
        <w:t>consulted with PCT stakeholders on proposed measures to reduce the risk of exposure of PCT fee income to movements in currency exchange rates, with a view to providing greater predictability to the budgetary process and thereby adding to the financial stability of the World Intellectual Property Organization (WIPO).</w:t>
      </w:r>
    </w:p>
    <w:p w:rsidR="00C85064" w:rsidRPr="007B5EFB" w:rsidRDefault="00C85064" w:rsidP="00C85064">
      <w:pPr>
        <w:pStyle w:val="ONUME"/>
      </w:pPr>
      <w:r w:rsidRPr="007B5EFB">
        <w:t>The present document summarizes the replies received in response to Circular C. PCT 1440 and sets out a propos</w:t>
      </w:r>
      <w:r w:rsidR="004531AF" w:rsidRPr="007B5EFB">
        <w:t xml:space="preserve">ed way forward with regard to the various possible measures to reduce the risk of exposure of PCT fee income set out in the Circular. </w:t>
      </w:r>
      <w:r w:rsidRPr="007B5EFB">
        <w:t xml:space="preserve"> </w:t>
      </w:r>
      <w:r w:rsidR="004531AF" w:rsidRPr="007B5EFB">
        <w:t xml:space="preserve">In particular, with regard to the proposal </w:t>
      </w:r>
      <w:r w:rsidRPr="007B5EFB">
        <w:t>to hedge the risk resulting from transactions in foreign currencies</w:t>
      </w:r>
      <w:r w:rsidR="004531AF" w:rsidRPr="007B5EFB">
        <w:t>, it proposes that the IB should</w:t>
      </w:r>
      <w:r w:rsidR="00CA3B5A" w:rsidRPr="007B5EFB">
        <w:t xml:space="preserve"> </w:t>
      </w:r>
      <w:r w:rsidR="00CA3B5A" w:rsidRPr="007B5EFB">
        <w:rPr>
          <w:szCs w:val="22"/>
        </w:rPr>
        <w:t xml:space="preserve">commence hedging of international filing fees as far as </w:t>
      </w:r>
      <w:r w:rsidR="00CA3B5A" w:rsidRPr="007B5EFB">
        <w:t>the risk resulting from transactions in euro (EUR)</w:t>
      </w:r>
      <w:r w:rsidR="003856A8" w:rsidRPr="007B5EFB">
        <w:t xml:space="preserve">, </w:t>
      </w:r>
      <w:r w:rsidR="00CA3B5A" w:rsidRPr="007B5EFB">
        <w:t xml:space="preserve">Japanese yen (JPY) </w:t>
      </w:r>
      <w:r w:rsidR="003856A8" w:rsidRPr="007B5EFB">
        <w:t xml:space="preserve">and United States dollar (USD) </w:t>
      </w:r>
      <w:r w:rsidR="00CA3B5A" w:rsidRPr="007B5EFB">
        <w:t>is concerned</w:t>
      </w:r>
      <w:r w:rsidR="004531AF" w:rsidRPr="007B5EFB">
        <w:rPr>
          <w:bCs/>
          <w:szCs w:val="22"/>
        </w:rPr>
        <w:t>.</w:t>
      </w:r>
    </w:p>
    <w:p w:rsidR="00C85064" w:rsidRPr="007B5EFB" w:rsidRDefault="00C85064" w:rsidP="00C85064">
      <w:pPr>
        <w:pStyle w:val="Heading1"/>
      </w:pPr>
      <w:r w:rsidRPr="007B5EFB">
        <w:lastRenderedPageBreak/>
        <w:t>Background</w:t>
      </w:r>
    </w:p>
    <w:p w:rsidR="00C85064" w:rsidRPr="007B5EFB" w:rsidRDefault="008C033B" w:rsidP="00C85064">
      <w:pPr>
        <w:pStyle w:val="ONUME"/>
        <w:keepNext/>
        <w:keepLines/>
        <w:tabs>
          <w:tab w:val="num" w:pos="851"/>
          <w:tab w:val="num" w:pos="6597"/>
        </w:tabs>
        <w:rPr>
          <w:szCs w:val="22"/>
        </w:rPr>
      </w:pPr>
      <w:r w:rsidRPr="007B5EFB">
        <w:t>Circular C. PCT 1440 set out background information and reasoning as to the need to take action to reduce the risk of exposure of PCT fee income to movements in currency exchange rates, so as to provide greater predictability to the budgetary process and thereby add to the financial stability of the Organization;</w:t>
      </w:r>
      <w:r w:rsidR="00C85064" w:rsidRPr="007B5EFB">
        <w:rPr>
          <w:szCs w:val="22"/>
        </w:rPr>
        <w:t xml:space="preserve">  for ease of reference, a copy of that Circular is reproduced in Annex </w:t>
      </w:r>
      <w:r w:rsidR="00744B77" w:rsidRPr="007B5EFB">
        <w:rPr>
          <w:szCs w:val="22"/>
        </w:rPr>
        <w:t xml:space="preserve">I </w:t>
      </w:r>
      <w:r w:rsidR="00C85064" w:rsidRPr="007B5EFB">
        <w:rPr>
          <w:szCs w:val="22"/>
        </w:rPr>
        <w:t xml:space="preserve">to the present document.  Such a need was highlighted in reports by both WIPO’s Internal Audit and Oversight Division as well as WIPO’s External Auditors, the Office of the Comptroller and Auditor General of India, following a performance audit of the PCT carried out in October and November 2012, and—last but not least—by </w:t>
      </w:r>
      <w:r w:rsidR="00C85064" w:rsidRPr="007B5EFB">
        <w:t xml:space="preserve">the recent sudden and very strong surge of the Swiss franc </w:t>
      </w:r>
      <w:r w:rsidR="00AF7FDC" w:rsidRPr="007B5EFB">
        <w:t xml:space="preserve">(CHF) </w:t>
      </w:r>
      <w:r w:rsidR="00C85064" w:rsidRPr="007B5EFB">
        <w:t xml:space="preserve">against many major currencies, which had </w:t>
      </w:r>
      <w:r w:rsidR="00C85064" w:rsidRPr="007B5EFB">
        <w:rPr>
          <w:szCs w:val="22"/>
        </w:rPr>
        <w:t>a significant impact on the overall income of WIPO in the months following that sudden surge.</w:t>
      </w:r>
    </w:p>
    <w:p w:rsidR="00C85064" w:rsidRPr="007B5EFB" w:rsidRDefault="00C85064" w:rsidP="00C85064">
      <w:pPr>
        <w:pStyle w:val="ONUME"/>
        <w:tabs>
          <w:tab w:val="num" w:pos="851"/>
          <w:tab w:val="num" w:pos="6597"/>
        </w:tabs>
        <w:rPr>
          <w:szCs w:val="22"/>
        </w:rPr>
      </w:pPr>
      <w:r w:rsidRPr="007B5EFB">
        <w:t xml:space="preserve">In Circular C. PCT 1440, the </w:t>
      </w:r>
      <w:r w:rsidR="00EE5C75" w:rsidRPr="007B5EFB">
        <w:t>IB</w:t>
      </w:r>
      <w:r w:rsidRPr="007B5EFB">
        <w:t xml:space="preserve"> had proposed four </w:t>
      </w:r>
      <w:r w:rsidRPr="007B5EFB">
        <w:rPr>
          <w:bCs/>
          <w:szCs w:val="22"/>
        </w:rPr>
        <w:t xml:space="preserve">possible measures that could be taken </w:t>
      </w:r>
      <w:r w:rsidRPr="007B5EFB">
        <w:rPr>
          <w:szCs w:val="22"/>
        </w:rPr>
        <w:t>to reduce the risk of exposure of PCT fee income to movements in currency exchange rates</w:t>
      </w:r>
      <w:r w:rsidRPr="007B5EFB">
        <w:rPr>
          <w:bCs/>
          <w:szCs w:val="22"/>
        </w:rPr>
        <w:t>.  Two of those proposed measures, namely, the proposal to start hedging and setting equivalent amounts for PCT fees for a fixed period (as set out in paragraphs 20 to 36 of the Circular, reproduced in Annex</w:t>
      </w:r>
      <w:r w:rsidR="00744B77" w:rsidRPr="007B5EFB">
        <w:rPr>
          <w:bCs/>
          <w:szCs w:val="22"/>
        </w:rPr>
        <w:t xml:space="preserve"> I</w:t>
      </w:r>
      <w:r w:rsidRPr="007B5EFB">
        <w:rPr>
          <w:bCs/>
          <w:szCs w:val="22"/>
        </w:rPr>
        <w:t>), and the proposal to introduce a netting structure for the transfer of fees (as set out in paragraphs 37 to 53 of the Circular)</w:t>
      </w:r>
      <w:r w:rsidR="00A8714C" w:rsidRPr="007B5EFB">
        <w:rPr>
          <w:bCs/>
          <w:szCs w:val="22"/>
        </w:rPr>
        <w:t>,</w:t>
      </w:r>
      <w:r w:rsidRPr="007B5EFB">
        <w:rPr>
          <w:bCs/>
          <w:szCs w:val="22"/>
        </w:rPr>
        <w:t xml:space="preserve"> were </w:t>
      </w:r>
      <w:r w:rsidRPr="007B5EFB">
        <w:rPr>
          <w:szCs w:val="22"/>
        </w:rPr>
        <w:t>based on</w:t>
      </w:r>
      <w:r w:rsidRPr="007B5EFB">
        <w:rPr>
          <w:bCs/>
          <w:szCs w:val="22"/>
        </w:rPr>
        <w:t xml:space="preserve"> recommendations by an independent specialist treasury service provider, FTI Treasury (Ireland), which had been asked, </w:t>
      </w:r>
      <w:r w:rsidRPr="007B5EFB">
        <w:rPr>
          <w:bCs/>
          <w:i/>
          <w:szCs w:val="22"/>
        </w:rPr>
        <w:t>inter alia</w:t>
      </w:r>
      <w:r w:rsidRPr="007B5EFB">
        <w:rPr>
          <w:bCs/>
          <w:szCs w:val="22"/>
        </w:rPr>
        <w:t>, to review the principal foreign exchange exposures at WIPO</w:t>
      </w:r>
      <w:r w:rsidR="008B08E5" w:rsidRPr="007B5EFB">
        <w:rPr>
          <w:bCs/>
          <w:szCs w:val="22"/>
        </w:rPr>
        <w:t>.</w:t>
      </w:r>
      <w:r w:rsidR="00165D04" w:rsidRPr="007B5EFB">
        <w:rPr>
          <w:bCs/>
          <w:szCs w:val="22"/>
        </w:rPr>
        <w:t xml:space="preserve">  </w:t>
      </w:r>
      <w:r w:rsidR="008B08E5" w:rsidRPr="007B5EFB">
        <w:rPr>
          <w:bCs/>
          <w:szCs w:val="22"/>
        </w:rPr>
        <w:t>T</w:t>
      </w:r>
      <w:r w:rsidR="00165D04" w:rsidRPr="007B5EFB">
        <w:rPr>
          <w:bCs/>
          <w:szCs w:val="22"/>
        </w:rPr>
        <w:t>he recommendation by FTI Treasury was to, ideally, implement both proposals</w:t>
      </w:r>
      <w:r w:rsidRPr="007B5EFB">
        <w:rPr>
          <w:bCs/>
          <w:szCs w:val="22"/>
        </w:rPr>
        <w:t>.  The other proposed measures, namely, the proposal to a</w:t>
      </w:r>
      <w:r w:rsidRPr="007B5EFB">
        <w:t xml:space="preserve">dd a margin when setting equivalent amounts (as set out in </w:t>
      </w:r>
      <w:r w:rsidRPr="007B5EFB">
        <w:rPr>
          <w:bCs/>
          <w:szCs w:val="22"/>
        </w:rPr>
        <w:t>paragraph 55 of the Cir</w:t>
      </w:r>
      <w:r w:rsidR="00E00CCB" w:rsidRPr="007B5EFB">
        <w:rPr>
          <w:bCs/>
          <w:szCs w:val="22"/>
        </w:rPr>
        <w:t>c</w:t>
      </w:r>
      <w:r w:rsidRPr="007B5EFB">
        <w:rPr>
          <w:bCs/>
          <w:szCs w:val="22"/>
        </w:rPr>
        <w:t xml:space="preserve">ular) and the proposal to have applicants pay the </w:t>
      </w:r>
      <w:r w:rsidRPr="007B5EFB">
        <w:t xml:space="preserve">international filing fee in </w:t>
      </w:r>
      <w:r w:rsidR="00AF7FDC" w:rsidRPr="007B5EFB">
        <w:t>CHF</w:t>
      </w:r>
      <w:r w:rsidRPr="007B5EFB">
        <w:t xml:space="preserve"> and the search fee in the applicable ISA currency (as set out in paragraphs 56 to 61 of the Circular)</w:t>
      </w:r>
      <w:r w:rsidR="00A8714C" w:rsidRPr="007B5EFB">
        <w:t>,</w:t>
      </w:r>
      <w:r w:rsidRPr="007B5EFB">
        <w:t xml:space="preserve"> were independent of the first two measures</w:t>
      </w:r>
      <w:r w:rsidR="008B08E5" w:rsidRPr="007B5EFB">
        <w:t xml:space="preserve"> and, as far as the latter is concerned, indeed an alternative to the proposal to commence hedging</w:t>
      </w:r>
      <w:r w:rsidRPr="007B5EFB">
        <w:t>.</w:t>
      </w:r>
    </w:p>
    <w:p w:rsidR="00C85064" w:rsidRPr="007B5EFB" w:rsidRDefault="00C85064" w:rsidP="00C85064">
      <w:pPr>
        <w:pStyle w:val="Heading1"/>
      </w:pPr>
      <w:r w:rsidRPr="007B5EFB">
        <w:t>Feedback received in response to Circular C. PCT 1440</w:t>
      </w:r>
    </w:p>
    <w:p w:rsidR="00C85064" w:rsidRPr="007B5EFB" w:rsidRDefault="00C85064" w:rsidP="00C85064">
      <w:pPr>
        <w:pStyle w:val="ONUME"/>
        <w:tabs>
          <w:tab w:val="num" w:pos="851"/>
          <w:tab w:val="num" w:pos="6597"/>
        </w:tabs>
        <w:rPr>
          <w:szCs w:val="22"/>
        </w:rPr>
      </w:pPr>
      <w:r w:rsidRPr="007B5EFB">
        <w:rPr>
          <w:szCs w:val="22"/>
        </w:rPr>
        <w:t xml:space="preserve">A total of </w:t>
      </w:r>
      <w:r w:rsidR="00A8714C" w:rsidRPr="007B5EFB">
        <w:rPr>
          <w:szCs w:val="22"/>
        </w:rPr>
        <w:t>32</w:t>
      </w:r>
      <w:r w:rsidRPr="007B5EFB">
        <w:rPr>
          <w:szCs w:val="22"/>
        </w:rPr>
        <w:t xml:space="preserve"> replies were received in response to Circular C. PCT 1440 from IP Offices of </w:t>
      </w:r>
      <w:r w:rsidR="00B324E6" w:rsidRPr="007B5EFB">
        <w:rPr>
          <w:szCs w:val="22"/>
        </w:rPr>
        <w:t>30 </w:t>
      </w:r>
      <w:r w:rsidRPr="007B5EFB">
        <w:rPr>
          <w:szCs w:val="22"/>
        </w:rPr>
        <w:t>countries (</w:t>
      </w:r>
      <w:r w:rsidR="00BF63CB" w:rsidRPr="007B5EFB">
        <w:rPr>
          <w:szCs w:val="22"/>
        </w:rPr>
        <w:t xml:space="preserve">Austria, </w:t>
      </w:r>
      <w:r w:rsidRPr="007B5EFB">
        <w:rPr>
          <w:szCs w:val="22"/>
        </w:rPr>
        <w:t xml:space="preserve">Canada, Chile, China, Colombia, Czech Republic, Denmark, Dominican Republic, Finland, France, Germany, Israel, Italy, Japan, </w:t>
      </w:r>
      <w:r w:rsidR="00A8714C" w:rsidRPr="007B5EFB">
        <w:rPr>
          <w:szCs w:val="22"/>
        </w:rPr>
        <w:t xml:space="preserve">Kazakhstan, </w:t>
      </w:r>
      <w:r w:rsidRPr="007B5EFB">
        <w:rPr>
          <w:szCs w:val="22"/>
        </w:rPr>
        <w:t xml:space="preserve">Kirgizstan, Malaysia, Mexico, Norway, Poland, Portugal, </w:t>
      </w:r>
      <w:r w:rsidR="003806CB" w:rsidRPr="007B5EFB">
        <w:rPr>
          <w:szCs w:val="22"/>
        </w:rPr>
        <w:t>Republic of Mol</w:t>
      </w:r>
      <w:r w:rsidR="00ED577C" w:rsidRPr="007B5EFB">
        <w:rPr>
          <w:szCs w:val="22"/>
        </w:rPr>
        <w:t>d</w:t>
      </w:r>
      <w:r w:rsidR="003806CB" w:rsidRPr="007B5EFB">
        <w:rPr>
          <w:szCs w:val="22"/>
        </w:rPr>
        <w:t xml:space="preserve">ova, </w:t>
      </w:r>
      <w:r w:rsidRPr="007B5EFB">
        <w:rPr>
          <w:szCs w:val="22"/>
        </w:rPr>
        <w:t>Russian Federation, Saudi Arabia, Slovakia, Spain, Turkey, Ukraine, United Kingdom and the United States of America) and two intergovernmental organizations (the Eurasian Patent Organization and the European Patent Office).</w:t>
      </w:r>
    </w:p>
    <w:p w:rsidR="00C85064" w:rsidRPr="007B5EFB" w:rsidRDefault="00C85064" w:rsidP="00C85064">
      <w:pPr>
        <w:pStyle w:val="Heading2"/>
      </w:pPr>
      <w:r w:rsidRPr="007B5EFB">
        <w:t>proposal to start hedging and setting equivalent amounts for PCT fees for a fixed period</w:t>
      </w:r>
    </w:p>
    <w:p w:rsidR="00C85064" w:rsidRPr="007B5EFB" w:rsidRDefault="00C85064" w:rsidP="00C85064">
      <w:pPr>
        <w:pStyle w:val="ONUME"/>
        <w:tabs>
          <w:tab w:val="num" w:pos="851"/>
          <w:tab w:val="num" w:pos="6597"/>
        </w:tabs>
        <w:rPr>
          <w:szCs w:val="22"/>
        </w:rPr>
      </w:pPr>
      <w:r w:rsidRPr="007B5EFB">
        <w:rPr>
          <w:szCs w:val="22"/>
        </w:rPr>
        <w:t xml:space="preserve">Out of the </w:t>
      </w:r>
      <w:r w:rsidR="00A8714C" w:rsidRPr="007B5EFB">
        <w:rPr>
          <w:szCs w:val="22"/>
        </w:rPr>
        <w:t>32</w:t>
      </w:r>
      <w:r w:rsidRPr="007B5EFB">
        <w:rPr>
          <w:szCs w:val="22"/>
        </w:rPr>
        <w:t xml:space="preserve"> replies received in response to Circular C. PCT 1440, 27 Offices expressed their support in principle for the proposal to </w:t>
      </w:r>
      <w:r w:rsidRPr="007B5EFB">
        <w:t xml:space="preserve">hedge the risk resulting from transactions in foreign currencies and to modify the current equivalent amount process </w:t>
      </w:r>
      <w:r w:rsidRPr="007B5EFB">
        <w:rPr>
          <w:bCs/>
          <w:szCs w:val="22"/>
        </w:rPr>
        <w:t xml:space="preserve">for PCT fees </w:t>
      </w:r>
      <w:r w:rsidRPr="007B5EFB">
        <w:t xml:space="preserve">so that new equivalent amounts of PCT fees would be fixed only once per year, to remain unchanged for a period of 12 months, with a hedging strategy being put in place for the same 12 month period.  </w:t>
      </w:r>
      <w:r w:rsidR="00A8714C" w:rsidRPr="007B5EFB">
        <w:t>Five</w:t>
      </w:r>
      <w:r w:rsidRPr="007B5EFB">
        <w:t xml:space="preserve"> Offices either did not comment on the proposal or stated that further information was required.  Several Offices which generally supported the proposal requested further information on various aspects of the proposal, such as detailed information on gains and losses in PCT fee income incurred in the past due to exchange rate fluctuations and detailed information on the proposed hedging (such as costs, risks, strategies, currencies to be hedged, hedging period, compliance with WIPO’s investment policy, etc.).</w:t>
      </w:r>
    </w:p>
    <w:p w:rsidR="00C85064" w:rsidRPr="007B5EFB" w:rsidRDefault="00C85064" w:rsidP="00CC2C82">
      <w:pPr>
        <w:pStyle w:val="Heading2"/>
        <w:keepLines/>
      </w:pPr>
      <w:r w:rsidRPr="007B5EFB">
        <w:lastRenderedPageBreak/>
        <w:t>proposal to introduce a netting structure for the transfer of fees</w:t>
      </w:r>
    </w:p>
    <w:p w:rsidR="00C85064" w:rsidRPr="007B5EFB" w:rsidRDefault="00C85064" w:rsidP="00CC2C82">
      <w:pPr>
        <w:pStyle w:val="ONUME"/>
        <w:keepNext/>
        <w:keepLines/>
        <w:tabs>
          <w:tab w:val="num" w:pos="851"/>
          <w:tab w:val="num" w:pos="6597"/>
        </w:tabs>
        <w:rPr>
          <w:szCs w:val="22"/>
        </w:rPr>
      </w:pPr>
      <w:r w:rsidRPr="007B5EFB">
        <w:rPr>
          <w:szCs w:val="22"/>
        </w:rPr>
        <w:t xml:space="preserve">Out of the </w:t>
      </w:r>
      <w:r w:rsidR="00A8714C" w:rsidRPr="007B5EFB">
        <w:rPr>
          <w:szCs w:val="22"/>
        </w:rPr>
        <w:t>32</w:t>
      </w:r>
      <w:r w:rsidRPr="007B5EFB">
        <w:rPr>
          <w:szCs w:val="22"/>
        </w:rPr>
        <w:t xml:space="preserve"> replies received in response to Circular C. PCT 1440, 25 Offices expressed their support in principle for the proposal to </w:t>
      </w:r>
      <w:r w:rsidRPr="007B5EFB">
        <w:t>introduce a “netting structure” for all PCT fee transactions between receiving Office</w:t>
      </w:r>
      <w:r w:rsidR="00743CA0" w:rsidRPr="007B5EFB">
        <w:t>s</w:t>
      </w:r>
      <w:r w:rsidR="00165D04" w:rsidRPr="007B5EFB">
        <w:t xml:space="preserve"> (RO</w:t>
      </w:r>
      <w:r w:rsidR="00743CA0" w:rsidRPr="007B5EFB">
        <w:t>s</w:t>
      </w:r>
      <w:r w:rsidR="00165D04" w:rsidRPr="007B5EFB">
        <w:t>)</w:t>
      </w:r>
      <w:r w:rsidRPr="007B5EFB">
        <w:t>, International Searching Authorit</w:t>
      </w:r>
      <w:r w:rsidR="00743CA0" w:rsidRPr="007B5EFB">
        <w:t>ies</w:t>
      </w:r>
      <w:r w:rsidRPr="007B5EFB">
        <w:t xml:space="preserve"> (ISA</w:t>
      </w:r>
      <w:r w:rsidR="00743CA0" w:rsidRPr="007B5EFB">
        <w:t>s</w:t>
      </w:r>
      <w:r w:rsidRPr="007B5EFB">
        <w:t xml:space="preserve">) and the </w:t>
      </w:r>
      <w:r w:rsidR="00165D04" w:rsidRPr="007B5EFB">
        <w:t>IB</w:t>
      </w:r>
      <w:r w:rsidRPr="007B5EFB">
        <w:t xml:space="preserve">.  One Office stated that it could not support this proposal, as it would impose an excessive burden on it in its capacity as a receiving Office.  Five Offices either did not comment on the proposal or stated that further information was required, notably on possible financial and IT implications for receiving Offices, before they could take a position on the proposal.  </w:t>
      </w:r>
      <w:r w:rsidR="00A8714C" w:rsidRPr="007B5EFB">
        <w:t xml:space="preserve">One Office stated that, already today, its applicants were required to transfer the international filing fee directly to the IB and the search fee directly to the ISA, in the currencies accepted by the IB and the ISA, respectively.  </w:t>
      </w:r>
      <w:r w:rsidRPr="007B5EFB">
        <w:t xml:space="preserve">Several Offices which supported the proposal in principle requested further information on various aspects of the proposal, such as detailed information on the envisaged fee reconciliation procedures, its relationship to the envisaged transmittal of search copies in electronic form from </w:t>
      </w:r>
      <w:r w:rsidR="00EE5C75" w:rsidRPr="007B5EFB">
        <w:t>ROs</w:t>
      </w:r>
      <w:r w:rsidRPr="007B5EFB">
        <w:t xml:space="preserve"> to the </w:t>
      </w:r>
      <w:r w:rsidR="00EE5C75" w:rsidRPr="007B5EFB">
        <w:t>ISA</w:t>
      </w:r>
      <w:r w:rsidRPr="007B5EFB">
        <w:t xml:space="preserve"> “via” the </w:t>
      </w:r>
      <w:r w:rsidR="00EE5C75" w:rsidRPr="007B5EFB">
        <w:t>IB</w:t>
      </w:r>
      <w:r w:rsidRPr="007B5EFB">
        <w:t xml:space="preserve">, the mandatory nature of “netting” for smaller </w:t>
      </w:r>
      <w:r w:rsidR="00EE5C75" w:rsidRPr="007B5EFB">
        <w:t>ROs</w:t>
      </w:r>
      <w:r w:rsidRPr="007B5EFB">
        <w:t xml:space="preserve"> and the need for an appropriate transition period.</w:t>
      </w:r>
    </w:p>
    <w:p w:rsidR="00C85064" w:rsidRPr="007B5EFB" w:rsidRDefault="00C85064" w:rsidP="00C85064">
      <w:pPr>
        <w:pStyle w:val="Heading2"/>
      </w:pPr>
      <w:r w:rsidRPr="007B5EFB">
        <w:rPr>
          <w:szCs w:val="22"/>
        </w:rPr>
        <w:t>proposal to a</w:t>
      </w:r>
      <w:r w:rsidRPr="007B5EFB">
        <w:t>dd a margin when setting equivalent amounts</w:t>
      </w:r>
    </w:p>
    <w:p w:rsidR="00C85064" w:rsidRPr="007B5EFB" w:rsidRDefault="00C85064" w:rsidP="00C85064">
      <w:pPr>
        <w:pStyle w:val="ONUME"/>
      </w:pPr>
      <w:r w:rsidRPr="007B5EFB">
        <w:t xml:space="preserve">Out of the </w:t>
      </w:r>
      <w:r w:rsidR="00A8714C" w:rsidRPr="007B5EFB">
        <w:t>32</w:t>
      </w:r>
      <w:r w:rsidRPr="007B5EFB">
        <w:t xml:space="preserve"> replies received in response to Circular C. PCT 1440, 18 Offices stated that they could not support the proposal to </w:t>
      </w:r>
      <w:r w:rsidRPr="007B5EFB">
        <w:rPr>
          <w:szCs w:val="22"/>
        </w:rPr>
        <w:t xml:space="preserve">add a small, low percentage margin to the equivalent amounts of the international filing fee and of the search fees, for the benefit of the IB and, if no netting structure were to be introduced, the ISA, respectively.  Four Offices supported the proposal, two of which only if the margin to be added would remain low and one only if neither hedging nor netting were to be introduced.  </w:t>
      </w:r>
      <w:r w:rsidR="00A8714C" w:rsidRPr="007B5EFB">
        <w:rPr>
          <w:szCs w:val="22"/>
        </w:rPr>
        <w:t>Nine</w:t>
      </w:r>
      <w:r w:rsidR="003237B9" w:rsidRPr="007B5EFB">
        <w:rPr>
          <w:szCs w:val="22"/>
        </w:rPr>
        <w:t xml:space="preserve"> </w:t>
      </w:r>
      <w:r w:rsidRPr="007B5EFB">
        <w:rPr>
          <w:szCs w:val="22"/>
        </w:rPr>
        <w:t xml:space="preserve">Offices </w:t>
      </w:r>
      <w:r w:rsidRPr="007B5EFB">
        <w:t>either did not comment on the proposal or stated that further information was required before they could take a position on the proposal.</w:t>
      </w:r>
    </w:p>
    <w:p w:rsidR="00C85064" w:rsidRPr="007B5EFB" w:rsidRDefault="00C85064" w:rsidP="00C85064">
      <w:pPr>
        <w:pStyle w:val="Heading2"/>
      </w:pPr>
      <w:r w:rsidRPr="007B5EFB">
        <w:rPr>
          <w:szCs w:val="22"/>
        </w:rPr>
        <w:t xml:space="preserve">proposal to have applicants pay the </w:t>
      </w:r>
      <w:r w:rsidRPr="007B5EFB">
        <w:t>international filing fee in Swiss francs and the search fee in the applicable ISA currency</w:t>
      </w:r>
    </w:p>
    <w:p w:rsidR="00C85064" w:rsidRPr="007B5EFB" w:rsidRDefault="00C85064" w:rsidP="00C85064">
      <w:pPr>
        <w:pStyle w:val="ONUME"/>
      </w:pPr>
      <w:r w:rsidRPr="007B5EFB">
        <w:t xml:space="preserve">Out of the </w:t>
      </w:r>
      <w:r w:rsidR="00A8714C" w:rsidRPr="007B5EFB">
        <w:t>32</w:t>
      </w:r>
      <w:r w:rsidRPr="007B5EFB">
        <w:t xml:space="preserve"> replies received in response to Circular C. PCT 1440, 20 Offices stated that they could not support the proposal to</w:t>
      </w:r>
      <w:r w:rsidRPr="007B5EFB">
        <w:rPr>
          <w:szCs w:val="22"/>
        </w:rPr>
        <w:t xml:space="preserve"> enable applicants to pay the international filing fee in </w:t>
      </w:r>
      <w:r w:rsidR="00AF7FDC" w:rsidRPr="007B5EFB">
        <w:rPr>
          <w:szCs w:val="22"/>
        </w:rPr>
        <w:t>CHF</w:t>
      </w:r>
      <w:r w:rsidRPr="007B5EFB">
        <w:rPr>
          <w:szCs w:val="22"/>
        </w:rPr>
        <w:t xml:space="preserve"> and the search fee in the applicable ISA currency to the RO (note that it had not been proposed to make it mandatory for a </w:t>
      </w:r>
      <w:r w:rsidR="00EE5C75" w:rsidRPr="007B5EFB">
        <w:rPr>
          <w:szCs w:val="22"/>
        </w:rPr>
        <w:t>RO</w:t>
      </w:r>
      <w:r w:rsidRPr="007B5EFB">
        <w:rPr>
          <w:szCs w:val="22"/>
        </w:rPr>
        <w:t xml:space="preserve"> to allow for or require the payment of the international filing fee in </w:t>
      </w:r>
      <w:r w:rsidR="00AF7FDC" w:rsidRPr="007B5EFB">
        <w:rPr>
          <w:szCs w:val="22"/>
        </w:rPr>
        <w:t>CHF</w:t>
      </w:r>
      <w:r w:rsidRPr="007B5EFB">
        <w:rPr>
          <w:szCs w:val="22"/>
        </w:rPr>
        <w:t xml:space="preserve"> and payment of the search fee in the applicable ISA currency).  </w:t>
      </w:r>
      <w:r w:rsidR="00A8714C" w:rsidRPr="007B5EFB">
        <w:rPr>
          <w:szCs w:val="22"/>
        </w:rPr>
        <w:t xml:space="preserve">Eight </w:t>
      </w:r>
      <w:r w:rsidRPr="007B5EFB">
        <w:rPr>
          <w:szCs w:val="22"/>
        </w:rPr>
        <w:t xml:space="preserve">Offices stated that, already today, they either collected (from the applicant) </w:t>
      </w:r>
      <w:r w:rsidR="00E00CCB" w:rsidRPr="007B5EFB">
        <w:rPr>
          <w:szCs w:val="22"/>
        </w:rPr>
        <w:t>and/</w:t>
      </w:r>
      <w:r w:rsidRPr="007B5EFB">
        <w:rPr>
          <w:szCs w:val="22"/>
        </w:rPr>
        <w:t xml:space="preserve">or transferred (to the </w:t>
      </w:r>
      <w:r w:rsidR="00EE5C75" w:rsidRPr="007B5EFB">
        <w:rPr>
          <w:szCs w:val="22"/>
        </w:rPr>
        <w:t>IB</w:t>
      </w:r>
      <w:r w:rsidRPr="007B5EFB">
        <w:rPr>
          <w:szCs w:val="22"/>
        </w:rPr>
        <w:t xml:space="preserve"> or to the </w:t>
      </w:r>
      <w:r w:rsidR="00EE5C75" w:rsidRPr="007B5EFB">
        <w:rPr>
          <w:szCs w:val="22"/>
        </w:rPr>
        <w:t>ISA</w:t>
      </w:r>
      <w:r w:rsidRPr="007B5EFB">
        <w:rPr>
          <w:szCs w:val="22"/>
        </w:rPr>
        <w:t xml:space="preserve">) the international filing fee and the search fee in </w:t>
      </w:r>
      <w:r w:rsidR="00AF7FDC" w:rsidRPr="007B5EFB">
        <w:rPr>
          <w:szCs w:val="22"/>
        </w:rPr>
        <w:t>CHF</w:t>
      </w:r>
      <w:r w:rsidRPr="007B5EFB">
        <w:rPr>
          <w:szCs w:val="22"/>
        </w:rPr>
        <w:t xml:space="preserve"> or the applicable ISA currency, respectively, or that they did so in </w:t>
      </w:r>
      <w:r w:rsidR="00AF7FDC" w:rsidRPr="007B5EFB">
        <w:rPr>
          <w:szCs w:val="22"/>
        </w:rPr>
        <w:t xml:space="preserve">USD </w:t>
      </w:r>
      <w:r w:rsidRPr="007B5EFB">
        <w:rPr>
          <w:szCs w:val="22"/>
        </w:rPr>
        <w:t>but could envisage switch</w:t>
      </w:r>
      <w:r w:rsidR="008C033B" w:rsidRPr="007B5EFB">
        <w:rPr>
          <w:szCs w:val="22"/>
        </w:rPr>
        <w:t>ing</w:t>
      </w:r>
      <w:r w:rsidRPr="007B5EFB">
        <w:rPr>
          <w:szCs w:val="22"/>
        </w:rPr>
        <w:t xml:space="preserve"> to </w:t>
      </w:r>
      <w:r w:rsidR="00AF7FDC" w:rsidRPr="007B5EFB">
        <w:rPr>
          <w:szCs w:val="22"/>
        </w:rPr>
        <w:t>CHF</w:t>
      </w:r>
      <w:r w:rsidRPr="007B5EFB">
        <w:rPr>
          <w:szCs w:val="22"/>
        </w:rPr>
        <w:t xml:space="preserve"> or the applicable ISA currency, respectively.  </w:t>
      </w:r>
      <w:r w:rsidR="00A8714C" w:rsidRPr="007B5EFB">
        <w:t xml:space="preserve">One Office stated that, already today, its applicants were required to transfer the international filing fee directly to the IB and the search fee directly to the ISA, in one of the currencies accepted by the IB and the ISA, respectively.  </w:t>
      </w:r>
      <w:r w:rsidRPr="007B5EFB">
        <w:rPr>
          <w:szCs w:val="22"/>
        </w:rPr>
        <w:t xml:space="preserve">Seven Offices </w:t>
      </w:r>
      <w:r w:rsidRPr="007B5EFB">
        <w:t xml:space="preserve">either did not comment on the proposal or stated that further information was required before they could take a position on the proposal.  </w:t>
      </w:r>
    </w:p>
    <w:p w:rsidR="00C85064" w:rsidRPr="007B5EFB" w:rsidRDefault="00C85064" w:rsidP="00C85064">
      <w:pPr>
        <w:pStyle w:val="ONUME"/>
      </w:pPr>
      <w:r w:rsidRPr="007B5EFB">
        <w:t>Almost all Offices which commented on this issue (</w:t>
      </w:r>
      <w:r w:rsidR="008A496F" w:rsidRPr="007B5EFB">
        <w:t xml:space="preserve">10 </w:t>
      </w:r>
      <w:r w:rsidRPr="007B5EFB">
        <w:t xml:space="preserve">Offices did so), including some Offices which had stated that they could not support the proposal to </w:t>
      </w:r>
      <w:r w:rsidRPr="007B5EFB">
        <w:rPr>
          <w:szCs w:val="22"/>
        </w:rPr>
        <w:t xml:space="preserve">enable applicants to pay to the </w:t>
      </w:r>
      <w:r w:rsidR="00EE5C75" w:rsidRPr="007B5EFB">
        <w:rPr>
          <w:szCs w:val="22"/>
        </w:rPr>
        <w:t>RO</w:t>
      </w:r>
      <w:r w:rsidRPr="007B5EFB">
        <w:rPr>
          <w:szCs w:val="22"/>
        </w:rPr>
        <w:t xml:space="preserve"> the international filing fee in </w:t>
      </w:r>
      <w:r w:rsidR="00AF7FDC" w:rsidRPr="007B5EFB">
        <w:rPr>
          <w:szCs w:val="22"/>
        </w:rPr>
        <w:t>CHF</w:t>
      </w:r>
      <w:r w:rsidRPr="007B5EFB">
        <w:rPr>
          <w:szCs w:val="22"/>
        </w:rPr>
        <w:t xml:space="preserve"> and the search fee in the applicable ISA currency, expressed their support in general for the proposal to further develop solutions which would allow applicants, at the time of filing using the ePCT-Filing system, and regardless of the RO with which the international application had been filed, to pay the international filing fee in </w:t>
      </w:r>
      <w:r w:rsidR="00AF7FDC" w:rsidRPr="007B5EFB">
        <w:rPr>
          <w:szCs w:val="22"/>
        </w:rPr>
        <w:t>CHF</w:t>
      </w:r>
      <w:r w:rsidRPr="007B5EFB">
        <w:rPr>
          <w:szCs w:val="22"/>
        </w:rPr>
        <w:t xml:space="preserve"> to the </w:t>
      </w:r>
      <w:r w:rsidR="00EE5C75" w:rsidRPr="007B5EFB">
        <w:rPr>
          <w:szCs w:val="22"/>
        </w:rPr>
        <w:t>IB</w:t>
      </w:r>
      <w:r w:rsidRPr="007B5EFB">
        <w:rPr>
          <w:szCs w:val="22"/>
        </w:rPr>
        <w:t xml:space="preserve"> and to pay the search fee in the applicable ISA currency to the </w:t>
      </w:r>
      <w:r w:rsidR="00EE5C75" w:rsidRPr="007B5EFB">
        <w:rPr>
          <w:szCs w:val="22"/>
        </w:rPr>
        <w:t>ISA</w:t>
      </w:r>
      <w:r w:rsidRPr="007B5EFB">
        <w:rPr>
          <w:szCs w:val="22"/>
        </w:rPr>
        <w:t>, for example, either by way of an online credit card transaction or by furnishing details of a current (deposit) account with WIPO or the ISA, as applicable, or possibly a bank transfer transaction.</w:t>
      </w:r>
    </w:p>
    <w:p w:rsidR="00C85064" w:rsidRPr="007B5EFB" w:rsidRDefault="00E00CCB" w:rsidP="00A8714C">
      <w:pPr>
        <w:pStyle w:val="Heading1"/>
        <w:keepLines/>
      </w:pPr>
      <w:r w:rsidRPr="007B5EFB">
        <w:lastRenderedPageBreak/>
        <w:t xml:space="preserve">Proposed </w:t>
      </w:r>
      <w:r w:rsidR="00C85064" w:rsidRPr="007B5EFB">
        <w:t>Way forward</w:t>
      </w:r>
    </w:p>
    <w:p w:rsidR="00AB122D" w:rsidRPr="007B5EFB" w:rsidRDefault="00AB122D" w:rsidP="00A8714C">
      <w:pPr>
        <w:pStyle w:val="ONUME"/>
        <w:keepNext/>
        <w:keepLines/>
        <w:tabs>
          <w:tab w:val="num" w:pos="851"/>
          <w:tab w:val="num" w:pos="6597"/>
        </w:tabs>
        <w:rPr>
          <w:szCs w:val="22"/>
        </w:rPr>
      </w:pPr>
      <w:bookmarkStart w:id="5" w:name="_Ref418511098"/>
      <w:r w:rsidRPr="007B5EFB">
        <w:rPr>
          <w:szCs w:val="22"/>
        </w:rPr>
        <w:t xml:space="preserve">Taking into account the strong support received in response to Circular C. PCT 1440 on the proposal to </w:t>
      </w:r>
      <w:r w:rsidRPr="007B5EFB">
        <w:t xml:space="preserve">hedge the risk resulting from transactions in foreign currencies and to modify the current equivalent amount process </w:t>
      </w:r>
      <w:r w:rsidRPr="007B5EFB">
        <w:rPr>
          <w:bCs/>
          <w:szCs w:val="22"/>
        </w:rPr>
        <w:t>for PCT fees accordingly</w:t>
      </w:r>
      <w:r w:rsidRPr="007B5EFB">
        <w:rPr>
          <w:szCs w:val="22"/>
        </w:rPr>
        <w:t xml:space="preserve">, it is proposed </w:t>
      </w:r>
      <w:r w:rsidR="008176EE" w:rsidRPr="007B5EFB">
        <w:rPr>
          <w:szCs w:val="22"/>
        </w:rPr>
        <w:t xml:space="preserve">to commence hedging of international filing fees as far as </w:t>
      </w:r>
      <w:r w:rsidR="008176EE" w:rsidRPr="007B5EFB">
        <w:t>the risk resulting from transactions in EUR</w:t>
      </w:r>
      <w:r w:rsidR="00C27CDD" w:rsidRPr="007B5EFB">
        <w:t>, JPY and USD</w:t>
      </w:r>
      <w:r w:rsidR="008176EE" w:rsidRPr="007B5EFB">
        <w:t xml:space="preserve"> is concerned. </w:t>
      </w:r>
      <w:r w:rsidR="008176EE" w:rsidRPr="007B5EFB">
        <w:rPr>
          <w:szCs w:val="22"/>
        </w:rPr>
        <w:t xml:space="preserve"> </w:t>
      </w:r>
      <w:bookmarkEnd w:id="5"/>
      <w:r w:rsidR="008176EE" w:rsidRPr="007B5EFB">
        <w:rPr>
          <w:szCs w:val="22"/>
        </w:rPr>
        <w:t xml:space="preserve">Details of that proposal, including additional </w:t>
      </w:r>
      <w:r w:rsidR="008176EE" w:rsidRPr="007B5EFB">
        <w:t xml:space="preserve">information on various aspects of the proposal </w:t>
      </w:r>
      <w:r w:rsidR="008176EE" w:rsidRPr="007B5EFB">
        <w:rPr>
          <w:szCs w:val="22"/>
        </w:rPr>
        <w:t xml:space="preserve">to </w:t>
      </w:r>
      <w:r w:rsidR="008176EE" w:rsidRPr="007B5EFB">
        <w:t>hedge the risk resulting from transactions in foreign currencies, as requested by Offices in response to Circular C. PCT 1440, are set out in paragraphs </w:t>
      </w:r>
      <w:r w:rsidR="00C27CDD" w:rsidRPr="007B5EFB">
        <w:fldChar w:fldCharType="begin"/>
      </w:r>
      <w:r w:rsidR="00C27CDD" w:rsidRPr="007B5EFB">
        <w:instrText xml:space="preserve"> REF _Ref418082154 \r \h </w:instrText>
      </w:r>
      <w:r w:rsidR="007B5EFB">
        <w:instrText xml:space="preserve"> \* MERGEFORMAT </w:instrText>
      </w:r>
      <w:r w:rsidR="00C27CDD" w:rsidRPr="007B5EFB">
        <w:fldChar w:fldCharType="separate"/>
      </w:r>
      <w:r w:rsidR="008431A0">
        <w:t>16</w:t>
      </w:r>
      <w:r w:rsidR="00C27CDD" w:rsidRPr="007B5EFB">
        <w:fldChar w:fldCharType="end"/>
      </w:r>
      <w:r w:rsidR="008176EE" w:rsidRPr="007B5EFB">
        <w:t xml:space="preserve"> to </w:t>
      </w:r>
      <w:r w:rsidR="00C27CDD" w:rsidRPr="007B5EFB">
        <w:fldChar w:fldCharType="begin"/>
      </w:r>
      <w:r w:rsidR="00C27CDD" w:rsidRPr="007B5EFB">
        <w:instrText xml:space="preserve"> REF _Ref418864871 \r \h </w:instrText>
      </w:r>
      <w:r w:rsidR="007B5EFB">
        <w:instrText xml:space="preserve"> \* MERGEFORMAT </w:instrText>
      </w:r>
      <w:r w:rsidR="00C27CDD" w:rsidRPr="007B5EFB">
        <w:fldChar w:fldCharType="separate"/>
      </w:r>
      <w:r w:rsidR="008431A0">
        <w:t>39</w:t>
      </w:r>
      <w:r w:rsidR="00C27CDD" w:rsidRPr="007B5EFB">
        <w:fldChar w:fldCharType="end"/>
      </w:r>
      <w:r w:rsidR="008176EE" w:rsidRPr="007B5EFB">
        <w:t>, below.</w:t>
      </w:r>
    </w:p>
    <w:p w:rsidR="008176EE" w:rsidRPr="007B5EFB" w:rsidRDefault="008176EE" w:rsidP="00A8714C">
      <w:pPr>
        <w:pStyle w:val="ONUME"/>
        <w:keepNext/>
        <w:keepLines/>
        <w:tabs>
          <w:tab w:val="num" w:pos="851"/>
          <w:tab w:val="num" w:pos="6597"/>
        </w:tabs>
        <w:rPr>
          <w:szCs w:val="22"/>
        </w:rPr>
      </w:pPr>
      <w:r w:rsidRPr="007B5EFB">
        <w:t xml:space="preserve">Taking into account a number of concerns, as further </w:t>
      </w:r>
      <w:r w:rsidR="00344F96" w:rsidRPr="007B5EFB">
        <w:t>detailed</w:t>
      </w:r>
      <w:r w:rsidRPr="007B5EFB">
        <w:t xml:space="preserve"> in paragraphs </w:t>
      </w:r>
      <w:r w:rsidR="00C27CDD" w:rsidRPr="007B5EFB">
        <w:fldChar w:fldCharType="begin"/>
      </w:r>
      <w:r w:rsidR="00C27CDD" w:rsidRPr="007B5EFB">
        <w:instrText xml:space="preserve"> REF _Ref418864892 \r \h </w:instrText>
      </w:r>
      <w:r w:rsidR="007B5EFB">
        <w:instrText xml:space="preserve"> \* MERGEFORMAT </w:instrText>
      </w:r>
      <w:r w:rsidR="00C27CDD" w:rsidRPr="007B5EFB">
        <w:fldChar w:fldCharType="separate"/>
      </w:r>
      <w:r w:rsidR="008431A0">
        <w:t>40</w:t>
      </w:r>
      <w:r w:rsidR="00C27CDD" w:rsidRPr="007B5EFB">
        <w:fldChar w:fldCharType="end"/>
      </w:r>
      <w:r w:rsidRPr="007B5EFB">
        <w:t xml:space="preserve"> to </w:t>
      </w:r>
      <w:r w:rsidR="008F647B" w:rsidRPr="007B5EFB">
        <w:fldChar w:fldCharType="begin"/>
      </w:r>
      <w:r w:rsidR="008F647B" w:rsidRPr="007B5EFB">
        <w:instrText xml:space="preserve"> REF _Ref419106467 \r \h </w:instrText>
      </w:r>
      <w:r w:rsidR="007B5EFB">
        <w:instrText xml:space="preserve"> \* MERGEFORMAT </w:instrText>
      </w:r>
      <w:r w:rsidR="008F647B" w:rsidRPr="007B5EFB">
        <w:fldChar w:fldCharType="separate"/>
      </w:r>
      <w:r w:rsidR="008431A0">
        <w:t>46</w:t>
      </w:r>
      <w:r w:rsidR="008F647B" w:rsidRPr="007B5EFB">
        <w:fldChar w:fldCharType="end"/>
      </w:r>
      <w:r w:rsidRPr="007B5EFB">
        <w:t xml:space="preserve">, below, </w:t>
      </w:r>
      <w:r w:rsidR="00344F96" w:rsidRPr="007B5EFB">
        <w:t>it is not proposed at this stage to also commence hedging of search fees</w:t>
      </w:r>
      <w:r w:rsidR="008F647B" w:rsidRPr="007B5EFB">
        <w:t xml:space="preserve"> (or, to be more precise, </w:t>
      </w:r>
      <w:r w:rsidR="008F647B" w:rsidRPr="007B5EFB">
        <w:rPr>
          <w:szCs w:val="22"/>
        </w:rPr>
        <w:t xml:space="preserve">to commence </w:t>
      </w:r>
      <w:r w:rsidR="008F647B" w:rsidRPr="007B5EFB">
        <w:rPr>
          <w:lang w:eastAsia="en-US"/>
        </w:rPr>
        <w:t>hedging of the risks resulting from ISAs requesting to be reimbursed by the IB under Rule 16.1(e) for losses in search fee income incurred by them)</w:t>
      </w:r>
      <w:r w:rsidR="008F647B" w:rsidRPr="007B5EFB">
        <w:t xml:space="preserve">.  </w:t>
      </w:r>
      <w:r w:rsidR="00344F96" w:rsidRPr="007B5EFB">
        <w:t>Rather, as set out in paragraphs </w:t>
      </w:r>
      <w:r w:rsidR="008F647B" w:rsidRPr="007B5EFB">
        <w:fldChar w:fldCharType="begin"/>
      </w:r>
      <w:r w:rsidR="008F647B" w:rsidRPr="007B5EFB">
        <w:instrText xml:space="preserve"> REF _Ref418864892 \r \h </w:instrText>
      </w:r>
      <w:r w:rsidR="007D0757" w:rsidRPr="007B5EFB">
        <w:instrText xml:space="preserve"> \* MERGEFORMAT </w:instrText>
      </w:r>
      <w:r w:rsidR="008F647B" w:rsidRPr="007B5EFB">
        <w:fldChar w:fldCharType="separate"/>
      </w:r>
      <w:r w:rsidR="008431A0">
        <w:t>40</w:t>
      </w:r>
      <w:r w:rsidR="008F647B" w:rsidRPr="007B5EFB">
        <w:fldChar w:fldCharType="end"/>
      </w:r>
      <w:r w:rsidR="008F647B" w:rsidRPr="007B5EFB">
        <w:t xml:space="preserve"> to </w:t>
      </w:r>
      <w:r w:rsidR="008F647B" w:rsidRPr="007B5EFB">
        <w:fldChar w:fldCharType="begin"/>
      </w:r>
      <w:r w:rsidR="008F647B" w:rsidRPr="007B5EFB">
        <w:instrText xml:space="preserve"> REF _Ref419106467 \r \h </w:instrText>
      </w:r>
      <w:r w:rsidR="007D0757" w:rsidRPr="007B5EFB">
        <w:instrText xml:space="preserve"> \* MERGEFORMAT </w:instrText>
      </w:r>
      <w:r w:rsidR="008F647B" w:rsidRPr="007B5EFB">
        <w:fldChar w:fldCharType="separate"/>
      </w:r>
      <w:r w:rsidR="008431A0">
        <w:t>46</w:t>
      </w:r>
      <w:r w:rsidR="008F647B" w:rsidRPr="007B5EFB">
        <w:fldChar w:fldCharType="end"/>
      </w:r>
      <w:r w:rsidR="00C27CDD" w:rsidRPr="007B5EFB">
        <w:t>,</w:t>
      </w:r>
      <w:r w:rsidR="00344F96" w:rsidRPr="007B5EFB">
        <w:t xml:space="preserve"> below, it is proposed that the IB should run a “proof of concept” simulation as </w:t>
      </w:r>
      <w:r w:rsidR="008D7499" w:rsidRPr="007B5EFB">
        <w:t xml:space="preserve">from </w:t>
      </w:r>
      <w:r w:rsidR="00344F96" w:rsidRPr="007B5EFB">
        <w:t>the summer of 2015 and, in case that simulation is successful, to present a proposal with regard to hedging of search fees to the Working Group at its next session in 2016.</w:t>
      </w:r>
    </w:p>
    <w:p w:rsidR="00C85064" w:rsidRPr="007B5EFB" w:rsidRDefault="00C85064" w:rsidP="00E00CCB">
      <w:pPr>
        <w:pStyle w:val="ONUME"/>
        <w:keepLines/>
        <w:tabs>
          <w:tab w:val="num" w:pos="851"/>
          <w:tab w:val="num" w:pos="6597"/>
        </w:tabs>
        <w:rPr>
          <w:szCs w:val="22"/>
        </w:rPr>
      </w:pPr>
      <w:r w:rsidRPr="007B5EFB">
        <w:rPr>
          <w:szCs w:val="22"/>
        </w:rPr>
        <w:t xml:space="preserve">In view of the strong support in principle by a large majority of Offices which have responded to the Circular, it is proposed that </w:t>
      </w:r>
      <w:r w:rsidRPr="007B5EFB">
        <w:t xml:space="preserve">the </w:t>
      </w:r>
      <w:r w:rsidR="00EE5C75" w:rsidRPr="007B5EFB">
        <w:t>IB</w:t>
      </w:r>
      <w:r w:rsidRPr="007B5EFB">
        <w:t xml:space="preserve"> should further develop t</w:t>
      </w:r>
      <w:r w:rsidRPr="007B5EFB">
        <w:rPr>
          <w:szCs w:val="22"/>
        </w:rPr>
        <w:t xml:space="preserve">he proposal to </w:t>
      </w:r>
      <w:r w:rsidRPr="007B5EFB">
        <w:t xml:space="preserve">introduce a “netting structure” for all PCT fee transactions between </w:t>
      </w:r>
      <w:r w:rsidR="00EE5C75" w:rsidRPr="007B5EFB">
        <w:t>RO</w:t>
      </w:r>
      <w:r w:rsidR="00743CA0" w:rsidRPr="007B5EFB">
        <w:t>s</w:t>
      </w:r>
      <w:r w:rsidRPr="007B5EFB">
        <w:t>, ISA</w:t>
      </w:r>
      <w:r w:rsidR="00743CA0" w:rsidRPr="007B5EFB">
        <w:t>s</w:t>
      </w:r>
      <w:r w:rsidRPr="007B5EFB">
        <w:t xml:space="preserve"> and the </w:t>
      </w:r>
      <w:r w:rsidR="00EE5C75" w:rsidRPr="007B5EFB">
        <w:t>IB</w:t>
      </w:r>
      <w:r w:rsidRPr="007B5EFB">
        <w:t>, taking into account the questions raised in response to the Circ</w:t>
      </w:r>
      <w:r w:rsidR="003B7426" w:rsidRPr="007B5EFB">
        <w:t>u</w:t>
      </w:r>
      <w:r w:rsidRPr="007B5EFB">
        <w:t xml:space="preserve">lar, with a view to presenting </w:t>
      </w:r>
      <w:r w:rsidR="004526C3" w:rsidRPr="007B5EFB">
        <w:t xml:space="preserve">a </w:t>
      </w:r>
      <w:r w:rsidRPr="007B5EFB">
        <w:t>detailed proposal for discussion by the Working Group at its next session in 2016.</w:t>
      </w:r>
    </w:p>
    <w:p w:rsidR="004526C3" w:rsidRPr="007B5EFB" w:rsidRDefault="004526C3" w:rsidP="004526C3">
      <w:pPr>
        <w:pStyle w:val="ONUME"/>
        <w:keepLines/>
        <w:tabs>
          <w:tab w:val="num" w:pos="851"/>
          <w:tab w:val="num" w:pos="6597"/>
        </w:tabs>
        <w:rPr>
          <w:szCs w:val="22"/>
        </w:rPr>
      </w:pPr>
      <w:r w:rsidRPr="007B5EFB">
        <w:rPr>
          <w:szCs w:val="22"/>
        </w:rPr>
        <w:t>In view of the overwhelmingly negative replies received in response to Circular C. PCT 1440 on the proposal to add a small, low percentage margin to the equivalent amounts of the international filing fee and of the search fees, this proposal is no longer pursued.</w:t>
      </w:r>
    </w:p>
    <w:p w:rsidR="003B7426" w:rsidRPr="007B5EFB" w:rsidRDefault="003B7426" w:rsidP="003B7426">
      <w:pPr>
        <w:pStyle w:val="ONUME"/>
        <w:tabs>
          <w:tab w:val="num" w:pos="851"/>
          <w:tab w:val="num" w:pos="6597"/>
        </w:tabs>
        <w:rPr>
          <w:szCs w:val="22"/>
        </w:rPr>
      </w:pPr>
      <w:bookmarkStart w:id="6" w:name="_Ref418082533"/>
      <w:r w:rsidRPr="007B5EFB">
        <w:t xml:space="preserve">In view of the interest by certain Offices in allowing payment of fees directly to the </w:t>
      </w:r>
      <w:r w:rsidR="00EE5C75" w:rsidRPr="007B5EFB">
        <w:t>IB</w:t>
      </w:r>
      <w:r w:rsidRPr="007B5EFB">
        <w:t xml:space="preserve"> using ePCT, it is proposed that the </w:t>
      </w:r>
      <w:r w:rsidR="00EE5C75" w:rsidRPr="007B5EFB">
        <w:t>IB</w:t>
      </w:r>
      <w:r w:rsidRPr="007B5EFB">
        <w:t xml:space="preserve"> further investigate appropriate mechanisms and present a proposal in a PCT Circular for an optional arrangement whereby the main fees c</w:t>
      </w:r>
      <w:r w:rsidR="00E00CCB" w:rsidRPr="007B5EFB">
        <w:t>ould</w:t>
      </w:r>
      <w:r w:rsidRPr="007B5EFB">
        <w:t xml:space="preserve"> be paid through ePCT to the </w:t>
      </w:r>
      <w:r w:rsidR="00EE5C75" w:rsidRPr="007B5EFB">
        <w:t>IB</w:t>
      </w:r>
      <w:r w:rsidRPr="007B5EFB">
        <w:t xml:space="preserve">, acting on behalf of participating </w:t>
      </w:r>
      <w:r w:rsidR="00EE5C75" w:rsidRPr="007B5EFB">
        <w:t>ROs</w:t>
      </w:r>
      <w:r w:rsidRPr="007B5EFB">
        <w:t>.  The proposal would</w:t>
      </w:r>
      <w:r w:rsidR="00E00CCB" w:rsidRPr="007B5EFB">
        <w:t>,</w:t>
      </w:r>
      <w:r w:rsidRPr="007B5EFB">
        <w:t xml:space="preserve"> in particular</w:t>
      </w:r>
      <w:r w:rsidR="00E00CCB" w:rsidRPr="007B5EFB">
        <w:t>,</w:t>
      </w:r>
      <w:r w:rsidRPr="007B5EFB">
        <w:t xml:space="preserve"> address:</w:t>
      </w:r>
      <w:bookmarkEnd w:id="6"/>
    </w:p>
    <w:p w:rsidR="003B7426" w:rsidRPr="007B5EFB" w:rsidRDefault="003B7426" w:rsidP="00F52F56">
      <w:pPr>
        <w:pStyle w:val="ONUME"/>
        <w:numPr>
          <w:ilvl w:val="1"/>
          <w:numId w:val="5"/>
        </w:numPr>
        <w:rPr>
          <w:szCs w:val="22"/>
        </w:rPr>
      </w:pPr>
      <w:r w:rsidRPr="007B5EFB">
        <w:t>which currencies of payment the system would be able to support;</w:t>
      </w:r>
    </w:p>
    <w:p w:rsidR="003B7426" w:rsidRPr="007B5EFB" w:rsidRDefault="003B7426" w:rsidP="00F52F56">
      <w:pPr>
        <w:pStyle w:val="ONUME"/>
        <w:numPr>
          <w:ilvl w:val="1"/>
          <w:numId w:val="5"/>
        </w:numPr>
        <w:rPr>
          <w:szCs w:val="22"/>
        </w:rPr>
      </w:pPr>
      <w:r w:rsidRPr="007B5EFB">
        <w:t xml:space="preserve">which modes of payment (credit card, current/deposit accounts at </w:t>
      </w:r>
      <w:r w:rsidR="00743CA0" w:rsidRPr="007B5EFB">
        <w:t xml:space="preserve">the </w:t>
      </w:r>
      <w:r w:rsidRPr="007B5EFB">
        <w:t xml:space="preserve">IB or </w:t>
      </w:r>
      <w:r w:rsidR="00743CA0" w:rsidRPr="007B5EFB">
        <w:t xml:space="preserve">the </w:t>
      </w:r>
      <w:r w:rsidRPr="007B5EFB">
        <w:t>ISA) the system would be able to support;</w:t>
      </w:r>
    </w:p>
    <w:p w:rsidR="00BA59E4" w:rsidRPr="007B5EFB" w:rsidRDefault="00BA59E4" w:rsidP="00F52F56">
      <w:pPr>
        <w:pStyle w:val="ONUME"/>
        <w:numPr>
          <w:ilvl w:val="1"/>
          <w:numId w:val="5"/>
        </w:numPr>
        <w:rPr>
          <w:szCs w:val="22"/>
        </w:rPr>
      </w:pPr>
      <w:r w:rsidRPr="007B5EFB">
        <w:t>whether the payment system could support the transmittal fee in addition to the international filing and search fees;</w:t>
      </w:r>
    </w:p>
    <w:p w:rsidR="00BA59E4" w:rsidRPr="007B5EFB" w:rsidRDefault="00BA59E4" w:rsidP="00F52F56">
      <w:pPr>
        <w:pStyle w:val="ONUME"/>
        <w:numPr>
          <w:ilvl w:val="1"/>
          <w:numId w:val="5"/>
        </w:numPr>
        <w:rPr>
          <w:szCs w:val="22"/>
        </w:rPr>
      </w:pPr>
      <w:r w:rsidRPr="007B5EFB">
        <w:t>how the RO and ISA would be notified of the payment of fees;  and</w:t>
      </w:r>
    </w:p>
    <w:p w:rsidR="00BA59E4" w:rsidRPr="007B5EFB" w:rsidRDefault="00BA59E4" w:rsidP="00F52F56">
      <w:pPr>
        <w:pStyle w:val="ONUME"/>
        <w:numPr>
          <w:ilvl w:val="1"/>
          <w:numId w:val="5"/>
        </w:numPr>
        <w:rPr>
          <w:szCs w:val="22"/>
        </w:rPr>
      </w:pPr>
      <w:r w:rsidRPr="007B5EFB">
        <w:t>whether it would be necessary for participating receiving Offices also to participate in the netting arrangements in order to allow effective management of the transfer of transmittal fees.</w:t>
      </w:r>
    </w:p>
    <w:p w:rsidR="00C85064" w:rsidRPr="007B5EFB" w:rsidRDefault="00C85064" w:rsidP="00C85064">
      <w:pPr>
        <w:pStyle w:val="Heading1"/>
      </w:pPr>
      <w:r w:rsidRPr="007B5EFB">
        <w:t xml:space="preserve">hedging </w:t>
      </w:r>
      <w:r w:rsidR="00344F96" w:rsidRPr="007B5EFB">
        <w:t>of international filing fees in certain currencies</w:t>
      </w:r>
    </w:p>
    <w:p w:rsidR="00C85064" w:rsidRPr="007B5EFB" w:rsidRDefault="00C85064" w:rsidP="00C85064">
      <w:pPr>
        <w:pStyle w:val="ONUME"/>
        <w:tabs>
          <w:tab w:val="num" w:pos="851"/>
          <w:tab w:val="num" w:pos="6597"/>
        </w:tabs>
      </w:pPr>
      <w:bookmarkStart w:id="7" w:name="_Ref418082154"/>
      <w:r w:rsidRPr="007B5EFB">
        <w:t xml:space="preserve">For a detailed explanation of the proposal </w:t>
      </w:r>
      <w:r w:rsidRPr="007B5EFB">
        <w:rPr>
          <w:szCs w:val="22"/>
        </w:rPr>
        <w:t xml:space="preserve">to </w:t>
      </w:r>
      <w:r w:rsidRPr="007B5EFB">
        <w:t>hedge the risk resulting from transactions in foreign currencies</w:t>
      </w:r>
      <w:r w:rsidR="00344F96" w:rsidRPr="007B5EFB">
        <w:t>,</w:t>
      </w:r>
      <w:r w:rsidRPr="007B5EFB">
        <w:t xml:space="preserve"> </w:t>
      </w:r>
      <w:r w:rsidR="00E00CCB" w:rsidRPr="007B5EFB">
        <w:t xml:space="preserve">reference is made </w:t>
      </w:r>
      <w:r w:rsidRPr="007B5EFB">
        <w:t xml:space="preserve">to paragraphs 20 to 36 of Circular C. PCT 1440, reproduced in Annex </w:t>
      </w:r>
      <w:r w:rsidR="00744B77" w:rsidRPr="007B5EFB">
        <w:t xml:space="preserve">I </w:t>
      </w:r>
      <w:r w:rsidRPr="007B5EFB">
        <w:t>to the present document.</w:t>
      </w:r>
      <w:bookmarkEnd w:id="7"/>
    </w:p>
    <w:p w:rsidR="00283329" w:rsidRPr="007B5EFB" w:rsidRDefault="00C85064" w:rsidP="00C85064">
      <w:pPr>
        <w:pStyle w:val="ONUME"/>
        <w:tabs>
          <w:tab w:val="num" w:pos="851"/>
          <w:tab w:val="num" w:pos="6597"/>
        </w:tabs>
      </w:pPr>
      <w:r w:rsidRPr="007B5EFB">
        <w:t xml:space="preserve">The following paragraphs set out </w:t>
      </w:r>
      <w:r w:rsidR="00344F96" w:rsidRPr="007B5EFB">
        <w:t xml:space="preserve">a detailed proposal to commence hedging of international filing fees </w:t>
      </w:r>
      <w:r w:rsidR="00344F96" w:rsidRPr="007B5EFB">
        <w:rPr>
          <w:szCs w:val="22"/>
        </w:rPr>
        <w:t xml:space="preserve">as far as </w:t>
      </w:r>
      <w:r w:rsidR="00344F96" w:rsidRPr="007B5EFB">
        <w:t>the risk resulting from transactions in EUR</w:t>
      </w:r>
      <w:r w:rsidR="00C27CDD" w:rsidRPr="007B5EFB">
        <w:t>,</w:t>
      </w:r>
      <w:r w:rsidR="00344F96" w:rsidRPr="007B5EFB">
        <w:t xml:space="preserve"> JPY </w:t>
      </w:r>
      <w:r w:rsidR="00C27CDD" w:rsidRPr="007B5EFB">
        <w:t xml:space="preserve">and USD </w:t>
      </w:r>
      <w:r w:rsidR="00344F96" w:rsidRPr="007B5EFB">
        <w:t xml:space="preserve">is concerned, and to modify the current equivalent amount process </w:t>
      </w:r>
      <w:r w:rsidR="00344F96" w:rsidRPr="007B5EFB">
        <w:rPr>
          <w:bCs/>
          <w:szCs w:val="22"/>
        </w:rPr>
        <w:t xml:space="preserve">for PCT fees </w:t>
      </w:r>
      <w:r w:rsidR="00344F96" w:rsidRPr="007B5EFB">
        <w:t xml:space="preserve">so that new </w:t>
      </w:r>
    </w:p>
    <w:p w:rsidR="00C85064" w:rsidRPr="007B5EFB" w:rsidRDefault="00344F96" w:rsidP="00283329">
      <w:pPr>
        <w:pStyle w:val="ONUME"/>
        <w:numPr>
          <w:ilvl w:val="0"/>
          <w:numId w:val="0"/>
        </w:numPr>
        <w:tabs>
          <w:tab w:val="num" w:pos="6237"/>
          <w:tab w:val="num" w:pos="6597"/>
        </w:tabs>
      </w:pPr>
      <w:r w:rsidRPr="007B5EFB">
        <w:lastRenderedPageBreak/>
        <w:t xml:space="preserve">equivalent amounts of all international filing fees would be fixed only once per year, to remain unchanged for a period of 12 months, with a hedging strategy (for transactions in </w:t>
      </w:r>
      <w:r w:rsidR="00C27CDD" w:rsidRPr="007B5EFB">
        <w:t>EUR, JPY and USD</w:t>
      </w:r>
      <w:r w:rsidRPr="007B5EFB">
        <w:t>) being put in place for the same 12 month period.</w:t>
      </w:r>
      <w:r w:rsidR="00C85064" w:rsidRPr="007B5EFB">
        <w:t>.</w:t>
      </w:r>
    </w:p>
    <w:p w:rsidR="00115887" w:rsidRPr="007B5EFB" w:rsidRDefault="00115887" w:rsidP="00115887">
      <w:pPr>
        <w:pStyle w:val="Heading2"/>
        <w:rPr>
          <w:lang w:eastAsia="en-US"/>
        </w:rPr>
      </w:pPr>
      <w:bookmarkStart w:id="8" w:name="_Ref416186279"/>
      <w:r w:rsidRPr="007B5EFB">
        <w:rPr>
          <w:lang w:eastAsia="en-US"/>
        </w:rPr>
        <w:t>Currencies Proposed to be Hedged</w:t>
      </w:r>
    </w:p>
    <w:p w:rsidR="0037345C" w:rsidRPr="007B5EFB" w:rsidRDefault="0037345C" w:rsidP="0037345C">
      <w:pPr>
        <w:pStyle w:val="ONUME"/>
        <w:rPr>
          <w:lang w:eastAsia="en-US"/>
        </w:rPr>
      </w:pPr>
      <w:bookmarkStart w:id="9" w:name="_Ref418866236"/>
      <w:r w:rsidRPr="007B5EFB">
        <w:rPr>
          <w:lang w:eastAsia="en-US"/>
        </w:rPr>
        <w:t>The graph below shows the exchange gains and losses incurred by the IB in respect of international filing and handling fees during the period 2006 – 2014.  Further analysis regarding the currency losses is provided in paragraph 12 of Circular C.</w:t>
      </w:r>
      <w:r w:rsidR="009715E3" w:rsidRPr="007B5EFB">
        <w:rPr>
          <w:lang w:eastAsia="en-US"/>
        </w:rPr>
        <w:t xml:space="preserve"> </w:t>
      </w:r>
      <w:r w:rsidRPr="007B5EFB">
        <w:rPr>
          <w:lang w:eastAsia="en-US"/>
        </w:rPr>
        <w:t>PCT 1440</w:t>
      </w:r>
      <w:r w:rsidR="00744B77" w:rsidRPr="007B5EFB">
        <w:rPr>
          <w:lang w:eastAsia="en-US"/>
        </w:rPr>
        <w:t xml:space="preserve"> (see Annex I, page 4)</w:t>
      </w:r>
      <w:r w:rsidRPr="007B5EFB">
        <w:rPr>
          <w:lang w:eastAsia="en-US"/>
        </w:rPr>
        <w:t>.</w:t>
      </w:r>
      <w:bookmarkEnd w:id="9"/>
    </w:p>
    <w:p w:rsidR="00A8714C" w:rsidRPr="007B5EFB" w:rsidRDefault="00A8714C" w:rsidP="00A8714C">
      <w:pPr>
        <w:pStyle w:val="ONUME"/>
        <w:numPr>
          <w:ilvl w:val="0"/>
          <w:numId w:val="0"/>
        </w:numPr>
        <w:rPr>
          <w:lang w:eastAsia="en-US"/>
        </w:rPr>
      </w:pPr>
    </w:p>
    <w:p w:rsidR="0037345C" w:rsidRPr="007B5EFB" w:rsidRDefault="00E40391" w:rsidP="0037345C">
      <w:pPr>
        <w:pStyle w:val="ONUME"/>
        <w:numPr>
          <w:ilvl w:val="0"/>
          <w:numId w:val="0"/>
        </w:numPr>
        <w:rPr>
          <w:lang w:eastAsia="en-US"/>
        </w:rPr>
      </w:pPr>
      <w:r w:rsidRPr="007B5EFB">
        <w:rPr>
          <w:noProof/>
          <w:lang w:eastAsia="en-US"/>
        </w:rPr>
        <w:drawing>
          <wp:inline distT="0" distB="0" distL="0" distR="0" wp14:anchorId="549FEC7D" wp14:editId="1640615D">
            <wp:extent cx="6087600" cy="35064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7600" cy="3506400"/>
                    </a:xfrm>
                    <a:prstGeom prst="rect">
                      <a:avLst/>
                    </a:prstGeom>
                    <a:noFill/>
                  </pic:spPr>
                </pic:pic>
              </a:graphicData>
            </a:graphic>
          </wp:inline>
        </w:drawing>
      </w:r>
    </w:p>
    <w:p w:rsidR="008B08E5" w:rsidRPr="007B5EFB" w:rsidRDefault="008B08E5" w:rsidP="008B08E5">
      <w:pPr>
        <w:jc w:val="center"/>
        <w:rPr>
          <w:lang w:eastAsia="en-US"/>
        </w:rPr>
      </w:pPr>
    </w:p>
    <w:p w:rsidR="00F52F56" w:rsidRPr="007B5EFB" w:rsidRDefault="00F52F56" w:rsidP="00F52F56">
      <w:pPr>
        <w:pStyle w:val="ONUME"/>
        <w:tabs>
          <w:tab w:val="num" w:pos="851"/>
          <w:tab w:val="num" w:pos="6597"/>
        </w:tabs>
        <w:rPr>
          <w:rFonts w:eastAsia="Times New Roman"/>
          <w:lang w:eastAsia="en-US"/>
        </w:rPr>
      </w:pPr>
      <w:bookmarkStart w:id="10" w:name="_Ref418082436"/>
      <w:r w:rsidRPr="007B5EFB">
        <w:rPr>
          <w:rFonts w:eastAsia="Times New Roman"/>
          <w:lang w:eastAsia="en-US"/>
        </w:rPr>
        <w:t xml:space="preserve">As regards international filing fees, the key currency exposures are with the </w:t>
      </w:r>
      <w:r w:rsidR="00744B77" w:rsidRPr="007B5EFB">
        <w:t>EUR, JPY and USD</w:t>
      </w:r>
      <w:r w:rsidRPr="007B5EFB">
        <w:rPr>
          <w:rFonts w:eastAsia="Times New Roman"/>
          <w:lang w:eastAsia="en-US"/>
        </w:rPr>
        <w:t>.  Whil</w:t>
      </w:r>
      <w:r w:rsidR="00744B77" w:rsidRPr="007B5EFB">
        <w:rPr>
          <w:rFonts w:eastAsia="Times New Roman"/>
          <w:lang w:eastAsia="en-US"/>
        </w:rPr>
        <w:t>e</w:t>
      </w:r>
      <w:r w:rsidRPr="007B5EFB">
        <w:rPr>
          <w:rFonts w:eastAsia="Times New Roman"/>
          <w:lang w:eastAsia="en-US"/>
        </w:rPr>
        <w:t xml:space="preserve"> PCT fee income is faced with a wide range of other currency exposures also, </w:t>
      </w:r>
      <w:r w:rsidR="00C27CDD" w:rsidRPr="007B5EFB">
        <w:t>EUR, JPY and USD</w:t>
      </w:r>
      <w:r w:rsidR="00C27CDD" w:rsidRPr="007B5EFB" w:rsidDel="00C27CDD">
        <w:rPr>
          <w:rFonts w:eastAsia="Times New Roman"/>
          <w:lang w:eastAsia="en-US"/>
        </w:rPr>
        <w:t xml:space="preserve"> </w:t>
      </w:r>
      <w:r w:rsidRPr="007B5EFB">
        <w:rPr>
          <w:rFonts w:eastAsia="Times New Roman"/>
          <w:lang w:eastAsia="en-US"/>
        </w:rPr>
        <w:t>have accounted for the majority of exposure risks in the past and a review of the forecasts for international applications to be filed in 2016 and 2017 indicates that this will continue to be the case.</w:t>
      </w:r>
      <w:bookmarkEnd w:id="10"/>
    </w:p>
    <w:p w:rsidR="00115887" w:rsidRPr="007B5EFB" w:rsidRDefault="00115887" w:rsidP="00115887">
      <w:pPr>
        <w:pStyle w:val="ONUME"/>
        <w:tabs>
          <w:tab w:val="num" w:pos="851"/>
          <w:tab w:val="num" w:pos="6597"/>
        </w:tabs>
        <w:rPr>
          <w:rFonts w:eastAsia="Times New Roman"/>
          <w:lang w:eastAsia="en-US"/>
        </w:rPr>
      </w:pPr>
      <w:r w:rsidRPr="007B5EFB">
        <w:rPr>
          <w:rFonts w:eastAsia="Times New Roman"/>
          <w:lang w:eastAsia="en-US"/>
        </w:rPr>
        <w:t xml:space="preserve">Forecasts produced in January 2015 show that PCT fee income received in these three currencies will constitute approximately 83 per cent of PCT fee income in both 2016 and 2017.  </w:t>
      </w:r>
      <w:r w:rsidR="00810906" w:rsidRPr="007B5EFB">
        <w:rPr>
          <w:rFonts w:eastAsia="Times New Roman"/>
          <w:lang w:eastAsia="en-US"/>
        </w:rPr>
        <w:t>As regards international filing fees, t</w:t>
      </w:r>
      <w:r w:rsidRPr="007B5EFB">
        <w:rPr>
          <w:rFonts w:eastAsia="Times New Roman"/>
          <w:lang w:eastAsia="en-US"/>
        </w:rPr>
        <w:t xml:space="preserve">he proposal is thus to </w:t>
      </w:r>
      <w:r w:rsidR="000F2961" w:rsidRPr="007B5EFB">
        <w:rPr>
          <w:rFonts w:eastAsia="Times New Roman"/>
          <w:lang w:eastAsia="en-US"/>
        </w:rPr>
        <w:t xml:space="preserve">only </w:t>
      </w:r>
      <w:r w:rsidRPr="007B5EFB">
        <w:rPr>
          <w:rFonts w:eastAsia="Times New Roman"/>
          <w:lang w:eastAsia="en-US"/>
        </w:rPr>
        <w:t xml:space="preserve">hedge </w:t>
      </w:r>
      <w:r w:rsidRPr="007B5EFB">
        <w:t xml:space="preserve">the risk resulting from transactions in </w:t>
      </w:r>
      <w:r w:rsidR="00C27CDD" w:rsidRPr="007B5EFB">
        <w:t>EUR, JPY and USD</w:t>
      </w:r>
      <w:r w:rsidR="00810906" w:rsidRPr="007B5EFB">
        <w:t>.</w:t>
      </w:r>
    </w:p>
    <w:p w:rsidR="00115887" w:rsidRPr="007B5EFB" w:rsidRDefault="00115887" w:rsidP="00115887">
      <w:pPr>
        <w:pStyle w:val="ONUME"/>
        <w:tabs>
          <w:tab w:val="num" w:pos="851"/>
          <w:tab w:val="num" w:pos="6597"/>
        </w:tabs>
        <w:rPr>
          <w:rFonts w:eastAsia="Times New Roman"/>
          <w:lang w:eastAsia="en-US"/>
        </w:rPr>
      </w:pPr>
      <w:bookmarkStart w:id="11" w:name="_Ref418866253"/>
      <w:r w:rsidRPr="007B5EFB">
        <w:rPr>
          <w:rFonts w:eastAsia="Times New Roman"/>
          <w:lang w:eastAsia="en-US"/>
        </w:rPr>
        <w:t xml:space="preserve">As far as other currencies are concerned, PCT </w:t>
      </w:r>
      <w:r w:rsidR="000F2961" w:rsidRPr="007B5EFB">
        <w:rPr>
          <w:rFonts w:eastAsia="Times New Roman"/>
          <w:lang w:eastAsia="en-US"/>
        </w:rPr>
        <w:t xml:space="preserve">international filing </w:t>
      </w:r>
      <w:r w:rsidRPr="007B5EFB">
        <w:rPr>
          <w:rFonts w:eastAsia="Times New Roman"/>
          <w:lang w:eastAsia="en-US"/>
        </w:rPr>
        <w:t xml:space="preserve">fee income is forecast to be received in 11 other non-CHF currencies, which are forecast to represent approximately 6 per cent of PCT </w:t>
      </w:r>
      <w:r w:rsidR="000F2961" w:rsidRPr="007B5EFB">
        <w:rPr>
          <w:rFonts w:eastAsia="Times New Roman"/>
          <w:lang w:eastAsia="en-US"/>
        </w:rPr>
        <w:t xml:space="preserve">international filing </w:t>
      </w:r>
      <w:r w:rsidRPr="007B5EFB">
        <w:rPr>
          <w:rFonts w:eastAsia="Times New Roman"/>
          <w:lang w:eastAsia="en-US"/>
        </w:rPr>
        <w:t>fee income in both years.  It is not considered necessary to hedge these smaller currency exposures.  However, it</w:t>
      </w:r>
      <w:r w:rsidR="005B5F52" w:rsidRPr="007B5EFB">
        <w:rPr>
          <w:rFonts w:eastAsia="Times New Roman"/>
          <w:lang w:eastAsia="en-US"/>
        </w:rPr>
        <w:t xml:space="preserve"> would</w:t>
      </w:r>
      <w:r w:rsidRPr="007B5EFB">
        <w:rPr>
          <w:rFonts w:eastAsia="Times New Roman"/>
          <w:lang w:eastAsia="en-US"/>
        </w:rPr>
        <w:t xml:space="preserve"> be possible, in future years, to adjust the mix of currencies being hedged, to reflect shifts over time between currency income streams.</w:t>
      </w:r>
      <w:bookmarkEnd w:id="11"/>
    </w:p>
    <w:p w:rsidR="00810906" w:rsidRPr="007B5EFB" w:rsidRDefault="00810906" w:rsidP="00F52F56">
      <w:pPr>
        <w:pStyle w:val="Heading2"/>
        <w:keepLines/>
        <w:rPr>
          <w:lang w:eastAsia="en-US"/>
        </w:rPr>
      </w:pPr>
      <w:r w:rsidRPr="007B5EFB">
        <w:rPr>
          <w:lang w:eastAsia="en-US"/>
        </w:rPr>
        <w:lastRenderedPageBreak/>
        <w:t>Hedging by means of foreign exchange forward contracts</w:t>
      </w:r>
    </w:p>
    <w:p w:rsidR="00CE6DD6" w:rsidRPr="007B5EFB" w:rsidRDefault="00810906" w:rsidP="00CE6DD6">
      <w:pPr>
        <w:pStyle w:val="ONUME"/>
        <w:keepNext/>
        <w:keepLines/>
        <w:tabs>
          <w:tab w:val="num" w:pos="851"/>
          <w:tab w:val="num" w:pos="6597"/>
        </w:tabs>
        <w:rPr>
          <w:rFonts w:eastAsia="Times New Roman"/>
          <w:lang w:eastAsia="en-US"/>
        </w:rPr>
      </w:pPr>
      <w:r w:rsidRPr="007B5EFB">
        <w:rPr>
          <w:rFonts w:eastAsia="Times New Roman"/>
          <w:lang w:eastAsia="en-US"/>
        </w:rPr>
        <w:t>As explained in Circular C.</w:t>
      </w:r>
      <w:r w:rsidR="0083181E" w:rsidRPr="007B5EFB">
        <w:rPr>
          <w:rFonts w:eastAsia="Times New Roman"/>
          <w:lang w:eastAsia="en-US"/>
        </w:rPr>
        <w:t> </w:t>
      </w:r>
      <w:r w:rsidRPr="007B5EFB">
        <w:rPr>
          <w:rFonts w:eastAsia="Times New Roman"/>
          <w:lang w:eastAsia="en-US"/>
        </w:rPr>
        <w:t xml:space="preserve">PCT 1440, </w:t>
      </w:r>
      <w:r w:rsidR="00B63CCC" w:rsidRPr="007B5EFB">
        <w:rPr>
          <w:rFonts w:eastAsia="Times New Roman"/>
          <w:lang w:eastAsia="en-US"/>
        </w:rPr>
        <w:t xml:space="preserve">it is proposed to hedge </w:t>
      </w:r>
      <w:r w:rsidRPr="007B5EFB">
        <w:rPr>
          <w:rFonts w:eastAsia="Times New Roman"/>
          <w:lang w:eastAsia="en-US"/>
        </w:rPr>
        <w:t xml:space="preserve">the exposure on international filing fees to the </w:t>
      </w:r>
      <w:r w:rsidR="00C27CDD" w:rsidRPr="007B5EFB">
        <w:t>EUR, JPY and USD</w:t>
      </w:r>
      <w:r w:rsidR="00C27CDD" w:rsidRPr="007B5EFB" w:rsidDel="00C27CDD">
        <w:rPr>
          <w:rFonts w:eastAsia="Times New Roman"/>
          <w:lang w:eastAsia="en-US"/>
        </w:rPr>
        <w:t xml:space="preserve"> </w:t>
      </w:r>
      <w:r w:rsidRPr="007B5EFB">
        <w:rPr>
          <w:rFonts w:eastAsia="Times New Roman"/>
          <w:lang w:eastAsia="en-US"/>
        </w:rPr>
        <w:t xml:space="preserve">by means of a series of foreign exchange forward contracts (“forwards”).  </w:t>
      </w:r>
      <w:r w:rsidR="00CE6DD6" w:rsidRPr="007B5EFB">
        <w:rPr>
          <w:rFonts w:eastAsia="Times New Roman"/>
          <w:lang w:eastAsia="en-US"/>
        </w:rPr>
        <w:t>A f</w:t>
      </w:r>
      <w:r w:rsidR="00CE6DD6" w:rsidRPr="007B5EFB">
        <w:t xml:space="preserve">orward is one of the most straightforward financial instruments to implement and administer.  It is a contractual agreement between two parties to exchange currency amounts at an agreed exchange rate at a fixed date in the future.  The exchange rate contained within the agreement is known as the “forward rate”.  </w:t>
      </w:r>
      <w:r w:rsidR="00CE6DD6" w:rsidRPr="007B5EFB">
        <w:rPr>
          <w:lang w:eastAsia="en-US"/>
        </w:rPr>
        <w:t>Forward rates reflect the differential between the interest rates prevailing in the countries of the currencies involved and are not forecasts of future exchange rates.</w:t>
      </w:r>
    </w:p>
    <w:p w:rsidR="00810906" w:rsidRPr="007B5EFB" w:rsidRDefault="00A8714C" w:rsidP="00F52F56">
      <w:pPr>
        <w:pStyle w:val="ONUME"/>
        <w:keepNext/>
        <w:keepLines/>
        <w:tabs>
          <w:tab w:val="num" w:pos="851"/>
          <w:tab w:val="num" w:pos="6597"/>
        </w:tabs>
        <w:rPr>
          <w:rFonts w:eastAsia="Times New Roman"/>
          <w:lang w:eastAsia="en-US"/>
        </w:rPr>
      </w:pPr>
      <w:r w:rsidRPr="007B5EFB">
        <w:rPr>
          <w:rFonts w:eastAsia="Times New Roman"/>
          <w:lang w:eastAsia="en-US"/>
        </w:rPr>
        <w:t>The IB</w:t>
      </w:r>
      <w:r w:rsidR="00810906" w:rsidRPr="007B5EFB">
        <w:rPr>
          <w:rFonts w:eastAsia="Times New Roman"/>
          <w:lang w:eastAsia="en-US"/>
        </w:rPr>
        <w:t xml:space="preserve"> w</w:t>
      </w:r>
      <w:r w:rsidR="00B63CCC" w:rsidRPr="007B5EFB">
        <w:rPr>
          <w:rFonts w:eastAsia="Times New Roman"/>
          <w:lang w:eastAsia="en-US"/>
        </w:rPr>
        <w:t>ould</w:t>
      </w:r>
      <w:r w:rsidR="00810906" w:rsidRPr="007B5EFB">
        <w:rPr>
          <w:rFonts w:eastAsia="Times New Roman"/>
          <w:lang w:eastAsia="en-US"/>
        </w:rPr>
        <w:t xml:space="preserve"> enter into such a </w:t>
      </w:r>
      <w:r w:rsidR="00CE6DD6" w:rsidRPr="007B5EFB">
        <w:rPr>
          <w:rFonts w:eastAsia="Times New Roman"/>
          <w:lang w:eastAsia="en-US"/>
        </w:rPr>
        <w:t xml:space="preserve">forward </w:t>
      </w:r>
      <w:r w:rsidR="00810906" w:rsidRPr="007B5EFB">
        <w:rPr>
          <w:rFonts w:eastAsia="Times New Roman"/>
          <w:lang w:eastAsia="en-US"/>
        </w:rPr>
        <w:t xml:space="preserve">contract for each of the three currencies </w:t>
      </w:r>
      <w:r w:rsidR="00B63CCC" w:rsidRPr="007B5EFB">
        <w:rPr>
          <w:rFonts w:eastAsia="Times New Roman"/>
          <w:lang w:eastAsia="en-US"/>
        </w:rPr>
        <w:t xml:space="preserve">concerned </w:t>
      </w:r>
      <w:r w:rsidR="00810906" w:rsidRPr="007B5EFB">
        <w:rPr>
          <w:rFonts w:eastAsia="Times New Roman"/>
          <w:lang w:eastAsia="en-US"/>
        </w:rPr>
        <w:t>(and for each month for which an inflow of the currencies is forecast, selling the currency and receiving CHF in return</w:t>
      </w:r>
      <w:r w:rsidR="00B63CCC" w:rsidRPr="007B5EFB">
        <w:rPr>
          <w:rFonts w:eastAsia="Times New Roman"/>
          <w:lang w:eastAsia="en-US"/>
        </w:rPr>
        <w:t>)</w:t>
      </w:r>
      <w:r w:rsidR="00810906" w:rsidRPr="007B5EFB">
        <w:rPr>
          <w:rFonts w:eastAsia="Times New Roman"/>
          <w:lang w:eastAsia="en-US"/>
        </w:rPr>
        <w:t>.</w:t>
      </w:r>
    </w:p>
    <w:p w:rsidR="00967C5B" w:rsidRPr="007B5EFB" w:rsidRDefault="00A8714C" w:rsidP="00967C5B">
      <w:pPr>
        <w:pStyle w:val="ONUME"/>
        <w:rPr>
          <w:lang w:eastAsia="en-US"/>
        </w:rPr>
      </w:pPr>
      <w:bookmarkStart w:id="12" w:name="_Ref418082404"/>
      <w:r w:rsidRPr="007B5EFB">
        <w:rPr>
          <w:lang w:eastAsia="en-US"/>
        </w:rPr>
        <w:t>The IB</w:t>
      </w:r>
      <w:r w:rsidR="00967C5B" w:rsidRPr="007B5EFB">
        <w:rPr>
          <w:lang w:eastAsia="en-US"/>
        </w:rPr>
        <w:t xml:space="preserve"> would obtain the forward contracts from its principal banking counterparties, provided that these institutions satisfy the minimum credit rating stipulated in WIPO’s</w:t>
      </w:r>
      <w:r w:rsidR="00F65289" w:rsidRPr="007B5EFB">
        <w:rPr>
          <w:lang w:eastAsia="en-US"/>
        </w:rPr>
        <w:t xml:space="preserve"> </w:t>
      </w:r>
      <w:r w:rsidR="00967C5B" w:rsidRPr="007B5EFB">
        <w:rPr>
          <w:lang w:eastAsia="en-US"/>
        </w:rPr>
        <w:t>Treasury Counterparty Risk Policy</w:t>
      </w:r>
      <w:r w:rsidR="00813807">
        <w:rPr>
          <w:lang w:eastAsia="en-US"/>
        </w:rPr>
        <w:t xml:space="preserve"> (see paragraph </w:t>
      </w:r>
      <w:r w:rsidR="00813807">
        <w:rPr>
          <w:lang w:eastAsia="en-US"/>
        </w:rPr>
        <w:fldChar w:fldCharType="begin"/>
      </w:r>
      <w:r w:rsidR="00813807">
        <w:rPr>
          <w:lang w:eastAsia="en-US"/>
        </w:rPr>
        <w:instrText xml:space="preserve"> REF _Ref418864871 \r \h </w:instrText>
      </w:r>
      <w:r w:rsidR="00813807">
        <w:rPr>
          <w:lang w:eastAsia="en-US"/>
        </w:rPr>
      </w:r>
      <w:r w:rsidR="00813807">
        <w:rPr>
          <w:lang w:eastAsia="en-US"/>
        </w:rPr>
        <w:fldChar w:fldCharType="separate"/>
      </w:r>
      <w:r w:rsidR="008431A0">
        <w:rPr>
          <w:lang w:eastAsia="en-US"/>
        </w:rPr>
        <w:t>39</w:t>
      </w:r>
      <w:r w:rsidR="00813807">
        <w:rPr>
          <w:lang w:eastAsia="en-US"/>
        </w:rPr>
        <w:fldChar w:fldCharType="end"/>
      </w:r>
      <w:r w:rsidR="00813807">
        <w:rPr>
          <w:lang w:eastAsia="en-US"/>
        </w:rPr>
        <w:t>, below)</w:t>
      </w:r>
      <w:r w:rsidR="00967C5B" w:rsidRPr="007B5EFB">
        <w:rPr>
          <w:lang w:eastAsia="en-US"/>
        </w:rPr>
        <w:t xml:space="preserve">.  Given the amounts involved, the contracts would be divided across at least three banks and would be obtained through an online foreign exchange trading platform which provides real time rates for forward contracts from banks.  Such a platform could be FXall, a service to which </w:t>
      </w:r>
      <w:r w:rsidRPr="007B5EFB">
        <w:rPr>
          <w:lang w:eastAsia="en-US"/>
        </w:rPr>
        <w:t>the IB</w:t>
      </w:r>
      <w:r w:rsidR="00967C5B" w:rsidRPr="007B5EFB">
        <w:rPr>
          <w:lang w:eastAsia="en-US"/>
        </w:rPr>
        <w:t xml:space="preserve"> already subscribes.  In order to be able to enter into such contracts, the </w:t>
      </w:r>
      <w:r w:rsidRPr="007B5EFB">
        <w:rPr>
          <w:lang w:eastAsia="en-US"/>
        </w:rPr>
        <w:t>IB</w:t>
      </w:r>
      <w:r w:rsidR="00967C5B" w:rsidRPr="007B5EFB">
        <w:rPr>
          <w:lang w:eastAsia="en-US"/>
        </w:rPr>
        <w:t xml:space="preserve"> w</w:t>
      </w:r>
      <w:r w:rsidR="005B5F52" w:rsidRPr="007B5EFB">
        <w:rPr>
          <w:lang w:eastAsia="en-US"/>
        </w:rPr>
        <w:t>ould</w:t>
      </w:r>
      <w:r w:rsidR="00967C5B" w:rsidRPr="007B5EFB">
        <w:rPr>
          <w:lang w:eastAsia="en-US"/>
        </w:rPr>
        <w:t xml:space="preserve"> have to open up credit facilities with the banks concerned.</w:t>
      </w:r>
      <w:bookmarkEnd w:id="12"/>
    </w:p>
    <w:p w:rsidR="00810906" w:rsidRPr="007B5EFB" w:rsidRDefault="00D831D1" w:rsidP="00CC2C82">
      <w:pPr>
        <w:pStyle w:val="ONUME"/>
        <w:keepLines/>
        <w:rPr>
          <w:lang w:eastAsia="en-US"/>
        </w:rPr>
      </w:pPr>
      <w:bookmarkStart w:id="13" w:name="_Ref419119930"/>
      <w:r w:rsidRPr="007B5EFB">
        <w:rPr>
          <w:lang w:eastAsia="en-US"/>
        </w:rPr>
        <w:t>The</w:t>
      </w:r>
      <w:r w:rsidR="00810906" w:rsidRPr="007B5EFB">
        <w:rPr>
          <w:lang w:eastAsia="en-US"/>
        </w:rPr>
        <w:t xml:space="preserve"> hedge cover w</w:t>
      </w:r>
      <w:r w:rsidR="00B63CCC" w:rsidRPr="007B5EFB">
        <w:rPr>
          <w:lang w:eastAsia="en-US"/>
        </w:rPr>
        <w:t>ould</w:t>
      </w:r>
      <w:r w:rsidR="00810906" w:rsidRPr="007B5EFB">
        <w:rPr>
          <w:lang w:eastAsia="en-US"/>
        </w:rPr>
        <w:t xml:space="preserve"> not be for the total of forecast income but w</w:t>
      </w:r>
      <w:r w:rsidR="00B63CCC" w:rsidRPr="007B5EFB">
        <w:rPr>
          <w:lang w:eastAsia="en-US"/>
        </w:rPr>
        <w:t>ould</w:t>
      </w:r>
      <w:r w:rsidR="00810906" w:rsidRPr="007B5EFB">
        <w:rPr>
          <w:lang w:eastAsia="en-US"/>
        </w:rPr>
        <w:t xml:space="preserve"> be established at a certain percentage level </w:t>
      </w:r>
      <w:r w:rsidR="00813807">
        <w:rPr>
          <w:lang w:eastAsia="en-US"/>
        </w:rPr>
        <w:t xml:space="preserve">per currency, </w:t>
      </w:r>
      <w:r w:rsidR="00810906" w:rsidRPr="007B5EFB">
        <w:rPr>
          <w:lang w:eastAsia="en-US"/>
        </w:rPr>
        <w:t>(</w:t>
      </w:r>
      <w:r w:rsidR="00813807">
        <w:rPr>
          <w:lang w:eastAsia="en-US"/>
        </w:rPr>
        <w:t xml:space="preserve">say, </w:t>
      </w:r>
      <w:r w:rsidR="00810906" w:rsidRPr="007B5EFB">
        <w:rPr>
          <w:lang w:eastAsia="en-US"/>
        </w:rPr>
        <w:t>between 70 and</w:t>
      </w:r>
      <w:r w:rsidR="00B63CCC" w:rsidRPr="007B5EFB">
        <w:rPr>
          <w:lang w:eastAsia="en-US"/>
        </w:rPr>
        <w:t> </w:t>
      </w:r>
      <w:r w:rsidR="00810906" w:rsidRPr="007B5EFB">
        <w:rPr>
          <w:lang w:eastAsia="en-US"/>
        </w:rPr>
        <w:t>90 per cent) in order to allow for variances between income forecast and income actually received.</w:t>
      </w:r>
      <w:bookmarkEnd w:id="13"/>
    </w:p>
    <w:p w:rsidR="00B63CCC" w:rsidRPr="007B5EFB" w:rsidRDefault="00B63CCC" w:rsidP="00B63CCC">
      <w:pPr>
        <w:pStyle w:val="Heading2"/>
        <w:rPr>
          <w:lang w:eastAsia="en-US"/>
        </w:rPr>
      </w:pPr>
      <w:r w:rsidRPr="007B5EFB">
        <w:rPr>
          <w:lang w:eastAsia="en-US"/>
        </w:rPr>
        <w:t>Use of Blended Hedge Rate for the establishment of equivalent amounts</w:t>
      </w:r>
    </w:p>
    <w:p w:rsidR="00CE6DD6" w:rsidRPr="007B5EFB" w:rsidRDefault="00B63CCC" w:rsidP="00810906">
      <w:pPr>
        <w:pStyle w:val="ONUME"/>
        <w:rPr>
          <w:lang w:eastAsia="en-US"/>
        </w:rPr>
      </w:pPr>
      <w:r w:rsidRPr="007B5EFB">
        <w:rPr>
          <w:lang w:eastAsia="en-US"/>
        </w:rPr>
        <w:t xml:space="preserve">It is proposed to </w:t>
      </w:r>
      <w:r w:rsidR="00810906" w:rsidRPr="007B5EFB">
        <w:rPr>
          <w:lang w:eastAsia="en-US"/>
        </w:rPr>
        <w:t xml:space="preserve">calculate a blended hedge rate for each of the three international filing fee currencies </w:t>
      </w:r>
      <w:r w:rsidRPr="007B5EFB">
        <w:rPr>
          <w:lang w:eastAsia="en-US"/>
        </w:rPr>
        <w:t>(</w:t>
      </w:r>
      <w:r w:rsidR="00C27CDD" w:rsidRPr="007B5EFB">
        <w:t>EUR, JPY and USD</w:t>
      </w:r>
      <w:r w:rsidRPr="007B5EFB">
        <w:rPr>
          <w:lang w:eastAsia="en-US"/>
        </w:rPr>
        <w:t>)</w:t>
      </w:r>
      <w:r w:rsidR="000F2961" w:rsidRPr="007B5EFB">
        <w:rPr>
          <w:lang w:eastAsia="en-US"/>
        </w:rPr>
        <w:t xml:space="preserve"> and to use that blended hedge rate (rather than, as at present, the “spot” or “market” rate</w:t>
      </w:r>
      <w:r w:rsidR="00CE6DD6" w:rsidRPr="007B5EFB">
        <w:rPr>
          <w:lang w:eastAsia="en-US"/>
        </w:rPr>
        <w:t>)</w:t>
      </w:r>
      <w:r w:rsidR="000F2961" w:rsidRPr="007B5EFB">
        <w:rPr>
          <w:lang w:eastAsia="en-US"/>
        </w:rPr>
        <w:t xml:space="preserve"> to establish new </w:t>
      </w:r>
      <w:r w:rsidR="00EC38D0" w:rsidRPr="007B5EFB">
        <w:rPr>
          <w:lang w:eastAsia="en-US"/>
        </w:rPr>
        <w:t xml:space="preserve">equivalent amounts of the international filing fee for the three hedged currencies </w:t>
      </w:r>
      <w:r w:rsidR="00854261" w:rsidRPr="007B5EFB">
        <w:rPr>
          <w:lang w:eastAsia="en-US"/>
        </w:rPr>
        <w:t>(</w:t>
      </w:r>
      <w:r w:rsidR="00C27CDD" w:rsidRPr="007B5EFB">
        <w:t>EUR, JPY and USD</w:t>
      </w:r>
      <w:r w:rsidR="00854261" w:rsidRPr="007B5EFB">
        <w:rPr>
          <w:lang w:eastAsia="en-US"/>
        </w:rPr>
        <w:t>)</w:t>
      </w:r>
      <w:r w:rsidR="00EC38D0" w:rsidRPr="007B5EFB">
        <w:rPr>
          <w:lang w:eastAsia="en-US"/>
        </w:rPr>
        <w:t>.</w:t>
      </w:r>
    </w:p>
    <w:p w:rsidR="00D831D1" w:rsidRPr="007B5EFB" w:rsidRDefault="00D831D1" w:rsidP="003237B9">
      <w:pPr>
        <w:pStyle w:val="ONUME"/>
        <w:keepLines/>
        <w:rPr>
          <w:lang w:eastAsia="en-US"/>
        </w:rPr>
      </w:pPr>
      <w:r w:rsidRPr="007B5EFB">
        <w:rPr>
          <w:lang w:eastAsia="en-US"/>
        </w:rPr>
        <w:t xml:space="preserve">The use of a blended hedge rate to determine a price is standard financial practice.  </w:t>
      </w:r>
      <w:r w:rsidR="00B63CCC" w:rsidRPr="007B5EFB">
        <w:rPr>
          <w:lang w:eastAsia="en-US"/>
        </w:rPr>
        <w:t>As set out in paragraphs 24 and 25 of Circular C. PCT 1440, a</w:t>
      </w:r>
      <w:r w:rsidR="00810906" w:rsidRPr="007B5EFB">
        <w:rPr>
          <w:lang w:eastAsia="en-US"/>
        </w:rPr>
        <w:t xml:space="preserve"> blended hedge rate takes into account the forward rate of each forward contract, with a weighting given to the amounts of currency in each contract, thus producing a weighted average forward rate (blended rate).  </w:t>
      </w:r>
    </w:p>
    <w:p w:rsidR="00810906" w:rsidRPr="007B5EFB" w:rsidRDefault="00810906" w:rsidP="003237B9">
      <w:pPr>
        <w:pStyle w:val="ONUME"/>
        <w:keepLines/>
        <w:rPr>
          <w:lang w:eastAsia="en-US"/>
        </w:rPr>
      </w:pPr>
      <w:r w:rsidRPr="007B5EFB">
        <w:rPr>
          <w:lang w:eastAsia="en-US"/>
        </w:rPr>
        <w:t xml:space="preserve">The </w:t>
      </w:r>
      <w:r w:rsidR="00D831D1" w:rsidRPr="007B5EFB">
        <w:rPr>
          <w:lang w:eastAsia="en-US"/>
        </w:rPr>
        <w:t xml:space="preserve">new equivalent amounts </w:t>
      </w:r>
      <w:r w:rsidRPr="007B5EFB">
        <w:rPr>
          <w:lang w:eastAsia="en-US"/>
        </w:rPr>
        <w:t xml:space="preserve">established to come into force each January would be calculated by reference to the blended </w:t>
      </w:r>
      <w:r w:rsidR="00D831D1" w:rsidRPr="007B5EFB">
        <w:rPr>
          <w:lang w:eastAsia="en-US"/>
        </w:rPr>
        <w:t xml:space="preserve">hedge </w:t>
      </w:r>
      <w:r w:rsidRPr="007B5EFB">
        <w:rPr>
          <w:lang w:eastAsia="en-US"/>
        </w:rPr>
        <w:t xml:space="preserve">rate, thus ensuring that the fee established reflects the conversion rates to be used during the year, rather than the </w:t>
      </w:r>
      <w:r w:rsidR="00D831D1" w:rsidRPr="007B5EFB">
        <w:rPr>
          <w:lang w:eastAsia="en-US"/>
        </w:rPr>
        <w:t xml:space="preserve">spot </w:t>
      </w:r>
      <w:r w:rsidRPr="007B5EFB">
        <w:rPr>
          <w:lang w:eastAsia="en-US"/>
        </w:rPr>
        <w:t>rate available on the first Monday in October of the previous year (the rate currently used to establish new equivalent amounts</w:t>
      </w:r>
      <w:r w:rsidR="00910B50" w:rsidRPr="007B5EFB">
        <w:rPr>
          <w:lang w:eastAsia="en-US"/>
        </w:rPr>
        <w:t>).</w:t>
      </w:r>
      <w:r w:rsidR="00D831D1" w:rsidRPr="007B5EFB">
        <w:rPr>
          <w:lang w:eastAsia="en-US"/>
        </w:rPr>
        <w:t xml:space="preserve">  This blended hedge rate would be different from the spot rate currently used and may result in a new </w:t>
      </w:r>
      <w:r w:rsidR="00D831D1" w:rsidRPr="007B5EFB">
        <w:t>equivalent</w:t>
      </w:r>
      <w:r w:rsidR="00D831D1" w:rsidRPr="007B5EFB">
        <w:rPr>
          <w:lang w:eastAsia="en-US"/>
        </w:rPr>
        <w:t xml:space="preserve"> amount which might be slightly higher or lower than would have been the case had the spot rate been applied to calculate the new equivalent amount.  This is because forward rates, as stated above, reflect the differential between the interest rates prevailing in the countries of the currencies involved and are not forecasts of future exchange rates.</w:t>
      </w:r>
    </w:p>
    <w:p w:rsidR="00810906" w:rsidRPr="007B5EFB" w:rsidRDefault="00810906" w:rsidP="00283329">
      <w:pPr>
        <w:pStyle w:val="ONUME"/>
        <w:keepLines/>
      </w:pPr>
      <w:r w:rsidRPr="007B5EFB">
        <w:lastRenderedPageBreak/>
        <w:t xml:space="preserve">Example:  The IB expects three inflows of international filing fees in USD for international filing fees in 2015.  10 million USD in March, 15 million USD in June and 20 million USD in September.  On </w:t>
      </w:r>
      <w:r w:rsidR="00952FCC" w:rsidRPr="007B5EFB">
        <w:t xml:space="preserve">October 6, 2014 (the first Monday in October) </w:t>
      </w:r>
      <w:r w:rsidRPr="007B5EFB">
        <w:t>(spot rate:  USD</w:t>
      </w:r>
      <w:r w:rsidRPr="007B5EFB" w:rsidDel="00AF7FDC">
        <w:t xml:space="preserve"> </w:t>
      </w:r>
      <w:r w:rsidRPr="007B5EFB">
        <w:t>/CHF = 0.9690</w:t>
      </w:r>
      <w:r w:rsidR="00952FCC" w:rsidRPr="007B5EFB">
        <w:rPr>
          <w:rStyle w:val="FootnoteReference"/>
        </w:rPr>
        <w:footnoteReference w:id="2"/>
      </w:r>
      <w:r w:rsidRPr="007B5EFB">
        <w:t>), it hedges 80 per cent of these amounts and obtains forward contract rates as follows:</w:t>
      </w:r>
    </w:p>
    <w:tbl>
      <w:tblPr>
        <w:tblStyle w:val="TableGrid"/>
        <w:tblW w:w="0" w:type="auto"/>
        <w:tblInd w:w="108" w:type="dxa"/>
        <w:tblLook w:val="04A0" w:firstRow="1" w:lastRow="0" w:firstColumn="1" w:lastColumn="0" w:noHBand="0" w:noVBand="1"/>
      </w:tblPr>
      <w:tblGrid>
        <w:gridCol w:w="2294"/>
        <w:gridCol w:w="2295"/>
        <w:gridCol w:w="2295"/>
        <w:gridCol w:w="2295"/>
      </w:tblGrid>
      <w:tr w:rsidR="00810906" w:rsidRPr="007B5EFB" w:rsidTr="003E06BC">
        <w:trPr>
          <w:trHeight w:val="277"/>
        </w:trPr>
        <w:tc>
          <w:tcPr>
            <w:tcW w:w="2294" w:type="dxa"/>
          </w:tcPr>
          <w:p w:rsidR="00810906" w:rsidRPr="007B5EFB" w:rsidRDefault="00810906" w:rsidP="006D5325">
            <w:pPr>
              <w:spacing w:after="220"/>
              <w:rPr>
                <w:rFonts w:eastAsia="Times New Roman"/>
                <w:lang w:eastAsia="en-US"/>
              </w:rPr>
            </w:pPr>
          </w:p>
        </w:tc>
        <w:tc>
          <w:tcPr>
            <w:tcW w:w="2295" w:type="dxa"/>
            <w:vAlign w:val="center"/>
          </w:tcPr>
          <w:p w:rsidR="00810906" w:rsidRPr="007B5EFB" w:rsidRDefault="00810906" w:rsidP="006D5325">
            <w:pPr>
              <w:spacing w:after="220"/>
              <w:jc w:val="center"/>
              <w:rPr>
                <w:rFonts w:eastAsia="Times New Roman"/>
                <w:b/>
                <w:lang w:eastAsia="en-US"/>
              </w:rPr>
            </w:pPr>
            <w:r w:rsidRPr="007B5EFB">
              <w:rPr>
                <w:rFonts w:eastAsia="Times New Roman"/>
                <w:b/>
                <w:lang w:eastAsia="en-US"/>
              </w:rPr>
              <w:t>Amount hedged</w:t>
            </w:r>
          </w:p>
        </w:tc>
        <w:tc>
          <w:tcPr>
            <w:tcW w:w="2295" w:type="dxa"/>
            <w:vAlign w:val="center"/>
          </w:tcPr>
          <w:p w:rsidR="00810906" w:rsidRPr="007B5EFB" w:rsidRDefault="00810906" w:rsidP="006D5325">
            <w:pPr>
              <w:spacing w:after="220"/>
              <w:jc w:val="center"/>
              <w:rPr>
                <w:rFonts w:eastAsia="Times New Roman"/>
                <w:b/>
                <w:lang w:eastAsia="en-US"/>
              </w:rPr>
            </w:pPr>
            <w:r w:rsidRPr="007B5EFB">
              <w:rPr>
                <w:rFonts w:eastAsia="Times New Roman"/>
                <w:b/>
                <w:lang w:eastAsia="en-US"/>
              </w:rPr>
              <w:t>Rate</w:t>
            </w:r>
          </w:p>
        </w:tc>
        <w:tc>
          <w:tcPr>
            <w:tcW w:w="2295" w:type="dxa"/>
            <w:vAlign w:val="center"/>
          </w:tcPr>
          <w:p w:rsidR="00810906" w:rsidRPr="007B5EFB" w:rsidRDefault="00810906" w:rsidP="006D5325">
            <w:pPr>
              <w:spacing w:after="220"/>
              <w:jc w:val="center"/>
              <w:rPr>
                <w:rFonts w:eastAsia="Times New Roman"/>
                <w:b/>
                <w:lang w:eastAsia="en-US"/>
              </w:rPr>
            </w:pPr>
            <w:r w:rsidRPr="007B5EFB">
              <w:rPr>
                <w:rFonts w:eastAsia="Times New Roman"/>
                <w:b/>
                <w:lang w:eastAsia="en-US"/>
              </w:rPr>
              <w:t>CHF to be received</w:t>
            </w:r>
          </w:p>
        </w:tc>
      </w:tr>
      <w:tr w:rsidR="00810906" w:rsidRPr="007B5EFB" w:rsidTr="003E06BC">
        <w:trPr>
          <w:trHeight w:val="387"/>
        </w:trPr>
        <w:tc>
          <w:tcPr>
            <w:tcW w:w="2294" w:type="dxa"/>
          </w:tcPr>
          <w:p w:rsidR="00810906" w:rsidRPr="007B5EFB" w:rsidRDefault="00810906" w:rsidP="006D5325">
            <w:pPr>
              <w:spacing w:after="220"/>
              <w:rPr>
                <w:rFonts w:eastAsia="Times New Roman"/>
                <w:b/>
                <w:lang w:eastAsia="en-US"/>
              </w:rPr>
            </w:pPr>
            <w:r w:rsidRPr="007B5EFB">
              <w:rPr>
                <w:rFonts w:eastAsia="Times New Roman"/>
                <w:b/>
                <w:lang w:eastAsia="en-US"/>
              </w:rPr>
              <w:t>March</w:t>
            </w:r>
          </w:p>
        </w:tc>
        <w:tc>
          <w:tcPr>
            <w:tcW w:w="2295" w:type="dxa"/>
          </w:tcPr>
          <w:p w:rsidR="00810906" w:rsidRPr="007B5EFB" w:rsidRDefault="00810906" w:rsidP="006D5325">
            <w:pPr>
              <w:spacing w:after="220"/>
              <w:rPr>
                <w:rFonts w:eastAsia="Times New Roman"/>
                <w:lang w:eastAsia="en-US"/>
              </w:rPr>
            </w:pPr>
            <w:r w:rsidRPr="007B5EFB">
              <w:rPr>
                <w:rFonts w:eastAsia="Times New Roman"/>
                <w:lang w:eastAsia="en-US"/>
              </w:rPr>
              <w:t>8 million</w:t>
            </w:r>
          </w:p>
        </w:tc>
        <w:tc>
          <w:tcPr>
            <w:tcW w:w="2295" w:type="dxa"/>
          </w:tcPr>
          <w:p w:rsidR="00810906" w:rsidRPr="007B5EFB" w:rsidRDefault="00810906" w:rsidP="006D5325">
            <w:pPr>
              <w:spacing w:after="220"/>
              <w:rPr>
                <w:rFonts w:eastAsia="Times New Roman"/>
                <w:lang w:eastAsia="en-US"/>
              </w:rPr>
            </w:pPr>
            <w:r w:rsidRPr="007B5EFB">
              <w:rPr>
                <w:rFonts w:eastAsia="Times New Roman"/>
                <w:lang w:eastAsia="en-US"/>
              </w:rPr>
              <w:t>0.9672</w:t>
            </w:r>
          </w:p>
        </w:tc>
        <w:tc>
          <w:tcPr>
            <w:tcW w:w="2295" w:type="dxa"/>
          </w:tcPr>
          <w:p w:rsidR="00810906" w:rsidRPr="007B5EFB" w:rsidRDefault="00810906" w:rsidP="006D5325">
            <w:pPr>
              <w:spacing w:after="220"/>
              <w:rPr>
                <w:rFonts w:eastAsia="Times New Roman"/>
                <w:lang w:eastAsia="en-US"/>
              </w:rPr>
            </w:pPr>
            <w:r w:rsidRPr="007B5EFB">
              <w:rPr>
                <w:rFonts w:eastAsia="Times New Roman"/>
                <w:lang w:eastAsia="en-US"/>
              </w:rPr>
              <w:t>7,737,600</w:t>
            </w:r>
          </w:p>
        </w:tc>
      </w:tr>
      <w:tr w:rsidR="00810906" w:rsidRPr="007B5EFB" w:rsidTr="003E06BC">
        <w:trPr>
          <w:trHeight w:val="337"/>
        </w:trPr>
        <w:tc>
          <w:tcPr>
            <w:tcW w:w="2294" w:type="dxa"/>
          </w:tcPr>
          <w:p w:rsidR="00810906" w:rsidRPr="007B5EFB" w:rsidRDefault="00810906" w:rsidP="006D5325">
            <w:pPr>
              <w:spacing w:after="220"/>
              <w:rPr>
                <w:rFonts w:eastAsia="Times New Roman"/>
                <w:b/>
                <w:lang w:eastAsia="en-US"/>
              </w:rPr>
            </w:pPr>
            <w:r w:rsidRPr="007B5EFB">
              <w:rPr>
                <w:rFonts w:eastAsia="Times New Roman"/>
                <w:b/>
                <w:lang w:eastAsia="en-US"/>
              </w:rPr>
              <w:t>June</w:t>
            </w:r>
          </w:p>
        </w:tc>
        <w:tc>
          <w:tcPr>
            <w:tcW w:w="2295" w:type="dxa"/>
          </w:tcPr>
          <w:p w:rsidR="00810906" w:rsidRPr="007B5EFB" w:rsidRDefault="00810906" w:rsidP="006D5325">
            <w:pPr>
              <w:spacing w:after="220"/>
              <w:rPr>
                <w:rFonts w:eastAsia="Times New Roman"/>
                <w:lang w:eastAsia="en-US"/>
              </w:rPr>
            </w:pPr>
            <w:r w:rsidRPr="007B5EFB">
              <w:rPr>
                <w:rFonts w:eastAsia="Times New Roman"/>
                <w:lang w:eastAsia="en-US"/>
              </w:rPr>
              <w:t>12 million</w:t>
            </w:r>
          </w:p>
        </w:tc>
        <w:tc>
          <w:tcPr>
            <w:tcW w:w="2295" w:type="dxa"/>
          </w:tcPr>
          <w:p w:rsidR="00810906" w:rsidRPr="007B5EFB" w:rsidRDefault="00810906" w:rsidP="006D5325">
            <w:pPr>
              <w:spacing w:after="220"/>
              <w:rPr>
                <w:rFonts w:eastAsia="Times New Roman"/>
                <w:lang w:eastAsia="en-US"/>
              </w:rPr>
            </w:pPr>
            <w:r w:rsidRPr="007B5EFB">
              <w:rPr>
                <w:rFonts w:eastAsia="Times New Roman"/>
                <w:lang w:eastAsia="en-US"/>
              </w:rPr>
              <w:t>0.9656</w:t>
            </w:r>
          </w:p>
        </w:tc>
        <w:tc>
          <w:tcPr>
            <w:tcW w:w="2295" w:type="dxa"/>
          </w:tcPr>
          <w:p w:rsidR="00810906" w:rsidRPr="007B5EFB" w:rsidRDefault="00810906" w:rsidP="006D5325">
            <w:pPr>
              <w:spacing w:after="220"/>
              <w:rPr>
                <w:rFonts w:eastAsia="Times New Roman"/>
                <w:lang w:eastAsia="en-US"/>
              </w:rPr>
            </w:pPr>
            <w:r w:rsidRPr="007B5EFB">
              <w:rPr>
                <w:rFonts w:eastAsia="Times New Roman"/>
                <w:lang w:eastAsia="en-US"/>
              </w:rPr>
              <w:t>11,587,200</w:t>
            </w:r>
          </w:p>
        </w:tc>
      </w:tr>
      <w:tr w:rsidR="00810906" w:rsidRPr="007B5EFB" w:rsidTr="003E06BC">
        <w:tc>
          <w:tcPr>
            <w:tcW w:w="2294" w:type="dxa"/>
          </w:tcPr>
          <w:p w:rsidR="00810906" w:rsidRPr="007B5EFB" w:rsidRDefault="00810906" w:rsidP="006D5325">
            <w:pPr>
              <w:spacing w:after="220"/>
              <w:rPr>
                <w:rFonts w:eastAsia="Times New Roman"/>
                <w:b/>
                <w:lang w:eastAsia="en-US"/>
              </w:rPr>
            </w:pPr>
            <w:r w:rsidRPr="007B5EFB">
              <w:rPr>
                <w:rFonts w:eastAsia="Times New Roman"/>
                <w:b/>
                <w:lang w:eastAsia="en-US"/>
              </w:rPr>
              <w:t>September</w:t>
            </w:r>
          </w:p>
        </w:tc>
        <w:tc>
          <w:tcPr>
            <w:tcW w:w="2295" w:type="dxa"/>
          </w:tcPr>
          <w:p w:rsidR="00810906" w:rsidRPr="007B5EFB" w:rsidRDefault="00810906" w:rsidP="006D5325">
            <w:pPr>
              <w:spacing w:after="220"/>
              <w:rPr>
                <w:rFonts w:eastAsia="Times New Roman"/>
                <w:lang w:eastAsia="en-US"/>
              </w:rPr>
            </w:pPr>
            <w:r w:rsidRPr="007B5EFB">
              <w:rPr>
                <w:rFonts w:eastAsia="Times New Roman"/>
                <w:lang w:eastAsia="en-US"/>
              </w:rPr>
              <w:t>16 million</w:t>
            </w:r>
          </w:p>
        </w:tc>
        <w:tc>
          <w:tcPr>
            <w:tcW w:w="2295" w:type="dxa"/>
          </w:tcPr>
          <w:p w:rsidR="00810906" w:rsidRPr="007B5EFB" w:rsidRDefault="00810906" w:rsidP="006D5325">
            <w:pPr>
              <w:spacing w:after="220"/>
              <w:rPr>
                <w:rFonts w:eastAsia="Times New Roman"/>
                <w:lang w:eastAsia="en-US"/>
              </w:rPr>
            </w:pPr>
            <w:r w:rsidRPr="007B5EFB">
              <w:rPr>
                <w:rFonts w:eastAsia="Times New Roman"/>
                <w:lang w:eastAsia="en-US"/>
              </w:rPr>
              <w:t>0.9635</w:t>
            </w:r>
          </w:p>
        </w:tc>
        <w:tc>
          <w:tcPr>
            <w:tcW w:w="2295" w:type="dxa"/>
          </w:tcPr>
          <w:p w:rsidR="00810906" w:rsidRPr="007B5EFB" w:rsidRDefault="00810906" w:rsidP="006D5325">
            <w:pPr>
              <w:spacing w:after="220"/>
              <w:rPr>
                <w:rFonts w:eastAsia="Times New Roman"/>
                <w:lang w:eastAsia="en-US"/>
              </w:rPr>
            </w:pPr>
            <w:r w:rsidRPr="007B5EFB">
              <w:rPr>
                <w:rFonts w:eastAsia="Times New Roman"/>
                <w:lang w:eastAsia="en-US"/>
              </w:rPr>
              <w:t>15,416,000</w:t>
            </w:r>
          </w:p>
        </w:tc>
      </w:tr>
      <w:tr w:rsidR="00810906" w:rsidRPr="007B5EFB" w:rsidTr="003E06BC">
        <w:tc>
          <w:tcPr>
            <w:tcW w:w="2294" w:type="dxa"/>
          </w:tcPr>
          <w:p w:rsidR="00810906" w:rsidRPr="007B5EFB" w:rsidRDefault="00810906" w:rsidP="006D5325">
            <w:pPr>
              <w:spacing w:after="220"/>
              <w:rPr>
                <w:rFonts w:eastAsia="Times New Roman"/>
                <w:b/>
                <w:lang w:eastAsia="en-US"/>
              </w:rPr>
            </w:pPr>
            <w:r w:rsidRPr="007B5EFB">
              <w:rPr>
                <w:rFonts w:eastAsia="Times New Roman"/>
                <w:b/>
                <w:lang w:eastAsia="en-US"/>
              </w:rPr>
              <w:t>Totals</w:t>
            </w:r>
          </w:p>
        </w:tc>
        <w:tc>
          <w:tcPr>
            <w:tcW w:w="2295" w:type="dxa"/>
          </w:tcPr>
          <w:p w:rsidR="00810906" w:rsidRPr="007B5EFB" w:rsidRDefault="00810906" w:rsidP="006D5325">
            <w:pPr>
              <w:spacing w:after="220"/>
              <w:rPr>
                <w:rFonts w:eastAsia="Times New Roman"/>
                <w:lang w:eastAsia="en-US"/>
              </w:rPr>
            </w:pPr>
            <w:r w:rsidRPr="007B5EFB">
              <w:rPr>
                <w:rFonts w:eastAsia="Times New Roman"/>
                <w:lang w:eastAsia="en-US"/>
              </w:rPr>
              <w:t>36 million</w:t>
            </w:r>
          </w:p>
        </w:tc>
        <w:tc>
          <w:tcPr>
            <w:tcW w:w="2295" w:type="dxa"/>
          </w:tcPr>
          <w:p w:rsidR="00810906" w:rsidRPr="007B5EFB" w:rsidRDefault="00810906" w:rsidP="006D5325">
            <w:pPr>
              <w:spacing w:after="220"/>
              <w:rPr>
                <w:rFonts w:eastAsia="Times New Roman"/>
                <w:lang w:eastAsia="en-US"/>
              </w:rPr>
            </w:pPr>
          </w:p>
        </w:tc>
        <w:tc>
          <w:tcPr>
            <w:tcW w:w="2295" w:type="dxa"/>
          </w:tcPr>
          <w:p w:rsidR="00810906" w:rsidRPr="007B5EFB" w:rsidRDefault="00810906" w:rsidP="006D5325">
            <w:pPr>
              <w:spacing w:after="220"/>
              <w:rPr>
                <w:rFonts w:eastAsia="Times New Roman"/>
                <w:lang w:eastAsia="en-US"/>
              </w:rPr>
            </w:pPr>
            <w:r w:rsidRPr="007B5EFB">
              <w:rPr>
                <w:rFonts w:eastAsia="Times New Roman"/>
                <w:lang w:eastAsia="en-US"/>
              </w:rPr>
              <w:t>34,740,800</w:t>
            </w:r>
          </w:p>
        </w:tc>
      </w:tr>
    </w:tbl>
    <w:p w:rsidR="00810906" w:rsidRPr="007B5EFB" w:rsidRDefault="00810906" w:rsidP="00810906">
      <w:pPr>
        <w:spacing w:after="220"/>
        <w:rPr>
          <w:rFonts w:eastAsia="Times New Roman"/>
          <w:lang w:eastAsia="en-US"/>
        </w:rPr>
      </w:pPr>
    </w:p>
    <w:p w:rsidR="003E06BC" w:rsidRPr="007B5EFB" w:rsidRDefault="003E06BC" w:rsidP="00E6688D">
      <w:pPr>
        <w:tabs>
          <w:tab w:val="left" w:pos="5220"/>
        </w:tabs>
        <w:rPr>
          <w:rFonts w:eastAsia="Times New Roman"/>
          <w:color w:val="000000"/>
          <w:szCs w:val="22"/>
          <w:lang w:eastAsia="en-US"/>
        </w:rPr>
      </w:pPr>
      <w:r w:rsidRPr="007B5EFB">
        <w:rPr>
          <w:rFonts w:eastAsia="Times New Roman"/>
          <w:color w:val="000000"/>
          <w:szCs w:val="22"/>
          <w:lang w:eastAsia="en-US"/>
        </w:rPr>
        <w:t>The weighted average forward rate is calculated as:</w:t>
      </w:r>
      <w:r w:rsidR="00E6688D" w:rsidRPr="007B5EFB">
        <w:rPr>
          <w:rFonts w:eastAsia="Times New Roman"/>
          <w:color w:val="000000"/>
          <w:szCs w:val="22"/>
          <w:lang w:eastAsia="en-US"/>
        </w:rPr>
        <w:tab/>
      </w:r>
      <w:r w:rsidR="00E6688D" w:rsidRPr="007B5EFB">
        <w:rPr>
          <w:rFonts w:eastAsia="Times New Roman"/>
          <w:color w:val="000000"/>
          <w:szCs w:val="22"/>
          <w:u w:val="single"/>
          <w:lang w:eastAsia="en-US"/>
        </w:rPr>
        <w:t>34,740,000</w:t>
      </w:r>
      <w:r w:rsidR="00E6688D" w:rsidRPr="007B5EFB">
        <w:rPr>
          <w:rFonts w:eastAsia="Times New Roman"/>
          <w:color w:val="000000"/>
          <w:szCs w:val="22"/>
          <w:lang w:eastAsia="en-US"/>
        </w:rPr>
        <w:t xml:space="preserve">  =</w:t>
      </w:r>
      <w:r w:rsidR="006E2CBC" w:rsidRPr="007B5EFB">
        <w:rPr>
          <w:rFonts w:eastAsia="Times New Roman"/>
          <w:color w:val="000000"/>
          <w:szCs w:val="22"/>
          <w:lang w:eastAsia="en-US"/>
        </w:rPr>
        <w:t xml:space="preserve">  </w:t>
      </w:r>
      <w:r w:rsidR="00E6688D" w:rsidRPr="007B5EFB">
        <w:rPr>
          <w:rFonts w:eastAsia="Times New Roman"/>
          <w:color w:val="000000"/>
          <w:szCs w:val="22"/>
          <w:lang w:eastAsia="en-US"/>
        </w:rPr>
        <w:t>0.96502</w:t>
      </w:r>
    </w:p>
    <w:p w:rsidR="003E06BC" w:rsidRPr="007B5EFB" w:rsidRDefault="00E6688D" w:rsidP="00E6688D">
      <w:pPr>
        <w:tabs>
          <w:tab w:val="left" w:pos="5220"/>
        </w:tabs>
        <w:spacing w:after="220"/>
        <w:rPr>
          <w:rFonts w:eastAsia="Times New Roman"/>
          <w:lang w:eastAsia="en-US"/>
        </w:rPr>
      </w:pPr>
      <w:r w:rsidRPr="007B5EFB">
        <w:rPr>
          <w:rFonts w:eastAsia="Times New Roman"/>
          <w:lang w:eastAsia="en-US"/>
        </w:rPr>
        <w:tab/>
      </w:r>
      <w:r w:rsidRPr="007B5EFB">
        <w:rPr>
          <w:rFonts w:eastAsia="Times New Roman"/>
          <w:color w:val="000000"/>
          <w:szCs w:val="22"/>
          <w:lang w:eastAsia="en-US"/>
        </w:rPr>
        <w:t>36,000,000</w:t>
      </w:r>
    </w:p>
    <w:p w:rsidR="00810906" w:rsidRPr="007B5EFB" w:rsidRDefault="00810906" w:rsidP="003E06BC">
      <w:pPr>
        <w:pStyle w:val="ONUME"/>
        <w:rPr>
          <w:lang w:eastAsia="en-US"/>
        </w:rPr>
      </w:pPr>
      <w:r w:rsidRPr="007B5EFB">
        <w:rPr>
          <w:lang w:eastAsia="en-US"/>
        </w:rPr>
        <w:t>The rate of 0.96502 would therefore be used as the basis for establishing the equivalent amount in January.</w:t>
      </w:r>
      <w:r w:rsidR="006D2887" w:rsidRPr="007B5EFB">
        <w:rPr>
          <w:lang w:eastAsia="en-US"/>
        </w:rPr>
        <w:t xml:space="preserve">  This rate </w:t>
      </w:r>
      <w:r w:rsidR="003422B4" w:rsidRPr="007B5EFB">
        <w:rPr>
          <w:lang w:eastAsia="en-US"/>
        </w:rPr>
        <w:t xml:space="preserve">would be </w:t>
      </w:r>
      <w:r w:rsidR="006D2887" w:rsidRPr="007B5EFB">
        <w:rPr>
          <w:lang w:eastAsia="en-US"/>
        </w:rPr>
        <w:t>different from the spot rate on</w:t>
      </w:r>
      <w:r w:rsidR="00952FCC" w:rsidRPr="007B5EFB">
        <w:rPr>
          <w:lang w:eastAsia="en-US"/>
        </w:rPr>
        <w:t xml:space="preserve"> October 6,</w:t>
      </w:r>
      <w:r w:rsidR="006D2887" w:rsidRPr="007B5EFB">
        <w:rPr>
          <w:lang w:eastAsia="en-US"/>
        </w:rPr>
        <w:t xml:space="preserve"> 2014</w:t>
      </w:r>
      <w:r w:rsidR="00E6688D" w:rsidRPr="007B5EFB">
        <w:rPr>
          <w:lang w:eastAsia="en-US"/>
        </w:rPr>
        <w:t>,</w:t>
      </w:r>
      <w:r w:rsidR="006D2887" w:rsidRPr="007B5EFB">
        <w:rPr>
          <w:lang w:eastAsia="en-US"/>
        </w:rPr>
        <w:t xml:space="preserve"> and w</w:t>
      </w:r>
      <w:r w:rsidR="00E6688D" w:rsidRPr="007B5EFB">
        <w:rPr>
          <w:lang w:eastAsia="en-US"/>
        </w:rPr>
        <w:t>ould</w:t>
      </w:r>
      <w:r w:rsidR="006D2887" w:rsidRPr="007B5EFB">
        <w:rPr>
          <w:lang w:eastAsia="en-US"/>
        </w:rPr>
        <w:t xml:space="preserve"> result in a new </w:t>
      </w:r>
      <w:r w:rsidR="006D2887" w:rsidRPr="007B5EFB">
        <w:t>equivalent</w:t>
      </w:r>
      <w:r w:rsidR="006D2887" w:rsidRPr="007B5EFB">
        <w:rPr>
          <w:lang w:eastAsia="en-US"/>
        </w:rPr>
        <w:t xml:space="preserve"> amount in USD which </w:t>
      </w:r>
      <w:r w:rsidR="00952FCC" w:rsidRPr="007B5EFB">
        <w:rPr>
          <w:lang w:eastAsia="en-US"/>
        </w:rPr>
        <w:t xml:space="preserve">would be </w:t>
      </w:r>
      <w:r w:rsidR="006D2887" w:rsidRPr="007B5EFB">
        <w:rPr>
          <w:lang w:eastAsia="en-US"/>
        </w:rPr>
        <w:t xml:space="preserve">slightly higher than would have been the case had the spot rate been applied to calculate the new equivalent amount </w:t>
      </w:r>
      <w:r w:rsidR="00744B77" w:rsidRPr="007B5EFB">
        <w:rPr>
          <w:lang w:eastAsia="en-US"/>
        </w:rPr>
        <w:t xml:space="preserve">of the 1330 Swiss franc international filing fee </w:t>
      </w:r>
      <w:r w:rsidR="006D2887" w:rsidRPr="007B5EFB">
        <w:rPr>
          <w:lang w:eastAsia="en-US"/>
        </w:rPr>
        <w:t xml:space="preserve">(USD 1,378 as opposed to USD </w:t>
      </w:r>
      <w:r w:rsidR="00052957" w:rsidRPr="007B5EFB">
        <w:rPr>
          <w:lang w:eastAsia="en-US"/>
        </w:rPr>
        <w:t xml:space="preserve">1,373).  </w:t>
      </w:r>
      <w:r w:rsidR="00952FCC" w:rsidRPr="007B5EFB">
        <w:rPr>
          <w:lang w:eastAsia="en-US"/>
        </w:rPr>
        <w:t>This is because f</w:t>
      </w:r>
      <w:r w:rsidR="00052957" w:rsidRPr="007B5EFB">
        <w:rPr>
          <w:lang w:eastAsia="en-US"/>
        </w:rPr>
        <w:t>orward rates reflect the differential between the interest rates prevailing in the countries of the currencies involved</w:t>
      </w:r>
      <w:r w:rsidR="00E2766F" w:rsidRPr="007B5EFB">
        <w:rPr>
          <w:lang w:eastAsia="en-US"/>
        </w:rPr>
        <w:t xml:space="preserve"> and</w:t>
      </w:r>
      <w:r w:rsidR="00052957" w:rsidRPr="007B5EFB">
        <w:rPr>
          <w:lang w:eastAsia="en-US"/>
        </w:rPr>
        <w:t xml:space="preserve"> are not forecasts of future exchange rates.  The example above reflects the fact that</w:t>
      </w:r>
      <w:r w:rsidR="00952FCC" w:rsidRPr="007B5EFB">
        <w:rPr>
          <w:lang w:eastAsia="en-US"/>
        </w:rPr>
        <w:t>, on October 6, 2014,</w:t>
      </w:r>
      <w:r w:rsidR="00052957" w:rsidRPr="007B5EFB">
        <w:rPr>
          <w:lang w:eastAsia="en-US"/>
        </w:rPr>
        <w:t xml:space="preserve"> interest rates </w:t>
      </w:r>
      <w:r w:rsidR="00952FCC" w:rsidRPr="007B5EFB">
        <w:rPr>
          <w:lang w:eastAsia="en-US"/>
        </w:rPr>
        <w:t xml:space="preserve">were </w:t>
      </w:r>
      <w:r w:rsidR="00052957" w:rsidRPr="007B5EFB">
        <w:rPr>
          <w:lang w:eastAsia="en-US"/>
        </w:rPr>
        <w:t>higher in the United</w:t>
      </w:r>
      <w:r w:rsidR="00E2766F" w:rsidRPr="007B5EFB">
        <w:rPr>
          <w:lang w:eastAsia="en-US"/>
        </w:rPr>
        <w:t xml:space="preserve"> States than in Switzerland.  If the opposite were true and</w:t>
      </w:r>
      <w:r w:rsidR="00052957" w:rsidRPr="007B5EFB">
        <w:rPr>
          <w:lang w:eastAsia="en-US"/>
        </w:rPr>
        <w:t xml:space="preserve"> Swiss interest rates were higher than</w:t>
      </w:r>
      <w:r w:rsidR="00E2766F" w:rsidRPr="007B5EFB">
        <w:rPr>
          <w:lang w:eastAsia="en-US"/>
        </w:rPr>
        <w:t xml:space="preserve"> those</w:t>
      </w:r>
      <w:r w:rsidR="00052957" w:rsidRPr="007B5EFB">
        <w:rPr>
          <w:lang w:eastAsia="en-US"/>
        </w:rPr>
        <w:t xml:space="preserve"> in the United States, this would be reflected in the</w:t>
      </w:r>
      <w:r w:rsidR="00E2766F" w:rsidRPr="007B5EFB">
        <w:rPr>
          <w:lang w:eastAsia="en-US"/>
        </w:rPr>
        <w:t xml:space="preserve"> calculation of the</w:t>
      </w:r>
      <w:r w:rsidR="00052957" w:rsidRPr="007B5EFB">
        <w:rPr>
          <w:lang w:eastAsia="en-US"/>
        </w:rPr>
        <w:t xml:space="preserve"> blended hedge rate and the new equivalent amount in USD </w:t>
      </w:r>
      <w:r w:rsidR="00952FCC" w:rsidRPr="007B5EFB">
        <w:rPr>
          <w:lang w:eastAsia="en-US"/>
        </w:rPr>
        <w:t xml:space="preserve">established on the basis of the blended hedge rate </w:t>
      </w:r>
      <w:r w:rsidR="00052957" w:rsidRPr="007B5EFB">
        <w:rPr>
          <w:lang w:eastAsia="en-US"/>
        </w:rPr>
        <w:t>would</w:t>
      </w:r>
      <w:r w:rsidR="00E2766F" w:rsidRPr="007B5EFB">
        <w:rPr>
          <w:lang w:eastAsia="en-US"/>
        </w:rPr>
        <w:t xml:space="preserve"> accordingly</w:t>
      </w:r>
      <w:r w:rsidR="00052957" w:rsidRPr="007B5EFB">
        <w:rPr>
          <w:lang w:eastAsia="en-US"/>
        </w:rPr>
        <w:t xml:space="preserve"> be lower than </w:t>
      </w:r>
      <w:r w:rsidR="00952FCC" w:rsidRPr="007B5EFB">
        <w:rPr>
          <w:lang w:eastAsia="en-US"/>
        </w:rPr>
        <w:t>an equivalent amount established on the basis of the spot rate (</w:t>
      </w:r>
      <w:r w:rsidR="00052957" w:rsidRPr="007B5EFB">
        <w:rPr>
          <w:lang w:eastAsia="en-US"/>
        </w:rPr>
        <w:t>USD 1,373</w:t>
      </w:r>
      <w:r w:rsidR="00952FCC" w:rsidRPr="007B5EFB">
        <w:rPr>
          <w:lang w:eastAsia="en-US"/>
        </w:rPr>
        <w:t>)</w:t>
      </w:r>
      <w:r w:rsidR="00052957" w:rsidRPr="007B5EFB">
        <w:rPr>
          <w:lang w:eastAsia="en-US"/>
        </w:rPr>
        <w:t>.</w:t>
      </w:r>
    </w:p>
    <w:p w:rsidR="00115887" w:rsidRPr="007B5EFB" w:rsidRDefault="00810906" w:rsidP="00810906">
      <w:pPr>
        <w:pStyle w:val="Heading2"/>
        <w:rPr>
          <w:lang w:eastAsia="en-US"/>
        </w:rPr>
      </w:pPr>
      <w:r w:rsidRPr="007B5EFB">
        <w:rPr>
          <w:lang w:eastAsia="en-US"/>
        </w:rPr>
        <w:t>Accuracy of Forcast</w:t>
      </w:r>
      <w:r w:rsidR="00C82B86" w:rsidRPr="007B5EFB">
        <w:rPr>
          <w:lang w:eastAsia="en-US"/>
        </w:rPr>
        <w:t>S</w:t>
      </w:r>
      <w:r w:rsidRPr="007B5EFB">
        <w:rPr>
          <w:lang w:eastAsia="en-US"/>
        </w:rPr>
        <w:t xml:space="preserve"> of currency cash flows</w:t>
      </w:r>
    </w:p>
    <w:p w:rsidR="00CD5785" w:rsidRPr="007B5EFB" w:rsidRDefault="00CD5785" w:rsidP="00CD5785">
      <w:pPr>
        <w:pStyle w:val="ONUME"/>
        <w:tabs>
          <w:tab w:val="num" w:pos="851"/>
          <w:tab w:val="num" w:pos="6597"/>
        </w:tabs>
        <w:rPr>
          <w:rFonts w:eastAsia="Times New Roman"/>
          <w:lang w:eastAsia="en-US"/>
        </w:rPr>
      </w:pPr>
      <w:r w:rsidRPr="007B5EFB">
        <w:rPr>
          <w:rFonts w:eastAsia="Times New Roman"/>
          <w:lang w:eastAsia="en-US"/>
        </w:rPr>
        <w:t xml:space="preserve">The success of the </w:t>
      </w:r>
      <w:r w:rsidR="00810906" w:rsidRPr="007B5EFB">
        <w:rPr>
          <w:rFonts w:eastAsia="Times New Roman"/>
          <w:lang w:eastAsia="en-US"/>
        </w:rPr>
        <w:t xml:space="preserve">proposed </w:t>
      </w:r>
      <w:r w:rsidRPr="007B5EFB">
        <w:rPr>
          <w:rFonts w:eastAsia="Times New Roman"/>
          <w:lang w:eastAsia="en-US"/>
        </w:rPr>
        <w:t>hedging strategy is heavily dependent upon the accuracy of forecast currency cash</w:t>
      </w:r>
      <w:r w:rsidR="00810906" w:rsidRPr="007B5EFB">
        <w:rPr>
          <w:rFonts w:eastAsia="Times New Roman"/>
          <w:lang w:eastAsia="en-US"/>
        </w:rPr>
        <w:t xml:space="preserve"> </w:t>
      </w:r>
      <w:r w:rsidRPr="007B5EFB">
        <w:rPr>
          <w:rFonts w:eastAsia="Times New Roman"/>
          <w:lang w:eastAsia="en-US"/>
        </w:rPr>
        <w:t xml:space="preserve">flows for </w:t>
      </w:r>
      <w:r w:rsidR="00EE5C75" w:rsidRPr="007B5EFB">
        <w:rPr>
          <w:rFonts w:eastAsia="Times New Roman"/>
          <w:lang w:eastAsia="en-US"/>
        </w:rPr>
        <w:t xml:space="preserve">international filing </w:t>
      </w:r>
      <w:r w:rsidRPr="007B5EFB">
        <w:rPr>
          <w:rFonts w:eastAsia="Times New Roman"/>
          <w:lang w:eastAsia="en-US"/>
        </w:rPr>
        <w:t xml:space="preserve">fees.  With regard to </w:t>
      </w:r>
      <w:r w:rsidR="00EE5C75" w:rsidRPr="007B5EFB">
        <w:rPr>
          <w:rFonts w:eastAsia="Times New Roman"/>
          <w:lang w:eastAsia="en-US"/>
        </w:rPr>
        <w:t xml:space="preserve">international filing </w:t>
      </w:r>
      <w:r w:rsidRPr="007B5EFB">
        <w:rPr>
          <w:rFonts w:eastAsia="Times New Roman"/>
          <w:lang w:eastAsia="en-US"/>
        </w:rPr>
        <w:t xml:space="preserve">fees, the current </w:t>
      </w:r>
      <w:r w:rsidR="00EE5C75" w:rsidRPr="007B5EFB">
        <w:rPr>
          <w:rFonts w:eastAsia="Times New Roman"/>
          <w:lang w:eastAsia="en-US"/>
        </w:rPr>
        <w:t xml:space="preserve">PCT </w:t>
      </w:r>
      <w:r w:rsidRPr="007B5EFB">
        <w:rPr>
          <w:rFonts w:eastAsia="Times New Roman"/>
          <w:lang w:eastAsia="en-US"/>
        </w:rPr>
        <w:t xml:space="preserve">revenue forecasting process is based on the volume of </w:t>
      </w:r>
      <w:r w:rsidR="00EE5C75" w:rsidRPr="007B5EFB">
        <w:rPr>
          <w:rFonts w:eastAsia="Times New Roman"/>
          <w:lang w:eastAsia="en-US"/>
        </w:rPr>
        <w:t xml:space="preserve">international </w:t>
      </w:r>
      <w:r w:rsidRPr="007B5EFB">
        <w:rPr>
          <w:rFonts w:eastAsia="Times New Roman"/>
          <w:lang w:eastAsia="en-US"/>
        </w:rPr>
        <w:t xml:space="preserve">applications expected to be </w:t>
      </w:r>
      <w:r w:rsidR="00EE5C75" w:rsidRPr="007B5EFB">
        <w:rPr>
          <w:rFonts w:eastAsia="Times New Roman"/>
          <w:lang w:eastAsia="en-US"/>
        </w:rPr>
        <w:t xml:space="preserve">filed </w:t>
      </w:r>
      <w:r w:rsidRPr="007B5EFB">
        <w:rPr>
          <w:rFonts w:eastAsia="Times New Roman"/>
          <w:lang w:eastAsia="en-US"/>
        </w:rPr>
        <w:t xml:space="preserve">on a jurisdictional basis.  These forecasts are prepared by </w:t>
      </w:r>
      <w:r w:rsidR="00A8714C" w:rsidRPr="007B5EFB">
        <w:rPr>
          <w:rFonts w:eastAsia="Times New Roman"/>
          <w:lang w:eastAsia="en-US"/>
        </w:rPr>
        <w:t>the IB</w:t>
      </w:r>
      <w:r w:rsidRPr="007B5EFB">
        <w:rPr>
          <w:rFonts w:eastAsia="Times New Roman"/>
          <w:lang w:eastAsia="en-US"/>
        </w:rPr>
        <w:t xml:space="preserve"> and are updated every quarter</w:t>
      </w:r>
      <w:r w:rsidR="005A182A" w:rsidRPr="007B5EFB">
        <w:rPr>
          <w:rFonts w:eastAsia="Times New Roman"/>
          <w:lang w:eastAsia="en-US"/>
        </w:rPr>
        <w:t>,</w:t>
      </w:r>
      <w:r w:rsidRPr="007B5EFB">
        <w:rPr>
          <w:rFonts w:eastAsia="Times New Roman"/>
          <w:lang w:eastAsia="en-US"/>
        </w:rPr>
        <w:t xml:space="preserve"> although monthly updates can be prepared if requested.  The </w:t>
      </w:r>
      <w:r w:rsidR="00A8714C" w:rsidRPr="007B5EFB">
        <w:rPr>
          <w:rFonts w:eastAsia="Times New Roman"/>
          <w:lang w:eastAsia="en-US"/>
        </w:rPr>
        <w:t xml:space="preserve">IB </w:t>
      </w:r>
      <w:r w:rsidRPr="007B5EFB">
        <w:rPr>
          <w:rFonts w:eastAsia="Times New Roman"/>
          <w:lang w:eastAsia="en-US"/>
        </w:rPr>
        <w:t xml:space="preserve">has monitored the reliability of </w:t>
      </w:r>
      <w:r w:rsidR="00A8714C" w:rsidRPr="007B5EFB">
        <w:rPr>
          <w:rFonts w:eastAsia="Times New Roman"/>
          <w:lang w:eastAsia="en-US"/>
        </w:rPr>
        <w:t>its</w:t>
      </w:r>
      <w:r w:rsidRPr="007B5EFB">
        <w:rPr>
          <w:rFonts w:eastAsia="Times New Roman"/>
          <w:lang w:eastAsia="en-US"/>
        </w:rPr>
        <w:t xml:space="preserve"> volume forecasts over several yea</w:t>
      </w:r>
      <w:r w:rsidR="005A182A" w:rsidRPr="007B5EFB">
        <w:rPr>
          <w:rFonts w:eastAsia="Times New Roman"/>
          <w:lang w:eastAsia="en-US"/>
        </w:rPr>
        <w:t>rs and ha</w:t>
      </w:r>
      <w:r w:rsidR="00A8714C" w:rsidRPr="007B5EFB">
        <w:rPr>
          <w:rFonts w:eastAsia="Times New Roman"/>
          <w:lang w:eastAsia="en-US"/>
        </w:rPr>
        <w:t>s</w:t>
      </w:r>
      <w:r w:rsidR="005A182A" w:rsidRPr="007B5EFB">
        <w:rPr>
          <w:rFonts w:eastAsia="Times New Roman"/>
          <w:lang w:eastAsia="en-US"/>
        </w:rPr>
        <w:t xml:space="preserve"> found that they</w:t>
      </w:r>
      <w:r w:rsidRPr="007B5EFB">
        <w:rPr>
          <w:rFonts w:eastAsia="Times New Roman"/>
          <w:lang w:eastAsia="en-US"/>
        </w:rPr>
        <w:t xml:space="preserve"> enjoy a high level of accuracy, with actual yearly volumes differing from the mid-range of the forecasts by no more than 6.93 per cent during the period 2010-2014.</w:t>
      </w:r>
    </w:p>
    <w:p w:rsidR="00CD5785" w:rsidRPr="007B5EFB" w:rsidRDefault="00CD5785" w:rsidP="003237B9">
      <w:pPr>
        <w:pStyle w:val="ONUME"/>
        <w:keepLines/>
        <w:tabs>
          <w:tab w:val="num" w:pos="851"/>
          <w:tab w:val="num" w:pos="6597"/>
        </w:tabs>
        <w:rPr>
          <w:rFonts w:eastAsia="Times New Roman"/>
          <w:lang w:eastAsia="en-US"/>
        </w:rPr>
      </w:pPr>
      <w:r w:rsidRPr="007B5EFB">
        <w:rPr>
          <w:rFonts w:eastAsia="Times New Roman"/>
          <w:lang w:eastAsia="en-US"/>
        </w:rPr>
        <w:t>The mid-range volume forecast data w</w:t>
      </w:r>
      <w:r w:rsidR="005B5F52" w:rsidRPr="007B5EFB">
        <w:rPr>
          <w:rFonts w:eastAsia="Times New Roman"/>
          <w:lang w:eastAsia="en-US"/>
        </w:rPr>
        <w:t>ould</w:t>
      </w:r>
      <w:r w:rsidRPr="007B5EFB">
        <w:rPr>
          <w:rFonts w:eastAsia="Times New Roman"/>
          <w:lang w:eastAsia="en-US"/>
        </w:rPr>
        <w:t xml:space="preserve"> be combined with historical information on payment patterns to develop a cash flow forecast by currency, detailing expected currency flows in each month over the biennium.  The resulting cash flow forecast </w:t>
      </w:r>
      <w:r w:rsidR="005B5F52" w:rsidRPr="007B5EFB">
        <w:rPr>
          <w:rFonts w:eastAsia="Times New Roman"/>
          <w:lang w:eastAsia="en-US"/>
        </w:rPr>
        <w:t>would</w:t>
      </w:r>
      <w:r w:rsidRPr="007B5EFB">
        <w:rPr>
          <w:rFonts w:eastAsia="Times New Roman"/>
          <w:lang w:eastAsia="en-US"/>
        </w:rPr>
        <w:t xml:space="preserve"> be used as the basis for implementing the hedging strategy.  On a quarterly basis, (or monthly</w:t>
      </w:r>
      <w:r w:rsidR="00EE5C75" w:rsidRPr="007B5EFB">
        <w:rPr>
          <w:rFonts w:eastAsia="Times New Roman"/>
          <w:lang w:eastAsia="en-US"/>
        </w:rPr>
        <w:t>,</w:t>
      </w:r>
      <w:r w:rsidRPr="007B5EFB">
        <w:rPr>
          <w:rFonts w:eastAsia="Times New Roman"/>
          <w:lang w:eastAsia="en-US"/>
        </w:rPr>
        <w:t xml:space="preserve"> if considered necessary), in line with revised </w:t>
      </w:r>
      <w:r w:rsidR="00EE5C75" w:rsidRPr="007B5EFB">
        <w:rPr>
          <w:rFonts w:eastAsia="Times New Roman"/>
          <w:lang w:eastAsia="en-US"/>
        </w:rPr>
        <w:t xml:space="preserve">international </w:t>
      </w:r>
      <w:r w:rsidRPr="007B5EFB">
        <w:rPr>
          <w:rFonts w:eastAsia="Times New Roman"/>
          <w:lang w:eastAsia="en-US"/>
        </w:rPr>
        <w:t>application volume forecasts, the currency cash flow forecasts w</w:t>
      </w:r>
      <w:r w:rsidR="005B5F52" w:rsidRPr="007B5EFB">
        <w:rPr>
          <w:rFonts w:eastAsia="Times New Roman"/>
          <w:lang w:eastAsia="en-US"/>
        </w:rPr>
        <w:t>ould</w:t>
      </w:r>
      <w:r w:rsidRPr="007B5EFB">
        <w:rPr>
          <w:rFonts w:eastAsia="Times New Roman"/>
          <w:lang w:eastAsia="en-US"/>
        </w:rPr>
        <w:t xml:space="preserve"> be updated to reflect any changes in the PCT application volumes.  If this results in any significant changes in the forecasts, then these movements </w:t>
      </w:r>
      <w:r w:rsidR="005B5F52" w:rsidRPr="007B5EFB">
        <w:rPr>
          <w:rFonts w:eastAsia="Times New Roman"/>
          <w:lang w:eastAsia="en-US"/>
        </w:rPr>
        <w:t>would</w:t>
      </w:r>
      <w:r w:rsidRPr="007B5EFB">
        <w:rPr>
          <w:rFonts w:eastAsia="Times New Roman"/>
          <w:lang w:eastAsia="en-US"/>
        </w:rPr>
        <w:t xml:space="preserve"> be reflected in the hedging strategy by adjusting up or down the amount of foreign currency cover </w:t>
      </w:r>
      <w:r w:rsidR="00813807">
        <w:rPr>
          <w:rFonts w:eastAsia="Times New Roman"/>
          <w:lang w:eastAsia="en-US"/>
        </w:rPr>
        <w:t xml:space="preserve">per currency </w:t>
      </w:r>
      <w:r w:rsidRPr="007B5EFB">
        <w:rPr>
          <w:rFonts w:eastAsia="Times New Roman"/>
          <w:lang w:eastAsia="en-US"/>
        </w:rPr>
        <w:t>which is in place</w:t>
      </w:r>
      <w:r w:rsidR="00813807">
        <w:rPr>
          <w:rFonts w:eastAsia="Times New Roman"/>
          <w:lang w:eastAsia="en-US"/>
        </w:rPr>
        <w:t xml:space="preserve"> (see paragraph </w:t>
      </w:r>
      <w:r w:rsidR="00813807">
        <w:rPr>
          <w:rFonts w:eastAsia="Times New Roman"/>
          <w:lang w:eastAsia="en-US"/>
        </w:rPr>
        <w:fldChar w:fldCharType="begin"/>
      </w:r>
      <w:r w:rsidR="00813807">
        <w:rPr>
          <w:rFonts w:eastAsia="Times New Roman"/>
          <w:lang w:eastAsia="en-US"/>
        </w:rPr>
        <w:instrText xml:space="preserve"> REF _Ref419119930 \r \h </w:instrText>
      </w:r>
      <w:r w:rsidR="00813807">
        <w:rPr>
          <w:rFonts w:eastAsia="Times New Roman"/>
          <w:lang w:eastAsia="en-US"/>
        </w:rPr>
      </w:r>
      <w:r w:rsidR="00813807">
        <w:rPr>
          <w:rFonts w:eastAsia="Times New Roman"/>
          <w:lang w:eastAsia="en-US"/>
        </w:rPr>
        <w:fldChar w:fldCharType="separate"/>
      </w:r>
      <w:r w:rsidR="008431A0">
        <w:rPr>
          <w:rFonts w:eastAsia="Times New Roman"/>
          <w:lang w:eastAsia="en-US"/>
        </w:rPr>
        <w:t>25</w:t>
      </w:r>
      <w:r w:rsidR="00813807">
        <w:rPr>
          <w:rFonts w:eastAsia="Times New Roman"/>
          <w:lang w:eastAsia="en-US"/>
        </w:rPr>
        <w:fldChar w:fldCharType="end"/>
      </w:r>
      <w:r w:rsidR="00813807">
        <w:rPr>
          <w:rFonts w:eastAsia="Times New Roman"/>
          <w:lang w:eastAsia="en-US"/>
        </w:rPr>
        <w:t>, above).</w:t>
      </w:r>
    </w:p>
    <w:p w:rsidR="00C82B86" w:rsidRPr="007B5EFB" w:rsidRDefault="00C82B86" w:rsidP="00C82B86">
      <w:pPr>
        <w:pStyle w:val="Heading2"/>
        <w:rPr>
          <w:lang w:eastAsia="en-US"/>
        </w:rPr>
      </w:pPr>
      <w:r w:rsidRPr="007B5EFB">
        <w:rPr>
          <w:lang w:eastAsia="en-US"/>
        </w:rPr>
        <w:lastRenderedPageBreak/>
        <w:t>Costs of hedging</w:t>
      </w:r>
    </w:p>
    <w:p w:rsidR="00CD5785" w:rsidRPr="007B5EFB" w:rsidRDefault="00CD5785" w:rsidP="00CD5785">
      <w:pPr>
        <w:pStyle w:val="ONUME"/>
        <w:rPr>
          <w:i/>
          <w:lang w:eastAsia="en-US"/>
        </w:rPr>
      </w:pPr>
      <w:r w:rsidRPr="007B5EFB">
        <w:rPr>
          <w:lang w:eastAsia="en-US"/>
        </w:rPr>
        <w:t xml:space="preserve">Forward contracts have no upfront costs for the </w:t>
      </w:r>
      <w:r w:rsidR="00A8714C" w:rsidRPr="007B5EFB">
        <w:rPr>
          <w:lang w:eastAsia="en-US"/>
        </w:rPr>
        <w:t>IB</w:t>
      </w:r>
      <w:r w:rsidRPr="007B5EFB">
        <w:rPr>
          <w:lang w:eastAsia="en-US"/>
        </w:rPr>
        <w:t>.  However, they do have to be included within net assets on the statement of financial position at their fair value (calculated by reference to the prevailing spot rate).  As each underlyi</w:t>
      </w:r>
      <w:r w:rsidR="00EF1D94" w:rsidRPr="007B5EFB">
        <w:rPr>
          <w:lang w:eastAsia="en-US"/>
        </w:rPr>
        <w:t>ng transaction takes place (for example</w:t>
      </w:r>
      <w:r w:rsidRPr="007B5EFB">
        <w:rPr>
          <w:lang w:eastAsia="en-US"/>
        </w:rPr>
        <w:t xml:space="preserve">, </w:t>
      </w:r>
      <w:r w:rsidR="00A8714C" w:rsidRPr="007B5EFB">
        <w:rPr>
          <w:lang w:eastAsia="en-US"/>
        </w:rPr>
        <w:t>the IB</w:t>
      </w:r>
      <w:r w:rsidRPr="007B5EFB">
        <w:rPr>
          <w:lang w:eastAsia="en-US"/>
        </w:rPr>
        <w:t xml:space="preserve"> receives PCT fees in the foreign currency), the fair value of each hedge is recalculated and the full value of the gain/loss on the hedging instrument is released from net assets to the statement of financial performance.  It is possible therefor</w:t>
      </w:r>
      <w:r w:rsidR="00EF1D94" w:rsidRPr="007B5EFB">
        <w:rPr>
          <w:lang w:eastAsia="en-US"/>
        </w:rPr>
        <w:t>e for forward contracts to generate</w:t>
      </w:r>
      <w:r w:rsidRPr="007B5EFB">
        <w:rPr>
          <w:lang w:eastAsia="en-US"/>
        </w:rPr>
        <w:t xml:space="preserve"> either for</w:t>
      </w:r>
      <w:r w:rsidR="00EF1D94" w:rsidRPr="007B5EFB">
        <w:rPr>
          <w:lang w:eastAsia="en-US"/>
        </w:rPr>
        <w:t>eign exchange gains or losses for</w:t>
      </w:r>
      <w:r w:rsidRPr="007B5EFB">
        <w:rPr>
          <w:lang w:eastAsia="en-US"/>
        </w:rPr>
        <w:t xml:space="preserve"> the </w:t>
      </w:r>
      <w:r w:rsidR="00A8714C" w:rsidRPr="007B5EFB">
        <w:rPr>
          <w:lang w:eastAsia="en-US"/>
        </w:rPr>
        <w:t>IB</w:t>
      </w:r>
      <w:r w:rsidRPr="007B5EFB">
        <w:rPr>
          <w:lang w:eastAsia="en-US"/>
        </w:rPr>
        <w:t>.</w:t>
      </w:r>
    </w:p>
    <w:p w:rsidR="00CD5785" w:rsidRPr="007B5EFB" w:rsidRDefault="00CD5785" w:rsidP="00CD5785">
      <w:pPr>
        <w:pStyle w:val="ONUME"/>
        <w:rPr>
          <w:lang w:eastAsia="en-US"/>
        </w:rPr>
      </w:pPr>
      <w:bookmarkStart w:id="14" w:name="_Ref418082296"/>
      <w:r w:rsidRPr="007B5EFB">
        <w:rPr>
          <w:lang w:eastAsia="en-US"/>
        </w:rPr>
        <w:t>Administering and monitoring the forward contracts, together with the development and monitoring of currency cash flows on the basis of forecast application numbers</w:t>
      </w:r>
      <w:r w:rsidR="00EF1D94" w:rsidRPr="007B5EFB">
        <w:rPr>
          <w:lang w:eastAsia="en-US"/>
        </w:rPr>
        <w:t>,</w:t>
      </w:r>
      <w:r w:rsidRPr="007B5EFB">
        <w:rPr>
          <w:lang w:eastAsia="en-US"/>
        </w:rPr>
        <w:t xml:space="preserve"> w</w:t>
      </w:r>
      <w:r w:rsidR="005B5F52" w:rsidRPr="007B5EFB">
        <w:rPr>
          <w:lang w:eastAsia="en-US"/>
        </w:rPr>
        <w:t>ou</w:t>
      </w:r>
      <w:r w:rsidR="00F9679D" w:rsidRPr="007B5EFB">
        <w:rPr>
          <w:lang w:eastAsia="en-US"/>
        </w:rPr>
        <w:t>l</w:t>
      </w:r>
      <w:r w:rsidR="005B5F52" w:rsidRPr="007B5EFB">
        <w:rPr>
          <w:lang w:eastAsia="en-US"/>
        </w:rPr>
        <w:t>d</w:t>
      </w:r>
      <w:r w:rsidRPr="007B5EFB">
        <w:rPr>
          <w:lang w:eastAsia="en-US"/>
        </w:rPr>
        <w:t xml:space="preserve"> obviously involve additional work for the </w:t>
      </w:r>
      <w:r w:rsidR="000855D1" w:rsidRPr="007B5EFB">
        <w:rPr>
          <w:lang w:eastAsia="en-US"/>
        </w:rPr>
        <w:t>IB</w:t>
      </w:r>
      <w:r w:rsidRPr="007B5EFB">
        <w:rPr>
          <w:lang w:eastAsia="en-US"/>
        </w:rPr>
        <w:t>.  Each month it w</w:t>
      </w:r>
      <w:r w:rsidR="005B5F52" w:rsidRPr="007B5EFB">
        <w:rPr>
          <w:lang w:eastAsia="en-US"/>
        </w:rPr>
        <w:t>ould</w:t>
      </w:r>
      <w:r w:rsidRPr="007B5EFB">
        <w:rPr>
          <w:lang w:eastAsia="en-US"/>
        </w:rPr>
        <w:t xml:space="preserve"> be necessary to examine the available levels of the hedged currencies in order to ensure that they can meet the forward contract commitments.  If the amount of one or more of the currencies is lower than the contract commitments, the </w:t>
      </w:r>
      <w:r w:rsidR="000855D1" w:rsidRPr="007B5EFB">
        <w:rPr>
          <w:lang w:eastAsia="en-US"/>
        </w:rPr>
        <w:t>IB</w:t>
      </w:r>
      <w:r w:rsidRPr="007B5EFB">
        <w:rPr>
          <w:lang w:eastAsia="en-US"/>
        </w:rPr>
        <w:t xml:space="preserve"> w</w:t>
      </w:r>
      <w:r w:rsidR="005B5F52" w:rsidRPr="007B5EFB">
        <w:rPr>
          <w:lang w:eastAsia="en-US"/>
        </w:rPr>
        <w:t>ould</w:t>
      </w:r>
      <w:r w:rsidRPr="007B5EFB">
        <w:rPr>
          <w:lang w:eastAsia="en-US"/>
        </w:rPr>
        <w:t xml:space="preserve"> have to determine whether this is the result of timing differences or a decrease in </w:t>
      </w:r>
      <w:r w:rsidR="007F3FD7" w:rsidRPr="007B5EFB">
        <w:rPr>
          <w:lang w:eastAsia="en-US"/>
        </w:rPr>
        <w:t xml:space="preserve">international filing fee </w:t>
      </w:r>
      <w:r w:rsidRPr="007B5EFB">
        <w:rPr>
          <w:lang w:eastAsia="en-US"/>
        </w:rPr>
        <w:t xml:space="preserve">or search fee volumes. </w:t>
      </w:r>
      <w:r w:rsidRPr="007B5EFB">
        <w:rPr>
          <w:i/>
          <w:lang w:eastAsia="en-US"/>
        </w:rPr>
        <w:t xml:space="preserve"> </w:t>
      </w:r>
      <w:r w:rsidRPr="007B5EFB">
        <w:rPr>
          <w:lang w:eastAsia="en-US"/>
        </w:rPr>
        <w:t>If the difference is attributable to a timing difference, the forward contract</w:t>
      </w:r>
      <w:r w:rsidR="00EF1D94" w:rsidRPr="007B5EFB">
        <w:rPr>
          <w:lang w:eastAsia="en-US"/>
        </w:rPr>
        <w:t xml:space="preserve"> w</w:t>
      </w:r>
      <w:r w:rsidR="005B5F52" w:rsidRPr="007B5EFB">
        <w:rPr>
          <w:lang w:eastAsia="en-US"/>
        </w:rPr>
        <w:t>ould</w:t>
      </w:r>
      <w:r w:rsidRPr="007B5EFB">
        <w:rPr>
          <w:lang w:eastAsia="en-US"/>
        </w:rPr>
        <w:t xml:space="preserve"> be rolled forward to a later date</w:t>
      </w:r>
      <w:r w:rsidR="007F3FD7" w:rsidRPr="007B5EFB">
        <w:rPr>
          <w:lang w:eastAsia="en-US"/>
        </w:rPr>
        <w:t>,</w:t>
      </w:r>
      <w:r w:rsidRPr="007B5EFB">
        <w:rPr>
          <w:lang w:eastAsia="en-US"/>
        </w:rPr>
        <w:t xml:space="preserve"> using a financial instrument known as an </w:t>
      </w:r>
      <w:r w:rsidR="007F3FD7" w:rsidRPr="007B5EFB">
        <w:rPr>
          <w:lang w:eastAsia="en-US"/>
        </w:rPr>
        <w:t>“</w:t>
      </w:r>
      <w:r w:rsidRPr="007B5EFB">
        <w:rPr>
          <w:lang w:eastAsia="en-US"/>
        </w:rPr>
        <w:t>FX Swap</w:t>
      </w:r>
      <w:r w:rsidR="007F3FD7" w:rsidRPr="007B5EFB">
        <w:rPr>
          <w:lang w:eastAsia="en-US"/>
        </w:rPr>
        <w:t>”</w:t>
      </w:r>
      <w:r w:rsidRPr="007B5EFB">
        <w:rPr>
          <w:i/>
          <w:lang w:eastAsia="en-US"/>
        </w:rPr>
        <w:t xml:space="preserve"> </w:t>
      </w:r>
      <w:r w:rsidRPr="007B5EFB">
        <w:rPr>
          <w:lang w:eastAsia="en-US"/>
        </w:rPr>
        <w:t>(a combination of a spot transaction and a new forward)</w:t>
      </w:r>
      <w:r w:rsidRPr="007B5EFB">
        <w:rPr>
          <w:i/>
          <w:lang w:eastAsia="en-US"/>
        </w:rPr>
        <w:t xml:space="preserve">. </w:t>
      </w:r>
      <w:r w:rsidRPr="007B5EFB">
        <w:rPr>
          <w:lang w:eastAsia="en-US"/>
        </w:rPr>
        <w:t xml:space="preserve"> If the difference is owing to a fall in </w:t>
      </w:r>
      <w:r w:rsidR="007F3FD7" w:rsidRPr="007B5EFB">
        <w:rPr>
          <w:lang w:eastAsia="en-US"/>
        </w:rPr>
        <w:t>international filing fees</w:t>
      </w:r>
      <w:r w:rsidRPr="007B5EFB">
        <w:rPr>
          <w:lang w:eastAsia="en-US"/>
        </w:rPr>
        <w:t>, the shortfall between the available currency balance and the maturing forward contract w</w:t>
      </w:r>
      <w:r w:rsidR="005B5F52" w:rsidRPr="007B5EFB">
        <w:rPr>
          <w:lang w:eastAsia="en-US"/>
        </w:rPr>
        <w:t>ould</w:t>
      </w:r>
      <w:r w:rsidRPr="007B5EFB">
        <w:rPr>
          <w:lang w:eastAsia="en-US"/>
        </w:rPr>
        <w:t xml:space="preserve"> be purchased in the spot market.  This work w</w:t>
      </w:r>
      <w:r w:rsidR="005B5F52" w:rsidRPr="007B5EFB">
        <w:rPr>
          <w:lang w:eastAsia="en-US"/>
        </w:rPr>
        <w:t>ould</w:t>
      </w:r>
      <w:r w:rsidRPr="007B5EFB">
        <w:rPr>
          <w:lang w:eastAsia="en-US"/>
        </w:rPr>
        <w:t xml:space="preserve"> obviously involve time and expertise and the estimate is that</w:t>
      </w:r>
      <w:r w:rsidRPr="007B5EFB">
        <w:rPr>
          <w:i/>
          <w:lang w:eastAsia="en-US"/>
        </w:rPr>
        <w:t xml:space="preserve"> </w:t>
      </w:r>
      <w:r w:rsidRPr="007B5EFB">
        <w:rPr>
          <w:lang w:eastAsia="en-US"/>
        </w:rPr>
        <w:t xml:space="preserve">several hours of work per week by a senior professional member of staff in </w:t>
      </w:r>
      <w:r w:rsidR="000855D1" w:rsidRPr="007B5EFB">
        <w:rPr>
          <w:lang w:eastAsia="en-US"/>
        </w:rPr>
        <w:t>the IB</w:t>
      </w:r>
      <w:r w:rsidR="007F3FD7" w:rsidRPr="007B5EFB">
        <w:rPr>
          <w:lang w:eastAsia="en-US"/>
        </w:rPr>
        <w:t xml:space="preserve"> </w:t>
      </w:r>
      <w:r w:rsidRPr="007B5EFB">
        <w:rPr>
          <w:lang w:eastAsia="en-US"/>
        </w:rPr>
        <w:t>would be required.  The preparation of cash flows and the tracking of the forward contracts could be carried out using Excel spreadsheets</w:t>
      </w:r>
      <w:r w:rsidRPr="007B5EFB">
        <w:rPr>
          <w:i/>
          <w:lang w:eastAsia="en-US"/>
        </w:rPr>
        <w:t xml:space="preserve">. </w:t>
      </w:r>
      <w:r w:rsidR="00EB35C3" w:rsidRPr="007B5EFB">
        <w:rPr>
          <w:i/>
          <w:lang w:eastAsia="en-US"/>
        </w:rPr>
        <w:t xml:space="preserve"> </w:t>
      </w:r>
      <w:r w:rsidR="00EB35C3" w:rsidRPr="007B5EFB">
        <w:rPr>
          <w:szCs w:val="22"/>
        </w:rPr>
        <w:t>The costs of that staff member would be partially offset by the reduction in work in monitoring the exchange rates and, where relevant, consulting and promulgating new exchange rates.  However, it is likely that there would be a slight increase in staff costs overall in order to implement the system.</w:t>
      </w:r>
      <w:bookmarkEnd w:id="14"/>
      <w:r w:rsidR="007F3FD7" w:rsidRPr="007B5EFB">
        <w:rPr>
          <w:i/>
          <w:szCs w:val="22"/>
          <w:lang w:eastAsia="en-US"/>
        </w:rPr>
        <w:t xml:space="preserve"> </w:t>
      </w:r>
    </w:p>
    <w:p w:rsidR="00C82B86" w:rsidRPr="007B5EFB" w:rsidRDefault="00C82B86" w:rsidP="00CC2C82">
      <w:pPr>
        <w:pStyle w:val="Heading2"/>
        <w:keepLines/>
        <w:rPr>
          <w:lang w:eastAsia="en-US"/>
        </w:rPr>
      </w:pPr>
      <w:r w:rsidRPr="007B5EFB">
        <w:rPr>
          <w:lang w:eastAsia="en-US"/>
        </w:rPr>
        <w:t>Risks of Hedging</w:t>
      </w:r>
    </w:p>
    <w:p w:rsidR="005A182A" w:rsidRPr="007B5EFB" w:rsidRDefault="005A182A" w:rsidP="00CC2C82">
      <w:pPr>
        <w:pStyle w:val="ONUME"/>
        <w:keepNext/>
        <w:keepLines/>
        <w:rPr>
          <w:lang w:eastAsia="en-US"/>
        </w:rPr>
      </w:pPr>
      <w:r w:rsidRPr="007B5EFB">
        <w:rPr>
          <w:lang w:eastAsia="en-US"/>
        </w:rPr>
        <w:t>Hedging w</w:t>
      </w:r>
      <w:r w:rsidR="005B5F52" w:rsidRPr="007B5EFB">
        <w:rPr>
          <w:lang w:eastAsia="en-US"/>
        </w:rPr>
        <w:t>ould</w:t>
      </w:r>
      <w:r w:rsidRPr="007B5EFB">
        <w:rPr>
          <w:lang w:eastAsia="en-US"/>
        </w:rPr>
        <w:t xml:space="preserve"> bring increased certainty to the IB’s budgeted revenue</w:t>
      </w:r>
      <w:r w:rsidR="00D831D1" w:rsidRPr="007B5EFB">
        <w:rPr>
          <w:lang w:eastAsia="en-US"/>
        </w:rPr>
        <w:t xml:space="preserve"> with regard to PCT international filing fee income</w:t>
      </w:r>
      <w:r w:rsidRPr="007B5EFB">
        <w:rPr>
          <w:lang w:eastAsia="en-US"/>
        </w:rPr>
        <w:t>.  Similarly</w:t>
      </w:r>
      <w:r w:rsidR="007F3FD7" w:rsidRPr="007B5EFB">
        <w:rPr>
          <w:lang w:eastAsia="en-US"/>
        </w:rPr>
        <w:t>,</w:t>
      </w:r>
      <w:r w:rsidRPr="007B5EFB">
        <w:rPr>
          <w:lang w:eastAsia="en-US"/>
        </w:rPr>
        <w:t xml:space="preserve"> it w</w:t>
      </w:r>
      <w:r w:rsidR="005B5F52" w:rsidRPr="007B5EFB">
        <w:rPr>
          <w:lang w:eastAsia="en-US"/>
        </w:rPr>
        <w:t>ould</w:t>
      </w:r>
      <w:r w:rsidRPr="007B5EFB">
        <w:rPr>
          <w:lang w:eastAsia="en-US"/>
        </w:rPr>
        <w:t xml:space="preserve"> facilitate the budget control </w:t>
      </w:r>
      <w:r w:rsidR="007F3FD7" w:rsidRPr="007B5EFB">
        <w:rPr>
          <w:lang w:eastAsia="en-US"/>
        </w:rPr>
        <w:t>for</w:t>
      </w:r>
      <w:r w:rsidRPr="007B5EFB">
        <w:rPr>
          <w:lang w:eastAsia="en-US"/>
        </w:rPr>
        <w:t xml:space="preserve"> applicants who w</w:t>
      </w:r>
      <w:r w:rsidR="005B5F52" w:rsidRPr="007B5EFB">
        <w:rPr>
          <w:lang w:eastAsia="en-US"/>
        </w:rPr>
        <w:t>ould</w:t>
      </w:r>
      <w:r w:rsidRPr="007B5EFB">
        <w:rPr>
          <w:lang w:eastAsia="en-US"/>
        </w:rPr>
        <w:t xml:space="preserve"> gain certainty, for an entire calendar year, regarding the equivalent amounts of the international filing fee payable in any local RO currency.  Paragraphs 30 to 36 of Circular C.</w:t>
      </w:r>
      <w:r w:rsidR="0083181E" w:rsidRPr="007B5EFB">
        <w:rPr>
          <w:lang w:eastAsia="en-US"/>
        </w:rPr>
        <w:t> </w:t>
      </w:r>
      <w:r w:rsidRPr="007B5EFB">
        <w:rPr>
          <w:lang w:eastAsia="en-US"/>
        </w:rPr>
        <w:t>PCT 1440 provide further details of the impact upon and advantages of hedging for all PCT stakeholders.</w:t>
      </w:r>
    </w:p>
    <w:p w:rsidR="00CD5785" w:rsidRPr="007B5EFB" w:rsidRDefault="00CD5785" w:rsidP="00CD5785">
      <w:pPr>
        <w:pStyle w:val="ONUME"/>
        <w:rPr>
          <w:lang w:eastAsia="en-US"/>
        </w:rPr>
      </w:pPr>
      <w:r w:rsidRPr="007B5EFB">
        <w:rPr>
          <w:lang w:eastAsia="en-US"/>
        </w:rPr>
        <w:t>The principal risks attached to this hedging strategy are as follows:</w:t>
      </w:r>
    </w:p>
    <w:p w:rsidR="00CD5785" w:rsidRPr="00813807" w:rsidRDefault="00CD5785" w:rsidP="007F3FD7">
      <w:pPr>
        <w:pStyle w:val="ONUME"/>
        <w:numPr>
          <w:ilvl w:val="1"/>
          <w:numId w:val="5"/>
        </w:numPr>
        <w:rPr>
          <w:lang w:eastAsia="en-US"/>
        </w:rPr>
      </w:pPr>
      <w:r w:rsidRPr="007B5EFB">
        <w:rPr>
          <w:lang w:eastAsia="en-US"/>
        </w:rPr>
        <w:t>Shortfalls between the currency inflow and the amount of currency hedged</w:t>
      </w:r>
      <w:r w:rsidR="005A182A" w:rsidRPr="007B5EFB">
        <w:rPr>
          <w:lang w:eastAsia="en-US"/>
        </w:rPr>
        <w:t>.  As explained in paragraph</w:t>
      </w:r>
      <w:r w:rsidR="00CC2C82" w:rsidRPr="007B5EFB">
        <w:rPr>
          <w:lang w:eastAsia="en-US"/>
        </w:rPr>
        <w:t xml:space="preserve"> </w:t>
      </w:r>
      <w:r w:rsidR="00F9679D" w:rsidRPr="007B5EFB">
        <w:rPr>
          <w:lang w:eastAsia="en-US"/>
        </w:rPr>
        <w:fldChar w:fldCharType="begin"/>
      </w:r>
      <w:r w:rsidR="00F9679D" w:rsidRPr="007B5EFB">
        <w:rPr>
          <w:lang w:eastAsia="en-US"/>
        </w:rPr>
        <w:instrText xml:space="preserve"> REF _Ref418082296 \r \h </w:instrText>
      </w:r>
      <w:r w:rsidR="007B5EFB">
        <w:rPr>
          <w:lang w:eastAsia="en-US"/>
        </w:rPr>
        <w:instrText xml:space="preserve"> \* MERGEFORMAT </w:instrText>
      </w:r>
      <w:r w:rsidR="00F9679D" w:rsidRPr="007B5EFB">
        <w:rPr>
          <w:lang w:eastAsia="en-US"/>
        </w:rPr>
      </w:r>
      <w:r w:rsidR="00F9679D" w:rsidRPr="007B5EFB">
        <w:rPr>
          <w:lang w:eastAsia="en-US"/>
        </w:rPr>
        <w:fldChar w:fldCharType="separate"/>
      </w:r>
      <w:r w:rsidR="008431A0">
        <w:rPr>
          <w:lang w:eastAsia="en-US"/>
        </w:rPr>
        <w:t>34</w:t>
      </w:r>
      <w:r w:rsidR="00F9679D" w:rsidRPr="007B5EFB">
        <w:rPr>
          <w:lang w:eastAsia="en-US"/>
        </w:rPr>
        <w:fldChar w:fldCharType="end"/>
      </w:r>
      <w:r w:rsidRPr="007B5EFB">
        <w:rPr>
          <w:lang w:eastAsia="en-US"/>
        </w:rPr>
        <w:t xml:space="preserve">, </w:t>
      </w:r>
      <w:r w:rsidR="007F3FD7" w:rsidRPr="007B5EFB">
        <w:rPr>
          <w:lang w:eastAsia="en-US"/>
        </w:rPr>
        <w:t xml:space="preserve">above, </w:t>
      </w:r>
      <w:r w:rsidRPr="007B5EFB">
        <w:rPr>
          <w:lang w:eastAsia="en-US"/>
        </w:rPr>
        <w:t>this could involve the purchase of an FX Swap</w:t>
      </w:r>
      <w:r w:rsidRPr="007B5EFB">
        <w:rPr>
          <w:i/>
          <w:lang w:eastAsia="en-US"/>
        </w:rPr>
        <w:t xml:space="preserve"> </w:t>
      </w:r>
      <w:r w:rsidRPr="007B5EFB">
        <w:rPr>
          <w:lang w:eastAsia="en-US"/>
        </w:rPr>
        <w:t>or the purchase of the currency required in the spot market, both of which trans</w:t>
      </w:r>
      <w:r w:rsidR="00EF1D94" w:rsidRPr="007B5EFB">
        <w:rPr>
          <w:lang w:eastAsia="en-US"/>
        </w:rPr>
        <w:t>actions could be at a rate that</w:t>
      </w:r>
      <w:r w:rsidRPr="007B5EFB">
        <w:rPr>
          <w:lang w:eastAsia="en-US"/>
        </w:rPr>
        <w:t>, depending on exchange rate movements, may be less favorable to the IB than the forward rate of the contract.  The IB would therefore make a loss</w:t>
      </w:r>
      <w:r w:rsidR="007F3FD7" w:rsidRPr="007B5EFB">
        <w:rPr>
          <w:lang w:eastAsia="en-US"/>
        </w:rPr>
        <w:t>,</w:t>
      </w:r>
      <w:r w:rsidRPr="007B5EFB">
        <w:rPr>
          <w:lang w:eastAsia="en-US"/>
        </w:rPr>
        <w:t xml:space="preserve"> as it purchased currency at the less favorable rate in order to satisfy the forward contract.  Measures to </w:t>
      </w:r>
      <w:r w:rsidRPr="00813807">
        <w:rPr>
          <w:lang w:eastAsia="en-US"/>
        </w:rPr>
        <w:t>mitigate this risk include close monitoring of currency cash flows and obtaining hedge cover for only a certain percentage of predicted inflow</w:t>
      </w:r>
      <w:r w:rsidR="005A182A" w:rsidRPr="00813807">
        <w:rPr>
          <w:lang w:eastAsia="en-US"/>
        </w:rPr>
        <w:t>s (as explained in paragraph</w:t>
      </w:r>
      <w:r w:rsidR="00813807" w:rsidRPr="00813807">
        <w:rPr>
          <w:lang w:eastAsia="en-US"/>
        </w:rPr>
        <w:t> </w:t>
      </w:r>
      <w:r w:rsidR="00813807" w:rsidRPr="00813807">
        <w:rPr>
          <w:lang w:eastAsia="en-US"/>
        </w:rPr>
        <w:fldChar w:fldCharType="begin"/>
      </w:r>
      <w:r w:rsidR="00813807" w:rsidRPr="00813807">
        <w:rPr>
          <w:lang w:eastAsia="en-US"/>
        </w:rPr>
        <w:instrText xml:space="preserve"> REF _Ref419119930 \r \h </w:instrText>
      </w:r>
      <w:r w:rsidR="00813807">
        <w:rPr>
          <w:lang w:eastAsia="en-US"/>
        </w:rPr>
        <w:instrText xml:space="preserve"> \* MERGEFORMAT </w:instrText>
      </w:r>
      <w:r w:rsidR="00813807" w:rsidRPr="00813807">
        <w:rPr>
          <w:lang w:eastAsia="en-US"/>
        </w:rPr>
      </w:r>
      <w:r w:rsidR="00813807" w:rsidRPr="00813807">
        <w:rPr>
          <w:lang w:eastAsia="en-US"/>
        </w:rPr>
        <w:fldChar w:fldCharType="separate"/>
      </w:r>
      <w:r w:rsidR="008431A0">
        <w:rPr>
          <w:lang w:eastAsia="en-US"/>
        </w:rPr>
        <w:t>25</w:t>
      </w:r>
      <w:r w:rsidR="00813807" w:rsidRPr="00813807">
        <w:rPr>
          <w:lang w:eastAsia="en-US"/>
        </w:rPr>
        <w:fldChar w:fldCharType="end"/>
      </w:r>
      <w:r w:rsidR="007F3FD7" w:rsidRPr="00813807">
        <w:rPr>
          <w:lang w:eastAsia="en-US"/>
        </w:rPr>
        <w:t>, above</w:t>
      </w:r>
      <w:r w:rsidRPr="00813807">
        <w:rPr>
          <w:lang w:eastAsia="en-US"/>
        </w:rPr>
        <w:t>)</w:t>
      </w:r>
      <w:r w:rsidR="005A182A" w:rsidRPr="00813807">
        <w:rPr>
          <w:lang w:eastAsia="en-US"/>
        </w:rPr>
        <w:t>.</w:t>
      </w:r>
    </w:p>
    <w:p w:rsidR="00283329" w:rsidRPr="007B5EFB" w:rsidRDefault="00CD5785" w:rsidP="007F3FD7">
      <w:pPr>
        <w:pStyle w:val="ONUME"/>
        <w:numPr>
          <w:ilvl w:val="1"/>
          <w:numId w:val="5"/>
        </w:numPr>
        <w:rPr>
          <w:lang w:eastAsia="en-US"/>
        </w:rPr>
      </w:pPr>
      <w:r w:rsidRPr="007B5EFB">
        <w:rPr>
          <w:lang w:eastAsia="en-US"/>
        </w:rPr>
        <w:t>Default by a banking counterparty.</w:t>
      </w:r>
      <w:r w:rsidR="005A182A" w:rsidRPr="007B5EFB">
        <w:t xml:space="preserve">  </w:t>
      </w:r>
      <w:r w:rsidR="0085474A" w:rsidRPr="007B5EFB">
        <w:t xml:space="preserve">Here, </w:t>
      </w:r>
      <w:r w:rsidR="0085474A" w:rsidRPr="007B5EFB">
        <w:rPr>
          <w:lang w:eastAsia="en-US"/>
        </w:rPr>
        <w:t>m</w:t>
      </w:r>
      <w:r w:rsidR="005A182A" w:rsidRPr="007B5EFB">
        <w:rPr>
          <w:lang w:eastAsia="en-US"/>
        </w:rPr>
        <w:t>uch depends on the nature of the default.  If the counterparty falls into liquidation, there is a strong possibility that the liquidator w</w:t>
      </w:r>
      <w:r w:rsidR="005B5F52" w:rsidRPr="007B5EFB">
        <w:rPr>
          <w:lang w:eastAsia="en-US"/>
        </w:rPr>
        <w:t>ould</w:t>
      </w:r>
      <w:r w:rsidR="005A182A" w:rsidRPr="007B5EFB">
        <w:rPr>
          <w:lang w:eastAsia="en-US"/>
        </w:rPr>
        <w:t xml:space="preserve"> honor the forward contracts.  If, however, the counterparty ceases to trade completely, the hedging cover would be lost and would have to be replaced through another counterparty.  The </w:t>
      </w:r>
      <w:r w:rsidR="000855D1" w:rsidRPr="007B5EFB">
        <w:rPr>
          <w:lang w:eastAsia="en-US"/>
        </w:rPr>
        <w:t xml:space="preserve">IB </w:t>
      </w:r>
      <w:r w:rsidR="005A182A" w:rsidRPr="007B5EFB">
        <w:rPr>
          <w:lang w:eastAsia="en-US"/>
        </w:rPr>
        <w:t>would then calculate the cost of this (comparing the fair value of new forward contracts with that of the original contracts) and, if there is a loss,</w:t>
      </w:r>
    </w:p>
    <w:p w:rsidR="00CD5785" w:rsidRPr="007B5EFB" w:rsidRDefault="005A182A" w:rsidP="00283329">
      <w:pPr>
        <w:pStyle w:val="ONUME"/>
        <w:numPr>
          <w:ilvl w:val="0"/>
          <w:numId w:val="0"/>
        </w:numPr>
        <w:ind w:left="567"/>
        <w:rPr>
          <w:lang w:eastAsia="en-US"/>
        </w:rPr>
      </w:pPr>
      <w:r w:rsidRPr="007B5EFB">
        <w:rPr>
          <w:lang w:eastAsia="en-US"/>
        </w:rPr>
        <w:lastRenderedPageBreak/>
        <w:t xml:space="preserve">would have to seek settlement, as a creditor, from the defaulting counterparty.  </w:t>
      </w:r>
      <w:r w:rsidR="00CD5785" w:rsidRPr="007B5EFB">
        <w:rPr>
          <w:lang w:eastAsia="en-US"/>
        </w:rPr>
        <w:t>In order to reduce this risk, the contracts w</w:t>
      </w:r>
      <w:r w:rsidR="005B5F52" w:rsidRPr="007B5EFB">
        <w:rPr>
          <w:lang w:eastAsia="en-US"/>
        </w:rPr>
        <w:t>ould</w:t>
      </w:r>
      <w:r w:rsidR="00CD5785" w:rsidRPr="007B5EFB">
        <w:rPr>
          <w:lang w:eastAsia="en-US"/>
        </w:rPr>
        <w:t xml:space="preserve"> be obtained </w:t>
      </w:r>
      <w:proofErr w:type="gramStart"/>
      <w:r w:rsidR="00CD5785" w:rsidRPr="007B5EFB">
        <w:rPr>
          <w:lang w:eastAsia="en-US"/>
        </w:rPr>
        <w:t>from more than one banking counterpar</w:t>
      </w:r>
      <w:r w:rsidRPr="007B5EFB">
        <w:rPr>
          <w:lang w:eastAsia="en-US"/>
        </w:rPr>
        <w:t>ty</w:t>
      </w:r>
      <w:proofErr w:type="gramEnd"/>
      <w:r w:rsidR="007F3FD7" w:rsidRPr="007B5EFB">
        <w:rPr>
          <w:lang w:eastAsia="en-US"/>
        </w:rPr>
        <w:t>,</w:t>
      </w:r>
      <w:r w:rsidRPr="007B5EFB">
        <w:rPr>
          <w:lang w:eastAsia="en-US"/>
        </w:rPr>
        <w:t xml:space="preserve"> as explained in paragraph</w:t>
      </w:r>
      <w:r w:rsidR="00F9679D" w:rsidRPr="007B5EFB">
        <w:rPr>
          <w:lang w:eastAsia="en-US"/>
        </w:rPr>
        <w:t xml:space="preserve"> </w:t>
      </w:r>
      <w:r w:rsidR="00F9679D" w:rsidRPr="007B5EFB">
        <w:rPr>
          <w:lang w:eastAsia="en-US"/>
        </w:rPr>
        <w:fldChar w:fldCharType="begin"/>
      </w:r>
      <w:r w:rsidR="00F9679D" w:rsidRPr="007B5EFB">
        <w:rPr>
          <w:lang w:eastAsia="en-US"/>
        </w:rPr>
        <w:instrText xml:space="preserve"> REF _Ref418082404 \r \h </w:instrText>
      </w:r>
      <w:r w:rsidR="007B5EFB">
        <w:rPr>
          <w:lang w:eastAsia="en-US"/>
        </w:rPr>
        <w:instrText xml:space="preserve"> \* MERGEFORMAT </w:instrText>
      </w:r>
      <w:r w:rsidR="00F9679D" w:rsidRPr="007B5EFB">
        <w:rPr>
          <w:lang w:eastAsia="en-US"/>
        </w:rPr>
      </w:r>
      <w:r w:rsidR="00F9679D" w:rsidRPr="007B5EFB">
        <w:rPr>
          <w:lang w:eastAsia="en-US"/>
        </w:rPr>
        <w:fldChar w:fldCharType="separate"/>
      </w:r>
      <w:r w:rsidR="008431A0">
        <w:rPr>
          <w:lang w:eastAsia="en-US"/>
        </w:rPr>
        <w:t>24</w:t>
      </w:r>
      <w:r w:rsidR="00F9679D" w:rsidRPr="007B5EFB">
        <w:rPr>
          <w:lang w:eastAsia="en-US"/>
        </w:rPr>
        <w:fldChar w:fldCharType="end"/>
      </w:r>
      <w:r w:rsidR="007F3FD7" w:rsidRPr="007B5EFB">
        <w:rPr>
          <w:lang w:eastAsia="en-US"/>
        </w:rPr>
        <w:t>, above</w:t>
      </w:r>
      <w:r w:rsidR="00CD5785" w:rsidRPr="007B5EFB">
        <w:rPr>
          <w:lang w:eastAsia="en-US"/>
        </w:rPr>
        <w:t>.</w:t>
      </w:r>
    </w:p>
    <w:p w:rsidR="005613A5" w:rsidRPr="007B5EFB" w:rsidRDefault="00CD5785" w:rsidP="005613A5">
      <w:pPr>
        <w:pStyle w:val="ONUME"/>
        <w:numPr>
          <w:ilvl w:val="1"/>
          <w:numId w:val="5"/>
        </w:numPr>
        <w:rPr>
          <w:lang w:eastAsia="en-US"/>
        </w:rPr>
      </w:pPr>
      <w:r w:rsidRPr="007B5EFB">
        <w:rPr>
          <w:lang w:eastAsia="en-US"/>
        </w:rPr>
        <w:t xml:space="preserve">Change in filing behavior by applicants.  The hedging strategy is to be accompanied by setting equivalent amounts for </w:t>
      </w:r>
      <w:r w:rsidR="007F3FD7" w:rsidRPr="007B5EFB">
        <w:rPr>
          <w:lang w:eastAsia="en-US"/>
        </w:rPr>
        <w:t xml:space="preserve">the international filing fee </w:t>
      </w:r>
      <w:r w:rsidRPr="007B5EFB">
        <w:rPr>
          <w:lang w:eastAsia="en-US"/>
        </w:rPr>
        <w:t>for a fixed period of one year</w:t>
      </w:r>
      <w:r w:rsidR="00D831D1" w:rsidRPr="007B5EFB">
        <w:rPr>
          <w:lang w:eastAsia="en-US"/>
        </w:rPr>
        <w:t>, as further explained in paragraphs </w:t>
      </w:r>
      <w:r w:rsidR="00C27CDD" w:rsidRPr="007B5EFB">
        <w:rPr>
          <w:lang w:eastAsia="en-US"/>
        </w:rPr>
        <w:fldChar w:fldCharType="begin"/>
      </w:r>
      <w:r w:rsidR="00C27CDD" w:rsidRPr="007B5EFB">
        <w:rPr>
          <w:lang w:eastAsia="en-US"/>
        </w:rPr>
        <w:instrText xml:space="preserve"> REF _Ref418865061 \r \h </w:instrText>
      </w:r>
      <w:r w:rsidR="007B5EFB">
        <w:rPr>
          <w:lang w:eastAsia="en-US"/>
        </w:rPr>
        <w:instrText xml:space="preserve"> \* MERGEFORMAT </w:instrText>
      </w:r>
      <w:r w:rsidR="00C27CDD" w:rsidRPr="007B5EFB">
        <w:rPr>
          <w:lang w:eastAsia="en-US"/>
        </w:rPr>
      </w:r>
      <w:r w:rsidR="00C27CDD" w:rsidRPr="007B5EFB">
        <w:rPr>
          <w:lang w:eastAsia="en-US"/>
        </w:rPr>
        <w:fldChar w:fldCharType="separate"/>
      </w:r>
      <w:r w:rsidR="008431A0">
        <w:rPr>
          <w:lang w:eastAsia="en-US"/>
        </w:rPr>
        <w:t>37</w:t>
      </w:r>
      <w:r w:rsidR="00C27CDD" w:rsidRPr="007B5EFB">
        <w:rPr>
          <w:lang w:eastAsia="en-US"/>
        </w:rPr>
        <w:fldChar w:fldCharType="end"/>
      </w:r>
      <w:r w:rsidR="00C27CDD" w:rsidRPr="007B5EFB">
        <w:rPr>
          <w:lang w:eastAsia="en-US"/>
        </w:rPr>
        <w:t xml:space="preserve">and </w:t>
      </w:r>
      <w:r w:rsidR="00C27CDD" w:rsidRPr="007B5EFB">
        <w:rPr>
          <w:lang w:eastAsia="en-US"/>
        </w:rPr>
        <w:fldChar w:fldCharType="begin"/>
      </w:r>
      <w:r w:rsidR="00C27CDD" w:rsidRPr="007B5EFB">
        <w:rPr>
          <w:lang w:eastAsia="en-US"/>
        </w:rPr>
        <w:instrText xml:space="preserve"> REF _Ref418865066 \r \h </w:instrText>
      </w:r>
      <w:r w:rsidR="007B5EFB">
        <w:rPr>
          <w:lang w:eastAsia="en-US"/>
        </w:rPr>
        <w:instrText xml:space="preserve"> \* MERGEFORMAT </w:instrText>
      </w:r>
      <w:r w:rsidR="00C27CDD" w:rsidRPr="007B5EFB">
        <w:rPr>
          <w:lang w:eastAsia="en-US"/>
        </w:rPr>
      </w:r>
      <w:r w:rsidR="00C27CDD" w:rsidRPr="007B5EFB">
        <w:rPr>
          <w:lang w:eastAsia="en-US"/>
        </w:rPr>
        <w:fldChar w:fldCharType="separate"/>
      </w:r>
      <w:r w:rsidR="008431A0">
        <w:rPr>
          <w:lang w:eastAsia="en-US"/>
        </w:rPr>
        <w:t>38</w:t>
      </w:r>
      <w:r w:rsidR="00C27CDD" w:rsidRPr="007B5EFB">
        <w:rPr>
          <w:lang w:eastAsia="en-US"/>
        </w:rPr>
        <w:fldChar w:fldCharType="end"/>
      </w:r>
      <w:r w:rsidR="00D831D1" w:rsidRPr="007B5EFB">
        <w:rPr>
          <w:lang w:eastAsia="en-US"/>
        </w:rPr>
        <w:t>, below</w:t>
      </w:r>
      <w:r w:rsidRPr="007B5EFB">
        <w:rPr>
          <w:lang w:eastAsia="en-US"/>
        </w:rPr>
        <w:t xml:space="preserve">.  It is therefore possible that applicants would choose to file with </w:t>
      </w:r>
      <w:r w:rsidR="006F3331" w:rsidRPr="007B5EFB">
        <w:rPr>
          <w:lang w:eastAsia="en-US"/>
        </w:rPr>
        <w:t xml:space="preserve">a different RO (notably, </w:t>
      </w:r>
      <w:r w:rsidR="009715E3" w:rsidRPr="007B5EFB">
        <w:rPr>
          <w:lang w:eastAsia="en-US"/>
        </w:rPr>
        <w:t xml:space="preserve">the </w:t>
      </w:r>
      <w:r w:rsidRPr="007B5EFB">
        <w:rPr>
          <w:lang w:eastAsia="en-US"/>
        </w:rPr>
        <w:t>RO</w:t>
      </w:r>
      <w:r w:rsidR="006F3331" w:rsidRPr="007B5EFB">
        <w:rPr>
          <w:lang w:eastAsia="en-US"/>
        </w:rPr>
        <w:t>/IB, which is available as a RO to all applicants)</w:t>
      </w:r>
      <w:r w:rsidRPr="007B5EFB">
        <w:rPr>
          <w:lang w:eastAsia="en-US"/>
        </w:rPr>
        <w:t xml:space="preserve"> rather than with their local RO </w:t>
      </w:r>
      <w:r w:rsidR="00AF4B77" w:rsidRPr="007B5EFB">
        <w:rPr>
          <w:lang w:eastAsia="en-US"/>
        </w:rPr>
        <w:t xml:space="preserve">if the equivalent amount of the international filing fee fixed in the </w:t>
      </w:r>
      <w:r w:rsidR="007F3FD7" w:rsidRPr="007B5EFB">
        <w:rPr>
          <w:lang w:eastAsia="en-US"/>
        </w:rPr>
        <w:t xml:space="preserve">currency in which the </w:t>
      </w:r>
      <w:r w:rsidR="00AF4B77" w:rsidRPr="007B5EFB">
        <w:rPr>
          <w:lang w:eastAsia="en-US"/>
        </w:rPr>
        <w:t xml:space="preserve">local </w:t>
      </w:r>
      <w:r w:rsidR="007F3FD7" w:rsidRPr="007B5EFB">
        <w:rPr>
          <w:lang w:eastAsia="en-US"/>
        </w:rPr>
        <w:t>RO collects th</w:t>
      </w:r>
      <w:r w:rsidR="00AF4B77" w:rsidRPr="007B5EFB">
        <w:rPr>
          <w:lang w:eastAsia="en-US"/>
        </w:rPr>
        <w:t>at</w:t>
      </w:r>
      <w:r w:rsidR="007F3FD7" w:rsidRPr="007B5EFB">
        <w:rPr>
          <w:lang w:eastAsia="en-US"/>
        </w:rPr>
        <w:t xml:space="preserve"> fee </w:t>
      </w:r>
      <w:r w:rsidR="00AF4B77" w:rsidRPr="007B5EFB">
        <w:rPr>
          <w:lang w:eastAsia="en-US"/>
        </w:rPr>
        <w:t xml:space="preserve">is fixed </w:t>
      </w:r>
      <w:r w:rsidR="00A678B2" w:rsidRPr="007B5EFB">
        <w:rPr>
          <w:lang w:eastAsia="en-US"/>
        </w:rPr>
        <w:t xml:space="preserve">for one year </w:t>
      </w:r>
      <w:r w:rsidR="00AF4B77" w:rsidRPr="007B5EFB">
        <w:rPr>
          <w:lang w:eastAsia="en-US"/>
        </w:rPr>
        <w:t xml:space="preserve">and thus is not adapted </w:t>
      </w:r>
      <w:r w:rsidRPr="007B5EFB">
        <w:rPr>
          <w:lang w:eastAsia="en-US"/>
        </w:rPr>
        <w:t>to changes in exchange rates (paragraph</w:t>
      </w:r>
      <w:r w:rsidR="007F3FD7" w:rsidRPr="007B5EFB">
        <w:rPr>
          <w:lang w:eastAsia="en-US"/>
        </w:rPr>
        <w:t> </w:t>
      </w:r>
      <w:r w:rsidRPr="007B5EFB">
        <w:rPr>
          <w:lang w:eastAsia="en-US"/>
        </w:rPr>
        <w:t xml:space="preserve">33 of Circular C. PCT 1440 explains this further).  Such </w:t>
      </w:r>
      <w:r w:rsidR="00A678B2" w:rsidRPr="007B5EFB">
        <w:rPr>
          <w:lang w:eastAsia="en-US"/>
        </w:rPr>
        <w:t xml:space="preserve">change in filing </w:t>
      </w:r>
      <w:r w:rsidRPr="007B5EFB">
        <w:rPr>
          <w:lang w:eastAsia="en-US"/>
        </w:rPr>
        <w:t>behavior wou</w:t>
      </w:r>
      <w:r w:rsidR="0048264C" w:rsidRPr="007B5EFB">
        <w:rPr>
          <w:lang w:eastAsia="en-US"/>
        </w:rPr>
        <w:t>ld have an impact on the antici</w:t>
      </w:r>
      <w:r w:rsidRPr="007B5EFB">
        <w:rPr>
          <w:lang w:eastAsia="en-US"/>
        </w:rPr>
        <w:t>pated amounts of currency inflows</w:t>
      </w:r>
      <w:r w:rsidR="007F3FD7" w:rsidRPr="007B5EFB">
        <w:rPr>
          <w:lang w:eastAsia="en-US"/>
        </w:rPr>
        <w:t>,</w:t>
      </w:r>
      <w:r w:rsidRPr="007B5EFB">
        <w:rPr>
          <w:lang w:eastAsia="en-US"/>
        </w:rPr>
        <w:t xml:space="preserve"> as applicants </w:t>
      </w:r>
      <w:r w:rsidR="007F3FD7" w:rsidRPr="007B5EFB">
        <w:rPr>
          <w:lang w:eastAsia="en-US"/>
        </w:rPr>
        <w:t>who</w:t>
      </w:r>
      <w:r w:rsidR="006F3331" w:rsidRPr="007B5EFB">
        <w:rPr>
          <w:lang w:eastAsia="en-US"/>
        </w:rPr>
        <w:t>, for example,</w:t>
      </w:r>
      <w:r w:rsidR="007F3FD7" w:rsidRPr="007B5EFB">
        <w:rPr>
          <w:lang w:eastAsia="en-US"/>
        </w:rPr>
        <w:t xml:space="preserve"> </w:t>
      </w:r>
      <w:r w:rsidR="006F3331" w:rsidRPr="007B5EFB">
        <w:rPr>
          <w:lang w:eastAsia="en-US"/>
        </w:rPr>
        <w:t xml:space="preserve">decide to </w:t>
      </w:r>
      <w:r w:rsidR="007F3FD7" w:rsidRPr="007B5EFB">
        <w:rPr>
          <w:lang w:eastAsia="en-US"/>
        </w:rPr>
        <w:t xml:space="preserve">file with RO/IB </w:t>
      </w:r>
      <w:r w:rsidR="006F3331" w:rsidRPr="007B5EFB">
        <w:rPr>
          <w:lang w:eastAsia="en-US"/>
        </w:rPr>
        <w:t xml:space="preserve">rather than the local RO </w:t>
      </w:r>
      <w:r w:rsidRPr="007B5EFB">
        <w:rPr>
          <w:lang w:eastAsia="en-US"/>
        </w:rPr>
        <w:t xml:space="preserve">would </w:t>
      </w:r>
      <w:r w:rsidR="007F3FD7" w:rsidRPr="007B5EFB">
        <w:rPr>
          <w:lang w:eastAsia="en-US"/>
        </w:rPr>
        <w:t>pay the international filing fee</w:t>
      </w:r>
      <w:r w:rsidR="00A678B2" w:rsidRPr="007B5EFB">
        <w:rPr>
          <w:lang w:eastAsia="en-US"/>
        </w:rPr>
        <w:t xml:space="preserve"> </w:t>
      </w:r>
      <w:r w:rsidRPr="007B5EFB">
        <w:rPr>
          <w:lang w:eastAsia="en-US"/>
        </w:rPr>
        <w:t>in a currency other than that of their local RO</w:t>
      </w:r>
      <w:r w:rsidR="00344160" w:rsidRPr="007B5EFB">
        <w:rPr>
          <w:lang w:eastAsia="en-US"/>
        </w:rPr>
        <w:t>.</w:t>
      </w:r>
      <w:r w:rsidRPr="007B5EFB">
        <w:rPr>
          <w:lang w:eastAsia="en-US"/>
        </w:rPr>
        <w:t xml:space="preserve"> </w:t>
      </w:r>
      <w:r w:rsidR="00AF4B77" w:rsidRPr="007B5EFB">
        <w:rPr>
          <w:lang w:eastAsia="en-US"/>
        </w:rPr>
        <w:t xml:space="preserve"> </w:t>
      </w:r>
      <w:r w:rsidR="00A678B2" w:rsidRPr="007B5EFB">
        <w:rPr>
          <w:lang w:eastAsia="en-US"/>
        </w:rPr>
        <w:t xml:space="preserve">On the other hand, such change in filing behavior </w:t>
      </w:r>
      <w:r w:rsidR="006F3331" w:rsidRPr="007B5EFB">
        <w:rPr>
          <w:lang w:eastAsia="en-US"/>
        </w:rPr>
        <w:t xml:space="preserve">can be expected to take place </w:t>
      </w:r>
      <w:r w:rsidR="005B5B4C" w:rsidRPr="007B5EFB">
        <w:rPr>
          <w:lang w:eastAsia="en-US"/>
        </w:rPr>
        <w:t xml:space="preserve">only in the case of a drastic change in exchange rates between the local RO currency and the currencies in which PCT fees may be paid in respect of international applications filed with </w:t>
      </w:r>
      <w:r w:rsidR="006F3331" w:rsidRPr="007B5EFB">
        <w:rPr>
          <w:lang w:eastAsia="en-US"/>
        </w:rPr>
        <w:t xml:space="preserve">a different RO, such as </w:t>
      </w:r>
      <w:r w:rsidR="005B5B4C" w:rsidRPr="007B5EFB">
        <w:rPr>
          <w:lang w:eastAsia="en-US"/>
        </w:rPr>
        <w:t xml:space="preserve">RO/IB. </w:t>
      </w:r>
    </w:p>
    <w:p w:rsidR="005613A5" w:rsidRPr="007B5EFB" w:rsidRDefault="005613A5" w:rsidP="005613A5">
      <w:pPr>
        <w:pStyle w:val="Heading2"/>
        <w:rPr>
          <w:lang w:eastAsia="en-US"/>
        </w:rPr>
      </w:pPr>
      <w:r w:rsidRPr="007B5EFB">
        <w:rPr>
          <w:lang w:eastAsia="en-US"/>
        </w:rPr>
        <w:t>Fixing of equivalent amounts for a period of one year</w:t>
      </w:r>
    </w:p>
    <w:p w:rsidR="005613A5" w:rsidRPr="007B5EFB" w:rsidRDefault="005613A5" w:rsidP="005613A5">
      <w:pPr>
        <w:pStyle w:val="ONUME"/>
      </w:pPr>
      <w:bookmarkStart w:id="15" w:name="_Ref418865061"/>
      <w:r w:rsidRPr="007B5EFB">
        <w:t xml:space="preserve">As further explained in paragraphs 23 to 27 of Circular C. PCT 1440, a process such as the current process to fix new equivalent amounts of PCT fees in the case of exchange rate fluctuations cannot operate easily alongside the implementation of a hedging strategy, as changes in the equivalent amounts would inevitably have an impact on the total amount of currency received.  As set out in the Circular, it </w:t>
      </w:r>
      <w:r w:rsidR="000B368E" w:rsidRPr="007B5EFB">
        <w:t xml:space="preserve">is </w:t>
      </w:r>
      <w:r w:rsidRPr="007B5EFB">
        <w:t xml:space="preserve">thus </w:t>
      </w:r>
      <w:r w:rsidR="00EB35C3" w:rsidRPr="007B5EFB">
        <w:t xml:space="preserve">necessary </w:t>
      </w:r>
      <w:r w:rsidRPr="007B5EFB">
        <w:t>to modify the Directives of the Assembly relating to the Establishment of Equivalent Amounts of Certain Fees so as to change the current equivalent amount process so that new equivalent amounts of PCT</w:t>
      </w:r>
      <w:r w:rsidR="0042379F" w:rsidRPr="007B5EFB">
        <w:t xml:space="preserve"> international filing</w:t>
      </w:r>
      <w:r w:rsidRPr="007B5EFB">
        <w:t xml:space="preserve"> fees would be fixed only once per year, to remain unchanged for a period of 12 months, with a hedging strategy being put in place (for the currencies concerned, </w:t>
      </w:r>
      <w:r w:rsidR="0042379F" w:rsidRPr="007B5EFB">
        <w:t>see</w:t>
      </w:r>
      <w:r w:rsidRPr="007B5EFB">
        <w:t xml:space="preserve"> paragraphs </w:t>
      </w:r>
      <w:r w:rsidR="005B6D04" w:rsidRPr="007B5EFB">
        <w:fldChar w:fldCharType="begin"/>
      </w:r>
      <w:r w:rsidR="005B6D04" w:rsidRPr="007B5EFB">
        <w:instrText xml:space="preserve"> REF _Ref418866236 \r \h </w:instrText>
      </w:r>
      <w:r w:rsidR="007B5EFB">
        <w:instrText xml:space="preserve"> \* MERGEFORMAT </w:instrText>
      </w:r>
      <w:r w:rsidR="005B6D04" w:rsidRPr="007B5EFB">
        <w:fldChar w:fldCharType="separate"/>
      </w:r>
      <w:r w:rsidR="008431A0">
        <w:t>18</w:t>
      </w:r>
      <w:r w:rsidR="005B6D04" w:rsidRPr="007B5EFB">
        <w:fldChar w:fldCharType="end"/>
      </w:r>
      <w:r w:rsidRPr="007B5EFB">
        <w:t xml:space="preserve"> to</w:t>
      </w:r>
      <w:r w:rsidR="005B6D04" w:rsidRPr="007B5EFB">
        <w:t> </w:t>
      </w:r>
      <w:r w:rsidR="005B6D04" w:rsidRPr="007B5EFB">
        <w:fldChar w:fldCharType="begin"/>
      </w:r>
      <w:r w:rsidR="005B6D04" w:rsidRPr="007B5EFB">
        <w:instrText xml:space="preserve"> REF _Ref418866253 \r \h </w:instrText>
      </w:r>
      <w:r w:rsidR="007B5EFB">
        <w:instrText xml:space="preserve"> \* MERGEFORMAT </w:instrText>
      </w:r>
      <w:r w:rsidR="005B6D04" w:rsidRPr="007B5EFB">
        <w:fldChar w:fldCharType="separate"/>
      </w:r>
      <w:r w:rsidR="008431A0">
        <w:t>21</w:t>
      </w:r>
      <w:r w:rsidR="005B6D04" w:rsidRPr="007B5EFB">
        <w:fldChar w:fldCharType="end"/>
      </w:r>
      <w:r w:rsidRPr="007B5EFB">
        <w:t>, above) for the same 12 month period.</w:t>
      </w:r>
      <w:bookmarkEnd w:id="15"/>
    </w:p>
    <w:p w:rsidR="0042379F" w:rsidRPr="007B5EFB" w:rsidRDefault="0042379F" w:rsidP="005613A5">
      <w:pPr>
        <w:pStyle w:val="ONUME"/>
      </w:pPr>
      <w:bookmarkStart w:id="16" w:name="_Ref418865066"/>
      <w:r w:rsidRPr="007B5EFB">
        <w:t>A proposal to modify the Directives accordingly is set out in Annex II to the present document</w:t>
      </w:r>
      <w:r w:rsidR="00514E20" w:rsidRPr="007B5EFB">
        <w:t>.  The main proposed changes to the Directives concern the following:</w:t>
      </w:r>
      <w:bookmarkEnd w:id="16"/>
    </w:p>
    <w:p w:rsidR="00514E20" w:rsidRPr="007B5EFB" w:rsidRDefault="00514E20" w:rsidP="00514E20">
      <w:pPr>
        <w:pStyle w:val="ONUME"/>
        <w:numPr>
          <w:ilvl w:val="1"/>
          <w:numId w:val="5"/>
        </w:numPr>
      </w:pPr>
      <w:r w:rsidRPr="007B5EFB">
        <w:t>Equivalent amounts of the international filing fee in the three currencies proposed to be hedged (EUR, JPY and USD) would be established according to the blended hedge rates determined by the Director General;  equivalent amounts of the international filing fee in all other currencies (which are not proposed to be hedged) and equivalent amounts of all other fees (handling fees, search fees and supplementary search fees) would continue to be established according to the exchange rates determined by the Director General (as at present).</w:t>
      </w:r>
    </w:p>
    <w:p w:rsidR="005F057C" w:rsidRPr="00813807" w:rsidRDefault="00514E20" w:rsidP="005F057C">
      <w:pPr>
        <w:pStyle w:val="ONUME"/>
        <w:numPr>
          <w:ilvl w:val="1"/>
          <w:numId w:val="5"/>
        </w:numPr>
      </w:pPr>
      <w:r w:rsidRPr="00813807">
        <w:t xml:space="preserve">All equivalent amounts </w:t>
      </w:r>
      <w:r w:rsidR="00813807" w:rsidRPr="00813807">
        <w:t xml:space="preserve">in EUR, JPY and USD </w:t>
      </w:r>
      <w:r w:rsidRPr="00813807">
        <w:t>of the international filing fee would be established according to the blended hedge rates or the exchange rates, as applicable, prevailing on the first Monday in the month of October of each year and generally enter into force on January 1 of the subsequent year</w:t>
      </w:r>
      <w:r w:rsidR="005F057C" w:rsidRPr="00813807">
        <w:t xml:space="preserve"> and would remain in force until the end of the </w:t>
      </w:r>
      <w:r w:rsidR="00744B77" w:rsidRPr="00813807">
        <w:t xml:space="preserve">calendar </w:t>
      </w:r>
      <w:r w:rsidR="005F057C" w:rsidRPr="00813807">
        <w:t>year</w:t>
      </w:r>
      <w:r w:rsidRPr="00813807">
        <w:t>.  In other words, they would be “frozen” for a period of 12 months.</w:t>
      </w:r>
      <w:r w:rsidR="005F057C" w:rsidRPr="00813807">
        <w:t xml:space="preserve">  </w:t>
      </w:r>
      <w:r w:rsidRPr="00813807">
        <w:t xml:space="preserve">While it is proposed to hedge </w:t>
      </w:r>
      <w:r w:rsidRPr="00813807">
        <w:rPr>
          <w:rFonts w:eastAsia="Times New Roman"/>
          <w:lang w:eastAsia="en-US"/>
        </w:rPr>
        <w:t xml:space="preserve">the exposure on PCT international filing fees to certain currencies only </w:t>
      </w:r>
      <w:r w:rsidRPr="00813807">
        <w:t>(</w:t>
      </w:r>
      <w:r w:rsidR="0001263B" w:rsidRPr="00813807">
        <w:t>EUR, JPY and USD)</w:t>
      </w:r>
      <w:r w:rsidRPr="00813807">
        <w:t xml:space="preserve">, the proposal is to </w:t>
      </w:r>
      <w:r w:rsidR="00813807">
        <w:t xml:space="preserve">also </w:t>
      </w:r>
      <w:r w:rsidRPr="00813807">
        <w:t xml:space="preserve">“freeze” the fixing of new equivalent amounts </w:t>
      </w:r>
      <w:r w:rsidR="0001263B" w:rsidRPr="00813807">
        <w:t xml:space="preserve">of international filing fees </w:t>
      </w:r>
      <w:r w:rsidRPr="00813807">
        <w:t xml:space="preserve">for all </w:t>
      </w:r>
      <w:r w:rsidR="00813807">
        <w:t xml:space="preserve">other </w:t>
      </w:r>
      <w:r w:rsidRPr="00813807">
        <w:t>currencies for a period of 12</w:t>
      </w:r>
      <w:r w:rsidR="00813807">
        <w:t> </w:t>
      </w:r>
      <w:r w:rsidRPr="00813807">
        <w:t xml:space="preserve">months, so as to not add further complexities to the system. </w:t>
      </w:r>
      <w:r w:rsidR="0001263B" w:rsidRPr="00813807">
        <w:t xml:space="preserve"> </w:t>
      </w:r>
    </w:p>
    <w:p w:rsidR="00514E20" w:rsidRPr="007B5EFB" w:rsidRDefault="0001263B" w:rsidP="005F057C">
      <w:pPr>
        <w:pStyle w:val="ONUME"/>
        <w:numPr>
          <w:ilvl w:val="1"/>
          <w:numId w:val="5"/>
        </w:numPr>
      </w:pPr>
      <w:r w:rsidRPr="007B5EFB">
        <w:t>Similarly,</w:t>
      </w:r>
      <w:r w:rsidR="005F057C" w:rsidRPr="007B5EFB">
        <w:t xml:space="preserve"> so as to not add further complexities to the system and so as to treat all fees fixed in the PCT Schedule of Fees in the same manner,</w:t>
      </w:r>
      <w:r w:rsidRPr="007B5EFB">
        <w:t xml:space="preserve"> although it is not proposed to hedge the exposure to PCT handling fee income, it is proposed to </w:t>
      </w:r>
      <w:r w:rsidR="005F057C" w:rsidRPr="007B5EFB">
        <w:t xml:space="preserve">also </w:t>
      </w:r>
      <w:r w:rsidRPr="007B5EFB">
        <w:t>“freeze” the fixing of new equivalent amounts of handling fees for all currencies for a period of 12 months.</w:t>
      </w:r>
    </w:p>
    <w:p w:rsidR="0001263B" w:rsidRPr="007B5EFB" w:rsidRDefault="005F057C" w:rsidP="00514E20">
      <w:pPr>
        <w:pStyle w:val="ONUME"/>
        <w:numPr>
          <w:ilvl w:val="1"/>
          <w:numId w:val="5"/>
        </w:numPr>
      </w:pPr>
      <w:r w:rsidRPr="007B5EFB">
        <w:lastRenderedPageBreak/>
        <w:t>On the other hand, it is not proposed to also freeze the fixing of new equivalent amounts of s</w:t>
      </w:r>
      <w:r w:rsidR="0001263B" w:rsidRPr="007B5EFB">
        <w:t>earch fees and supplementary search fees</w:t>
      </w:r>
      <w:r w:rsidRPr="007B5EFB">
        <w:t xml:space="preserve"> for the same period.  With regard to those fees, the current procedure, under which new equivalent amounts may be established if the exchange rate between the currency in which the search fee is fixed and the currency in which the search fee is paid changes by more than 5 per cent over the period of more than four consecutive Fridays, will continue to apply.</w:t>
      </w:r>
    </w:p>
    <w:p w:rsidR="00F41F91" w:rsidRPr="007B5EFB" w:rsidRDefault="00F41F91" w:rsidP="00514E20">
      <w:pPr>
        <w:pStyle w:val="ONUME"/>
        <w:numPr>
          <w:ilvl w:val="1"/>
          <w:numId w:val="5"/>
        </w:numPr>
      </w:pPr>
      <w:r w:rsidRPr="007B5EFB">
        <w:t xml:space="preserve">The consultation procedure with Offices and Authorities affected by the establishment of equivalent amounts foreseen under the current Directives </w:t>
      </w:r>
      <w:r w:rsidR="00C8134D" w:rsidRPr="007B5EFB">
        <w:t xml:space="preserve">would be abolished.  With regard to the establishment of equivalent amounts of the international filing fee in EUR, JPY and USD, this is consequential on the fact that those equivalent amounts would be established according to blended hedge rates, which would be determined by the Director General on the date on which the </w:t>
      </w:r>
      <w:r w:rsidR="00D01ABF" w:rsidRPr="007B5EFB">
        <w:t>IB</w:t>
      </w:r>
      <w:r w:rsidR="00C8134D" w:rsidRPr="007B5EFB">
        <w:t xml:space="preserve"> would sign the forward contracts in respect of those currencies (the first Monday in the month of October) and which would have to be “locked in” on that date, leaving no room for any subsequent consultation procedure with the Offices concerned.  It is proposed to abolish the consultation procedure also with regard to the establishment of equivalent amounts of the international filing fee in other currencies and of all other fees, with a view to further shortening the delay until entry into force of new equivalent amounts and noting that, in the past, the consultation procedure has led to changes in the equivalent amounts compared to what had been proposed by the Director General in only very few exceptional cases.</w:t>
      </w:r>
    </w:p>
    <w:p w:rsidR="005613A5" w:rsidRPr="007B5EFB" w:rsidRDefault="005613A5" w:rsidP="005613A5">
      <w:pPr>
        <w:pStyle w:val="Heading2"/>
        <w:rPr>
          <w:lang w:eastAsia="en-US"/>
        </w:rPr>
      </w:pPr>
      <w:r w:rsidRPr="007B5EFB">
        <w:rPr>
          <w:lang w:eastAsia="en-US"/>
        </w:rPr>
        <w:t>Impact on WIPO’s Investment Policy</w:t>
      </w:r>
    </w:p>
    <w:p w:rsidR="00CD5785" w:rsidRPr="007B5EFB" w:rsidRDefault="005613A5" w:rsidP="00CD5785">
      <w:pPr>
        <w:pStyle w:val="ONUME"/>
        <w:rPr>
          <w:lang w:eastAsia="en-US"/>
        </w:rPr>
      </w:pPr>
      <w:bookmarkStart w:id="17" w:name="_Ref418864871"/>
      <w:r w:rsidRPr="007B5EFB">
        <w:rPr>
          <w:lang w:eastAsia="en-US"/>
        </w:rPr>
        <w:t xml:space="preserve">A </w:t>
      </w:r>
      <w:r w:rsidR="00CD5785" w:rsidRPr="007B5EFB">
        <w:rPr>
          <w:lang w:eastAsia="en-US"/>
        </w:rPr>
        <w:t xml:space="preserve">hedging strategy </w:t>
      </w:r>
      <w:r w:rsidRPr="007B5EFB">
        <w:rPr>
          <w:lang w:eastAsia="en-US"/>
        </w:rPr>
        <w:t xml:space="preserve">as proposed above </w:t>
      </w:r>
      <w:r w:rsidR="00CD5785" w:rsidRPr="007B5EFB">
        <w:rPr>
          <w:lang w:eastAsia="en-US"/>
        </w:rPr>
        <w:t>w</w:t>
      </w:r>
      <w:r w:rsidR="00E2766F" w:rsidRPr="007B5EFB">
        <w:rPr>
          <w:lang w:eastAsia="en-US"/>
        </w:rPr>
        <w:t>ould</w:t>
      </w:r>
      <w:r w:rsidR="00CD5785" w:rsidRPr="007B5EFB">
        <w:rPr>
          <w:lang w:eastAsia="en-US"/>
        </w:rPr>
        <w:t xml:space="preserve"> have no impact on</w:t>
      </w:r>
      <w:r w:rsidR="00E2766F" w:rsidRPr="007B5EFB">
        <w:rPr>
          <w:lang w:eastAsia="en-US"/>
        </w:rPr>
        <w:t xml:space="preserve"> the contents of</w:t>
      </w:r>
      <w:r w:rsidR="00CD5785" w:rsidRPr="007B5EFB">
        <w:rPr>
          <w:lang w:eastAsia="en-US"/>
        </w:rPr>
        <w:t xml:space="preserve"> </w:t>
      </w:r>
      <w:r w:rsidR="005B5B4C" w:rsidRPr="007B5EFB">
        <w:rPr>
          <w:lang w:eastAsia="en-US"/>
        </w:rPr>
        <w:t>WIPO’s</w:t>
      </w:r>
      <w:r w:rsidR="00CD5785" w:rsidRPr="007B5EFB">
        <w:rPr>
          <w:lang w:eastAsia="en-US"/>
        </w:rPr>
        <w:t xml:space="preserve"> investment policy</w:t>
      </w:r>
      <w:r w:rsidR="005B5B4C" w:rsidRPr="007B5EFB">
        <w:rPr>
          <w:lang w:eastAsia="en-US"/>
        </w:rPr>
        <w:t>,</w:t>
      </w:r>
      <w:r w:rsidR="00CD5785" w:rsidRPr="007B5EFB">
        <w:rPr>
          <w:lang w:eastAsia="en-US"/>
        </w:rPr>
        <w:t xml:space="preserve"> which is currently being revised and is to be submitted to the WIPO </w:t>
      </w:r>
      <w:r w:rsidR="005B5B4C" w:rsidRPr="007B5EFB">
        <w:rPr>
          <w:lang w:eastAsia="en-US"/>
        </w:rPr>
        <w:t xml:space="preserve">General </w:t>
      </w:r>
      <w:r w:rsidR="00CD5785" w:rsidRPr="007B5EFB">
        <w:rPr>
          <w:lang w:eastAsia="en-US"/>
        </w:rPr>
        <w:t>Assembl</w:t>
      </w:r>
      <w:r w:rsidRPr="007B5EFB">
        <w:rPr>
          <w:lang w:eastAsia="en-US"/>
        </w:rPr>
        <w:t>y</w:t>
      </w:r>
      <w:r w:rsidR="00CD5785" w:rsidRPr="007B5EFB">
        <w:rPr>
          <w:lang w:eastAsia="en-US"/>
        </w:rPr>
        <w:t xml:space="preserve"> for approval in </w:t>
      </w:r>
      <w:r w:rsidR="00744B77" w:rsidRPr="007B5EFB">
        <w:rPr>
          <w:lang w:eastAsia="en-US"/>
        </w:rPr>
        <w:t>October</w:t>
      </w:r>
      <w:r w:rsidR="00CD5785" w:rsidRPr="007B5EFB">
        <w:rPr>
          <w:lang w:eastAsia="en-US"/>
        </w:rPr>
        <w:t xml:space="preserve"> 2015.</w:t>
      </w:r>
      <w:r w:rsidR="00E2766F" w:rsidRPr="007B5EFB">
        <w:rPr>
          <w:lang w:eastAsia="en-US"/>
        </w:rPr>
        <w:t xml:space="preserve">  However, </w:t>
      </w:r>
      <w:r w:rsidR="00762ADA" w:rsidRPr="007B5EFB">
        <w:rPr>
          <w:lang w:eastAsia="en-US"/>
        </w:rPr>
        <w:t>it may have consequences for the application of the policy if the policy provides for investments to be held, on a significant scale, in currencies other than Swiss franc</w:t>
      </w:r>
      <w:r w:rsidR="00DF23FE" w:rsidRPr="007B5EFB">
        <w:rPr>
          <w:lang w:eastAsia="en-US"/>
        </w:rPr>
        <w:t xml:space="preserve">s, notably </w:t>
      </w:r>
      <w:r w:rsidR="00D01ABF" w:rsidRPr="007B5EFB">
        <w:t>EUR, JPY and USD</w:t>
      </w:r>
      <w:r w:rsidR="00762ADA" w:rsidRPr="007B5EFB">
        <w:rPr>
          <w:lang w:eastAsia="en-US"/>
        </w:rPr>
        <w:t>.  Hedging would obviously reduce the amount of these currencies which would be available for investment in the original currency.</w:t>
      </w:r>
      <w:bookmarkEnd w:id="17"/>
    </w:p>
    <w:p w:rsidR="00BB41F2" w:rsidRPr="007B5EFB" w:rsidRDefault="00BB41F2" w:rsidP="000B368E">
      <w:pPr>
        <w:pStyle w:val="Heading1"/>
        <w:keepNext w:val="0"/>
        <w:keepLines/>
      </w:pPr>
      <w:r w:rsidRPr="007B5EFB">
        <w:t>hedging of SEARCH FEES</w:t>
      </w:r>
    </w:p>
    <w:p w:rsidR="000B368E" w:rsidRPr="007B5EFB" w:rsidRDefault="000B368E" w:rsidP="000B368E">
      <w:pPr>
        <w:pStyle w:val="ONUME"/>
        <w:keepLines/>
        <w:tabs>
          <w:tab w:val="num" w:pos="851"/>
          <w:tab w:val="num" w:pos="6597"/>
        </w:tabs>
        <w:rPr>
          <w:lang w:eastAsia="en-US"/>
        </w:rPr>
      </w:pPr>
      <w:bookmarkStart w:id="18" w:name="_Ref418864892"/>
      <w:r w:rsidRPr="007B5EFB">
        <w:t>As indicated above, it is not proposed at this stage to also commence hedging of search fees</w:t>
      </w:r>
      <w:r w:rsidR="00660832" w:rsidRPr="007B5EFB">
        <w:t xml:space="preserve"> or, to be more precise, </w:t>
      </w:r>
      <w:r w:rsidR="00660832" w:rsidRPr="007B5EFB">
        <w:rPr>
          <w:szCs w:val="22"/>
        </w:rPr>
        <w:t xml:space="preserve">to commence </w:t>
      </w:r>
      <w:r w:rsidR="00660832" w:rsidRPr="007B5EFB">
        <w:rPr>
          <w:lang w:eastAsia="en-US"/>
        </w:rPr>
        <w:t>hedging of the risks resulting from ISAs requesting to be reimbursed by the IB under Rule 16.1(e) for losses in search fee income incurred by them</w:t>
      </w:r>
      <w:r w:rsidRPr="007B5EFB">
        <w:t xml:space="preserve">.  There are a number of issues which prevent the IB to move ahead with such a proposal at this stage, </w:t>
      </w:r>
      <w:r w:rsidR="00CA552D" w:rsidRPr="007B5EFB">
        <w:t>as set out in the following paragraphs.</w:t>
      </w:r>
      <w:bookmarkEnd w:id="18"/>
    </w:p>
    <w:p w:rsidR="0063178F" w:rsidRPr="007B5EFB" w:rsidRDefault="0063178F" w:rsidP="0063178F">
      <w:pPr>
        <w:pStyle w:val="ONUME"/>
        <w:rPr>
          <w:lang w:eastAsia="en-US"/>
        </w:rPr>
      </w:pPr>
      <w:r w:rsidRPr="007B5EFB">
        <w:rPr>
          <w:lang w:eastAsia="en-US"/>
        </w:rPr>
        <w:t xml:space="preserve">The IB’s currency exposure arising from search fees is different from that arising from international filing fees.  It stems from the procedure under Rule 16.1(e) under which the </w:t>
      </w:r>
      <w:r w:rsidR="00D01ABF" w:rsidRPr="007B5EFB">
        <w:rPr>
          <w:lang w:eastAsia="en-US"/>
        </w:rPr>
        <w:t>IB</w:t>
      </w:r>
      <w:r w:rsidRPr="007B5EFB">
        <w:rPr>
          <w:lang w:eastAsia="en-US"/>
        </w:rPr>
        <w:t xml:space="preserve"> has to reimburse I</w:t>
      </w:r>
      <w:r w:rsidR="00D01ABF" w:rsidRPr="007B5EFB">
        <w:rPr>
          <w:lang w:eastAsia="en-US"/>
        </w:rPr>
        <w:t>SAs</w:t>
      </w:r>
      <w:r w:rsidRPr="007B5EFB">
        <w:rPr>
          <w:lang w:eastAsia="en-US"/>
        </w:rPr>
        <w:t xml:space="preserve"> for any losses incurred </w:t>
      </w:r>
      <w:r w:rsidRPr="007B5EFB">
        <w:rPr>
          <w:szCs w:val="22"/>
        </w:rPr>
        <w:t xml:space="preserve">due to fluctuations in exchange rates between the date on which the equivalent amounts of the search fees have been established and the date on which the search fees are eventually paid to and transferred by the </w:t>
      </w:r>
      <w:r w:rsidR="00D01ABF" w:rsidRPr="007B5EFB">
        <w:rPr>
          <w:szCs w:val="22"/>
        </w:rPr>
        <w:t>RO</w:t>
      </w:r>
      <w:r w:rsidRPr="007B5EFB">
        <w:rPr>
          <w:szCs w:val="22"/>
        </w:rPr>
        <w:t xml:space="preserve"> to the ISA, resulting in gains or losses initially for the ISA, which under Rule 16.1(e) are to be reimbursed by the IB.</w:t>
      </w:r>
    </w:p>
    <w:p w:rsidR="00CA552D" w:rsidRPr="007B5EFB" w:rsidRDefault="00CA552D" w:rsidP="00CA552D">
      <w:pPr>
        <w:pStyle w:val="ONUME"/>
        <w:rPr>
          <w:lang w:eastAsia="en-US"/>
        </w:rPr>
      </w:pPr>
      <w:bookmarkStart w:id="19" w:name="_Ref419104465"/>
      <w:r w:rsidRPr="007B5EFB">
        <w:rPr>
          <w:szCs w:val="22"/>
        </w:rPr>
        <w:t>Th</w:t>
      </w:r>
      <w:r w:rsidR="00B2193F" w:rsidRPr="007B5EFB">
        <w:rPr>
          <w:szCs w:val="22"/>
        </w:rPr>
        <w:t>e</w:t>
      </w:r>
      <w:r w:rsidRPr="007B5EFB">
        <w:rPr>
          <w:szCs w:val="22"/>
        </w:rPr>
        <w:t xml:space="preserve"> </w:t>
      </w:r>
      <w:r w:rsidR="00B2193F" w:rsidRPr="007B5EFB">
        <w:rPr>
          <w:szCs w:val="22"/>
        </w:rPr>
        <w:t xml:space="preserve">current </w:t>
      </w:r>
      <w:r w:rsidRPr="007B5EFB">
        <w:rPr>
          <w:szCs w:val="22"/>
        </w:rPr>
        <w:t xml:space="preserve">exposure </w:t>
      </w:r>
      <w:r w:rsidR="00B2193F" w:rsidRPr="007B5EFB">
        <w:rPr>
          <w:szCs w:val="22"/>
        </w:rPr>
        <w:t xml:space="preserve">of the IB arising from search fees </w:t>
      </w:r>
      <w:r w:rsidRPr="007B5EFB">
        <w:rPr>
          <w:szCs w:val="22"/>
        </w:rPr>
        <w:t xml:space="preserve">concerns mainly </w:t>
      </w:r>
      <w:r w:rsidR="00EE4FE9" w:rsidRPr="007B5EFB">
        <w:rPr>
          <w:lang w:eastAsia="en-US"/>
        </w:rPr>
        <w:t xml:space="preserve">three currency pairs:  USD/EUR (search fee paid in USD to the United States Patent and Trademark Office (USPTO) as </w:t>
      </w:r>
      <w:r w:rsidR="00D01ABF" w:rsidRPr="007B5EFB">
        <w:rPr>
          <w:lang w:eastAsia="en-US"/>
        </w:rPr>
        <w:t>RO</w:t>
      </w:r>
      <w:r w:rsidR="00EE4FE9" w:rsidRPr="007B5EFB">
        <w:rPr>
          <w:lang w:eastAsia="en-US"/>
        </w:rPr>
        <w:t xml:space="preserve"> where the international search is carried out by the European Patent Office (EPO) as </w:t>
      </w:r>
      <w:r w:rsidR="00D01ABF" w:rsidRPr="007B5EFB">
        <w:rPr>
          <w:lang w:eastAsia="en-US"/>
        </w:rPr>
        <w:t>ISA</w:t>
      </w:r>
      <w:r w:rsidR="00EE4FE9" w:rsidRPr="007B5EFB">
        <w:rPr>
          <w:lang w:eastAsia="en-US"/>
        </w:rPr>
        <w:t xml:space="preserve">);  pound sterling (GBP)/EUR (search fee paid in GBP to the United Kingdom Intellectual Property Office (UKIPO) as </w:t>
      </w:r>
      <w:r w:rsidR="00D01ABF" w:rsidRPr="007B5EFB">
        <w:rPr>
          <w:lang w:eastAsia="en-US"/>
        </w:rPr>
        <w:t>RO</w:t>
      </w:r>
      <w:r w:rsidR="00EE4FE9" w:rsidRPr="007B5EFB">
        <w:rPr>
          <w:lang w:eastAsia="en-US"/>
        </w:rPr>
        <w:t xml:space="preserve"> where the international search is carried out by the EPO as I</w:t>
      </w:r>
      <w:r w:rsidR="00D01ABF" w:rsidRPr="007B5EFB">
        <w:rPr>
          <w:lang w:eastAsia="en-US"/>
        </w:rPr>
        <w:t>SA</w:t>
      </w:r>
      <w:r w:rsidR="00EE4FE9" w:rsidRPr="007B5EFB">
        <w:rPr>
          <w:lang w:eastAsia="en-US"/>
        </w:rPr>
        <w:t xml:space="preserve">) and USD/Korean won (KRW) (search fee paid in USD to the USPTO </w:t>
      </w:r>
      <w:r w:rsidR="00D01ABF" w:rsidRPr="007B5EFB">
        <w:rPr>
          <w:lang w:eastAsia="en-US"/>
        </w:rPr>
        <w:t xml:space="preserve">as RO </w:t>
      </w:r>
      <w:r w:rsidR="00EE4FE9" w:rsidRPr="007B5EFB">
        <w:rPr>
          <w:lang w:eastAsia="en-US"/>
        </w:rPr>
        <w:t>where the international search is carried out by the Korean Intellectual Property Office (KIPO) as I</w:t>
      </w:r>
      <w:r w:rsidR="00D01ABF" w:rsidRPr="007B5EFB">
        <w:rPr>
          <w:lang w:eastAsia="en-US"/>
        </w:rPr>
        <w:t>SA</w:t>
      </w:r>
      <w:r w:rsidR="00591A28" w:rsidRPr="007B5EFB">
        <w:rPr>
          <w:lang w:eastAsia="en-US"/>
        </w:rPr>
        <w:t>).</w:t>
      </w:r>
      <w:bookmarkEnd w:id="19"/>
    </w:p>
    <w:p w:rsidR="00EE4FE9" w:rsidRPr="007B5EFB" w:rsidRDefault="00EE4FE9" w:rsidP="00DD7D41">
      <w:pPr>
        <w:pStyle w:val="ONUME"/>
        <w:keepLines/>
        <w:rPr>
          <w:lang w:eastAsia="en-US"/>
        </w:rPr>
      </w:pPr>
      <w:r w:rsidRPr="007B5EFB">
        <w:rPr>
          <w:lang w:eastAsia="en-US"/>
        </w:rPr>
        <w:lastRenderedPageBreak/>
        <w:t>In recent years, the volumes of international searches associated with these currency pairs account for approximately 20 per cent of all international searches, with forecasts suggesting that this percentage will decline only very slightly over the years 2015</w:t>
      </w:r>
      <w:r w:rsidRPr="007B5EFB">
        <w:rPr>
          <w:lang w:eastAsia="en-US"/>
        </w:rPr>
        <w:noBreakHyphen/>
        <w:t>2017</w:t>
      </w:r>
      <w:r w:rsidR="00E80428" w:rsidRPr="007B5EFB">
        <w:t xml:space="preserve">.  </w:t>
      </w:r>
      <w:r w:rsidR="00CA552D" w:rsidRPr="007B5EFB">
        <w:t>Unfortunately, w</w:t>
      </w:r>
      <w:r w:rsidRPr="007B5EFB">
        <w:rPr>
          <w:lang w:eastAsia="en-US"/>
        </w:rPr>
        <w:t xml:space="preserve">hile volumes of search fees are forecast by the IB, monitoring of forecasts against actual volumes </w:t>
      </w:r>
      <w:r w:rsidR="00591A28" w:rsidRPr="007B5EFB">
        <w:rPr>
          <w:lang w:eastAsia="en-US"/>
        </w:rPr>
        <w:t xml:space="preserve">is not currently carried out, making hedging of search fees difficult at this stage.  </w:t>
      </w:r>
      <w:r w:rsidR="00CA552D" w:rsidRPr="007B5EFB">
        <w:rPr>
          <w:lang w:eastAsia="en-US"/>
        </w:rPr>
        <w:t>It is planned to begin s</w:t>
      </w:r>
      <w:r w:rsidRPr="007B5EFB">
        <w:rPr>
          <w:lang w:eastAsia="en-US"/>
        </w:rPr>
        <w:t xml:space="preserve">uch </w:t>
      </w:r>
      <w:r w:rsidR="00CA552D" w:rsidRPr="007B5EFB">
        <w:rPr>
          <w:lang w:eastAsia="en-US"/>
        </w:rPr>
        <w:t xml:space="preserve">monitoring </w:t>
      </w:r>
      <w:r w:rsidR="00744B77" w:rsidRPr="007B5EFB">
        <w:rPr>
          <w:lang w:eastAsia="en-US"/>
        </w:rPr>
        <w:t xml:space="preserve">during the </w:t>
      </w:r>
      <w:r w:rsidRPr="007B5EFB">
        <w:rPr>
          <w:lang w:eastAsia="en-US"/>
        </w:rPr>
        <w:t>summer</w:t>
      </w:r>
      <w:r w:rsidR="00744B77" w:rsidRPr="007B5EFB">
        <w:rPr>
          <w:lang w:eastAsia="en-US"/>
        </w:rPr>
        <w:t xml:space="preserve"> of 2015</w:t>
      </w:r>
      <w:r w:rsidR="00CA552D" w:rsidRPr="007B5EFB">
        <w:rPr>
          <w:lang w:eastAsia="en-US"/>
        </w:rPr>
        <w:t xml:space="preserve">, with a view to be </w:t>
      </w:r>
      <w:r w:rsidRPr="007B5EFB">
        <w:rPr>
          <w:lang w:eastAsia="en-US"/>
        </w:rPr>
        <w:t>able to assess the accuracy of the predictions and build up forecasts of currency flows as a result.</w:t>
      </w:r>
    </w:p>
    <w:p w:rsidR="00591A28" w:rsidRPr="007B5EFB" w:rsidRDefault="00591A28" w:rsidP="00B2193F">
      <w:pPr>
        <w:pStyle w:val="ONUME"/>
        <w:rPr>
          <w:lang w:eastAsia="en-US"/>
        </w:rPr>
      </w:pPr>
      <w:bookmarkStart w:id="20" w:name="_Ref418864899"/>
      <w:r w:rsidRPr="007B5EFB">
        <w:rPr>
          <w:lang w:eastAsia="en-US"/>
        </w:rPr>
        <w:t xml:space="preserve">There is a further complicating factor in that </w:t>
      </w:r>
      <w:r w:rsidR="00C71A44" w:rsidRPr="007B5EFB">
        <w:rPr>
          <w:lang w:eastAsia="en-US"/>
        </w:rPr>
        <w:t xml:space="preserve">requests by ISAs </w:t>
      </w:r>
      <w:r w:rsidR="008F647B" w:rsidRPr="007B5EFB">
        <w:rPr>
          <w:lang w:eastAsia="en-US"/>
        </w:rPr>
        <w:t xml:space="preserve">to be reimbursed by the IB under Rule 16.1(e) for losses incurred by them </w:t>
      </w:r>
      <w:r w:rsidR="00EC4340" w:rsidRPr="007B5EFB">
        <w:rPr>
          <w:lang w:eastAsia="en-US"/>
        </w:rPr>
        <w:t xml:space="preserve">are </w:t>
      </w:r>
      <w:r w:rsidR="00C71A44" w:rsidRPr="007B5EFB">
        <w:rPr>
          <w:lang w:eastAsia="en-US"/>
        </w:rPr>
        <w:t>received by the IB on an irregular basis</w:t>
      </w:r>
      <w:r w:rsidR="00EC4340" w:rsidRPr="007B5EFB">
        <w:rPr>
          <w:lang w:eastAsia="en-US"/>
        </w:rPr>
        <w:t xml:space="preserve">, </w:t>
      </w:r>
      <w:r w:rsidR="00EC4340" w:rsidRPr="00A7162D">
        <w:rPr>
          <w:lang w:eastAsia="en-US"/>
        </w:rPr>
        <w:t xml:space="preserve">making hedging of the risks resulting from such requests very </w:t>
      </w:r>
      <w:r w:rsidR="00943AF8" w:rsidRPr="00A7162D">
        <w:rPr>
          <w:lang w:eastAsia="en-US"/>
        </w:rPr>
        <w:t>risky</w:t>
      </w:r>
      <w:r w:rsidR="00C71A44" w:rsidRPr="00A7162D">
        <w:rPr>
          <w:lang w:eastAsia="en-US"/>
        </w:rPr>
        <w:t>.  For example, while one</w:t>
      </w:r>
      <w:r w:rsidR="00C71A44" w:rsidRPr="007B5EFB">
        <w:rPr>
          <w:lang w:eastAsia="en-US"/>
        </w:rPr>
        <w:t xml:space="preserve"> ISA </w:t>
      </w:r>
      <w:r w:rsidR="005167E4" w:rsidRPr="007B5EFB">
        <w:rPr>
          <w:lang w:eastAsia="en-US"/>
        </w:rPr>
        <w:t xml:space="preserve">is </w:t>
      </w:r>
      <w:r w:rsidR="00C71A44" w:rsidRPr="007B5EFB">
        <w:rPr>
          <w:lang w:eastAsia="en-US"/>
        </w:rPr>
        <w:t xml:space="preserve">submitting such requests on a regular monthly basis, another ISA has submitted such a request only recently for the first time, but covering losses incurred by it over a </w:t>
      </w:r>
      <w:r w:rsidR="005167E4" w:rsidRPr="007B5EFB">
        <w:rPr>
          <w:lang w:eastAsia="en-US"/>
        </w:rPr>
        <w:t xml:space="preserve">period of </w:t>
      </w:r>
      <w:r w:rsidR="00E40B02" w:rsidRPr="007B5EFB">
        <w:rPr>
          <w:lang w:eastAsia="en-US"/>
        </w:rPr>
        <w:t>several</w:t>
      </w:r>
      <w:r w:rsidR="005167E4" w:rsidRPr="007B5EFB">
        <w:rPr>
          <w:lang w:eastAsia="en-US"/>
        </w:rPr>
        <w:t xml:space="preserve"> years.</w:t>
      </w:r>
    </w:p>
    <w:p w:rsidR="00B2193F" w:rsidRPr="007B5EFB" w:rsidRDefault="00C71A44" w:rsidP="00B2193F">
      <w:pPr>
        <w:pStyle w:val="ONUME"/>
        <w:rPr>
          <w:lang w:eastAsia="en-US"/>
        </w:rPr>
      </w:pPr>
      <w:r w:rsidRPr="007B5EFB">
        <w:rPr>
          <w:lang w:eastAsia="en-US"/>
        </w:rPr>
        <w:t>Finally, there is yet another</w:t>
      </w:r>
      <w:r w:rsidR="00B2193F" w:rsidRPr="007B5EFB">
        <w:rPr>
          <w:lang w:eastAsia="en-US"/>
        </w:rPr>
        <w:t xml:space="preserve"> complicat</w:t>
      </w:r>
      <w:r w:rsidR="00744B77" w:rsidRPr="007B5EFB">
        <w:rPr>
          <w:lang w:eastAsia="en-US"/>
        </w:rPr>
        <w:t>ing</w:t>
      </w:r>
      <w:r w:rsidR="00B2193F" w:rsidRPr="007B5EFB">
        <w:rPr>
          <w:lang w:eastAsia="en-US"/>
        </w:rPr>
        <w:t xml:space="preserve"> factor in that search fees are fixed by </w:t>
      </w:r>
      <w:r w:rsidR="00D01ABF" w:rsidRPr="007B5EFB">
        <w:rPr>
          <w:lang w:eastAsia="en-US"/>
        </w:rPr>
        <w:t xml:space="preserve">each of </w:t>
      </w:r>
      <w:r w:rsidR="00B2193F" w:rsidRPr="007B5EFB">
        <w:rPr>
          <w:lang w:eastAsia="en-US"/>
        </w:rPr>
        <w:t>the I</w:t>
      </w:r>
      <w:r w:rsidR="00D01ABF" w:rsidRPr="007B5EFB">
        <w:rPr>
          <w:lang w:eastAsia="en-US"/>
        </w:rPr>
        <w:t>SAs</w:t>
      </w:r>
      <w:r w:rsidR="00B2193F" w:rsidRPr="007B5EFB">
        <w:rPr>
          <w:lang w:eastAsia="en-US"/>
        </w:rPr>
        <w:t xml:space="preserve"> and not by PCT </w:t>
      </w:r>
      <w:r w:rsidR="009F465E" w:rsidRPr="007B5EFB">
        <w:rPr>
          <w:lang w:eastAsia="en-US"/>
        </w:rPr>
        <w:t>Contracting</w:t>
      </w:r>
      <w:r w:rsidR="00B2193F" w:rsidRPr="007B5EFB">
        <w:rPr>
          <w:lang w:eastAsia="en-US"/>
        </w:rPr>
        <w:t xml:space="preserve"> States.  </w:t>
      </w:r>
      <w:r w:rsidR="009F465E" w:rsidRPr="007B5EFB">
        <w:rPr>
          <w:lang w:eastAsia="en-US"/>
        </w:rPr>
        <w:t xml:space="preserve">Contracting </w:t>
      </w:r>
      <w:r w:rsidR="00B2193F" w:rsidRPr="007B5EFB">
        <w:rPr>
          <w:lang w:eastAsia="en-US"/>
        </w:rPr>
        <w:t>States (or the I</w:t>
      </w:r>
      <w:r w:rsidR="00D01ABF" w:rsidRPr="007B5EFB">
        <w:rPr>
          <w:lang w:eastAsia="en-US"/>
        </w:rPr>
        <w:t>B</w:t>
      </w:r>
      <w:r w:rsidR="00B2193F" w:rsidRPr="007B5EFB">
        <w:rPr>
          <w:lang w:eastAsia="en-US"/>
        </w:rPr>
        <w:t xml:space="preserve">) thus have </w:t>
      </w:r>
      <w:r w:rsidR="00CA3B5A" w:rsidRPr="007B5EFB">
        <w:rPr>
          <w:lang w:eastAsia="en-US"/>
        </w:rPr>
        <w:t xml:space="preserve">no </w:t>
      </w:r>
      <w:r w:rsidR="00B2193F" w:rsidRPr="007B5EFB">
        <w:rPr>
          <w:lang w:eastAsia="en-US"/>
        </w:rPr>
        <w:t xml:space="preserve">influence </w:t>
      </w:r>
      <w:r w:rsidR="00CA3B5A" w:rsidRPr="007B5EFB">
        <w:rPr>
          <w:lang w:eastAsia="en-US"/>
        </w:rPr>
        <w:t xml:space="preserve">over </w:t>
      </w:r>
      <w:r w:rsidR="00B2193F" w:rsidRPr="007B5EFB">
        <w:rPr>
          <w:lang w:eastAsia="en-US"/>
        </w:rPr>
        <w:t xml:space="preserve">decisions by </w:t>
      </w:r>
      <w:r w:rsidR="00D01ABF" w:rsidRPr="007B5EFB">
        <w:rPr>
          <w:lang w:eastAsia="en-US"/>
        </w:rPr>
        <w:t>the ISAs</w:t>
      </w:r>
      <w:r w:rsidR="00B2193F" w:rsidRPr="007B5EFB">
        <w:rPr>
          <w:lang w:eastAsia="en-US"/>
        </w:rPr>
        <w:t xml:space="preserve"> to change the amount of search fees nor when such changed amounts should enter into force.  However, changes in the amounts of search fees charged by I</w:t>
      </w:r>
      <w:r w:rsidR="00D01ABF" w:rsidRPr="007B5EFB">
        <w:rPr>
          <w:lang w:eastAsia="en-US"/>
        </w:rPr>
        <w:t>SAs</w:t>
      </w:r>
      <w:r w:rsidR="00B2193F" w:rsidRPr="007B5EFB">
        <w:rPr>
          <w:lang w:eastAsia="en-US"/>
        </w:rPr>
        <w:t xml:space="preserve"> which would enter into force during the year (as is the practice of many I</w:t>
      </w:r>
      <w:r w:rsidR="00D01ABF" w:rsidRPr="007B5EFB">
        <w:rPr>
          <w:lang w:eastAsia="en-US"/>
        </w:rPr>
        <w:t>SAs</w:t>
      </w:r>
      <w:r w:rsidR="00B2193F" w:rsidRPr="007B5EFB">
        <w:rPr>
          <w:lang w:eastAsia="en-US"/>
        </w:rPr>
        <w:t xml:space="preserve">) rather than on January 1 of the subsequent year would </w:t>
      </w:r>
      <w:r w:rsidR="00B2193F" w:rsidRPr="007B5EFB">
        <w:t>inevitably have an impact on the total amount of currency received</w:t>
      </w:r>
      <w:r w:rsidR="00B2193F" w:rsidRPr="007B5EFB">
        <w:rPr>
          <w:lang w:eastAsia="en-US"/>
        </w:rPr>
        <w:t xml:space="preserve"> by those Authorities and thus on the total amount of possible losses to be covered by the </w:t>
      </w:r>
      <w:r w:rsidR="00D01ABF" w:rsidRPr="007B5EFB">
        <w:rPr>
          <w:lang w:eastAsia="en-US"/>
        </w:rPr>
        <w:t>IB</w:t>
      </w:r>
      <w:r w:rsidR="00B2193F" w:rsidRPr="007B5EFB">
        <w:rPr>
          <w:lang w:eastAsia="en-US"/>
        </w:rPr>
        <w:t xml:space="preserve"> under Rule 16.1(e), which would be the subject of the forward contracts to be concluded by the </w:t>
      </w:r>
      <w:r w:rsidR="00D01ABF" w:rsidRPr="007B5EFB">
        <w:rPr>
          <w:lang w:eastAsia="en-US"/>
        </w:rPr>
        <w:t>IB</w:t>
      </w:r>
      <w:r w:rsidR="00B2193F" w:rsidRPr="007B5EFB">
        <w:rPr>
          <w:lang w:eastAsia="en-US"/>
        </w:rPr>
        <w:t xml:space="preserve"> were it decided to also hedge search fees.</w:t>
      </w:r>
      <w:bookmarkEnd w:id="20"/>
    </w:p>
    <w:p w:rsidR="004531AF" w:rsidRPr="007B5EFB" w:rsidRDefault="004531AF" w:rsidP="00143D35">
      <w:pPr>
        <w:pStyle w:val="ONUME"/>
        <w:keepLines/>
        <w:tabs>
          <w:tab w:val="num" w:pos="851"/>
          <w:tab w:val="num" w:pos="6597"/>
        </w:tabs>
        <w:rPr>
          <w:lang w:eastAsia="en-US"/>
        </w:rPr>
      </w:pPr>
      <w:bookmarkStart w:id="21" w:name="_Ref419106467"/>
      <w:r w:rsidRPr="007B5EFB">
        <w:rPr>
          <w:lang w:eastAsia="en-US"/>
        </w:rPr>
        <w:t>I</w:t>
      </w:r>
      <w:r w:rsidRPr="007B5EFB">
        <w:rPr>
          <w:szCs w:val="22"/>
        </w:rPr>
        <w:t xml:space="preserve">t is </w:t>
      </w:r>
      <w:r w:rsidR="00CA552D" w:rsidRPr="007B5EFB">
        <w:rPr>
          <w:szCs w:val="22"/>
        </w:rPr>
        <w:t xml:space="preserve">thus </w:t>
      </w:r>
      <w:r w:rsidRPr="007B5EFB">
        <w:rPr>
          <w:szCs w:val="22"/>
        </w:rPr>
        <w:t xml:space="preserve">proposed that the IB should run a “proof of concept” simulation </w:t>
      </w:r>
      <w:r w:rsidR="00CA552D" w:rsidRPr="007B5EFB">
        <w:rPr>
          <w:szCs w:val="22"/>
        </w:rPr>
        <w:t xml:space="preserve">with regard to the possible </w:t>
      </w:r>
      <w:r w:rsidRPr="007B5EFB">
        <w:rPr>
          <w:lang w:eastAsia="en-US"/>
        </w:rPr>
        <w:t xml:space="preserve">hedging </w:t>
      </w:r>
      <w:r w:rsidR="00CA552D" w:rsidRPr="007B5EFB">
        <w:rPr>
          <w:lang w:eastAsia="en-US"/>
        </w:rPr>
        <w:t xml:space="preserve">of </w:t>
      </w:r>
      <w:bookmarkStart w:id="22" w:name="_Ref418082172"/>
      <w:r w:rsidR="007B0DE1" w:rsidRPr="007B5EFB">
        <w:rPr>
          <w:lang w:eastAsia="en-US"/>
        </w:rPr>
        <w:t>the risks resulting from ISAs requesting to be reimbursed by the IB under Rule 16.1(e)</w:t>
      </w:r>
      <w:r w:rsidR="002A01F7" w:rsidRPr="007B5EFB">
        <w:rPr>
          <w:lang w:eastAsia="en-US"/>
        </w:rPr>
        <w:t>, with a view to</w:t>
      </w:r>
      <w:r w:rsidR="002A01F7" w:rsidRPr="007B5EFB">
        <w:t xml:space="preserve"> presenting a detailed proposal for discussion by the Working Group at its next session in 2016</w:t>
      </w:r>
      <w:r w:rsidR="002A01F7" w:rsidRPr="007B5EFB">
        <w:rPr>
          <w:szCs w:val="22"/>
        </w:rPr>
        <w:t>.</w:t>
      </w:r>
      <w:r w:rsidR="00660832" w:rsidRPr="007B5EFB">
        <w:rPr>
          <w:lang w:eastAsia="en-US"/>
        </w:rPr>
        <w:t xml:space="preserve">  D</w:t>
      </w:r>
      <w:r w:rsidR="007B0DE1" w:rsidRPr="007B5EFB">
        <w:rPr>
          <w:lang w:eastAsia="en-US"/>
        </w:rPr>
        <w:t xml:space="preserve">uring </w:t>
      </w:r>
      <w:r w:rsidR="00660832" w:rsidRPr="007B5EFB">
        <w:rPr>
          <w:lang w:eastAsia="en-US"/>
        </w:rPr>
        <w:t xml:space="preserve">that simulation, </w:t>
      </w:r>
      <w:r w:rsidR="007B0DE1" w:rsidRPr="007B5EFB">
        <w:rPr>
          <w:lang w:eastAsia="en-US"/>
        </w:rPr>
        <w:t>the IB would commence the monitoring of search fee volume</w:t>
      </w:r>
      <w:r w:rsidR="00660832" w:rsidRPr="007B5EFB">
        <w:rPr>
          <w:lang w:eastAsia="en-US"/>
        </w:rPr>
        <w:t>s</w:t>
      </w:r>
      <w:r w:rsidR="007B0DE1" w:rsidRPr="007B5EFB">
        <w:rPr>
          <w:lang w:eastAsia="en-US"/>
        </w:rPr>
        <w:t xml:space="preserve"> forecasts against actual volumes with a view to be able to assess the accuracy of the predictions and build up forecasts of currency flows, </w:t>
      </w:r>
      <w:r w:rsidR="00660832" w:rsidRPr="007B5EFB">
        <w:rPr>
          <w:lang w:eastAsia="en-US"/>
        </w:rPr>
        <w:t xml:space="preserve">and would seek discussions with ISAs concerned as to how best to </w:t>
      </w:r>
      <w:r w:rsidR="00CB48BB" w:rsidRPr="007B5EFB">
        <w:rPr>
          <w:lang w:eastAsia="en-US"/>
        </w:rPr>
        <w:t>streamline and regularize</w:t>
      </w:r>
      <w:r w:rsidR="00660832" w:rsidRPr="007B5EFB">
        <w:rPr>
          <w:lang w:eastAsia="en-US"/>
        </w:rPr>
        <w:t xml:space="preserve"> the submission of requests for reimbursement under Rule 16.1(e)</w:t>
      </w:r>
      <w:r w:rsidRPr="007B5EFB">
        <w:rPr>
          <w:szCs w:val="22"/>
        </w:rPr>
        <w:t>.</w:t>
      </w:r>
      <w:bookmarkEnd w:id="22"/>
      <w:bookmarkEnd w:id="21"/>
    </w:p>
    <w:p w:rsidR="00283329" w:rsidRPr="007B5EFB" w:rsidRDefault="00283329" w:rsidP="002D1A98">
      <w:pPr>
        <w:pStyle w:val="ONUME"/>
        <w:tabs>
          <w:tab w:val="left" w:pos="6120"/>
        </w:tabs>
        <w:ind w:left="5533"/>
        <w:rPr>
          <w:i/>
        </w:rPr>
      </w:pPr>
      <w:r w:rsidRPr="007B5EFB">
        <w:rPr>
          <w:i/>
        </w:rPr>
        <w:t>The Working Group is invited:</w:t>
      </w:r>
    </w:p>
    <w:p w:rsidR="00283329" w:rsidRPr="007B5EFB" w:rsidRDefault="00283329" w:rsidP="00283329">
      <w:pPr>
        <w:pStyle w:val="ONUME"/>
        <w:numPr>
          <w:ilvl w:val="0"/>
          <w:numId w:val="0"/>
        </w:numPr>
        <w:ind w:left="6100"/>
        <w:rPr>
          <w:i/>
        </w:rPr>
      </w:pPr>
      <w:r w:rsidRPr="007B5EFB">
        <w:rPr>
          <w:i/>
        </w:rPr>
        <w:t>(i)</w:t>
      </w:r>
      <w:r w:rsidRPr="007B5EFB">
        <w:rPr>
          <w:i/>
        </w:rPr>
        <w:tab/>
      </w:r>
      <w:proofErr w:type="gramStart"/>
      <w:r w:rsidRPr="007B5EFB">
        <w:rPr>
          <w:i/>
        </w:rPr>
        <w:t>to</w:t>
      </w:r>
      <w:proofErr w:type="gramEnd"/>
      <w:r w:rsidRPr="007B5EFB">
        <w:rPr>
          <w:i/>
        </w:rPr>
        <w:t xml:space="preserve"> comment on the issues raised in this document, in particular on the proposed way forward set out in paragraphs </w:t>
      </w:r>
      <w:r w:rsidRPr="007B5EFB">
        <w:rPr>
          <w:i/>
        </w:rPr>
        <w:fldChar w:fldCharType="begin"/>
      </w:r>
      <w:r w:rsidRPr="007B5EFB">
        <w:rPr>
          <w:i/>
        </w:rPr>
        <w:instrText xml:space="preserve"> REF _Ref418511098 \r \h </w:instrText>
      </w:r>
      <w:r w:rsidR="007B5EFB">
        <w:rPr>
          <w:i/>
        </w:rPr>
        <w:instrText xml:space="preserve"> \* MERGEFORMAT </w:instrText>
      </w:r>
      <w:r w:rsidRPr="007B5EFB">
        <w:rPr>
          <w:i/>
        </w:rPr>
      </w:r>
      <w:r w:rsidRPr="007B5EFB">
        <w:rPr>
          <w:i/>
        </w:rPr>
        <w:fldChar w:fldCharType="separate"/>
      </w:r>
      <w:r w:rsidR="008431A0">
        <w:rPr>
          <w:i/>
        </w:rPr>
        <w:t>11</w:t>
      </w:r>
      <w:r w:rsidRPr="007B5EFB">
        <w:rPr>
          <w:i/>
        </w:rPr>
        <w:fldChar w:fldCharType="end"/>
      </w:r>
      <w:r w:rsidRPr="007B5EFB">
        <w:rPr>
          <w:i/>
        </w:rPr>
        <w:t xml:space="preserve"> to </w:t>
      </w:r>
      <w:r w:rsidRPr="007B5EFB">
        <w:rPr>
          <w:i/>
        </w:rPr>
        <w:fldChar w:fldCharType="begin"/>
      </w:r>
      <w:r w:rsidRPr="007B5EFB">
        <w:rPr>
          <w:i/>
        </w:rPr>
        <w:instrText xml:space="preserve"> REF _Ref418082533 \r \h </w:instrText>
      </w:r>
      <w:r w:rsidR="007B5EFB">
        <w:rPr>
          <w:i/>
        </w:rPr>
        <w:instrText xml:space="preserve"> \* MERGEFORMAT </w:instrText>
      </w:r>
      <w:r w:rsidRPr="007B5EFB">
        <w:rPr>
          <w:i/>
        </w:rPr>
      </w:r>
      <w:r w:rsidRPr="007B5EFB">
        <w:rPr>
          <w:i/>
        </w:rPr>
        <w:fldChar w:fldCharType="separate"/>
      </w:r>
      <w:r w:rsidR="008431A0">
        <w:rPr>
          <w:i/>
        </w:rPr>
        <w:t>15</w:t>
      </w:r>
      <w:r w:rsidRPr="007B5EFB">
        <w:rPr>
          <w:i/>
        </w:rPr>
        <w:fldChar w:fldCharType="end"/>
      </w:r>
      <w:r w:rsidRPr="007B5EFB">
        <w:rPr>
          <w:i/>
        </w:rPr>
        <w:t>;</w:t>
      </w:r>
    </w:p>
    <w:p w:rsidR="00283329" w:rsidRPr="007B5EFB" w:rsidRDefault="00283329" w:rsidP="00283329">
      <w:pPr>
        <w:pStyle w:val="ONUME"/>
        <w:numPr>
          <w:ilvl w:val="0"/>
          <w:numId w:val="0"/>
        </w:numPr>
        <w:ind w:left="6100"/>
        <w:rPr>
          <w:i/>
        </w:rPr>
      </w:pPr>
      <w:r w:rsidRPr="007B5EFB">
        <w:rPr>
          <w:i/>
        </w:rPr>
        <w:t>(ii)</w:t>
      </w:r>
      <w:r w:rsidRPr="007B5EFB">
        <w:rPr>
          <w:i/>
        </w:rPr>
        <w:tab/>
        <w:t xml:space="preserve">to consider the proposed modifications to the Directives of the Assembly Relating to the Establishment of Equivalent Amounts of Certain Fees contained in </w:t>
      </w:r>
      <w:r w:rsidR="00744B77" w:rsidRPr="007B5EFB">
        <w:rPr>
          <w:i/>
        </w:rPr>
        <w:t>A</w:t>
      </w:r>
      <w:r w:rsidRPr="007B5EFB">
        <w:rPr>
          <w:i/>
        </w:rPr>
        <w:t xml:space="preserve">nnex </w:t>
      </w:r>
      <w:r w:rsidR="00744B77" w:rsidRPr="007B5EFB">
        <w:rPr>
          <w:i/>
        </w:rPr>
        <w:t xml:space="preserve">II </w:t>
      </w:r>
      <w:r w:rsidRPr="007B5EFB">
        <w:rPr>
          <w:i/>
        </w:rPr>
        <w:t>to this document.</w:t>
      </w:r>
    </w:p>
    <w:bookmarkEnd w:id="8"/>
    <w:p w:rsidR="00C85064" w:rsidRPr="007B5EFB" w:rsidRDefault="00C85064" w:rsidP="00C85064">
      <w:pPr>
        <w:pStyle w:val="ONUME"/>
        <w:numPr>
          <w:ilvl w:val="0"/>
          <w:numId w:val="0"/>
        </w:numPr>
        <w:tabs>
          <w:tab w:val="left" w:pos="720"/>
        </w:tabs>
        <w:ind w:left="6101"/>
        <w:rPr>
          <w:i/>
        </w:rPr>
      </w:pPr>
    </w:p>
    <w:p w:rsidR="00C85064" w:rsidRPr="007B5EFB" w:rsidRDefault="00C85064" w:rsidP="00C85EDF">
      <w:pPr>
        <w:pStyle w:val="Endofdocument-Annex"/>
      </w:pPr>
      <w:r w:rsidRPr="007B5EFB">
        <w:t>[Annex</w:t>
      </w:r>
      <w:r w:rsidR="00283329" w:rsidRPr="007B5EFB">
        <w:t>es</w:t>
      </w:r>
      <w:r w:rsidRPr="007B5EFB">
        <w:t xml:space="preserve"> follow]</w:t>
      </w:r>
    </w:p>
    <w:p w:rsidR="00C85064" w:rsidRPr="007B5EFB" w:rsidRDefault="00C85064" w:rsidP="00C85064">
      <w:pPr>
        <w:pStyle w:val="ONUME"/>
        <w:tabs>
          <w:tab w:val="clear" w:pos="567"/>
          <w:tab w:val="num" w:pos="6597"/>
        </w:tabs>
        <w:sectPr w:rsidR="00C85064" w:rsidRPr="007B5EFB" w:rsidSect="00A1006D">
          <w:headerReference w:type="default" r:id="rId11"/>
          <w:headerReference w:type="first" r:id="rId12"/>
          <w:endnotePr>
            <w:numFmt w:val="decimal"/>
          </w:endnotePr>
          <w:pgSz w:w="11907" w:h="16840" w:code="9"/>
          <w:pgMar w:top="562" w:right="1138" w:bottom="1411" w:left="1411" w:header="504" w:footer="1022" w:gutter="0"/>
          <w:cols w:space="720"/>
          <w:titlePg/>
          <w:docGrid w:linePitch="299"/>
        </w:sectPr>
      </w:pPr>
    </w:p>
    <w:p w:rsidR="003B048F" w:rsidRPr="007B5EFB" w:rsidRDefault="003B048F" w:rsidP="00C85064">
      <w:pPr>
        <w:ind w:left="-360"/>
        <w:jc w:val="center"/>
        <w:rPr>
          <w:szCs w:val="22"/>
        </w:rPr>
      </w:pPr>
      <w:bookmarkStart w:id="23" w:name="_Ref370465799"/>
    </w:p>
    <w:p w:rsidR="003B048F" w:rsidRPr="007B5EFB" w:rsidRDefault="003B048F" w:rsidP="00C85064">
      <w:pPr>
        <w:ind w:left="-360"/>
        <w:jc w:val="center"/>
        <w:rPr>
          <w:szCs w:val="22"/>
        </w:rPr>
      </w:pPr>
    </w:p>
    <w:p w:rsidR="003B048F" w:rsidRPr="007B5EFB" w:rsidRDefault="003B048F" w:rsidP="00C85064">
      <w:pPr>
        <w:ind w:left="-360"/>
        <w:jc w:val="center"/>
        <w:rPr>
          <w:szCs w:val="22"/>
        </w:rPr>
      </w:pPr>
    </w:p>
    <w:p w:rsidR="00C85064" w:rsidRPr="007B5EFB" w:rsidRDefault="00C85064" w:rsidP="00C85064">
      <w:pPr>
        <w:ind w:left="-360"/>
        <w:jc w:val="center"/>
        <w:rPr>
          <w:szCs w:val="22"/>
        </w:rPr>
      </w:pPr>
      <w:r w:rsidRPr="007B5EFB">
        <w:rPr>
          <w:szCs w:val="22"/>
        </w:rPr>
        <w:t>CIRCULAR C. PCT 1440</w:t>
      </w:r>
    </w:p>
    <w:p w:rsidR="00C85064" w:rsidRPr="007B5EFB" w:rsidRDefault="00C85064" w:rsidP="00770CEC">
      <w:pPr>
        <w:rPr>
          <w:szCs w:val="22"/>
        </w:rPr>
      </w:pPr>
    </w:p>
    <w:p w:rsidR="003B048F" w:rsidRPr="007B5EFB" w:rsidRDefault="003B048F" w:rsidP="00770CEC">
      <w:pPr>
        <w:rPr>
          <w:szCs w:val="22"/>
        </w:rPr>
      </w:pPr>
    </w:p>
    <w:p w:rsidR="003B048F" w:rsidRPr="007B5EFB" w:rsidRDefault="003B048F" w:rsidP="00770CEC">
      <w:pPr>
        <w:rPr>
          <w:szCs w:val="22"/>
        </w:rPr>
      </w:pPr>
    </w:p>
    <w:tbl>
      <w:tblPr>
        <w:tblW w:w="9073" w:type="dxa"/>
        <w:tblInd w:w="-1" w:type="dxa"/>
        <w:tblLook w:val="01E0" w:firstRow="1" w:lastRow="1" w:firstColumn="1" w:lastColumn="1" w:noHBand="0" w:noVBand="0"/>
      </w:tblPr>
      <w:tblGrid>
        <w:gridCol w:w="5248"/>
        <w:gridCol w:w="3655"/>
        <w:gridCol w:w="85"/>
        <w:gridCol w:w="85"/>
      </w:tblGrid>
      <w:tr w:rsidR="00C85064" w:rsidRPr="007B5EFB" w:rsidTr="003B048F">
        <w:trPr>
          <w:gridAfter w:val="1"/>
          <w:trHeight w:hRule="exact" w:val="340"/>
        </w:trPr>
        <w:tc>
          <w:tcPr>
            <w:tcW w:w="5248" w:type="dxa"/>
            <w:tcMar>
              <w:left w:w="0" w:type="dxa"/>
              <w:right w:w="0" w:type="dxa"/>
            </w:tcMar>
            <w:vAlign w:val="center"/>
          </w:tcPr>
          <w:p w:rsidR="00C85064" w:rsidRPr="007B5EFB" w:rsidRDefault="00C85064" w:rsidP="00CD5785">
            <w:pPr>
              <w:rPr>
                <w:szCs w:val="22"/>
              </w:rPr>
            </w:pPr>
            <w:r w:rsidRPr="007B5EFB">
              <w:rPr>
                <w:szCs w:val="22"/>
              </w:rPr>
              <w:t>C. PCT 1440</w:t>
            </w:r>
          </w:p>
        </w:tc>
        <w:tc>
          <w:tcPr>
            <w:tcW w:w="0" w:type="auto"/>
            <w:gridSpan w:val="2"/>
            <w:tcMar>
              <w:left w:w="0" w:type="dxa"/>
              <w:right w:w="0" w:type="dxa"/>
            </w:tcMar>
            <w:vAlign w:val="center"/>
          </w:tcPr>
          <w:p w:rsidR="00C85064" w:rsidRPr="007B5EFB" w:rsidRDefault="00C85064" w:rsidP="004B0CE7">
            <w:pPr>
              <w:ind w:left="1954"/>
              <w:rPr>
                <w:szCs w:val="22"/>
              </w:rPr>
            </w:pPr>
            <w:r w:rsidRPr="007B5EFB">
              <w:rPr>
                <w:szCs w:val="22"/>
              </w:rPr>
              <w:t>January 19, 2015</w:t>
            </w:r>
          </w:p>
        </w:tc>
      </w:tr>
      <w:tr w:rsidR="00C85064" w:rsidRPr="007B5EFB" w:rsidTr="003B048F">
        <w:trPr>
          <w:trHeight w:hRule="exact" w:val="340"/>
        </w:trPr>
        <w:tc>
          <w:tcPr>
            <w:tcW w:w="6949" w:type="dxa"/>
            <w:gridSpan w:val="2"/>
            <w:tcMar>
              <w:left w:w="0" w:type="dxa"/>
              <w:right w:w="0" w:type="dxa"/>
            </w:tcMar>
            <w:vAlign w:val="center"/>
          </w:tcPr>
          <w:p w:rsidR="00C85064" w:rsidRPr="007B5EFB" w:rsidRDefault="00C85064" w:rsidP="00CD5785">
            <w:pPr>
              <w:rPr>
                <w:szCs w:val="22"/>
              </w:rPr>
            </w:pPr>
          </w:p>
        </w:tc>
        <w:tc>
          <w:tcPr>
            <w:tcW w:w="0" w:type="auto"/>
            <w:gridSpan w:val="2"/>
            <w:tcMar>
              <w:left w:w="0" w:type="dxa"/>
              <w:right w:w="0" w:type="dxa"/>
            </w:tcMar>
            <w:vAlign w:val="center"/>
          </w:tcPr>
          <w:p w:rsidR="00C85064" w:rsidRPr="007B5EFB" w:rsidRDefault="00C85064" w:rsidP="00CD5785">
            <w:pPr>
              <w:rPr>
                <w:szCs w:val="22"/>
              </w:rPr>
            </w:pPr>
          </w:p>
        </w:tc>
      </w:tr>
    </w:tbl>
    <w:p w:rsidR="00C85064" w:rsidRPr="007B5EFB" w:rsidRDefault="00C85064" w:rsidP="00C85064">
      <w:pPr>
        <w:rPr>
          <w:szCs w:val="22"/>
        </w:rPr>
      </w:pPr>
    </w:p>
    <w:p w:rsidR="00C85064" w:rsidRPr="007B5EFB" w:rsidRDefault="00C85064" w:rsidP="00C85064">
      <w:pPr>
        <w:rPr>
          <w:szCs w:val="22"/>
        </w:rPr>
      </w:pPr>
    </w:p>
    <w:p w:rsidR="003B048F" w:rsidRPr="007B5EFB" w:rsidRDefault="003B048F" w:rsidP="00C85064">
      <w:pPr>
        <w:rPr>
          <w:szCs w:val="22"/>
        </w:rPr>
      </w:pPr>
    </w:p>
    <w:p w:rsidR="003B048F" w:rsidRPr="007B5EFB" w:rsidRDefault="003B048F" w:rsidP="00C85064">
      <w:pPr>
        <w:rPr>
          <w:szCs w:val="22"/>
        </w:rPr>
      </w:pPr>
    </w:p>
    <w:p w:rsidR="00C85064" w:rsidRPr="007B5EFB" w:rsidRDefault="00C85064" w:rsidP="00C85064">
      <w:pPr>
        <w:rPr>
          <w:szCs w:val="22"/>
        </w:rPr>
      </w:pPr>
      <w:r w:rsidRPr="007B5EFB">
        <w:rPr>
          <w:szCs w:val="22"/>
        </w:rPr>
        <w:t>Madam,</w:t>
      </w:r>
    </w:p>
    <w:p w:rsidR="00C85064" w:rsidRPr="007B5EFB" w:rsidRDefault="00C85064" w:rsidP="00C85064">
      <w:pPr>
        <w:rPr>
          <w:szCs w:val="22"/>
        </w:rPr>
      </w:pPr>
      <w:r w:rsidRPr="007B5EFB">
        <w:rPr>
          <w:szCs w:val="22"/>
        </w:rPr>
        <w:t>Sir,</w:t>
      </w:r>
    </w:p>
    <w:p w:rsidR="00C85064" w:rsidRPr="007B5EFB" w:rsidRDefault="00C85064" w:rsidP="00C85064">
      <w:pPr>
        <w:rPr>
          <w:szCs w:val="22"/>
        </w:rPr>
      </w:pPr>
    </w:p>
    <w:p w:rsidR="00C85064" w:rsidRPr="007B5EFB" w:rsidRDefault="00C85064" w:rsidP="00C85064">
      <w:pPr>
        <w:pStyle w:val="Heading1"/>
        <w:rPr>
          <w:iCs/>
        </w:rPr>
      </w:pPr>
      <w:r w:rsidRPr="007B5EFB">
        <w:t>PCT Fee income:  Possible Measures to Reduce Exposure to Movements in Currency Exchange Rates</w:t>
      </w:r>
    </w:p>
    <w:p w:rsidR="00C85064" w:rsidRPr="007B5EFB" w:rsidRDefault="00C85064" w:rsidP="000A17C1">
      <w:pPr>
        <w:pStyle w:val="Endofdocument-Annex"/>
        <w:numPr>
          <w:ilvl w:val="0"/>
          <w:numId w:val="7"/>
        </w:numPr>
        <w:tabs>
          <w:tab w:val="num" w:pos="851"/>
          <w:tab w:val="num" w:pos="6597"/>
        </w:tabs>
        <w:ind w:left="0"/>
        <w:rPr>
          <w:szCs w:val="22"/>
        </w:rPr>
      </w:pPr>
      <w:r w:rsidRPr="007B5EFB">
        <w:rPr>
          <w:szCs w:val="22"/>
        </w:rPr>
        <w:t>This Circular is addressed to your Office in its capacity as a receiving Office (“RO”), International Searching Authority (“ISA”) and International Preliminary Examining Authority (“IPEA”) and/or designated/elected Office under the Patent Cooperation Treaty (PCT).  It is also being sent to Geneva</w:t>
      </w:r>
      <w:r w:rsidRPr="007B5EFB">
        <w:rPr>
          <w:szCs w:val="22"/>
        </w:rPr>
        <w:noBreakHyphen/>
        <w:t>based missions and foreign ministries of PCT Contracting States, as well as to certain organizations that are invited to attend meetings of the PCT Working Group as observers.</w:t>
      </w:r>
    </w:p>
    <w:p w:rsidR="00C85064" w:rsidRPr="007B5EFB" w:rsidRDefault="00C85064" w:rsidP="00C85064">
      <w:pPr>
        <w:pStyle w:val="ONUME"/>
        <w:tabs>
          <w:tab w:val="num" w:pos="851"/>
          <w:tab w:val="num" w:pos="6597"/>
        </w:tabs>
        <w:rPr>
          <w:szCs w:val="22"/>
        </w:rPr>
      </w:pPr>
      <w:r w:rsidRPr="007B5EFB">
        <w:rPr>
          <w:szCs w:val="22"/>
        </w:rPr>
        <w:t>The purpose of the present Circular is to consult on proposed measures to reduce the risk of exposure of PCT fee income to movements in currency exchange rates, with a view to providing greater predictability to the budgetary process and thereby adding to the financial stability of the World Intellectual Property Organization (WIPO).</w:t>
      </w:r>
    </w:p>
    <w:p w:rsidR="00C85064" w:rsidRPr="007B5EFB" w:rsidRDefault="00C85064" w:rsidP="00C85064">
      <w:pPr>
        <w:pStyle w:val="Heading1"/>
      </w:pPr>
      <w:r w:rsidRPr="007B5EFB">
        <w:t>Background</w:t>
      </w:r>
    </w:p>
    <w:p w:rsidR="00C85064" w:rsidRPr="007B5EFB" w:rsidRDefault="00C85064" w:rsidP="00C85064">
      <w:pPr>
        <w:pStyle w:val="Heading2"/>
      </w:pPr>
      <w:r w:rsidRPr="007B5EFB">
        <w:t>Payment of Fees in Local Currency</w:t>
      </w:r>
      <w:r w:rsidRPr="007B5EFB">
        <w:rPr>
          <w:rStyle w:val="FootnoteReference"/>
        </w:rPr>
        <w:footnoteReference w:id="3"/>
      </w:r>
    </w:p>
    <w:p w:rsidR="00C85064" w:rsidRPr="007B5EFB" w:rsidRDefault="00C85064" w:rsidP="00C85064">
      <w:pPr>
        <w:pStyle w:val="ONUME"/>
        <w:tabs>
          <w:tab w:val="num" w:pos="851"/>
          <w:tab w:val="num" w:pos="6597"/>
        </w:tabs>
      </w:pPr>
      <w:r w:rsidRPr="007B5EFB">
        <w:t xml:space="preserve">The filing of an international application under the PCT requires the payment by the applicant of different fees for the benefit of different recipients.  Among the fees to be paid, and of particular importance in the present context, are the international filing fee, which is for the benefit of the </w:t>
      </w:r>
      <w:r w:rsidR="00EE5C75" w:rsidRPr="007B5EFB">
        <w:t>IB</w:t>
      </w:r>
      <w:r w:rsidRPr="007B5EFB">
        <w:t xml:space="preserve"> (“IB”), and the search fee, which is for the benefit of the ISA.  These fees are paid by the applicant to the RO, that is, the Office with which the international application is filed.  The RO subsequently transfers the international filing fee to the IB and the search fee to the ISA.</w:t>
      </w:r>
    </w:p>
    <w:p w:rsidR="00C85064" w:rsidRPr="007B5EFB" w:rsidRDefault="00C85064" w:rsidP="00C85064">
      <w:pPr>
        <w:pStyle w:val="ONUME"/>
        <w:keepNext/>
        <w:keepLines/>
        <w:tabs>
          <w:tab w:val="num" w:pos="851"/>
          <w:tab w:val="num" w:pos="6597"/>
        </w:tabs>
        <w:rPr>
          <w:szCs w:val="22"/>
        </w:rPr>
      </w:pPr>
      <w:bookmarkStart w:id="24" w:name="_Ref396919192"/>
      <w:r w:rsidRPr="007B5EFB">
        <w:rPr>
          <w:szCs w:val="22"/>
        </w:rPr>
        <w:lastRenderedPageBreak/>
        <w:t>While both the international filing fee and the search fee are fixed in one currency (the international filing fee is fixed in Swiss francs, the search fee is fixed in the currency of the country in which the ISA has its headquarters), these fees are usually paid by the applicant not in the “fixed currencies” but in the local currency accepted by the RO with which the international application is filed.</w:t>
      </w:r>
    </w:p>
    <w:p w:rsidR="00C85064" w:rsidRPr="007B5EFB" w:rsidRDefault="00C85064" w:rsidP="00C85064">
      <w:pPr>
        <w:pStyle w:val="Heading2"/>
      </w:pPr>
      <w:r w:rsidRPr="007B5EFB">
        <w:t>Local Currency is not freely convertible</w:t>
      </w:r>
      <w:r w:rsidRPr="007B5EFB">
        <w:rPr>
          <w:rStyle w:val="FootnoteReference"/>
        </w:rPr>
        <w:footnoteReference w:id="4"/>
      </w:r>
    </w:p>
    <w:p w:rsidR="00C85064" w:rsidRPr="007B5EFB" w:rsidRDefault="00C85064" w:rsidP="00C85064">
      <w:pPr>
        <w:pStyle w:val="ONUME"/>
        <w:keepNext/>
        <w:keepLines/>
        <w:tabs>
          <w:tab w:val="num" w:pos="851"/>
          <w:tab w:val="num" w:pos="6597"/>
        </w:tabs>
        <w:rPr>
          <w:szCs w:val="22"/>
        </w:rPr>
      </w:pPr>
      <w:r w:rsidRPr="007B5EFB">
        <w:rPr>
          <w:szCs w:val="22"/>
        </w:rPr>
        <w:t>Where the local currency in which the applicant is required to pay PCT fees is a currency which is not “freely convertible”, the RO is required to transfer the full amount of the international filing fee in Swiss francs</w:t>
      </w:r>
      <w:bookmarkStart w:id="25" w:name="_Ref400550538"/>
      <w:r w:rsidRPr="007B5EFB">
        <w:rPr>
          <w:szCs w:val="22"/>
        </w:rPr>
        <w:t>, United States dollar or euro</w:t>
      </w:r>
      <w:bookmarkEnd w:id="25"/>
      <w:r w:rsidRPr="007B5EFB">
        <w:rPr>
          <w:szCs w:val="22"/>
        </w:rPr>
        <w:t xml:space="preserve"> and the full amount of the search fee in the currency in which the ISA has its headquarters to the IB and the ISA, respectively.</w:t>
      </w:r>
    </w:p>
    <w:p w:rsidR="00C85064" w:rsidRPr="007B5EFB" w:rsidRDefault="00537915" w:rsidP="00C85064">
      <w:pPr>
        <w:rPr>
          <w:szCs w:val="22"/>
        </w:rPr>
      </w:pPr>
      <w:r w:rsidRPr="007B5EFB">
        <w:rPr>
          <w:noProof/>
          <w:lang w:eastAsia="en-US"/>
        </w:rPr>
        <w:drawing>
          <wp:inline distT="0" distB="0" distL="0" distR="0" wp14:anchorId="3EE3DA1E" wp14:editId="4633869E">
            <wp:extent cx="4996815" cy="349694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6815" cy="3496945"/>
                    </a:xfrm>
                    <a:prstGeom prst="rect">
                      <a:avLst/>
                    </a:prstGeom>
                    <a:noFill/>
                    <a:ln>
                      <a:noFill/>
                    </a:ln>
                  </pic:spPr>
                </pic:pic>
              </a:graphicData>
            </a:graphic>
          </wp:inline>
        </w:drawing>
      </w:r>
    </w:p>
    <w:p w:rsidR="00C85064" w:rsidRPr="007B5EFB" w:rsidRDefault="00C85064" w:rsidP="00C85064">
      <w:pPr>
        <w:pStyle w:val="ONUME"/>
        <w:keepNext/>
        <w:keepLines/>
        <w:tabs>
          <w:tab w:val="num" w:pos="851"/>
          <w:tab w:val="num" w:pos="6597"/>
        </w:tabs>
        <w:rPr>
          <w:szCs w:val="22"/>
        </w:rPr>
      </w:pPr>
      <w:r w:rsidRPr="007B5EFB">
        <w:t>ROs which collect PCT fees in a local currency which is not freely convertible usually determine the amount of such fees payable in the local currency based on the local exchange rate, applicable on the day of filing, between that local currency and the Swiss franc, United States dollar or euro (in the case of the international filing fee) or the currency fixed by the ISA (in the case of the search fee).  The RO then performs the conversion locally into either Swiss francs, United States dollar or euro</w:t>
      </w:r>
      <w:r w:rsidRPr="007B5EFB">
        <w:rPr>
          <w:rStyle w:val="FootnoteReference"/>
          <w:szCs w:val="22"/>
        </w:rPr>
        <w:t xml:space="preserve"> </w:t>
      </w:r>
      <w:r w:rsidRPr="007B5EFB">
        <w:t>(in the case of the international filing fee) or into the currency fixed by the ISA (in the case of the search fee) and transfers the full amount of those fees due (not the amount resulting from the conversion) to the IB and the ISA, respectively.  Any losses resulting from the conversion process will have to be borne by the RO, whereas any gains resulting from that conversion process are to the benefit of that Office.  Where, in the case of the international filing fee, the RO transfers not Swiss francs but United States dollars or euros to the IB, the same considerations as set out in paragraphs </w:t>
      </w:r>
      <w:r w:rsidR="002964C7" w:rsidRPr="007B5EFB">
        <w:t>7</w:t>
      </w:r>
      <w:r w:rsidRPr="007B5EFB">
        <w:t xml:space="preserve"> to </w:t>
      </w:r>
      <w:r w:rsidR="002964C7" w:rsidRPr="007B5EFB">
        <w:t>12</w:t>
      </w:r>
      <w:r w:rsidRPr="007B5EFB">
        <w:t>, below, apply as regards possible losses to be borne by the IB, or gains to be made by the IB, due to exchange rate fluctuations between those currencies and the Swiss franc.</w:t>
      </w:r>
    </w:p>
    <w:p w:rsidR="00C85064" w:rsidRPr="007B5EFB" w:rsidRDefault="00C85064" w:rsidP="00C85064">
      <w:pPr>
        <w:pStyle w:val="Heading2"/>
        <w:keepLines/>
        <w:pageBreakBefore/>
      </w:pPr>
      <w:r w:rsidRPr="007B5EFB">
        <w:lastRenderedPageBreak/>
        <w:t>Local Currency is freely convertible</w:t>
      </w:r>
      <w:r w:rsidRPr="007B5EFB">
        <w:rPr>
          <w:rStyle w:val="FootnoteReference"/>
        </w:rPr>
        <w:footnoteReference w:id="5"/>
      </w:r>
    </w:p>
    <w:p w:rsidR="00C85064" w:rsidRPr="007B5EFB" w:rsidRDefault="00C85064" w:rsidP="00C85064">
      <w:pPr>
        <w:pStyle w:val="ONUME"/>
        <w:keepNext/>
        <w:keepLines/>
        <w:tabs>
          <w:tab w:val="num" w:pos="851"/>
          <w:tab w:val="num" w:pos="6597"/>
        </w:tabs>
        <w:rPr>
          <w:szCs w:val="22"/>
        </w:rPr>
      </w:pPr>
      <w:bookmarkStart w:id="26" w:name="_Ref401761698"/>
      <w:r w:rsidRPr="007B5EFB">
        <w:t xml:space="preserve">Where, </w:t>
      </w:r>
      <w:r w:rsidRPr="007B5EFB">
        <w:rPr>
          <w:szCs w:val="22"/>
        </w:rPr>
        <w:t xml:space="preserve">on the other hand, </w:t>
      </w:r>
      <w:r w:rsidRPr="007B5EFB">
        <w:t>the local RO currency</w:t>
      </w:r>
      <w:r w:rsidRPr="007B5EFB">
        <w:rPr>
          <w:szCs w:val="22"/>
        </w:rPr>
        <w:t xml:space="preserve"> in which the applicant is required to pay PCT fees</w:t>
      </w:r>
      <w:r w:rsidRPr="007B5EFB">
        <w:t xml:space="preserve"> is a “freely convertible” currency, the Director General of WIPO establishes official “equivalent amounts” of both the international filing fee and the search fee in the local RO currency.  The applicant then pays the equivalent amounts of those fees in the local currency to the RO, and the RO simply transfers those equivalent amounts paid by the applicant in the local currency to the IB and the ISA, respectively.</w:t>
      </w:r>
      <w:bookmarkEnd w:id="26"/>
    </w:p>
    <w:bookmarkEnd w:id="24"/>
    <w:p w:rsidR="00C85064" w:rsidRPr="007B5EFB" w:rsidRDefault="00537915" w:rsidP="00C85064">
      <w:pPr>
        <w:rPr>
          <w:szCs w:val="22"/>
        </w:rPr>
      </w:pPr>
      <w:r w:rsidRPr="007B5EFB">
        <w:rPr>
          <w:noProof/>
          <w:lang w:eastAsia="en-US"/>
        </w:rPr>
        <w:drawing>
          <wp:inline distT="0" distB="0" distL="0" distR="0" wp14:anchorId="41C02D72" wp14:editId="049C4449">
            <wp:extent cx="5223510" cy="39020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3510" cy="3902075"/>
                    </a:xfrm>
                    <a:prstGeom prst="rect">
                      <a:avLst/>
                    </a:prstGeom>
                    <a:noFill/>
                    <a:ln>
                      <a:noFill/>
                    </a:ln>
                  </pic:spPr>
                </pic:pic>
              </a:graphicData>
            </a:graphic>
          </wp:inline>
        </w:drawing>
      </w:r>
    </w:p>
    <w:p w:rsidR="00537915" w:rsidRPr="007B5EFB" w:rsidRDefault="00537915" w:rsidP="00C85064">
      <w:pPr>
        <w:rPr>
          <w:szCs w:val="22"/>
        </w:rPr>
      </w:pPr>
    </w:p>
    <w:p w:rsidR="00C85064" w:rsidRPr="007B5EFB" w:rsidRDefault="00C85064" w:rsidP="00C85064">
      <w:pPr>
        <w:pStyle w:val="ONUME"/>
        <w:keepLines/>
        <w:tabs>
          <w:tab w:val="num" w:pos="6597"/>
        </w:tabs>
        <w:rPr>
          <w:szCs w:val="22"/>
        </w:rPr>
      </w:pPr>
      <w:r w:rsidRPr="007B5EFB">
        <w:rPr>
          <w:szCs w:val="22"/>
        </w:rPr>
        <w:t>In this case, applicants pay the international filing fee and the search fee in the local RO currency according to the equivalent amounts applicable on the date of filing.  However, the amounts of those fees resulting from the conversion by the IB and the ISA from the RO currency into the “fixed currencies” (Swiss franc and ISA currency, respectively) may be different from the amounts of those fees as set out in the PCT Schedule of Fees (in the case of the international filing fee) or as fixed by the ISA (in the case of the search fee).  This is due to fluctuations in exchange rates between the date on which the equivalent amounts of these fees have been established and the date on which these fees are transferred to the IB and the ISA, resulting in gains or losses for the IB and (initially) for the ISA.  In the case of the ISA, any losses incurred are to be reimbursed by the IB, whereas any additional amount received over the fee in the fixed currency belongs to the IB (see PCT Rule 16.1(e)).</w:t>
      </w:r>
    </w:p>
    <w:p w:rsidR="00C85064" w:rsidRPr="007B5EFB" w:rsidRDefault="00C85064" w:rsidP="00C85064">
      <w:pPr>
        <w:pStyle w:val="ONUME"/>
        <w:keepNext/>
        <w:keepLines/>
        <w:tabs>
          <w:tab w:val="num" w:pos="851"/>
          <w:tab w:val="num" w:pos="6597"/>
        </w:tabs>
        <w:rPr>
          <w:szCs w:val="22"/>
        </w:rPr>
      </w:pPr>
      <w:r w:rsidRPr="007B5EFB">
        <w:rPr>
          <w:szCs w:val="22"/>
        </w:rPr>
        <w:lastRenderedPageBreak/>
        <w:t>Delays in the transfer of fees from the RO to the IB and the ISA may further contribute to such gains or losses due to exchange rate fluctuations.  Such delays exist for various reasons, including:</w:t>
      </w:r>
    </w:p>
    <w:p w:rsidR="00C85064" w:rsidRPr="007B5EFB" w:rsidRDefault="00C85064" w:rsidP="00C85064">
      <w:pPr>
        <w:pStyle w:val="ONUME"/>
        <w:keepLines/>
        <w:numPr>
          <w:ilvl w:val="1"/>
          <w:numId w:val="5"/>
        </w:numPr>
        <w:tabs>
          <w:tab w:val="clear" w:pos="1134"/>
          <w:tab w:val="num" w:pos="851"/>
          <w:tab w:val="num" w:pos="1276"/>
        </w:tabs>
        <w:ind w:left="706"/>
        <w:rPr>
          <w:szCs w:val="22"/>
        </w:rPr>
      </w:pPr>
      <w:bookmarkStart w:id="27" w:name="_Ref370461339"/>
      <w:r w:rsidRPr="007B5EFB">
        <w:rPr>
          <w:szCs w:val="22"/>
        </w:rPr>
        <w:t>delays in the payment of fees by the applicant;  under the PCT Regulations, the applicant is required to pay the international filing fee and search fee within one month from the date of receipt of the application</w:t>
      </w:r>
      <w:r w:rsidRPr="007B5EFB">
        <w:rPr>
          <w:rStyle w:val="FootnoteReference"/>
          <w:szCs w:val="22"/>
        </w:rPr>
        <w:footnoteReference w:id="6"/>
      </w:r>
      <w:r w:rsidRPr="007B5EFB">
        <w:rPr>
          <w:szCs w:val="22"/>
        </w:rPr>
        <w:t>;  if the applicant has not paid these fees within this time limit, the RO will invite the applicant to pay those fees within one month from the date of the invitation, against a surcharge (which is for the benefit of the RO)</w:t>
      </w:r>
      <w:r w:rsidRPr="007B5EFB">
        <w:rPr>
          <w:rStyle w:val="FootnoteReference"/>
          <w:szCs w:val="22"/>
        </w:rPr>
        <w:footnoteReference w:id="7"/>
      </w:r>
      <w:r w:rsidRPr="007B5EFB">
        <w:rPr>
          <w:szCs w:val="22"/>
        </w:rPr>
        <w:t>;  and</w:t>
      </w:r>
      <w:bookmarkEnd w:id="27"/>
    </w:p>
    <w:p w:rsidR="00C85064" w:rsidRPr="007B5EFB" w:rsidRDefault="00C85064" w:rsidP="00C85064">
      <w:pPr>
        <w:pStyle w:val="ONUME"/>
        <w:numPr>
          <w:ilvl w:val="1"/>
          <w:numId w:val="5"/>
        </w:numPr>
        <w:tabs>
          <w:tab w:val="clear" w:pos="1134"/>
          <w:tab w:val="num" w:pos="851"/>
          <w:tab w:val="num" w:pos="1276"/>
        </w:tabs>
        <w:ind w:left="630"/>
        <w:rPr>
          <w:szCs w:val="22"/>
        </w:rPr>
      </w:pPr>
      <w:r w:rsidRPr="007B5EFB">
        <w:rPr>
          <w:szCs w:val="22"/>
        </w:rPr>
        <w:t xml:space="preserve">delays in the transfer of the international filing fee and search fee by the RO to the IB and the ISA, respectively. </w:t>
      </w:r>
    </w:p>
    <w:p w:rsidR="00C85064" w:rsidRPr="007B5EFB" w:rsidRDefault="00C85064" w:rsidP="00C85064">
      <w:pPr>
        <w:pStyle w:val="ONUME"/>
        <w:tabs>
          <w:tab w:val="num" w:pos="851"/>
          <w:tab w:val="num" w:pos="6597"/>
        </w:tabs>
      </w:pPr>
      <w:r w:rsidRPr="007B5EFB">
        <w:rPr>
          <w:noProof/>
          <w:lang w:eastAsia="en-US"/>
        </w:rPr>
        <mc:AlternateContent>
          <mc:Choice Requires="wps">
            <w:drawing>
              <wp:anchor distT="0" distB="0" distL="114300" distR="114300" simplePos="0" relativeHeight="251661312" behindDoc="0" locked="0" layoutInCell="1" allowOverlap="1" wp14:anchorId="79F45E23" wp14:editId="2ECC58B5">
                <wp:simplePos x="0" y="0"/>
                <wp:positionH relativeFrom="column">
                  <wp:posOffset>-685800</wp:posOffset>
                </wp:positionH>
                <wp:positionV relativeFrom="paragraph">
                  <wp:posOffset>814070</wp:posOffset>
                </wp:positionV>
                <wp:extent cx="317500" cy="63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17500" cy="63500"/>
                        </a:xfrm>
                        <a:prstGeom prst="rect">
                          <a:avLst/>
                        </a:prstGeom>
                        <a:solidFill>
                          <a:scrgbClr r="0" g="0" b="0">
                            <a:alpha val="0"/>
                          </a:scrgbClr>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943AF8" w:rsidRPr="00012B1F" w:rsidRDefault="00943AF8" w:rsidP="00C85064">
                            <w:pPr>
                              <w:jc w:val="right"/>
                              <w:rPr>
                                <w:sz w:val="20"/>
                              </w:rPr>
                            </w:pPr>
                            <w:r w:rsidRPr="00012B1F">
                              <w:rPr>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pt;margin-top:64.1pt;width:25pt;height: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" fillcolor="black" strokeweight=".5pt">
                <v:fill opacity="0"/>
                <v:stroke opacity="0" joinstyle="round"/>
                <v:textbox style="mso-fit-shape-to-text:t" inset="0,0,0,0">
                  <w:txbxContent>
                    <w:p w:rsidR="00943AF8" w:rsidRPr="00012B1F" w:rsidRDefault="00943AF8" w:rsidP="00C85064">
                      <w:pPr>
                        <w:jc w:val="right"/>
                        <w:rPr>
                          <w:sz w:val="20"/>
                        </w:rPr>
                      </w:pPr>
                      <w:r w:rsidRPr="00012B1F">
                        <w:rPr>
                          <w:sz w:val="20"/>
                        </w:rPr>
                        <w:t xml:space="preserve">./. </w:t>
                      </w:r>
                    </w:p>
                  </w:txbxContent>
                </v:textbox>
              </v:shape>
            </w:pict>
          </mc:Fallback>
        </mc:AlternateContent>
      </w:r>
      <w:r w:rsidRPr="007B5EFB">
        <w:t xml:space="preserve">Gains or losses are further </w:t>
      </w:r>
      <w:r w:rsidRPr="007B5EFB">
        <w:rPr>
          <w:szCs w:val="22"/>
        </w:rPr>
        <w:t>generated by</w:t>
      </w:r>
      <w:r w:rsidRPr="007B5EFB">
        <w:t xml:space="preserve"> the relatively slow process to establish new equivalent amounts.  This process is triggered only when the exchange rate between the fixed currency and the local RO currency has changed by more than 5 per cent over a period covering four consecutive Fridays (see paragraph 5 of the </w:t>
      </w:r>
      <w:r w:rsidRPr="007B5EFB">
        <w:rPr>
          <w:szCs w:val="22"/>
        </w:rPr>
        <w:t>Directives of the PCT Assembly Relating to the Establishment of Equivalent Amounts of Certain Fees, reproduced in Annex I to this Circular</w:t>
      </w:r>
      <w:r w:rsidRPr="007B5EFB">
        <w:t>).  After the process is triggered, it can take between three and five months for the new exchange rate to enter into force.</w:t>
      </w:r>
    </w:p>
    <w:p w:rsidR="00C85064" w:rsidRPr="007B5EFB" w:rsidRDefault="00C85064" w:rsidP="00C85064">
      <w:pPr>
        <w:pStyle w:val="ONUME"/>
        <w:keepLines/>
        <w:tabs>
          <w:tab w:val="num" w:pos="6597"/>
        </w:tabs>
        <w:rPr>
          <w:szCs w:val="22"/>
        </w:rPr>
      </w:pPr>
      <w:bookmarkStart w:id="28" w:name="_Ref396919194"/>
      <w:r w:rsidRPr="007B5EFB">
        <w:rPr>
          <w:szCs w:val="22"/>
        </w:rPr>
        <w:t>Thus, where the international filing fee and the search fee are paid in a freely convertible RO currency (which is the case in respect of the vast majority of international applications filed), all the financial risks associated with the transfer of those fees by the RO in the local RO currency and their subsequent conversion into the “fixed currencies” are solely born by the IB.  While the current procedure (receipt of fees in one currency and subsequent conversion of those fees into another currency) can, of course, result in both gains and losses, it exposes the PCT fee income of the IB to a major risk of fluctuating currency exchange rates.</w:t>
      </w:r>
      <w:bookmarkEnd w:id="28"/>
    </w:p>
    <w:p w:rsidR="00C85064" w:rsidRPr="007B5EFB" w:rsidRDefault="00C85064" w:rsidP="00C85064">
      <w:pPr>
        <w:pStyle w:val="ONUME"/>
        <w:keepLines/>
        <w:tabs>
          <w:tab w:val="num" w:pos="6597"/>
        </w:tabs>
        <w:rPr>
          <w:szCs w:val="22"/>
        </w:rPr>
      </w:pPr>
      <w:bookmarkStart w:id="29" w:name="_Ref396919313"/>
      <w:bookmarkStart w:id="30" w:name="_Ref401761703"/>
      <w:r w:rsidRPr="007B5EFB">
        <w:rPr>
          <w:szCs w:val="22"/>
        </w:rPr>
        <w:t>Given that PCT fee income constitutes WIPO’s largest source of revenue (in 2013, PCT fee income amounted to 257.5 million Swiss francs, which represented 73.2 per cent of total revenue), this exposure has a significant effect on overall income of WIPO.  To illustrate this effect, see the graph, below:  from 2006 to 2011, the IB incurred a loss in PCT fee income (international filing fees and handling fees (under Chapter II)) of more than 33 million Swiss francs, with a loss of more than 14 million Swiss francs in 2011 alone, due to the sharp appreciation of the Swiss franc against all major currencies.  By contrast, in 2012, changes in exchange rates resulted in gains in PCT fee income (international filing fees and handling fees) for the IB of about 7.6 million Swiss francs, whereas in 2013, changes in exchange rates again resulted in a loss in PCT fee income of about 6 million Swiss francs.</w:t>
      </w:r>
      <w:bookmarkEnd w:id="29"/>
      <w:bookmarkEnd w:id="30"/>
      <w:r w:rsidRPr="007B5EFB">
        <w:rPr>
          <w:szCs w:val="22"/>
        </w:rPr>
        <w:t xml:space="preserve">  Overall, in the eight years between 2006 and 2013, the IB incurred a loss in PCT fee income of more than 31 million Swiss francs.</w:t>
      </w:r>
    </w:p>
    <w:p w:rsidR="00C85064" w:rsidRPr="007B5EFB" w:rsidRDefault="00A54177" w:rsidP="00C85064">
      <w:pPr>
        <w:rPr>
          <w:szCs w:val="22"/>
        </w:rPr>
      </w:pPr>
      <w:r w:rsidRPr="007B5EFB">
        <w:rPr>
          <w:noProof/>
          <w:lang w:eastAsia="en-US"/>
        </w:rPr>
        <w:lastRenderedPageBreak/>
        <w:drawing>
          <wp:inline distT="0" distB="0" distL="0" distR="0" wp14:anchorId="7073D21F" wp14:editId="2650DC36">
            <wp:extent cx="5448300" cy="3133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3133725"/>
                    </a:xfrm>
                    <a:prstGeom prst="rect">
                      <a:avLst/>
                    </a:prstGeom>
                    <a:noFill/>
                    <a:ln>
                      <a:noFill/>
                    </a:ln>
                  </pic:spPr>
                </pic:pic>
              </a:graphicData>
            </a:graphic>
          </wp:inline>
        </w:drawing>
      </w:r>
    </w:p>
    <w:p w:rsidR="00A54177" w:rsidRPr="007B5EFB" w:rsidRDefault="00A54177" w:rsidP="00C85064">
      <w:pPr>
        <w:rPr>
          <w:szCs w:val="22"/>
        </w:rPr>
      </w:pPr>
    </w:p>
    <w:p w:rsidR="00C85064" w:rsidRPr="007B5EFB" w:rsidRDefault="00C85064" w:rsidP="00C85064">
      <w:pPr>
        <w:pStyle w:val="Heading2"/>
        <w:keepLines/>
      </w:pPr>
      <w:r w:rsidRPr="007B5EFB">
        <w:t>need to take action to reduce the inherent risk of exposure of PCT fee income to movements in currency exchange rates</w:t>
      </w:r>
    </w:p>
    <w:p w:rsidR="00C85064" w:rsidRPr="007B5EFB" w:rsidRDefault="00C85064" w:rsidP="00C85064">
      <w:pPr>
        <w:pStyle w:val="ONUME"/>
        <w:keepNext/>
        <w:keepLines/>
        <w:tabs>
          <w:tab w:val="num" w:pos="851"/>
          <w:tab w:val="num" w:pos="6597"/>
        </w:tabs>
        <w:rPr>
          <w:szCs w:val="22"/>
        </w:rPr>
      </w:pPr>
      <w:r w:rsidRPr="007B5EFB">
        <w:rPr>
          <w:szCs w:val="22"/>
        </w:rPr>
        <w:t xml:space="preserve">In the view of the </w:t>
      </w:r>
      <w:r w:rsidR="00EE5C75" w:rsidRPr="007B5EFB">
        <w:rPr>
          <w:szCs w:val="22"/>
        </w:rPr>
        <w:t>IB</w:t>
      </w:r>
      <w:r w:rsidRPr="007B5EFB">
        <w:rPr>
          <w:szCs w:val="22"/>
        </w:rPr>
        <w:t>, there is a need to take action to reduce the risk of exposure of PCT fee income to movements in currency exchange rates, so as to provide greater predictability to the budgetary process and thereby add to the financial stability of the Organization.</w:t>
      </w:r>
    </w:p>
    <w:p w:rsidR="00C85064" w:rsidRPr="007B5EFB" w:rsidRDefault="00C85064" w:rsidP="00C85064">
      <w:pPr>
        <w:pStyle w:val="ONUME"/>
        <w:keepLines/>
        <w:tabs>
          <w:tab w:val="num" w:pos="851"/>
          <w:tab w:val="num" w:pos="6597"/>
        </w:tabs>
        <w:rPr>
          <w:szCs w:val="22"/>
        </w:rPr>
      </w:pPr>
      <w:r w:rsidRPr="007B5EFB">
        <w:rPr>
          <w:szCs w:val="22"/>
        </w:rPr>
        <w:t>Such a need was also highlighted in reports by both WIPO’s Internal Audit and Oversight Division as well as WIPO’s External Auditors, the Office of the Comptroller and Auditor General of India, following a performance audit of the PCT carried out in October and November 2012.</w:t>
      </w:r>
    </w:p>
    <w:p w:rsidR="00C85064" w:rsidRPr="007B5EFB" w:rsidRDefault="00C85064" w:rsidP="00C85064">
      <w:pPr>
        <w:pStyle w:val="ONUME"/>
        <w:keepLines/>
        <w:tabs>
          <w:tab w:val="num" w:pos="851"/>
          <w:tab w:val="num" w:pos="6597"/>
        </w:tabs>
        <w:rPr>
          <w:szCs w:val="22"/>
        </w:rPr>
      </w:pPr>
      <w:r w:rsidRPr="007B5EFB">
        <w:rPr>
          <w:szCs w:val="22"/>
        </w:rPr>
        <w:t xml:space="preserve">In the fourth quarter of 2013, </w:t>
      </w:r>
      <w:r w:rsidRPr="007B5EFB">
        <w:rPr>
          <w:bCs/>
          <w:szCs w:val="22"/>
        </w:rPr>
        <w:t>WIPO instigated a treasury review project, the key objective of which was to undertake an independent and objective assessment of WIPO’s current treasury management functions, policies and procedures, including a review of WIPO’s current treasury exposures.  One of the objectives of the latter was to review the principal foreign exchange exposures at WIPO, notably with regard to PCT fee income, so as to obtain independent and objective advice on the possible need to introduce a new foreign exchange risk management strategy, including in relation to the management and accounting for any proposed hedging instruments.</w:t>
      </w:r>
    </w:p>
    <w:p w:rsidR="00C85064" w:rsidRPr="007B5EFB" w:rsidRDefault="00C85064" w:rsidP="00C85064">
      <w:pPr>
        <w:pStyle w:val="ONUME"/>
        <w:keepLines/>
        <w:tabs>
          <w:tab w:val="num" w:pos="851"/>
          <w:tab w:val="num" w:pos="6597"/>
        </w:tabs>
        <w:rPr>
          <w:bCs/>
          <w:szCs w:val="22"/>
        </w:rPr>
      </w:pPr>
      <w:bookmarkStart w:id="31" w:name="_Ref401658121"/>
      <w:bookmarkStart w:id="32" w:name="_Ref396990308"/>
      <w:r w:rsidRPr="007B5EFB">
        <w:rPr>
          <w:bCs/>
          <w:szCs w:val="22"/>
        </w:rPr>
        <w:t>Following a competitive tender process, WIPO selected an independent specialist treasury service provider, FTI Treasury (Ireland), to undertake the treasury review, which was carried out between December 2013 and March 2014.  In March 2014, FTI Treasury presented its final report to WIPO.  The full version of that report is available from WIPO on request.  As far as the foreign exchange exposures with regard to PCT fee income is concerned, the study concluded that WIPO should:</w:t>
      </w:r>
      <w:bookmarkEnd w:id="31"/>
    </w:p>
    <w:p w:rsidR="00C85064" w:rsidRPr="007B5EFB" w:rsidRDefault="00C85064" w:rsidP="00C85064">
      <w:pPr>
        <w:pStyle w:val="ONUME"/>
        <w:numPr>
          <w:ilvl w:val="1"/>
          <w:numId w:val="5"/>
        </w:numPr>
        <w:tabs>
          <w:tab w:val="clear" w:pos="1134"/>
          <w:tab w:val="num" w:pos="1276"/>
        </w:tabs>
        <w:ind w:left="706"/>
        <w:rPr>
          <w:bCs/>
          <w:szCs w:val="22"/>
        </w:rPr>
      </w:pPr>
      <w:r w:rsidRPr="007B5EFB">
        <w:rPr>
          <w:szCs w:val="22"/>
        </w:rPr>
        <w:t>consider implementing a hedging strategy based on net currency cash flows using forward contracts;</w:t>
      </w:r>
    </w:p>
    <w:p w:rsidR="00C85064" w:rsidRPr="007B5EFB" w:rsidRDefault="00C85064" w:rsidP="00C85064">
      <w:pPr>
        <w:pStyle w:val="ONUME"/>
        <w:keepLines/>
        <w:numPr>
          <w:ilvl w:val="1"/>
          <w:numId w:val="5"/>
        </w:numPr>
        <w:tabs>
          <w:tab w:val="clear" w:pos="1134"/>
          <w:tab w:val="num" w:pos="1276"/>
        </w:tabs>
        <w:ind w:left="706"/>
        <w:rPr>
          <w:bCs/>
          <w:szCs w:val="22"/>
        </w:rPr>
      </w:pPr>
      <w:r w:rsidRPr="007B5EFB">
        <w:t xml:space="preserve">consider fixing </w:t>
      </w:r>
      <w:r w:rsidRPr="007B5EFB">
        <w:rPr>
          <w:szCs w:val="22"/>
        </w:rPr>
        <w:t>equivalent amounts of PCT fees only once a year and thus leave equivalent amounts unchanged for a period of 12 months,</w:t>
      </w:r>
      <w:r w:rsidRPr="007B5EFB">
        <w:t xml:space="preserve"> so as to provide more certainty of currency cash flows and significantly remove risks associated with hedging strategies;  and</w:t>
      </w:r>
    </w:p>
    <w:p w:rsidR="00C85064" w:rsidRPr="007B5EFB" w:rsidRDefault="00C85064" w:rsidP="00C85064">
      <w:pPr>
        <w:pStyle w:val="ONUME"/>
        <w:numPr>
          <w:ilvl w:val="1"/>
          <w:numId w:val="5"/>
        </w:numPr>
        <w:tabs>
          <w:tab w:val="clear" w:pos="1134"/>
          <w:tab w:val="num" w:pos="1276"/>
        </w:tabs>
        <w:ind w:left="709"/>
        <w:rPr>
          <w:bCs/>
          <w:szCs w:val="22"/>
        </w:rPr>
      </w:pPr>
      <w:r w:rsidRPr="007B5EFB">
        <w:rPr>
          <w:szCs w:val="22"/>
        </w:rPr>
        <w:lastRenderedPageBreak/>
        <w:t xml:space="preserve">consider </w:t>
      </w:r>
      <w:r w:rsidRPr="007B5EFB">
        <w:t>introducing a “netting structure” for all PCT fee transactions between the ROs, the ISA and the IB.</w:t>
      </w:r>
    </w:p>
    <w:bookmarkStart w:id="33" w:name="_Ref401758960"/>
    <w:p w:rsidR="00C85064" w:rsidRPr="007B5EFB" w:rsidRDefault="00C85064" w:rsidP="00C85064">
      <w:pPr>
        <w:pStyle w:val="ONUME"/>
        <w:tabs>
          <w:tab w:val="clear" w:pos="567"/>
        </w:tabs>
        <w:rPr>
          <w:bCs/>
          <w:szCs w:val="22"/>
        </w:rPr>
      </w:pPr>
      <w:r w:rsidRPr="007B5EFB">
        <w:rPr>
          <w:bCs/>
          <w:noProof/>
          <w:szCs w:val="22"/>
          <w:lang w:eastAsia="en-US"/>
        </w:rPr>
        <mc:AlternateContent>
          <mc:Choice Requires="wps">
            <w:drawing>
              <wp:anchor distT="0" distB="0" distL="114300" distR="114300" simplePos="0" relativeHeight="251660288" behindDoc="0" locked="0" layoutInCell="1" allowOverlap="1" wp14:anchorId="071CBB25" wp14:editId="74441E67">
                <wp:simplePos x="0" y="0"/>
                <wp:positionH relativeFrom="column">
                  <wp:posOffset>-685800</wp:posOffset>
                </wp:positionH>
                <wp:positionV relativeFrom="paragraph">
                  <wp:posOffset>333375</wp:posOffset>
                </wp:positionV>
                <wp:extent cx="317500" cy="63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7500" cy="63500"/>
                        </a:xfrm>
                        <a:prstGeom prst="rect">
                          <a:avLst/>
                        </a:prstGeom>
                        <a:solidFill>
                          <a:scrgbClr r="0" g="0" b="0">
                            <a:alpha val="0"/>
                          </a:scrgbClr>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943AF8" w:rsidRPr="007A205B" w:rsidRDefault="00943AF8" w:rsidP="00C85064">
                            <w:pPr>
                              <w:jc w:val="right"/>
                              <w:rPr>
                                <w:sz w:val="20"/>
                              </w:rPr>
                            </w:pPr>
                            <w:r w:rsidRPr="007A205B">
                              <w:rPr>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left:0;text-align:left;margin-left:-54pt;margin-top:26.25pt;width:25pt;height: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" fillcolor="black" strokeweight=".5pt">
                <v:fill opacity="0"/>
                <v:stroke opacity="0" joinstyle="round"/>
                <v:textbox style="mso-fit-shape-to-text:t" inset="0,0,0,0">
                  <w:txbxContent>
                    <w:p w:rsidR="00943AF8" w:rsidRPr="007A205B" w:rsidRDefault="00943AF8" w:rsidP="00C85064">
                      <w:pPr>
                        <w:jc w:val="right"/>
                        <w:rPr>
                          <w:sz w:val="20"/>
                        </w:rPr>
                      </w:pPr>
                      <w:r w:rsidRPr="007A205B">
                        <w:rPr>
                          <w:sz w:val="20"/>
                        </w:rPr>
                        <w:t xml:space="preserve">./. </w:t>
                      </w:r>
                    </w:p>
                  </w:txbxContent>
                </v:textbox>
              </v:shape>
            </w:pict>
          </mc:Fallback>
        </mc:AlternateContent>
      </w:r>
      <w:r w:rsidRPr="007B5EFB">
        <w:rPr>
          <w:bCs/>
          <w:szCs w:val="22"/>
        </w:rPr>
        <w:t>The detailed recommendations by FTI Treasury set out in the report as to possible actions to be taken with regard to the foreign exchange exposures of PCT fee income are contained in Annex II to this Circular.</w:t>
      </w:r>
      <w:bookmarkEnd w:id="33"/>
    </w:p>
    <w:bookmarkEnd w:id="32"/>
    <w:p w:rsidR="00C85064" w:rsidRPr="007B5EFB" w:rsidRDefault="00C85064" w:rsidP="00C85064">
      <w:pPr>
        <w:pStyle w:val="ONUME"/>
        <w:tabs>
          <w:tab w:val="num" w:pos="851"/>
          <w:tab w:val="num" w:pos="6597"/>
        </w:tabs>
        <w:rPr>
          <w:szCs w:val="22"/>
        </w:rPr>
      </w:pPr>
      <w:r w:rsidRPr="007B5EFB">
        <w:rPr>
          <w:bCs/>
          <w:szCs w:val="22"/>
        </w:rPr>
        <w:t xml:space="preserve">The purpose of the present Circular is to consult on possible measures that could be taken </w:t>
      </w:r>
      <w:r w:rsidRPr="007B5EFB">
        <w:rPr>
          <w:szCs w:val="22"/>
        </w:rPr>
        <w:t>to reduce the risk of exposure of PCT fee income to movements in currency exchange rates</w:t>
      </w:r>
      <w:r w:rsidRPr="007B5EFB">
        <w:rPr>
          <w:bCs/>
          <w:szCs w:val="22"/>
        </w:rPr>
        <w:t xml:space="preserve">.  Two of those measures, namely, the proposal to start hedging and setting equivalent amounts for PCT fees for a fixed period, as set out in paragraphs </w:t>
      </w:r>
      <w:r w:rsidR="002964C7" w:rsidRPr="007B5EFB">
        <w:rPr>
          <w:bCs/>
          <w:szCs w:val="22"/>
        </w:rPr>
        <w:t>20</w:t>
      </w:r>
      <w:r w:rsidRPr="007B5EFB">
        <w:rPr>
          <w:bCs/>
          <w:szCs w:val="22"/>
        </w:rPr>
        <w:t xml:space="preserve"> to </w:t>
      </w:r>
      <w:r w:rsidR="002964C7" w:rsidRPr="007B5EFB">
        <w:rPr>
          <w:bCs/>
          <w:szCs w:val="22"/>
        </w:rPr>
        <w:t>36</w:t>
      </w:r>
      <w:r w:rsidRPr="007B5EFB">
        <w:rPr>
          <w:bCs/>
          <w:szCs w:val="22"/>
        </w:rPr>
        <w:t>, below, and the proposal to introduce a netting structure for the transfer of fees as set out in paragraphs </w:t>
      </w:r>
      <w:r w:rsidR="002964C7" w:rsidRPr="007B5EFB">
        <w:rPr>
          <w:bCs/>
          <w:szCs w:val="22"/>
        </w:rPr>
        <w:t>37</w:t>
      </w:r>
      <w:r w:rsidRPr="007B5EFB">
        <w:rPr>
          <w:bCs/>
          <w:szCs w:val="22"/>
        </w:rPr>
        <w:t xml:space="preserve"> to</w:t>
      </w:r>
      <w:r w:rsidR="002964C7" w:rsidRPr="007B5EFB">
        <w:rPr>
          <w:bCs/>
          <w:szCs w:val="22"/>
        </w:rPr>
        <w:t> 53</w:t>
      </w:r>
      <w:r w:rsidRPr="007B5EFB">
        <w:rPr>
          <w:bCs/>
          <w:szCs w:val="22"/>
        </w:rPr>
        <w:t xml:space="preserve">, below, are </w:t>
      </w:r>
      <w:r w:rsidRPr="007B5EFB">
        <w:rPr>
          <w:szCs w:val="22"/>
        </w:rPr>
        <w:t>based on</w:t>
      </w:r>
      <w:r w:rsidRPr="007B5EFB">
        <w:rPr>
          <w:bCs/>
          <w:szCs w:val="22"/>
        </w:rPr>
        <w:t xml:space="preserve"> the recommendations by FTI Treasury referred to in paragraph </w:t>
      </w:r>
      <w:r w:rsidR="002964C7" w:rsidRPr="007B5EFB">
        <w:rPr>
          <w:bCs/>
          <w:szCs w:val="22"/>
        </w:rPr>
        <w:t>16</w:t>
      </w:r>
      <w:r w:rsidRPr="007B5EFB">
        <w:rPr>
          <w:bCs/>
          <w:szCs w:val="22"/>
        </w:rPr>
        <w:t>, above, and reproduced in Annex II.  The other proposed measures, namely, the proposal to a</w:t>
      </w:r>
      <w:r w:rsidRPr="007B5EFB">
        <w:t xml:space="preserve">dd a margin when setting equivalent amounts, as set out in </w:t>
      </w:r>
      <w:r w:rsidRPr="007B5EFB">
        <w:rPr>
          <w:bCs/>
          <w:szCs w:val="22"/>
        </w:rPr>
        <w:t>paragraph </w:t>
      </w:r>
      <w:r w:rsidR="002964C7" w:rsidRPr="007B5EFB">
        <w:rPr>
          <w:bCs/>
          <w:szCs w:val="22"/>
        </w:rPr>
        <w:t>55</w:t>
      </w:r>
      <w:r w:rsidRPr="007B5EFB">
        <w:rPr>
          <w:bCs/>
          <w:szCs w:val="22"/>
        </w:rPr>
        <w:t xml:space="preserve">, below, and the proposal to have applicants pay the </w:t>
      </w:r>
      <w:r w:rsidRPr="007B5EFB">
        <w:t>international filing fee in Swiss francs and the search fee in the applicable ISA currency, as set out in paragraphs </w:t>
      </w:r>
      <w:r w:rsidR="002964C7" w:rsidRPr="007B5EFB">
        <w:t>56</w:t>
      </w:r>
      <w:r w:rsidRPr="007B5EFB">
        <w:t xml:space="preserve"> to </w:t>
      </w:r>
      <w:r w:rsidR="002964C7" w:rsidRPr="007B5EFB">
        <w:t>61</w:t>
      </w:r>
      <w:r w:rsidRPr="007B5EFB">
        <w:t>, below, are independent of the first two measures which are based on the recommendations by FTI Treasury and could be implemented either together with those measures or independently.</w:t>
      </w:r>
    </w:p>
    <w:p w:rsidR="00C85064" w:rsidRPr="007B5EFB" w:rsidRDefault="00C85064" w:rsidP="00C85064">
      <w:pPr>
        <w:pStyle w:val="ONUME"/>
        <w:tabs>
          <w:tab w:val="num" w:pos="851"/>
          <w:tab w:val="num" w:pos="6597"/>
        </w:tabs>
        <w:rPr>
          <w:szCs w:val="22"/>
        </w:rPr>
      </w:pPr>
      <w:r w:rsidRPr="007B5EFB">
        <w:rPr>
          <w:bCs/>
          <w:szCs w:val="22"/>
        </w:rPr>
        <w:t>A</w:t>
      </w:r>
      <w:r w:rsidRPr="007B5EFB">
        <w:rPr>
          <w:szCs w:val="22"/>
        </w:rPr>
        <w:t xml:space="preserve">ny comments received in response to this Circular will be considered by the </w:t>
      </w:r>
      <w:r w:rsidR="00EE5C75" w:rsidRPr="007B5EFB">
        <w:rPr>
          <w:szCs w:val="22"/>
        </w:rPr>
        <w:t>IB</w:t>
      </w:r>
      <w:r w:rsidRPr="007B5EFB">
        <w:rPr>
          <w:szCs w:val="22"/>
        </w:rPr>
        <w:t xml:space="preserve"> in developing any proposals to modify the current legal and procedural framework relating to the establishment of equivalent amounts and the payment of PCT fees, for consideration by the PCT Working Group at its 2015 session.</w:t>
      </w:r>
    </w:p>
    <w:p w:rsidR="00C85064" w:rsidRPr="007B5EFB" w:rsidRDefault="00C85064" w:rsidP="00C85064">
      <w:pPr>
        <w:pStyle w:val="Heading1"/>
        <w:keepNext w:val="0"/>
      </w:pPr>
      <w:r w:rsidRPr="007B5EFB">
        <w:t>possible measures</w:t>
      </w:r>
    </w:p>
    <w:p w:rsidR="00C85064" w:rsidRPr="007B5EFB" w:rsidRDefault="00C85064" w:rsidP="00C85064">
      <w:pPr>
        <w:pStyle w:val="Heading2"/>
        <w:keepNext w:val="0"/>
      </w:pPr>
      <w:r w:rsidRPr="007B5EFB">
        <w:t>I.  HEDGING AND SETTING EQUIVALENT AMOUNTS FOR pCT FEES FOR A FIXED PERIOD</w:t>
      </w:r>
    </w:p>
    <w:p w:rsidR="00C85064" w:rsidRPr="007B5EFB" w:rsidRDefault="00C85064" w:rsidP="00C85064">
      <w:pPr>
        <w:pStyle w:val="Heading3"/>
        <w:keepNext w:val="0"/>
      </w:pPr>
      <w:r w:rsidRPr="007B5EFB">
        <w:t>Hedging</w:t>
      </w:r>
    </w:p>
    <w:p w:rsidR="00C85064" w:rsidRPr="007B5EFB" w:rsidRDefault="00C85064" w:rsidP="00C85064">
      <w:pPr>
        <w:pStyle w:val="ONUME"/>
        <w:tabs>
          <w:tab w:val="num" w:pos="851"/>
          <w:tab w:val="num" w:pos="6597"/>
        </w:tabs>
        <w:rPr>
          <w:szCs w:val="22"/>
        </w:rPr>
      </w:pPr>
      <w:bookmarkStart w:id="34" w:name="_Ref400547515"/>
      <w:r w:rsidRPr="007B5EFB">
        <w:t xml:space="preserve">As stated in the report by </w:t>
      </w:r>
      <w:r w:rsidRPr="007B5EFB">
        <w:rPr>
          <w:bCs/>
          <w:szCs w:val="22"/>
        </w:rPr>
        <w:t xml:space="preserve">FTI Treasury, </w:t>
      </w:r>
      <w:r w:rsidRPr="007B5EFB">
        <w:t xml:space="preserve">one possible way to </w:t>
      </w:r>
      <w:r w:rsidRPr="007B5EFB">
        <w:rPr>
          <w:szCs w:val="22"/>
        </w:rPr>
        <w:t>reduce the risk of exposure of PCT fee income to movements in currency exchange rates</w:t>
      </w:r>
      <w:r w:rsidRPr="007B5EFB">
        <w:t xml:space="preserve"> would be to hedge the risk resulting from transactions in foreign currencies.  Hedging refers to the undertaking of offsetting positions to minimize the impact of unfavorable interest or, as in WIPO’s case, exchange rate movements and is frequently achieved by purchasing financial products from commercial banks.  These products are often referred to as financial instruments.</w:t>
      </w:r>
      <w:bookmarkEnd w:id="34"/>
    </w:p>
    <w:p w:rsidR="00C85064" w:rsidRPr="007B5EFB" w:rsidRDefault="00C85064" w:rsidP="00C85064">
      <w:pPr>
        <w:pStyle w:val="ONUME"/>
        <w:keepLines/>
        <w:tabs>
          <w:tab w:val="num" w:pos="851"/>
          <w:tab w:val="num" w:pos="6597"/>
        </w:tabs>
        <w:rPr>
          <w:szCs w:val="22"/>
        </w:rPr>
      </w:pPr>
      <w:r w:rsidRPr="007B5EFB">
        <w:t xml:space="preserve">The financial instrument which has been proposed by </w:t>
      </w:r>
      <w:r w:rsidRPr="007B5EFB">
        <w:rPr>
          <w:bCs/>
          <w:szCs w:val="22"/>
        </w:rPr>
        <w:t>FTI Treasury</w:t>
      </w:r>
      <w:r w:rsidRPr="007B5EFB">
        <w:t xml:space="preserve"> for use by WIPO is a foreign exchange forward contract (“forward”), which is one of the most straightforward financial instruments to implement and administer.  A forward is a contractual agreement between two parties to exchange currency amounts at an agreed exchange rate at a fixed date in the future.  The exchange rate contained within the agreement is known as the “forward rate”.</w:t>
      </w:r>
    </w:p>
    <w:p w:rsidR="00C85064" w:rsidRPr="007B5EFB" w:rsidRDefault="00C85064" w:rsidP="00C85064">
      <w:pPr>
        <w:pStyle w:val="ONUME"/>
        <w:keepNext/>
        <w:keepLines/>
        <w:tabs>
          <w:tab w:val="num" w:pos="851"/>
          <w:tab w:val="num" w:pos="6597"/>
        </w:tabs>
        <w:rPr>
          <w:szCs w:val="22"/>
        </w:rPr>
      </w:pPr>
      <w:bookmarkStart w:id="35" w:name="_Ref402528237"/>
      <w:r w:rsidRPr="007B5EFB">
        <w:lastRenderedPageBreak/>
        <w:t>Using one currency inflow, the following example demonstrates how a forward could operate for the IB:</w:t>
      </w:r>
      <w:bookmarkEnd w:id="35"/>
    </w:p>
    <w:p w:rsidR="00C85064" w:rsidRPr="007B5EFB" w:rsidRDefault="00C85064" w:rsidP="00C85064">
      <w:pPr>
        <w:pStyle w:val="ONUME"/>
        <w:keepNext/>
        <w:keepLines/>
        <w:numPr>
          <w:ilvl w:val="1"/>
          <w:numId w:val="5"/>
        </w:numPr>
        <w:tabs>
          <w:tab w:val="clear" w:pos="1134"/>
          <w:tab w:val="num" w:pos="1276"/>
        </w:tabs>
        <w:ind w:left="709"/>
        <w:rPr>
          <w:szCs w:val="22"/>
        </w:rPr>
      </w:pPr>
      <w:r w:rsidRPr="007B5EFB">
        <w:t>PCT fee income in United States dollars is received on a monthly basis and these revenue inflows can be predicted with a high degree of accuracy.  The amounts are converted into Swiss francs when they arrive, at the exchange rate prevailing in the market on the day of conversion.  The IB has no control over the exchange rate to be used and so is unable to predict how many Swiss francs will be received.</w:t>
      </w:r>
    </w:p>
    <w:p w:rsidR="00C85064" w:rsidRPr="007B5EFB" w:rsidRDefault="00C85064" w:rsidP="00C85064">
      <w:pPr>
        <w:pStyle w:val="ONUME"/>
        <w:keepNext/>
        <w:keepLines/>
        <w:numPr>
          <w:ilvl w:val="1"/>
          <w:numId w:val="5"/>
        </w:numPr>
        <w:tabs>
          <w:tab w:val="clear" w:pos="1134"/>
          <w:tab w:val="num" w:pos="1276"/>
        </w:tabs>
        <w:ind w:left="709"/>
        <w:rPr>
          <w:szCs w:val="22"/>
        </w:rPr>
      </w:pPr>
      <w:r w:rsidRPr="007B5EFB">
        <w:t>In October 2014, the IB predicts that 8 million United States dollars will be received in June 2015 and decides to cover the risk posed by a variable United States dollar/Swiss franc exchange rate by acquiring a forward for 8 million United States dollars.  Details are as follows:</w:t>
      </w:r>
    </w:p>
    <w:p w:rsidR="00C85064" w:rsidRPr="007B5EFB" w:rsidRDefault="00C85064" w:rsidP="00C85064">
      <w:pPr>
        <w:pStyle w:val="ONUME"/>
        <w:keepNext/>
        <w:keepLines/>
        <w:numPr>
          <w:ilvl w:val="2"/>
          <w:numId w:val="5"/>
        </w:numPr>
        <w:tabs>
          <w:tab w:val="clear" w:pos="1701"/>
          <w:tab w:val="num" w:pos="1843"/>
        </w:tabs>
        <w:ind w:left="1276"/>
        <w:rPr>
          <w:szCs w:val="22"/>
        </w:rPr>
      </w:pPr>
      <w:r w:rsidRPr="007B5EFB">
        <w:t>United States dollar/Swiss franc spot rate at October 28, 2014 (date of acquiring the forward):  0.9457</w:t>
      </w:r>
    </w:p>
    <w:p w:rsidR="00C85064" w:rsidRPr="007B5EFB" w:rsidRDefault="00C85064" w:rsidP="00C85064">
      <w:pPr>
        <w:pStyle w:val="ONUME"/>
        <w:keepNext/>
        <w:keepLines/>
        <w:numPr>
          <w:ilvl w:val="2"/>
          <w:numId w:val="5"/>
        </w:numPr>
        <w:tabs>
          <w:tab w:val="clear" w:pos="1701"/>
          <w:tab w:val="num" w:pos="1843"/>
        </w:tabs>
        <w:ind w:left="1276"/>
        <w:rPr>
          <w:szCs w:val="22"/>
        </w:rPr>
      </w:pPr>
      <w:r w:rsidRPr="007B5EFB">
        <w:t>United States dollar/Swiss franc forward rate for June 15, 2015:  0.9428</w:t>
      </w:r>
    </w:p>
    <w:p w:rsidR="00C85064" w:rsidRPr="007B5EFB" w:rsidRDefault="00C85064" w:rsidP="00C85064">
      <w:pPr>
        <w:pStyle w:val="ONUME"/>
        <w:keepNext/>
        <w:keepLines/>
        <w:numPr>
          <w:ilvl w:val="1"/>
          <w:numId w:val="5"/>
        </w:numPr>
        <w:tabs>
          <w:tab w:val="clear" w:pos="1134"/>
          <w:tab w:val="num" w:pos="1276"/>
        </w:tabs>
        <w:ind w:left="709"/>
        <w:rPr>
          <w:szCs w:val="22"/>
        </w:rPr>
      </w:pPr>
      <w:r w:rsidRPr="007B5EFB">
        <w:t>On June 15, 2015, when the 8 million United States dollars are received, the forward will be activated and the United States dollars will be converted into Swiss francs at a rate of 0.9428 in accordance with the terms of the forward contract.  The prevailing market rate may be higher (say, 0.9435), in which case the IB would be unable to benefit from this, as it would have to adhere to the contract terms and sell the 8 million United States dollars at the forward rate.  The market rate could, however, be lower (say, 0.9421), in which case the IB would have ensured itself of a higher rate (the forward rate of 0.9428).  In both cases (either a higher or a lower market rate), the IB would have achieved certainty with regard to its cash-flows.</w:t>
      </w:r>
    </w:p>
    <w:p w:rsidR="00C85064" w:rsidRPr="007B5EFB" w:rsidRDefault="00C85064" w:rsidP="00C85064">
      <w:pPr>
        <w:pStyle w:val="Heading3"/>
        <w:keepNext w:val="0"/>
      </w:pPr>
      <w:r w:rsidRPr="007B5EFB">
        <w:t>Setting Equivalent Amounts for a Fixed Period</w:t>
      </w:r>
    </w:p>
    <w:p w:rsidR="00C85064" w:rsidRPr="007B5EFB" w:rsidRDefault="00C85064" w:rsidP="00C85064">
      <w:pPr>
        <w:pStyle w:val="ONUME"/>
        <w:tabs>
          <w:tab w:val="num" w:pos="851"/>
          <w:tab w:val="num" w:pos="6597"/>
        </w:tabs>
        <w:rPr>
          <w:szCs w:val="22"/>
        </w:rPr>
      </w:pPr>
      <w:bookmarkStart w:id="36" w:name="_Ref404765733"/>
      <w:r w:rsidRPr="007B5EFB">
        <w:t>The example above demonstrates how important it is to ensure that the amount of currency contained within the contract (8 million United States dollars) equates to the amount of money actually received by the IB.  If the currency amount received varies, the IB may find that it has over or under hedged.</w:t>
      </w:r>
      <w:bookmarkEnd w:id="36"/>
    </w:p>
    <w:p w:rsidR="00C85064" w:rsidRPr="007B5EFB" w:rsidRDefault="00C85064" w:rsidP="00C85064">
      <w:pPr>
        <w:pStyle w:val="ONUME"/>
        <w:tabs>
          <w:tab w:val="num" w:pos="851"/>
          <w:tab w:val="num" w:pos="6597"/>
        </w:tabs>
        <w:rPr>
          <w:szCs w:val="22"/>
        </w:rPr>
      </w:pPr>
      <w:r w:rsidRPr="007B5EFB">
        <w:t>For this reason, a process such as the current process to fix new equivalent amounts of PCT fees cannot operate easily alongside the implementation of a hedging strategy, as changes in the equivalent amounts would inevitably have an impact on the total amount of currency received.  If, in the example above, the United States dollar were to strengthen against the Swiss franc ahead of June 2015 to such an extent that a new equivalent amount was introduced, fees in United States dollars would be less.  As a result, a smaller amount of United States dollars would be received and the IB would have to purchase the difference between the amount received and the 8 million United States dollar amount specified within the contract in order to satisfy the terms of the contract.  The difference would have to be purchased in the spot market at a rate which would be less favorable to the IB than the forward rate of the contract and the IB would therefore make a foreign currency loss on this purchase of United States dollars.</w:t>
      </w:r>
    </w:p>
    <w:p w:rsidR="00C85064" w:rsidRPr="007B5EFB" w:rsidRDefault="00C85064" w:rsidP="00C85064">
      <w:pPr>
        <w:pStyle w:val="ONUME"/>
        <w:keepLines/>
        <w:tabs>
          <w:tab w:val="num" w:pos="851"/>
          <w:tab w:val="num" w:pos="6597"/>
        </w:tabs>
        <w:rPr>
          <w:szCs w:val="22"/>
        </w:rPr>
      </w:pPr>
      <w:bookmarkStart w:id="37" w:name="_Ref404328020"/>
      <w:r w:rsidRPr="007B5EFB">
        <w:lastRenderedPageBreak/>
        <w:t xml:space="preserve">Hence the recommendation by FTI Treasury to modify the current equivalent amount process so that new equivalent amounts would be fixed only once per year, to remain unchanged for a period of 12 months, with a hedging strategy being put in place for the same 12 month period.  In October of each year, the IB would acquire forward contracts covering the months from January to December of the following year.  The currency amounts in each contract would differ according to the predicted cash-flows of the currencies and would be established as a percentage (say, 80 per cent) of predicted cash-flows in order to allow for the fact that actual cash-flows are unlikely to be of exactly the same amounts as those predicted.  </w:t>
      </w:r>
      <w:r w:rsidRPr="007B5EFB">
        <w:rPr>
          <w:szCs w:val="22"/>
        </w:rPr>
        <w:t xml:space="preserve">This is because, although the numbers of patent applications filed in a given year are reasonably predictable, it is more difficult to estimate the timing of the associated cash inflows, as ROs vary in the timeliness of their remittances to the IB.  </w:t>
      </w:r>
      <w:r w:rsidRPr="007B5EFB">
        <w:t>This hedging would be applied to the IB’s principal currency inflows (United States dollar, Japanese yen and euro for international filing fees) and its principal exposures with regard to search fees.  Currency inflows and outflows would first be netted to maximize ‘internal hedging’ before determining the amount to be covered by the forward contracts.  For example, if, in June 2015, the IB expects to receive 8 million United States dollars (80 per cent of 10 million United States dollars) but also expects to pay out 1.5 million United States dollars, the forward contract would cover the net amount, namely, 6.5 million United States dollars (see paragraphs </w:t>
      </w:r>
      <w:r w:rsidR="003B080F" w:rsidRPr="007B5EFB">
        <w:t>37</w:t>
      </w:r>
      <w:r w:rsidRPr="007B5EFB">
        <w:t xml:space="preserve"> to </w:t>
      </w:r>
      <w:r w:rsidR="003B080F" w:rsidRPr="007B5EFB">
        <w:t>53</w:t>
      </w:r>
      <w:r w:rsidRPr="007B5EFB">
        <w:t>, below, with regard to the possible introduction of a netting solution).</w:t>
      </w:r>
      <w:bookmarkEnd w:id="37"/>
    </w:p>
    <w:p w:rsidR="00C85064" w:rsidRPr="007B5EFB" w:rsidRDefault="00C85064" w:rsidP="00C85064">
      <w:pPr>
        <w:pStyle w:val="ONUME"/>
        <w:tabs>
          <w:tab w:val="num" w:pos="851"/>
          <w:tab w:val="num" w:pos="6597"/>
        </w:tabs>
        <w:rPr>
          <w:szCs w:val="22"/>
        </w:rPr>
      </w:pPr>
      <w:bookmarkStart w:id="38" w:name="_Ref404328444"/>
      <w:r w:rsidRPr="007B5EFB">
        <w:t>Such a hedging strategy would bring to the IB a significant increase in the predictability of its revenues and search fee compensation payments under PCT Rule 16.1(e), which would thus improve the financial stability of the entire Organization.  PCT income would be far less subject to the variances encountered within the foreign exchange market, as the exchange rates applied to its principal currency transactions would have been fixed within the forward contracts.  Hedging would reduce the foreign exchange risks to which PCT income is currently subject and, as a consequence, act as protection to the budget and program delivery of the Organization.</w:t>
      </w:r>
      <w:bookmarkEnd w:id="38"/>
    </w:p>
    <w:p w:rsidR="00C85064" w:rsidRPr="007B5EFB" w:rsidRDefault="00C85064" w:rsidP="00C85064">
      <w:pPr>
        <w:pStyle w:val="ONUME"/>
        <w:tabs>
          <w:tab w:val="num" w:pos="851"/>
          <w:tab w:val="num" w:pos="6597"/>
        </w:tabs>
        <w:rPr>
          <w:szCs w:val="22"/>
        </w:rPr>
      </w:pPr>
      <w:r w:rsidRPr="007B5EFB">
        <w:t>Similar considerations as those set out in paragraphs </w:t>
      </w:r>
      <w:r w:rsidR="003B080F" w:rsidRPr="007B5EFB">
        <w:t>23</w:t>
      </w:r>
      <w:r w:rsidRPr="007B5EFB">
        <w:t xml:space="preserve"> to </w:t>
      </w:r>
      <w:r w:rsidR="003B080F" w:rsidRPr="007B5EFB">
        <w:t>26</w:t>
      </w:r>
      <w:r w:rsidRPr="007B5EFB">
        <w:t xml:space="preserve">, above, would appear to apply with regard to changes during a given year in the amounts of the search fees as fixed by the ISA in the ISA currency, noting that changes in those amounts would equally have an impact on the total amounts of currency received and thus would reduce the element of stability that hedging is aiming to introduce.  ISAs may therefore wish to consider voluntarily moving to introducing any changes in search fee amounts only once a year, with effect from January 1 of the following year given the importance of regular currency flows to make hedging “work”.  However, as the search fee is set by the relevant ISA concerned for carrying out the international search and other tasks entrusted to the ISA, the Circular does not propose that ISAs should only change search fee amounts on an annual basis.  </w:t>
      </w:r>
    </w:p>
    <w:p w:rsidR="00C85064" w:rsidRPr="007B5EFB" w:rsidRDefault="00C85064" w:rsidP="00C85064">
      <w:pPr>
        <w:pStyle w:val="ONUME"/>
        <w:keepLines/>
        <w:tabs>
          <w:tab w:val="clear" w:pos="567"/>
        </w:tabs>
        <w:rPr>
          <w:szCs w:val="22"/>
        </w:rPr>
      </w:pPr>
      <w:r w:rsidRPr="007B5EFB">
        <w:t xml:space="preserve">An additional recommendation from FTI Treasury concerns the use of a blended hedge rate to set equivalent amounts.  A blended rate would take into account the forward rate of each forward contract, with a weighting given to the amounts of currency in each contract, thus producing a weighted average forward rate (blended rate).  The fees established to come into force each January would be calculated by reference to the blended rate, thus ensuring that the fee established reflected the conversion rates to be used during the year, rather than the market rate at 1 October of the previous year (the rate currently used to establish new equivalent amounts).  </w:t>
      </w:r>
    </w:p>
    <w:p w:rsidR="00C85064" w:rsidRPr="007B5EFB" w:rsidRDefault="00C85064" w:rsidP="00C85064">
      <w:pPr>
        <w:pStyle w:val="ONUME"/>
        <w:tabs>
          <w:tab w:val="clear" w:pos="567"/>
        </w:tabs>
        <w:rPr>
          <w:szCs w:val="22"/>
        </w:rPr>
      </w:pPr>
      <w:r w:rsidRPr="007B5EFB">
        <w:t xml:space="preserve">Example:  The </w:t>
      </w:r>
      <w:r w:rsidR="00EE5C75" w:rsidRPr="007B5EFB">
        <w:t>IB</w:t>
      </w:r>
      <w:r w:rsidRPr="007B5EFB">
        <w:t xml:space="preserve"> expects three inflows of international application fees in United States dollars for application fees in 2015:  10 million United States dollars in March, 15 million United States dollars in June and 20 million United States dollars in September.  On November, 24, 2014 (spot rate:  United States dollar/Swiss franc = 0.9690), it hedges 80 per cent of these amounts and obtains forward contract rates as follows:</w:t>
      </w:r>
    </w:p>
    <w:p w:rsidR="00C85064" w:rsidRPr="007B5EFB" w:rsidRDefault="00C85064" w:rsidP="00C85064">
      <w:pPr>
        <w:pStyle w:val="ONUME"/>
        <w:numPr>
          <w:ilvl w:val="0"/>
          <w:numId w:val="0"/>
        </w:numPr>
        <w:rPr>
          <w:szCs w:val="22"/>
        </w:rPr>
      </w:pPr>
    </w:p>
    <w:tbl>
      <w:tblPr>
        <w:tblW w:w="0" w:type="auto"/>
        <w:tblInd w:w="108" w:type="dxa"/>
        <w:tblLook w:val="04A0" w:firstRow="1" w:lastRow="0" w:firstColumn="1" w:lastColumn="0" w:noHBand="0" w:noVBand="1"/>
      </w:tblPr>
      <w:tblGrid>
        <w:gridCol w:w="1980"/>
        <w:gridCol w:w="1980"/>
        <w:gridCol w:w="1980"/>
        <w:gridCol w:w="2160"/>
      </w:tblGrid>
      <w:tr w:rsidR="00C85064" w:rsidRPr="007B5EFB" w:rsidTr="00CD5785">
        <w:tc>
          <w:tcPr>
            <w:tcW w:w="1980" w:type="dxa"/>
          </w:tcPr>
          <w:p w:rsidR="00C85064" w:rsidRPr="007B5EFB" w:rsidRDefault="00C85064" w:rsidP="00CD5785">
            <w:pPr>
              <w:rPr>
                <w:b/>
              </w:rPr>
            </w:pPr>
          </w:p>
        </w:tc>
        <w:tc>
          <w:tcPr>
            <w:tcW w:w="1980" w:type="dxa"/>
          </w:tcPr>
          <w:p w:rsidR="00C85064" w:rsidRPr="007B5EFB" w:rsidRDefault="00C85064" w:rsidP="00CD5785">
            <w:pPr>
              <w:jc w:val="center"/>
              <w:rPr>
                <w:b/>
              </w:rPr>
            </w:pPr>
            <w:r w:rsidRPr="007B5EFB">
              <w:rPr>
                <w:b/>
              </w:rPr>
              <w:t>Amount hedged</w:t>
            </w:r>
          </w:p>
        </w:tc>
        <w:tc>
          <w:tcPr>
            <w:tcW w:w="1980" w:type="dxa"/>
          </w:tcPr>
          <w:p w:rsidR="00C85064" w:rsidRPr="007B5EFB" w:rsidRDefault="00C85064" w:rsidP="00CD5785">
            <w:pPr>
              <w:jc w:val="center"/>
              <w:rPr>
                <w:b/>
              </w:rPr>
            </w:pPr>
            <w:r w:rsidRPr="007B5EFB">
              <w:rPr>
                <w:b/>
              </w:rPr>
              <w:t>Rate</w:t>
            </w:r>
          </w:p>
        </w:tc>
        <w:tc>
          <w:tcPr>
            <w:tcW w:w="2160" w:type="dxa"/>
          </w:tcPr>
          <w:p w:rsidR="00C85064" w:rsidRPr="007B5EFB" w:rsidRDefault="00C85064" w:rsidP="00CD5785">
            <w:pPr>
              <w:jc w:val="center"/>
              <w:rPr>
                <w:b/>
              </w:rPr>
            </w:pPr>
            <w:r w:rsidRPr="007B5EFB">
              <w:rPr>
                <w:b/>
              </w:rPr>
              <w:t>CHF to be received</w:t>
            </w:r>
          </w:p>
        </w:tc>
      </w:tr>
      <w:tr w:rsidR="00C85064" w:rsidRPr="007B5EFB" w:rsidTr="00CD5785">
        <w:tc>
          <w:tcPr>
            <w:tcW w:w="1980" w:type="dxa"/>
          </w:tcPr>
          <w:p w:rsidR="00C85064" w:rsidRPr="007B5EFB" w:rsidRDefault="00C85064" w:rsidP="00CD5785">
            <w:pPr>
              <w:rPr>
                <w:b/>
              </w:rPr>
            </w:pPr>
            <w:r w:rsidRPr="007B5EFB">
              <w:rPr>
                <w:b/>
              </w:rPr>
              <w:t>March</w:t>
            </w:r>
          </w:p>
        </w:tc>
        <w:tc>
          <w:tcPr>
            <w:tcW w:w="1980" w:type="dxa"/>
          </w:tcPr>
          <w:p w:rsidR="00C85064" w:rsidRPr="007B5EFB" w:rsidRDefault="00C85064" w:rsidP="00CD5785">
            <w:pPr>
              <w:jc w:val="center"/>
            </w:pPr>
            <w:r w:rsidRPr="007B5EFB">
              <w:t>8 million</w:t>
            </w:r>
          </w:p>
        </w:tc>
        <w:tc>
          <w:tcPr>
            <w:tcW w:w="1980" w:type="dxa"/>
          </w:tcPr>
          <w:p w:rsidR="00C85064" w:rsidRPr="007B5EFB" w:rsidRDefault="00C85064" w:rsidP="00CD5785">
            <w:pPr>
              <w:jc w:val="center"/>
            </w:pPr>
            <w:r w:rsidRPr="007B5EFB">
              <w:t>0.9672</w:t>
            </w:r>
          </w:p>
        </w:tc>
        <w:tc>
          <w:tcPr>
            <w:tcW w:w="2160" w:type="dxa"/>
          </w:tcPr>
          <w:p w:rsidR="00C85064" w:rsidRPr="007B5EFB" w:rsidRDefault="00C85064" w:rsidP="00CD5785">
            <w:pPr>
              <w:jc w:val="center"/>
            </w:pPr>
            <w:r w:rsidRPr="007B5EFB">
              <w:t>7,737,600</w:t>
            </w:r>
          </w:p>
        </w:tc>
      </w:tr>
      <w:tr w:rsidR="00C85064" w:rsidRPr="007B5EFB" w:rsidTr="00CD5785">
        <w:tc>
          <w:tcPr>
            <w:tcW w:w="1980" w:type="dxa"/>
          </w:tcPr>
          <w:p w:rsidR="00C85064" w:rsidRPr="007B5EFB" w:rsidRDefault="00C85064" w:rsidP="00CD5785">
            <w:pPr>
              <w:rPr>
                <w:b/>
              </w:rPr>
            </w:pPr>
            <w:r w:rsidRPr="007B5EFB">
              <w:rPr>
                <w:b/>
              </w:rPr>
              <w:t>June</w:t>
            </w:r>
          </w:p>
        </w:tc>
        <w:tc>
          <w:tcPr>
            <w:tcW w:w="1980" w:type="dxa"/>
          </w:tcPr>
          <w:p w:rsidR="00C85064" w:rsidRPr="007B5EFB" w:rsidRDefault="00C85064" w:rsidP="00CD5785">
            <w:pPr>
              <w:jc w:val="center"/>
            </w:pPr>
            <w:r w:rsidRPr="007B5EFB">
              <w:t>12 million</w:t>
            </w:r>
          </w:p>
        </w:tc>
        <w:tc>
          <w:tcPr>
            <w:tcW w:w="1980" w:type="dxa"/>
          </w:tcPr>
          <w:p w:rsidR="00C85064" w:rsidRPr="007B5EFB" w:rsidRDefault="00C85064" w:rsidP="00CD5785">
            <w:pPr>
              <w:jc w:val="center"/>
            </w:pPr>
            <w:r w:rsidRPr="007B5EFB">
              <w:t>0.9656</w:t>
            </w:r>
          </w:p>
        </w:tc>
        <w:tc>
          <w:tcPr>
            <w:tcW w:w="2160" w:type="dxa"/>
          </w:tcPr>
          <w:p w:rsidR="00C85064" w:rsidRPr="007B5EFB" w:rsidRDefault="00C85064" w:rsidP="00CD5785">
            <w:pPr>
              <w:jc w:val="center"/>
            </w:pPr>
            <w:r w:rsidRPr="007B5EFB">
              <w:t>11,587,200</w:t>
            </w:r>
          </w:p>
        </w:tc>
      </w:tr>
      <w:tr w:rsidR="00C85064" w:rsidRPr="007B5EFB" w:rsidTr="00CD5785">
        <w:tc>
          <w:tcPr>
            <w:tcW w:w="1980" w:type="dxa"/>
          </w:tcPr>
          <w:p w:rsidR="00C85064" w:rsidRPr="007B5EFB" w:rsidRDefault="00C85064" w:rsidP="00CD5785">
            <w:pPr>
              <w:rPr>
                <w:b/>
              </w:rPr>
            </w:pPr>
            <w:r w:rsidRPr="007B5EFB">
              <w:rPr>
                <w:b/>
              </w:rPr>
              <w:t>September</w:t>
            </w:r>
          </w:p>
        </w:tc>
        <w:tc>
          <w:tcPr>
            <w:tcW w:w="1980" w:type="dxa"/>
          </w:tcPr>
          <w:p w:rsidR="00C85064" w:rsidRPr="007B5EFB" w:rsidRDefault="00C85064" w:rsidP="00CD5785">
            <w:pPr>
              <w:jc w:val="center"/>
            </w:pPr>
            <w:r w:rsidRPr="007B5EFB">
              <w:t>16 million</w:t>
            </w:r>
          </w:p>
        </w:tc>
        <w:tc>
          <w:tcPr>
            <w:tcW w:w="1980" w:type="dxa"/>
          </w:tcPr>
          <w:p w:rsidR="00C85064" w:rsidRPr="007B5EFB" w:rsidRDefault="00C85064" w:rsidP="00CD5785">
            <w:pPr>
              <w:jc w:val="center"/>
            </w:pPr>
            <w:r w:rsidRPr="007B5EFB">
              <w:t>0.9635</w:t>
            </w:r>
          </w:p>
        </w:tc>
        <w:tc>
          <w:tcPr>
            <w:tcW w:w="2160" w:type="dxa"/>
          </w:tcPr>
          <w:p w:rsidR="00C85064" w:rsidRPr="007B5EFB" w:rsidRDefault="00C85064" w:rsidP="00CD5785">
            <w:pPr>
              <w:jc w:val="center"/>
            </w:pPr>
            <w:r w:rsidRPr="007B5EFB">
              <w:t>15,416,000</w:t>
            </w:r>
          </w:p>
        </w:tc>
      </w:tr>
      <w:tr w:rsidR="00C85064" w:rsidRPr="007B5EFB" w:rsidTr="00CD5785">
        <w:tc>
          <w:tcPr>
            <w:tcW w:w="1980" w:type="dxa"/>
          </w:tcPr>
          <w:p w:rsidR="00C85064" w:rsidRPr="007B5EFB" w:rsidRDefault="00C85064" w:rsidP="00CD5785">
            <w:pPr>
              <w:rPr>
                <w:b/>
              </w:rPr>
            </w:pPr>
            <w:r w:rsidRPr="007B5EFB">
              <w:rPr>
                <w:b/>
              </w:rPr>
              <w:t>Totals</w:t>
            </w:r>
          </w:p>
        </w:tc>
        <w:tc>
          <w:tcPr>
            <w:tcW w:w="1980" w:type="dxa"/>
          </w:tcPr>
          <w:p w:rsidR="00C85064" w:rsidRPr="007B5EFB" w:rsidRDefault="00C85064" w:rsidP="00CD5785">
            <w:pPr>
              <w:jc w:val="center"/>
            </w:pPr>
            <w:r w:rsidRPr="007B5EFB">
              <w:t>36 million</w:t>
            </w:r>
          </w:p>
        </w:tc>
        <w:tc>
          <w:tcPr>
            <w:tcW w:w="1980" w:type="dxa"/>
          </w:tcPr>
          <w:p w:rsidR="00C85064" w:rsidRPr="007B5EFB" w:rsidRDefault="00C85064" w:rsidP="00CD5785">
            <w:pPr>
              <w:jc w:val="center"/>
            </w:pPr>
          </w:p>
        </w:tc>
        <w:tc>
          <w:tcPr>
            <w:tcW w:w="2160" w:type="dxa"/>
          </w:tcPr>
          <w:p w:rsidR="00C85064" w:rsidRPr="007B5EFB" w:rsidRDefault="00C85064" w:rsidP="00CD5785">
            <w:pPr>
              <w:jc w:val="center"/>
            </w:pPr>
            <w:r w:rsidRPr="007B5EFB">
              <w:t>34,740,800</w:t>
            </w:r>
          </w:p>
        </w:tc>
      </w:tr>
    </w:tbl>
    <w:p w:rsidR="00C85064" w:rsidRPr="007B5EFB" w:rsidRDefault="00C85064" w:rsidP="00C85064"/>
    <w:p w:rsidR="00C85064" w:rsidRPr="007B5EFB" w:rsidRDefault="00C85064" w:rsidP="00C85064">
      <w:pPr>
        <w:rPr>
          <w:szCs w:val="22"/>
        </w:rPr>
      </w:pPr>
      <w:r w:rsidRPr="007B5EFB">
        <w:t>Weighted average forward rate is calculated as:</w:t>
      </w:r>
      <w:r w:rsidRPr="007B5EFB">
        <w:tab/>
      </w:r>
      <w:r w:rsidRPr="007B5EFB">
        <w:rPr>
          <w:u w:val="single"/>
        </w:rPr>
        <w:t>34,740,000</w:t>
      </w:r>
      <w:r w:rsidRPr="007B5EFB">
        <w:rPr>
          <w:vertAlign w:val="subscript"/>
        </w:rPr>
        <w:t xml:space="preserve"> </w:t>
      </w:r>
      <w:r w:rsidRPr="007B5EFB">
        <w:rPr>
          <w:sz w:val="28"/>
          <w:szCs w:val="28"/>
          <w:vertAlign w:val="subscript"/>
        </w:rPr>
        <w:t xml:space="preserve">= </w:t>
      </w:r>
      <w:r w:rsidRPr="007B5EFB">
        <w:rPr>
          <w:szCs w:val="22"/>
        </w:rPr>
        <w:t>0.96502</w:t>
      </w:r>
    </w:p>
    <w:p w:rsidR="00C85064" w:rsidRPr="007B5EFB" w:rsidRDefault="00C85064" w:rsidP="00C85064">
      <w:pPr>
        <w:ind w:left="4536" w:firstLine="567"/>
      </w:pPr>
      <w:r w:rsidRPr="007B5EFB">
        <w:t>36,000,000</w:t>
      </w:r>
    </w:p>
    <w:p w:rsidR="00C85064" w:rsidRPr="007B5EFB" w:rsidRDefault="00C85064" w:rsidP="00C85064">
      <w:pPr>
        <w:rPr>
          <w:szCs w:val="22"/>
        </w:rPr>
      </w:pPr>
    </w:p>
    <w:p w:rsidR="00C85064" w:rsidRPr="007B5EFB" w:rsidRDefault="00C85064" w:rsidP="00C85064">
      <w:pPr>
        <w:rPr>
          <w:szCs w:val="22"/>
        </w:rPr>
      </w:pPr>
      <w:r w:rsidRPr="007B5EFB">
        <w:t xml:space="preserve">The rate of </w:t>
      </w:r>
      <w:r w:rsidRPr="007B5EFB">
        <w:rPr>
          <w:szCs w:val="22"/>
        </w:rPr>
        <w:t>0.96502 would therefore be used as the basis for establishing the equivalent amount in January.</w:t>
      </w:r>
    </w:p>
    <w:p w:rsidR="00C85064" w:rsidRPr="007B5EFB" w:rsidRDefault="00C85064" w:rsidP="00C85064">
      <w:pPr>
        <w:pStyle w:val="Heading3"/>
      </w:pPr>
      <w:r w:rsidRPr="007B5EFB">
        <w:t>Impact on PCT Stakeholders</w:t>
      </w:r>
    </w:p>
    <w:p w:rsidR="00C85064" w:rsidRPr="007B5EFB" w:rsidRDefault="00C85064" w:rsidP="00C85064">
      <w:pPr>
        <w:pStyle w:val="ONUME"/>
        <w:keepLines/>
        <w:tabs>
          <w:tab w:val="num" w:pos="851"/>
          <w:tab w:val="num" w:pos="6597"/>
        </w:tabs>
        <w:rPr>
          <w:szCs w:val="22"/>
        </w:rPr>
      </w:pPr>
      <w:r w:rsidRPr="007B5EFB">
        <w:rPr>
          <w:szCs w:val="22"/>
        </w:rPr>
        <w:t>A change in the procedures which would result in equivalent amounts of PCT fees only to be fixed once a year and thus equivalent amounts to remain unchanged for a period of 12 months, from January 1 to December 31 of any given calendar year, would impact PCT stakeholders as set out in the following paragraphs.</w:t>
      </w:r>
    </w:p>
    <w:p w:rsidR="00C85064" w:rsidRPr="007B5EFB" w:rsidRDefault="00C85064" w:rsidP="00C85064">
      <w:pPr>
        <w:pStyle w:val="Heading4"/>
      </w:pPr>
      <w:r w:rsidRPr="007B5EFB">
        <w:t>Applicants</w:t>
      </w:r>
    </w:p>
    <w:p w:rsidR="00C85064" w:rsidRPr="007B5EFB" w:rsidRDefault="00C85064" w:rsidP="00C85064">
      <w:pPr>
        <w:pStyle w:val="ONUME"/>
        <w:tabs>
          <w:tab w:val="clear" w:pos="567"/>
        </w:tabs>
        <w:rPr>
          <w:i/>
          <w:szCs w:val="22"/>
        </w:rPr>
      </w:pPr>
      <w:r w:rsidRPr="007B5EFB">
        <w:rPr>
          <w:szCs w:val="22"/>
        </w:rPr>
        <w:t>Applicants would gain certainty, for an entire calendar year, as to the equivalent amounts of the international filing fee and the search fee payable in any local RO currency, and would be protected against changes in the exchange rates between the Swiss franc and/or the ISA currency on the one hand and the local RO currency in which those fees are to be paid on the other.</w:t>
      </w:r>
    </w:p>
    <w:p w:rsidR="00C85064" w:rsidRPr="007B5EFB" w:rsidRDefault="00C85064" w:rsidP="00C85064">
      <w:pPr>
        <w:pStyle w:val="ONUME"/>
        <w:tabs>
          <w:tab w:val="clear" w:pos="567"/>
        </w:tabs>
        <w:rPr>
          <w:i/>
          <w:szCs w:val="22"/>
        </w:rPr>
      </w:pPr>
      <w:r w:rsidRPr="007B5EFB">
        <w:rPr>
          <w:szCs w:val="22"/>
        </w:rPr>
        <w:t>Thus, if, during the calendar year, the local RO currency were to depreciate relative to the Swiss franc and/or the ISA currency, applicants would benefit from, in effect, paying a lower amount of the international filing fee and/or the search fee than they would have had to pay under the current procedures if the depreciation of the local RO currency relative to the Swiss franc and/or the ISA currency would have been such that it would have triggered—under the current procedures—the establishment of new, higher equivalent amounts of those fees in the local RO currency.</w:t>
      </w:r>
    </w:p>
    <w:p w:rsidR="00C85064" w:rsidRPr="007B5EFB" w:rsidRDefault="00C85064" w:rsidP="00C85064">
      <w:pPr>
        <w:pStyle w:val="ONUME"/>
        <w:keepLines/>
        <w:tabs>
          <w:tab w:val="clear" w:pos="567"/>
        </w:tabs>
        <w:rPr>
          <w:szCs w:val="22"/>
        </w:rPr>
      </w:pPr>
      <w:bookmarkStart w:id="39" w:name="_Ref400547519"/>
      <w:r w:rsidRPr="007B5EFB">
        <w:rPr>
          <w:szCs w:val="22"/>
        </w:rPr>
        <w:t>If, on the other hand, during the calendar year, the local RO currency were to appreciate relative to the Swiss franc and/or the ISA currency, applicants would only benefit from such appreciation as of January 1 the following calendar year, when new equivalent amounts in the local RO currency of the international filing fee, taking into account the appreciation of the local RO currency, would become effective.  Under the current procedures, applicants would have benefited at an earlier point in time if the appreciation of the local RO currency relative to the Swiss franc and/or the ISA currency had been such that it would have triggered the establishment of new, lower equivalent amounts of those fees in the local RO currency already during the calendar year.</w:t>
      </w:r>
      <w:bookmarkEnd w:id="39"/>
    </w:p>
    <w:p w:rsidR="00C85064" w:rsidRPr="007B5EFB" w:rsidRDefault="00C85064" w:rsidP="00C85064">
      <w:pPr>
        <w:pStyle w:val="Heading4"/>
      </w:pPr>
      <w:r w:rsidRPr="007B5EFB">
        <w:t>Receiving Offices</w:t>
      </w:r>
    </w:p>
    <w:p w:rsidR="00C85064" w:rsidRPr="007B5EFB" w:rsidRDefault="00C85064" w:rsidP="00C85064">
      <w:pPr>
        <w:pStyle w:val="ONUME"/>
        <w:tabs>
          <w:tab w:val="num" w:pos="851"/>
          <w:tab w:val="num" w:pos="6597"/>
        </w:tabs>
        <w:rPr>
          <w:szCs w:val="22"/>
        </w:rPr>
      </w:pPr>
      <w:r w:rsidRPr="007B5EFB">
        <w:rPr>
          <w:szCs w:val="22"/>
        </w:rPr>
        <w:t>Receiving Offices would not be affected by such a change in procedures, other than generally benefitting from less frequent changes to the equivalent amounts of fees to be paid by applicants to ROs, as set out in paragraph </w:t>
      </w:r>
      <w:r w:rsidR="003B080F" w:rsidRPr="007B5EFB">
        <w:rPr>
          <w:szCs w:val="22"/>
        </w:rPr>
        <w:t>36</w:t>
      </w:r>
      <w:r w:rsidRPr="007B5EFB">
        <w:rPr>
          <w:szCs w:val="22"/>
        </w:rPr>
        <w:t>, below.</w:t>
      </w:r>
    </w:p>
    <w:p w:rsidR="00C85064" w:rsidRPr="007B5EFB" w:rsidRDefault="00C85064" w:rsidP="00C85064">
      <w:pPr>
        <w:pStyle w:val="Heading4"/>
        <w:keepLines/>
      </w:pPr>
      <w:r w:rsidRPr="007B5EFB">
        <w:lastRenderedPageBreak/>
        <w:t>International Authorities</w:t>
      </w:r>
    </w:p>
    <w:p w:rsidR="00C85064" w:rsidRPr="007B5EFB" w:rsidRDefault="00C85064" w:rsidP="00C85064">
      <w:pPr>
        <w:pStyle w:val="ONUME"/>
        <w:keepNext/>
        <w:keepLines/>
        <w:rPr>
          <w:szCs w:val="22"/>
        </w:rPr>
      </w:pPr>
      <w:r w:rsidRPr="007B5EFB">
        <w:rPr>
          <w:szCs w:val="22"/>
        </w:rPr>
        <w:t>Other than benefitting from less frequent changes to the equivalent amounts of the search fee as set out in paragraph </w:t>
      </w:r>
      <w:r w:rsidR="0059796F" w:rsidRPr="007B5EFB">
        <w:rPr>
          <w:szCs w:val="22"/>
        </w:rPr>
        <w:t>36</w:t>
      </w:r>
      <w:r w:rsidRPr="007B5EFB">
        <w:rPr>
          <w:szCs w:val="22"/>
        </w:rPr>
        <w:t>, below, International Authorities would also not be impacted by a change in the procedures which would result in equivalent amounts of PCT fees only to be fixed once a year.  As at present, any losses in search fee income incurred by an ISA due to changes in exchange rates between the date on which the equivalent amounts of the search fees have been established and the date on which these fees are transferred to the ISA would be reimbursed by the IB, whereas any additional amount received over the amount fixed in the ISA fixed currency would belong to the IB (see PCT Rule 16.1(e)).  Note, however, the proposed possible introduction of a “netting structure” as set out in paragraphs </w:t>
      </w:r>
      <w:r w:rsidR="0059796F" w:rsidRPr="007B5EFB">
        <w:rPr>
          <w:szCs w:val="22"/>
        </w:rPr>
        <w:t>37</w:t>
      </w:r>
      <w:r w:rsidRPr="007B5EFB">
        <w:rPr>
          <w:szCs w:val="22"/>
        </w:rPr>
        <w:t xml:space="preserve"> to </w:t>
      </w:r>
      <w:r w:rsidR="0059796F" w:rsidRPr="007B5EFB">
        <w:rPr>
          <w:szCs w:val="22"/>
        </w:rPr>
        <w:t>53</w:t>
      </w:r>
      <w:r w:rsidRPr="007B5EFB">
        <w:rPr>
          <w:szCs w:val="22"/>
        </w:rPr>
        <w:t>, below, which would remove the need for ISAs having to rely on the PCT Rule 16.1(e) procedure to be compensated by the IB for any losses incurred as a result of such foreign currency transactions or, where applicable, to transfer any gains resulting from such transactions to the IB, as the ISA would always receive from the IB the full amount of the search fee, in the ISA currency and in the amount as fixed by it.</w:t>
      </w:r>
    </w:p>
    <w:p w:rsidR="00C85064" w:rsidRPr="007B5EFB" w:rsidRDefault="00C85064" w:rsidP="00C85064">
      <w:pPr>
        <w:pStyle w:val="Heading4"/>
      </w:pPr>
      <w:r w:rsidRPr="007B5EFB">
        <w:t>All Stakeholders</w:t>
      </w:r>
    </w:p>
    <w:p w:rsidR="00C85064" w:rsidRPr="007B5EFB" w:rsidRDefault="00C85064" w:rsidP="00C85064">
      <w:pPr>
        <w:pStyle w:val="ONUME"/>
        <w:tabs>
          <w:tab w:val="num" w:pos="851"/>
          <w:tab w:val="num" w:pos="6597"/>
        </w:tabs>
        <w:rPr>
          <w:szCs w:val="22"/>
        </w:rPr>
      </w:pPr>
      <w:bookmarkStart w:id="40" w:name="_Ref399847332"/>
      <w:r w:rsidRPr="007B5EFB">
        <w:rPr>
          <w:szCs w:val="22"/>
        </w:rPr>
        <w:t xml:space="preserve">All stakeholders, receiving Offices, International Authorities, the </w:t>
      </w:r>
      <w:r w:rsidR="00EE5C75" w:rsidRPr="007B5EFB">
        <w:rPr>
          <w:szCs w:val="22"/>
        </w:rPr>
        <w:t>IB</w:t>
      </w:r>
      <w:r w:rsidRPr="007B5EFB">
        <w:rPr>
          <w:szCs w:val="22"/>
        </w:rPr>
        <w:t xml:space="preserve"> and applicants alike, would benefit from less frequent changes to the equivalent amounts of the international filing fee and of the search fee to be paid by applicants, resulting in less frequent changes to fee data, forms, IT systems, information material for applicants, etc.</w:t>
      </w:r>
      <w:bookmarkEnd w:id="40"/>
      <w:r w:rsidRPr="007B5EFB">
        <w:rPr>
          <w:szCs w:val="22"/>
        </w:rPr>
        <w:t xml:space="preserve"> </w:t>
      </w:r>
    </w:p>
    <w:p w:rsidR="00C85064" w:rsidRPr="007B5EFB" w:rsidRDefault="00C85064" w:rsidP="00C85064">
      <w:pPr>
        <w:pStyle w:val="Heading2"/>
      </w:pPr>
      <w:r w:rsidRPr="007B5EFB">
        <w:t>II.  introducing a “NETTING” structure for the transfer of fees</w:t>
      </w:r>
    </w:p>
    <w:p w:rsidR="00C85064" w:rsidRPr="007B5EFB" w:rsidRDefault="00C85064" w:rsidP="00C85064">
      <w:pPr>
        <w:pStyle w:val="ONUME"/>
        <w:rPr>
          <w:szCs w:val="22"/>
        </w:rPr>
      </w:pPr>
      <w:bookmarkStart w:id="41" w:name="_Ref400546708"/>
      <w:r w:rsidRPr="007B5EFB">
        <w:rPr>
          <w:szCs w:val="22"/>
        </w:rPr>
        <w:t xml:space="preserve">In addition to suggesting to fix equivalent amounts of PCT fees only once a year and to leave equivalent amounts unchanged for a period of 12 months so as to allow the IB to “hedge” international filing fees and search fees, FTI Treasury has further recommended the </w:t>
      </w:r>
      <w:r w:rsidRPr="007B5EFB">
        <w:t>introduction of a “netting structure” for all PCT fee transactions between the ROs, the ISA and the IB.</w:t>
      </w:r>
      <w:bookmarkEnd w:id="41"/>
    </w:p>
    <w:p w:rsidR="00C85064" w:rsidRPr="007B5EFB" w:rsidRDefault="00C85064" w:rsidP="00C85064">
      <w:pPr>
        <w:pStyle w:val="ONUME"/>
        <w:rPr>
          <w:szCs w:val="22"/>
        </w:rPr>
      </w:pPr>
      <w:r w:rsidRPr="007B5EFB">
        <w:t xml:space="preserve">While such a netting structure could be introduced independently of the proposal to </w:t>
      </w:r>
      <w:r w:rsidRPr="007B5EFB">
        <w:rPr>
          <w:szCs w:val="22"/>
        </w:rPr>
        <w:t>fix equivalent amounts of PCT fees only once a year and to leave equivalent amounts unchanged for a period of 12 months, the biggest benefit would no doubt be achieved if both proposals were to be implemented at the same time.</w:t>
      </w:r>
    </w:p>
    <w:p w:rsidR="00C85064" w:rsidRPr="007B5EFB" w:rsidRDefault="00C85064" w:rsidP="00C85064">
      <w:pPr>
        <w:pStyle w:val="ONUME"/>
        <w:rPr>
          <w:szCs w:val="22"/>
        </w:rPr>
      </w:pPr>
      <w:r w:rsidRPr="007B5EFB">
        <w:t xml:space="preserve">The following paragraphs further explain the current flow of PCT fee transactions between the ROs, the ISAs and the IB, and explore the possible impact of a “netting structure” on those transactions. </w:t>
      </w:r>
    </w:p>
    <w:p w:rsidR="00C85064" w:rsidRPr="007B5EFB" w:rsidRDefault="00C85064" w:rsidP="00C85064">
      <w:pPr>
        <w:pStyle w:val="Heading3"/>
        <w:keepLines/>
      </w:pPr>
      <w:r w:rsidRPr="007B5EFB">
        <w:lastRenderedPageBreak/>
        <w:t>Current Flow of PCT Fee Transactions</w:t>
      </w:r>
    </w:p>
    <w:p w:rsidR="00C85064" w:rsidRPr="007B5EFB" w:rsidRDefault="00C85064" w:rsidP="00C85064">
      <w:pPr>
        <w:pStyle w:val="ONUME"/>
        <w:keepNext/>
        <w:keepLines/>
        <w:rPr>
          <w:szCs w:val="22"/>
        </w:rPr>
      </w:pPr>
      <w:bookmarkStart w:id="42" w:name="_Ref400108224"/>
      <w:r w:rsidRPr="007B5EFB">
        <w:rPr>
          <w:szCs w:val="22"/>
        </w:rPr>
        <w:t>The current flow of PCT fee transactions (in currencies which are freely convertible) between the ROs, the ISAs and the IB can be described as follows:</w:t>
      </w:r>
      <w:bookmarkEnd w:id="42"/>
    </w:p>
    <w:p w:rsidR="00C85064" w:rsidRPr="007B5EFB" w:rsidRDefault="00C85064" w:rsidP="00C85064">
      <w:pPr>
        <w:rPr>
          <w:szCs w:val="22"/>
        </w:rPr>
      </w:pPr>
      <w:r w:rsidRPr="007B5EFB">
        <w:rPr>
          <w:noProof/>
          <w:lang w:eastAsia="en-US"/>
        </w:rPr>
        <w:drawing>
          <wp:inline distT="0" distB="0" distL="0" distR="0" wp14:anchorId="744F5CCF" wp14:editId="23A87A18">
            <wp:extent cx="5866607" cy="420495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6607" cy="4204952"/>
                    </a:xfrm>
                    <a:prstGeom prst="rect">
                      <a:avLst/>
                    </a:prstGeom>
                    <a:noFill/>
                    <a:ln>
                      <a:noFill/>
                    </a:ln>
                  </pic:spPr>
                </pic:pic>
              </a:graphicData>
            </a:graphic>
          </wp:inline>
        </w:drawing>
      </w:r>
    </w:p>
    <w:p w:rsidR="00C85064" w:rsidRPr="007B5EFB" w:rsidRDefault="00C85064" w:rsidP="00C85064">
      <w:pPr>
        <w:pStyle w:val="ONUME"/>
        <w:keepLines/>
        <w:numPr>
          <w:ilvl w:val="1"/>
          <w:numId w:val="5"/>
        </w:numPr>
        <w:tabs>
          <w:tab w:val="clear" w:pos="1134"/>
          <w:tab w:val="num" w:pos="1276"/>
        </w:tabs>
        <w:ind w:left="630"/>
        <w:rPr>
          <w:szCs w:val="22"/>
        </w:rPr>
      </w:pPr>
      <w:r w:rsidRPr="007B5EFB">
        <w:rPr>
          <w:szCs w:val="22"/>
        </w:rPr>
        <w:t>ROs (including RO/IB) transfer international filing fees in various currencies (in Swiss franc or equivalent amounts in various other freely convertible currencies) into bank accounts held by the IB, typically once a month (see (</w:t>
      </w:r>
      <w:r w:rsidRPr="007B5EFB">
        <w:rPr>
          <w:b/>
          <w:szCs w:val="22"/>
        </w:rPr>
        <w:t>1</w:t>
      </w:r>
      <w:r w:rsidRPr="007B5EFB">
        <w:rPr>
          <w:szCs w:val="22"/>
        </w:rPr>
        <w:t>) in the figure, above).</w:t>
      </w:r>
    </w:p>
    <w:p w:rsidR="00C85064" w:rsidRPr="007B5EFB" w:rsidRDefault="00C85064" w:rsidP="00C85064">
      <w:pPr>
        <w:pStyle w:val="ONUME"/>
        <w:numPr>
          <w:ilvl w:val="1"/>
          <w:numId w:val="5"/>
        </w:numPr>
        <w:tabs>
          <w:tab w:val="clear" w:pos="1134"/>
          <w:tab w:val="num" w:pos="1276"/>
        </w:tabs>
        <w:ind w:left="630"/>
        <w:rPr>
          <w:szCs w:val="22"/>
        </w:rPr>
      </w:pPr>
      <w:r w:rsidRPr="007B5EFB">
        <w:rPr>
          <w:szCs w:val="22"/>
        </w:rPr>
        <w:t>The IB holds bank accounts in various (but not all) RO currencies;  if the RO currency in which the international filing fees are received is a currency in which the IB holds an account, the IB may use some of the currency for payments as required and then converts the remaining balance of any such fees into Swiss francs, typically once a month.  If the IB does not hold an account in a particular RO currency, incoming international filing fees are received in the IB’s Swiss franc account and automatically converted by the bank, upon receipt, into Swiss francs (see (</w:t>
      </w:r>
      <w:r w:rsidRPr="007B5EFB">
        <w:rPr>
          <w:b/>
          <w:szCs w:val="22"/>
        </w:rPr>
        <w:t>2</w:t>
      </w:r>
      <w:r w:rsidRPr="007B5EFB">
        <w:rPr>
          <w:szCs w:val="22"/>
        </w:rPr>
        <w:t>), in the figure, above).  Where the amounts received are significant, the bank will first contact the IB in order to agree upon the exchange rate to be used for the conversion.</w:t>
      </w:r>
    </w:p>
    <w:p w:rsidR="00C85064" w:rsidRPr="007B5EFB" w:rsidRDefault="00C85064" w:rsidP="00C85064">
      <w:pPr>
        <w:pStyle w:val="ONUME"/>
        <w:numPr>
          <w:ilvl w:val="1"/>
          <w:numId w:val="5"/>
        </w:numPr>
        <w:tabs>
          <w:tab w:val="clear" w:pos="1134"/>
          <w:tab w:val="num" w:pos="1276"/>
        </w:tabs>
        <w:ind w:left="630"/>
        <w:rPr>
          <w:szCs w:val="22"/>
        </w:rPr>
      </w:pPr>
      <w:r w:rsidRPr="007B5EFB">
        <w:rPr>
          <w:szCs w:val="22"/>
        </w:rPr>
        <w:t>ROs (including RO/IB) transfer search fees in various currencies (ISA currency or equivalent amounts in various other freely convertible currencies) into the bank accounts held by “their” (often) multiple competent ISA, typically once a month (see (</w:t>
      </w:r>
      <w:r w:rsidRPr="007B5EFB">
        <w:rPr>
          <w:b/>
          <w:szCs w:val="22"/>
        </w:rPr>
        <w:t>3</w:t>
      </w:r>
      <w:r w:rsidRPr="007B5EFB">
        <w:rPr>
          <w:szCs w:val="22"/>
        </w:rPr>
        <w:t>) in the figure, above).</w:t>
      </w:r>
    </w:p>
    <w:p w:rsidR="00C85064" w:rsidRPr="007B5EFB" w:rsidRDefault="00C85064" w:rsidP="00C85064">
      <w:pPr>
        <w:pStyle w:val="ONUME"/>
        <w:keepLines/>
        <w:numPr>
          <w:ilvl w:val="1"/>
          <w:numId w:val="5"/>
        </w:numPr>
        <w:tabs>
          <w:tab w:val="clear" w:pos="1134"/>
          <w:tab w:val="num" w:pos="1276"/>
        </w:tabs>
        <w:ind w:left="634"/>
        <w:rPr>
          <w:szCs w:val="22"/>
        </w:rPr>
      </w:pPr>
      <w:r w:rsidRPr="007B5EFB">
        <w:rPr>
          <w:szCs w:val="22"/>
        </w:rPr>
        <w:t>Typically, each ISA holds a bank account only in “its” ISA currency and incoming search fees in any RO currency different from that ISA currency are received in that ISA currency account and automatically converted by the bank, upon receipt, into the ISA currency (see (</w:t>
      </w:r>
      <w:r w:rsidRPr="007B5EFB">
        <w:rPr>
          <w:b/>
          <w:szCs w:val="22"/>
        </w:rPr>
        <w:t>4</w:t>
      </w:r>
      <w:r w:rsidRPr="007B5EFB">
        <w:rPr>
          <w:szCs w:val="22"/>
        </w:rPr>
        <w:t>) in the figure, above).</w:t>
      </w:r>
    </w:p>
    <w:p w:rsidR="00C85064" w:rsidRPr="007B5EFB" w:rsidRDefault="00C85064" w:rsidP="00C85064">
      <w:pPr>
        <w:pStyle w:val="ONUME"/>
        <w:keepLines/>
        <w:numPr>
          <w:ilvl w:val="1"/>
          <w:numId w:val="5"/>
        </w:numPr>
        <w:tabs>
          <w:tab w:val="clear" w:pos="1134"/>
          <w:tab w:val="num" w:pos="1276"/>
        </w:tabs>
        <w:ind w:left="634"/>
        <w:rPr>
          <w:szCs w:val="22"/>
        </w:rPr>
      </w:pPr>
      <w:r w:rsidRPr="007B5EFB">
        <w:rPr>
          <w:szCs w:val="22"/>
        </w:rPr>
        <w:lastRenderedPageBreak/>
        <w:t>To balance any losses in search fee income as a result of exchange rate fluctuations (PCT Rule 16.1(e) procedure), the ISA, typically once a month, deducts the amount it is owed by the IB under PCT Rule 16.1(e) from the amount of the international filing fees which the same Office, in its capacity as a RO, transfers to the IB.  Where, on the other hand, in accordance with PCT Rule 16.1(e), the ISA owes money to the IB, the ISA adds those amounts to the amount of the international filing fees which the same Office transfers to the IB in its capacity as a RO (see (</w:t>
      </w:r>
      <w:r w:rsidRPr="007B5EFB">
        <w:rPr>
          <w:b/>
          <w:szCs w:val="22"/>
        </w:rPr>
        <w:t>5</w:t>
      </w:r>
      <w:r w:rsidRPr="007B5EFB">
        <w:rPr>
          <w:szCs w:val="22"/>
        </w:rPr>
        <w:t>) in the figure, above).</w:t>
      </w:r>
    </w:p>
    <w:p w:rsidR="00C85064" w:rsidRPr="007B5EFB" w:rsidRDefault="00C85064" w:rsidP="00C85064">
      <w:pPr>
        <w:pStyle w:val="ONUME"/>
        <w:rPr>
          <w:szCs w:val="22"/>
        </w:rPr>
      </w:pPr>
      <w:bookmarkStart w:id="43" w:name="_Ref400112911"/>
      <w:r w:rsidRPr="007B5EFB">
        <w:rPr>
          <w:szCs w:val="22"/>
        </w:rPr>
        <w:t>The current flow of PCT fee transactions as set out in paragraph </w:t>
      </w:r>
      <w:r w:rsidR="0059796F" w:rsidRPr="007B5EFB">
        <w:rPr>
          <w:szCs w:val="22"/>
        </w:rPr>
        <w:t>40</w:t>
      </w:r>
      <w:r w:rsidRPr="007B5EFB">
        <w:rPr>
          <w:szCs w:val="22"/>
        </w:rPr>
        <w:t>, above, has a number of disadvantages;  most notably:</w:t>
      </w:r>
      <w:bookmarkEnd w:id="43"/>
    </w:p>
    <w:p w:rsidR="00C85064" w:rsidRPr="007B5EFB" w:rsidRDefault="00C85064" w:rsidP="00C85064">
      <w:pPr>
        <w:pStyle w:val="ONUME"/>
        <w:numPr>
          <w:ilvl w:val="1"/>
          <w:numId w:val="5"/>
        </w:numPr>
        <w:tabs>
          <w:tab w:val="clear" w:pos="1134"/>
          <w:tab w:val="num" w:pos="1276"/>
        </w:tabs>
        <w:ind w:left="709"/>
        <w:rPr>
          <w:szCs w:val="22"/>
        </w:rPr>
      </w:pPr>
      <w:r w:rsidRPr="007B5EFB">
        <w:rPr>
          <w:szCs w:val="22"/>
        </w:rPr>
        <w:t>ROs have to transfer PCT fees to different recipients, namely, to the IB (international filing fee) and to the ISA or, where several ISAs are competent to act in respect of international applications filed with a RO, to several ISAs (search fee), involving multiple banks, different applicable procedures, different fee reconciliation mechanisms, etc., resulting in a substantial workload for finance departments in ROs.</w:t>
      </w:r>
    </w:p>
    <w:p w:rsidR="00C85064" w:rsidRPr="007B5EFB" w:rsidRDefault="00C85064" w:rsidP="00C85064">
      <w:pPr>
        <w:pStyle w:val="ONUME"/>
        <w:numPr>
          <w:ilvl w:val="1"/>
          <w:numId w:val="5"/>
        </w:numPr>
        <w:tabs>
          <w:tab w:val="clear" w:pos="1134"/>
          <w:tab w:val="num" w:pos="1276"/>
        </w:tabs>
        <w:ind w:left="709"/>
        <w:rPr>
          <w:szCs w:val="22"/>
        </w:rPr>
      </w:pPr>
      <w:r w:rsidRPr="007B5EFB">
        <w:rPr>
          <w:szCs w:val="22"/>
        </w:rPr>
        <w:t>All ISAs act as a competent Authority for several ROs (one Authority has been specified to act as a competent Authority by more than 60 ROs!) and thus are receiving fees from multiple different ROs, in various different currencies, involving different (remitting and receiving) banks, different applicable procedures, fee reconciliation mechanisms, etc., resulting in a substantial workload for finance departments in ISAs.</w:t>
      </w:r>
    </w:p>
    <w:p w:rsidR="00C85064" w:rsidRPr="007B5EFB" w:rsidRDefault="00C85064" w:rsidP="00C85064">
      <w:pPr>
        <w:pStyle w:val="ONUME"/>
        <w:numPr>
          <w:ilvl w:val="1"/>
          <w:numId w:val="5"/>
        </w:numPr>
        <w:tabs>
          <w:tab w:val="clear" w:pos="1134"/>
          <w:tab w:val="num" w:pos="1276"/>
        </w:tabs>
        <w:ind w:left="709"/>
        <w:rPr>
          <w:szCs w:val="22"/>
        </w:rPr>
      </w:pPr>
      <w:r w:rsidRPr="007B5EFB">
        <w:rPr>
          <w:szCs w:val="22"/>
        </w:rPr>
        <w:t>The sheer number of PCT fee transactions from and to the various actors (IB, RO, ISA) results in high transaction costs (bank charges).</w:t>
      </w:r>
    </w:p>
    <w:p w:rsidR="00C85064" w:rsidRPr="007B5EFB" w:rsidRDefault="00C85064" w:rsidP="00C85064">
      <w:pPr>
        <w:pStyle w:val="ONUME"/>
        <w:numPr>
          <w:ilvl w:val="1"/>
          <w:numId w:val="5"/>
        </w:numPr>
        <w:tabs>
          <w:tab w:val="clear" w:pos="1134"/>
          <w:tab w:val="num" w:pos="1276"/>
        </w:tabs>
        <w:ind w:left="709"/>
        <w:rPr>
          <w:szCs w:val="22"/>
        </w:rPr>
      </w:pPr>
      <w:bookmarkStart w:id="44" w:name="_Ref400112914"/>
      <w:r w:rsidRPr="007B5EFB">
        <w:t>Under PCT Rule 16.1(e), the financial risks associated with the transfer and conversion of search fees are solely borne by the IB.  However, the IB is not involved in the transaction at all and thus has no influence on the management of the possible impact of exchange rate fluctuations.  On the other hand, those actors which do, namely, the RO and the ISA, have no direct interest in better managing such possible impact.  In particular, there is no incentive for the ISA to better manage the conversion of the search fee received in the RO</w:t>
      </w:r>
      <w:r w:rsidRPr="007B5EFB">
        <w:noBreakHyphen/>
        <w:t>currency into the ISA</w:t>
      </w:r>
      <w:r w:rsidRPr="007B5EFB">
        <w:noBreakHyphen/>
        <w:t>currency (for example, by delaying the conversion to a later date on which the exchange rate may be more favorable), noting that the PCT Rule 16.1(e) mechanism guarantees that the ISA will always (eventually) receive an amount of the search fee which is identical to the amount that it has fixed.  In practice, the search fees which are being transferred to the ISA in the various RO</w:t>
      </w:r>
      <w:r w:rsidRPr="007B5EFB">
        <w:noBreakHyphen/>
        <w:t>currencies are often simply converted, at the time of receipt by the bank at which the ISA holds its account, into the ISA</w:t>
      </w:r>
      <w:r w:rsidRPr="007B5EFB">
        <w:noBreakHyphen/>
        <w:t>currency, without any attempt to manage that conversion process having due regard to the exchange rate between the two currencies applicable on the date of conversion.</w:t>
      </w:r>
      <w:bookmarkEnd w:id="44"/>
    </w:p>
    <w:p w:rsidR="00C85064" w:rsidRPr="007B5EFB" w:rsidRDefault="00C85064" w:rsidP="00C85064">
      <w:pPr>
        <w:pStyle w:val="Heading3"/>
        <w:keepNext w:val="0"/>
      </w:pPr>
      <w:r w:rsidRPr="007B5EFB">
        <w:t>Possible Netting Solution</w:t>
      </w:r>
    </w:p>
    <w:p w:rsidR="00C85064" w:rsidRPr="007B5EFB" w:rsidRDefault="00C85064" w:rsidP="00C85064">
      <w:pPr>
        <w:pStyle w:val="ONUME"/>
        <w:rPr>
          <w:szCs w:val="22"/>
        </w:rPr>
      </w:pPr>
      <w:r w:rsidRPr="007B5EFB">
        <w:rPr>
          <w:szCs w:val="22"/>
        </w:rPr>
        <w:t>“Netting” is a settlement mechanism used to allow a positive value (payment) and a negative value (receivable) to offset and partially or entirely cancel each other out.  The netting process consolidates all transactions between participants and calculates settlement between the participants on a “net” basis, typically by means of a single payment or receipt.  A netting software system and process typically is used to perform the netting administration.</w:t>
      </w:r>
    </w:p>
    <w:p w:rsidR="00C85064" w:rsidRPr="007B5EFB" w:rsidRDefault="00C85064" w:rsidP="00C85064">
      <w:pPr>
        <w:pStyle w:val="ONUME"/>
        <w:keepNext/>
        <w:keepLines/>
        <w:rPr>
          <w:szCs w:val="22"/>
        </w:rPr>
      </w:pPr>
      <w:r w:rsidRPr="007B5EFB">
        <w:rPr>
          <w:szCs w:val="22"/>
        </w:rPr>
        <w:lastRenderedPageBreak/>
        <w:t>In the context of the flow of PCT fee transactions between the ROs, the ISAs and the IB, a possible netting solution could be described as follows:</w:t>
      </w:r>
    </w:p>
    <w:p w:rsidR="00C85064" w:rsidRPr="007B5EFB" w:rsidRDefault="00C85064" w:rsidP="00C85064">
      <w:pPr>
        <w:ind w:left="360"/>
      </w:pPr>
      <w:r w:rsidRPr="007B5EFB">
        <w:rPr>
          <w:lang w:eastAsia="en-US"/>
        </w:rPr>
        <w:object w:dxaOrig="7199"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311.15pt" o:ole="">
            <v:imagedata r:id="rId17" o:title=""/>
          </v:shape>
          <o:OLEObject Type="Embed" ProgID="PowerPoint.Slide.12" ShapeID="_x0000_i1025" DrawAspect="Content" ObjectID="_1493105193" r:id="rId18"/>
        </w:object>
      </w:r>
    </w:p>
    <w:p w:rsidR="00C85064" w:rsidRPr="007B5EFB" w:rsidRDefault="00C85064" w:rsidP="00C85064">
      <w:pPr>
        <w:pStyle w:val="ONUME"/>
        <w:numPr>
          <w:ilvl w:val="1"/>
          <w:numId w:val="5"/>
        </w:numPr>
        <w:tabs>
          <w:tab w:val="clear" w:pos="1134"/>
          <w:tab w:val="num" w:pos="1276"/>
        </w:tabs>
        <w:ind w:left="630"/>
        <w:rPr>
          <w:szCs w:val="22"/>
        </w:rPr>
      </w:pPr>
      <w:r w:rsidRPr="007B5EFB">
        <w:t>In general, the RO would continue to collect the international filing fee and the search fee from applicants.  However, instead of being required to transfer the international filing fee to the IB and the search fee directly to the ISA, the RO would transfer both fees, the international filing fee and the search fee, in the (freely convertible) RO currency, to the IB.</w:t>
      </w:r>
    </w:p>
    <w:p w:rsidR="00C85064" w:rsidRPr="007B5EFB" w:rsidRDefault="00C85064" w:rsidP="00C85064">
      <w:pPr>
        <w:pStyle w:val="ONUME"/>
        <w:numPr>
          <w:ilvl w:val="1"/>
          <w:numId w:val="5"/>
        </w:numPr>
        <w:tabs>
          <w:tab w:val="clear" w:pos="1134"/>
          <w:tab w:val="num" w:pos="1276"/>
        </w:tabs>
        <w:ind w:left="630"/>
        <w:rPr>
          <w:szCs w:val="22"/>
        </w:rPr>
      </w:pPr>
      <w:r w:rsidRPr="007B5EFB">
        <w:rPr>
          <w:szCs w:val="22"/>
        </w:rPr>
        <w:t xml:space="preserve">Once a month on a prescribed date, ROs would make a single payment to the netting center, covering all their international filing fee and search fee obligations vis-à-vis the IB and the ISAs, in the (freely convertible) local RO currency in which those fees have been collected by the RO (see </w:t>
      </w:r>
      <w:r w:rsidRPr="007B5EFB">
        <w:rPr>
          <w:b/>
          <w:szCs w:val="22"/>
        </w:rPr>
        <w:t>(1)</w:t>
      </w:r>
      <w:r w:rsidRPr="007B5EFB">
        <w:rPr>
          <w:szCs w:val="22"/>
        </w:rPr>
        <w:t xml:space="preserve"> in the figure, above).  Of course, in the case of an RO which also acts as an ISA, that single payment to the netting center would only consist of the balance between the international filing fees the RO “owes” to the IB and the search fees which the IB “owes” to that same Office in its capacity as an ISA.</w:t>
      </w:r>
    </w:p>
    <w:p w:rsidR="00C85064" w:rsidRPr="007B5EFB" w:rsidRDefault="00C85064" w:rsidP="00C85064">
      <w:pPr>
        <w:pStyle w:val="ONUME"/>
        <w:numPr>
          <w:ilvl w:val="1"/>
          <w:numId w:val="5"/>
        </w:numPr>
        <w:tabs>
          <w:tab w:val="clear" w:pos="1134"/>
          <w:tab w:val="num" w:pos="1276"/>
        </w:tabs>
        <w:ind w:left="630"/>
        <w:rPr>
          <w:szCs w:val="22"/>
        </w:rPr>
      </w:pPr>
      <w:bookmarkStart w:id="45" w:name="_Ref401737230"/>
      <w:bookmarkStart w:id="46" w:name="_Ref400031944"/>
      <w:r w:rsidRPr="007B5EFB">
        <w:rPr>
          <w:szCs w:val="22"/>
        </w:rPr>
        <w:t xml:space="preserve">Foreign currency inflows (international filing fees and search fees in RO currencies) and outflows (search fees in ISA currencies) would be “netted” to give a net foreign currency amount (see </w:t>
      </w:r>
      <w:r w:rsidRPr="007B5EFB">
        <w:rPr>
          <w:b/>
          <w:szCs w:val="22"/>
        </w:rPr>
        <w:t>(2)</w:t>
      </w:r>
      <w:r w:rsidRPr="007B5EFB">
        <w:rPr>
          <w:szCs w:val="22"/>
        </w:rPr>
        <w:t xml:space="preserve"> in the figure, above).</w:t>
      </w:r>
      <w:bookmarkEnd w:id="45"/>
    </w:p>
    <w:bookmarkEnd w:id="46"/>
    <w:p w:rsidR="00C85064" w:rsidRPr="007B5EFB" w:rsidRDefault="00C85064" w:rsidP="00C85064">
      <w:pPr>
        <w:pStyle w:val="ONUME"/>
        <w:keepLines/>
        <w:numPr>
          <w:ilvl w:val="1"/>
          <w:numId w:val="5"/>
        </w:numPr>
        <w:tabs>
          <w:tab w:val="clear" w:pos="1134"/>
          <w:tab w:val="num" w:pos="1276"/>
        </w:tabs>
        <w:ind w:left="630"/>
        <w:rPr>
          <w:szCs w:val="22"/>
        </w:rPr>
      </w:pPr>
      <w:r w:rsidRPr="007B5EFB">
        <w:rPr>
          <w:szCs w:val="22"/>
        </w:rPr>
        <w:t xml:space="preserve">The IB would, within five working days from the day on which the RO has made its payment to the netting center </w:t>
      </w:r>
      <w:r w:rsidRPr="007B5EFB">
        <w:t>and sent the necessary payment information to the IB</w:t>
      </w:r>
      <w:r w:rsidRPr="007B5EFB">
        <w:rPr>
          <w:szCs w:val="22"/>
        </w:rPr>
        <w:t>, covering all their international filing fee and search fee obligations vis-à-vis the IB and the ISAs,</w:t>
      </w:r>
      <w:r w:rsidRPr="007B5EFB">
        <w:t xml:space="preserve"> after the relevant reconciliation,</w:t>
      </w:r>
      <w:r w:rsidRPr="007B5EFB">
        <w:rPr>
          <w:szCs w:val="22"/>
        </w:rPr>
        <w:t xml:space="preserve"> transfer to the ISAs the relevant search fees due, in the ISA currency concerned and in the full amount as fixed by the ISA;  thus, the PCT Rule 16.1(e) procedure would no longer have to be relied upon (see (</w:t>
      </w:r>
      <w:r w:rsidRPr="007B5EFB">
        <w:rPr>
          <w:b/>
          <w:szCs w:val="22"/>
        </w:rPr>
        <w:t>3</w:t>
      </w:r>
      <w:r w:rsidRPr="007B5EFB">
        <w:rPr>
          <w:szCs w:val="22"/>
        </w:rPr>
        <w:t>) in the figure, above).</w:t>
      </w:r>
    </w:p>
    <w:p w:rsidR="00C85064" w:rsidRPr="007B5EFB" w:rsidRDefault="00C85064" w:rsidP="00C85064">
      <w:pPr>
        <w:pStyle w:val="ONUME"/>
        <w:keepLines/>
        <w:numPr>
          <w:ilvl w:val="1"/>
          <w:numId w:val="5"/>
        </w:numPr>
        <w:tabs>
          <w:tab w:val="clear" w:pos="1134"/>
          <w:tab w:val="num" w:pos="1276"/>
        </w:tabs>
        <w:ind w:left="630"/>
        <w:rPr>
          <w:szCs w:val="22"/>
        </w:rPr>
      </w:pPr>
      <w:r w:rsidRPr="007B5EFB">
        <w:rPr>
          <w:szCs w:val="22"/>
        </w:rPr>
        <w:lastRenderedPageBreak/>
        <w:t>If a foreign currency hedging program were in place (as set out in paragraphs </w:t>
      </w:r>
      <w:r w:rsidR="0059796F" w:rsidRPr="007B5EFB">
        <w:rPr>
          <w:szCs w:val="22"/>
        </w:rPr>
        <w:t>20</w:t>
      </w:r>
      <w:r w:rsidRPr="007B5EFB">
        <w:rPr>
          <w:szCs w:val="22"/>
        </w:rPr>
        <w:t xml:space="preserve"> to</w:t>
      </w:r>
      <w:r w:rsidR="0059796F" w:rsidRPr="007B5EFB">
        <w:rPr>
          <w:szCs w:val="22"/>
        </w:rPr>
        <w:t> 22</w:t>
      </w:r>
      <w:r w:rsidRPr="007B5EFB">
        <w:rPr>
          <w:szCs w:val="22"/>
        </w:rPr>
        <w:t>, above), forward contracts (based on forecasts as to the expected international filing fee and search fee amounts) would mature on the netting date to convert net foreign currency payments not covered by the income flow of currenc</w:t>
      </w:r>
      <w:r w:rsidR="004F594D">
        <w:rPr>
          <w:szCs w:val="22"/>
        </w:rPr>
        <w:t>ies as described in paragraph (c</w:t>
      </w:r>
      <w:r w:rsidRPr="007B5EFB">
        <w:rPr>
          <w:szCs w:val="22"/>
        </w:rPr>
        <w:t>), above (see (</w:t>
      </w:r>
      <w:r w:rsidRPr="007B5EFB">
        <w:rPr>
          <w:b/>
          <w:szCs w:val="22"/>
        </w:rPr>
        <w:t>4</w:t>
      </w:r>
      <w:r w:rsidRPr="007B5EFB">
        <w:rPr>
          <w:szCs w:val="22"/>
        </w:rPr>
        <w:t>) in the figure, above).</w:t>
      </w:r>
    </w:p>
    <w:p w:rsidR="00C85064" w:rsidRPr="007B5EFB" w:rsidRDefault="00C85064" w:rsidP="00C85064">
      <w:pPr>
        <w:pStyle w:val="ONUME"/>
      </w:pPr>
      <w:r w:rsidRPr="007B5EFB">
        <w:t>The following example illustrates the process:</w:t>
      </w:r>
    </w:p>
    <w:p w:rsidR="00C85064" w:rsidRPr="007B5EFB" w:rsidRDefault="00C85064" w:rsidP="00C85064">
      <w:pPr>
        <w:pStyle w:val="ONUME"/>
        <w:numPr>
          <w:ilvl w:val="1"/>
          <w:numId w:val="5"/>
        </w:numPr>
        <w:tabs>
          <w:tab w:val="clear" w:pos="1134"/>
          <w:tab w:val="num" w:pos="851"/>
          <w:tab w:val="num" w:pos="1276"/>
        </w:tabs>
        <w:ind w:left="630"/>
        <w:rPr>
          <w:szCs w:val="22"/>
        </w:rPr>
      </w:pPr>
      <w:r w:rsidRPr="007B5EFB">
        <w:rPr>
          <w:szCs w:val="22"/>
        </w:rPr>
        <w:t>In the month of May, RO “A” receives international filing fees and search fees in respect of 100 international applications in the RO currency “United States dollar”;  the currency of the competent ISA “B” is the “euro”.  In the same month, RO “C” receives international filing fees and search fees in respect of 200 international applications in the RO currency “euro”;  the currency of the competent ISA “D” is “United States dollar”.</w:t>
      </w:r>
    </w:p>
    <w:p w:rsidR="00C85064" w:rsidRPr="007B5EFB" w:rsidRDefault="00C85064" w:rsidP="00C85064">
      <w:pPr>
        <w:pStyle w:val="ONUME"/>
        <w:numPr>
          <w:ilvl w:val="1"/>
          <w:numId w:val="5"/>
        </w:numPr>
        <w:tabs>
          <w:tab w:val="clear" w:pos="1134"/>
          <w:tab w:val="num" w:pos="1276"/>
        </w:tabs>
        <w:ind w:left="630"/>
        <w:rPr>
          <w:szCs w:val="22"/>
        </w:rPr>
      </w:pPr>
      <w:r w:rsidRPr="007B5EFB">
        <w:rPr>
          <w:szCs w:val="22"/>
        </w:rPr>
        <w:t xml:space="preserve">ROs “A” and “C” transfer all international filing fees </w:t>
      </w:r>
      <w:r w:rsidRPr="007B5EFB">
        <w:rPr>
          <w:szCs w:val="22"/>
          <w:u w:val="single"/>
        </w:rPr>
        <w:t>and</w:t>
      </w:r>
      <w:r w:rsidRPr="007B5EFB">
        <w:rPr>
          <w:szCs w:val="22"/>
        </w:rPr>
        <w:t xml:space="preserve"> search fees collected by them in the respective RO currencies (USD and euro, respectively) to the netting center hosted by the IB.  The IB transfers the search fees to the competent ISA “B” in the ISA currency “euro” and in the full amount as fixe</w:t>
      </w:r>
      <w:bookmarkStart w:id="47" w:name="_GoBack"/>
      <w:bookmarkEnd w:id="47"/>
      <w:r w:rsidRPr="007B5EFB">
        <w:rPr>
          <w:szCs w:val="22"/>
        </w:rPr>
        <w:t>d by the ISA, using the euro amount received from RO “C”.  The IB transfers the search fees to competent ISA “D” in the ISA currency “United States dollar” and in the full amount as fixed by the ISA, using the United States dollar amount received from RO “A”.</w:t>
      </w:r>
    </w:p>
    <w:p w:rsidR="00C85064" w:rsidRPr="007B5EFB" w:rsidRDefault="00C85064" w:rsidP="00C85064">
      <w:pPr>
        <w:pStyle w:val="ONUME"/>
        <w:keepLines/>
        <w:numPr>
          <w:ilvl w:val="1"/>
          <w:numId w:val="5"/>
        </w:numPr>
        <w:tabs>
          <w:tab w:val="clear" w:pos="1134"/>
          <w:tab w:val="num" w:pos="1276"/>
        </w:tabs>
        <w:ind w:left="630"/>
        <w:rPr>
          <w:szCs w:val="22"/>
        </w:rPr>
      </w:pPr>
      <w:r w:rsidRPr="007B5EFB">
        <w:rPr>
          <w:szCs w:val="22"/>
        </w:rPr>
        <w:t>If a foreign currency hedging program was in place (as set out in paragraphs </w:t>
      </w:r>
      <w:r w:rsidR="0059796F" w:rsidRPr="007B5EFB">
        <w:rPr>
          <w:szCs w:val="22"/>
        </w:rPr>
        <w:t>20</w:t>
      </w:r>
      <w:r w:rsidRPr="007B5EFB">
        <w:rPr>
          <w:szCs w:val="22"/>
        </w:rPr>
        <w:t xml:space="preserve"> to</w:t>
      </w:r>
      <w:r w:rsidR="0059796F" w:rsidRPr="007B5EFB">
        <w:rPr>
          <w:szCs w:val="22"/>
        </w:rPr>
        <w:t> 22</w:t>
      </w:r>
      <w:r w:rsidRPr="007B5EFB">
        <w:rPr>
          <w:szCs w:val="22"/>
        </w:rPr>
        <w:t>, above), forward contracts (based on forecasts as to the expected international filing fee and search fee amounts) would mature on the netting date to convert net foreign currency payments not covered by the income flow of currenci</w:t>
      </w:r>
      <w:r w:rsidR="00AB517A">
        <w:rPr>
          <w:szCs w:val="22"/>
        </w:rPr>
        <w:t>es as described in paragraph 43(c)</w:t>
      </w:r>
      <w:r w:rsidRPr="007B5EFB">
        <w:rPr>
          <w:szCs w:val="22"/>
        </w:rPr>
        <w:t>, above.</w:t>
      </w:r>
    </w:p>
    <w:p w:rsidR="00C85064" w:rsidRPr="007B5EFB" w:rsidRDefault="00C85064" w:rsidP="00C85064">
      <w:pPr>
        <w:pStyle w:val="Heading3"/>
      </w:pPr>
      <w:r w:rsidRPr="007B5EFB">
        <w:t>Benefits of Netting</w:t>
      </w:r>
    </w:p>
    <w:p w:rsidR="00C85064" w:rsidRPr="007B5EFB" w:rsidRDefault="00C85064" w:rsidP="00C85064">
      <w:pPr>
        <w:pStyle w:val="ONUME"/>
        <w:rPr>
          <w:szCs w:val="22"/>
        </w:rPr>
      </w:pPr>
      <w:r w:rsidRPr="007B5EFB">
        <w:rPr>
          <w:szCs w:val="22"/>
        </w:rPr>
        <w:t>A number of potential benefits for all stakeholders would arise from a netting solution.</w:t>
      </w:r>
    </w:p>
    <w:p w:rsidR="00C85064" w:rsidRPr="007B5EFB" w:rsidRDefault="00C85064" w:rsidP="00C85064">
      <w:pPr>
        <w:pStyle w:val="Heading4"/>
        <w:keepNext w:val="0"/>
      </w:pPr>
      <w:r w:rsidRPr="007B5EFB">
        <w:t>Receiving Offices</w:t>
      </w:r>
    </w:p>
    <w:p w:rsidR="00C85064" w:rsidRPr="007B5EFB" w:rsidRDefault="00C85064" w:rsidP="00C85064">
      <w:pPr>
        <w:pStyle w:val="ONUME"/>
        <w:tabs>
          <w:tab w:val="clear" w:pos="567"/>
        </w:tabs>
        <w:rPr>
          <w:szCs w:val="22"/>
        </w:rPr>
      </w:pPr>
      <w:r w:rsidRPr="007B5EFB">
        <w:rPr>
          <w:szCs w:val="22"/>
        </w:rPr>
        <w:t>For all PCT fee transactions, ROs would only have to deal with one other actor, namely, the IB, rather than, as at present, two or more (IB and all ISA competent to carry out international searches in respect of applications filed with the RO).  A much lower volume of fee transactions would result in reduced transaction costs, noting that netting reduces the amount of money being transferred and can potentially reduce the entire settlement process to a single payment.  A significant reduction in overall workload for finance departments in participating Offices could be achieved as a result of reduced operational time and effort;  potential for automation of so far manual processes;  and simplified reconciliation procedures for both international filing fees and search fees.</w:t>
      </w:r>
    </w:p>
    <w:p w:rsidR="00C85064" w:rsidRPr="007B5EFB" w:rsidRDefault="00C85064" w:rsidP="00C85064">
      <w:pPr>
        <w:pStyle w:val="Heading4"/>
      </w:pPr>
      <w:r w:rsidRPr="007B5EFB">
        <w:t>International Searching Authorities</w:t>
      </w:r>
    </w:p>
    <w:p w:rsidR="00C85064" w:rsidRPr="007B5EFB" w:rsidRDefault="00C85064" w:rsidP="00C85064">
      <w:pPr>
        <w:pStyle w:val="ONUME"/>
        <w:rPr>
          <w:szCs w:val="22"/>
        </w:rPr>
      </w:pPr>
      <w:r w:rsidRPr="007B5EFB">
        <w:rPr>
          <w:szCs w:val="22"/>
        </w:rPr>
        <w:t>For all PCT fee transactions relating to search fees, ISAs would only have to deal with one other actor, namely, the IB, rather than all ROs for which the ISA is competent to act.  As in the case of ROs, netting would have the same general benefits for ISAs, as a much lower volume of fee transactions would result in much reduced transaction costs.  A significant reduction in overall workload for finance departments as a result of reduced operational time and effort;  potential for automation of so far manual processes;  and simplified reconciliation procedures for search fees.</w:t>
      </w:r>
    </w:p>
    <w:p w:rsidR="00C85064" w:rsidRPr="007B5EFB" w:rsidRDefault="00C85064" w:rsidP="00C85064">
      <w:pPr>
        <w:pStyle w:val="ONUME"/>
        <w:keepLines/>
        <w:rPr>
          <w:szCs w:val="22"/>
        </w:rPr>
      </w:pPr>
      <w:r w:rsidRPr="007B5EFB">
        <w:rPr>
          <w:szCs w:val="22"/>
        </w:rPr>
        <w:lastRenderedPageBreak/>
        <w:t>A netting solution, by way of which the ISA would receive all search fees from the IB, in the ISA currency and in the full amount fixed by it, would further remove the need for the ISA to execute foreign currency transactions with regard to its search fee income.  It would also remove the need of having to rely on the PCT Rule 16.1(e) procedure to be compensated by the IB for any losses incurred as a result of such foreign currency transactions or, where applicable, to transfer any gains resulting from such transactions to the IB, as the ISA would always receive from the IB the full amount of the search fee, in the ISA currency and in the amount as fixed by it.</w:t>
      </w:r>
    </w:p>
    <w:p w:rsidR="00C85064" w:rsidRPr="007B5EFB" w:rsidRDefault="00EE5C75" w:rsidP="00C85064">
      <w:pPr>
        <w:pStyle w:val="Heading4"/>
      </w:pPr>
      <w:r w:rsidRPr="007B5EFB">
        <w:t>IB</w:t>
      </w:r>
    </w:p>
    <w:p w:rsidR="00C85064" w:rsidRPr="007B5EFB" w:rsidRDefault="00C85064" w:rsidP="00C85064">
      <w:pPr>
        <w:pStyle w:val="ONUME"/>
        <w:tabs>
          <w:tab w:val="clear" w:pos="567"/>
        </w:tabs>
        <w:rPr>
          <w:szCs w:val="22"/>
        </w:rPr>
      </w:pPr>
      <w:r w:rsidRPr="007B5EFB">
        <w:rPr>
          <w:szCs w:val="22"/>
        </w:rPr>
        <w:t>One of the main benefits for the IB resulting from the introduction of a netting structure would be that it would facilitate the operation by the IB of a foreign exchange hedging program, as explained in paragraphs </w:t>
      </w:r>
      <w:r w:rsidR="00AF459B" w:rsidRPr="007B5EFB">
        <w:rPr>
          <w:szCs w:val="22"/>
        </w:rPr>
        <w:t>20</w:t>
      </w:r>
      <w:r w:rsidRPr="007B5EFB">
        <w:rPr>
          <w:szCs w:val="22"/>
        </w:rPr>
        <w:t xml:space="preserve"> to </w:t>
      </w:r>
      <w:r w:rsidR="00AF459B" w:rsidRPr="007B5EFB">
        <w:rPr>
          <w:szCs w:val="22"/>
        </w:rPr>
        <w:t>22</w:t>
      </w:r>
      <w:r w:rsidRPr="007B5EFB">
        <w:rPr>
          <w:szCs w:val="22"/>
        </w:rPr>
        <w:t>, above.</w:t>
      </w:r>
    </w:p>
    <w:p w:rsidR="00C85064" w:rsidRPr="007B5EFB" w:rsidRDefault="00C85064" w:rsidP="00C85064">
      <w:pPr>
        <w:pStyle w:val="ONUME"/>
        <w:rPr>
          <w:szCs w:val="22"/>
        </w:rPr>
      </w:pPr>
      <w:r w:rsidRPr="007B5EFB">
        <w:rPr>
          <w:szCs w:val="22"/>
        </w:rPr>
        <w:t>In particular with regard to search fee payments, setting up a netting structure would result in a much higher visibility to the IB of PCT Rule 16.1(e) foreign exchange exposures and would facilitate the management of that exposure.</w:t>
      </w:r>
    </w:p>
    <w:p w:rsidR="00C85064" w:rsidRPr="007B5EFB" w:rsidRDefault="00C85064" w:rsidP="00C85064">
      <w:pPr>
        <w:pStyle w:val="ONUME"/>
        <w:tabs>
          <w:tab w:val="clear" w:pos="567"/>
        </w:tabs>
        <w:rPr>
          <w:szCs w:val="22"/>
        </w:rPr>
      </w:pPr>
      <w:r w:rsidRPr="007B5EFB">
        <w:rPr>
          <w:szCs w:val="22"/>
        </w:rPr>
        <w:t>Considerable savings on foreign exchange conversions could be achieved by the IB.  The study by FTI Treasury referred to in paragraph </w:t>
      </w:r>
      <w:r w:rsidR="00AF459B" w:rsidRPr="007B5EFB">
        <w:rPr>
          <w:szCs w:val="22"/>
        </w:rPr>
        <w:t>16</w:t>
      </w:r>
      <w:r w:rsidRPr="007B5EFB">
        <w:rPr>
          <w:szCs w:val="22"/>
        </w:rPr>
        <w:t>, above, states that annual savings on foreign exchange conversions could conservatively be estimated to be 1 per cent of the gross cash flow and could be as high as 3 per cent, depending on the conversion processes used by the ISAs at present.  Noting that the current gross value of the two main ISA currencies in which the IB is particularly exposed to currency fluctuations under the current Rule 16.1(e) procedure (the ISA currency “euro” vis-à-vis the RO currencies “United States dollar” and “pound sterling”;  and the ISA currency “Korean won” vis-à-vis the RO currency “United States dollar”) is more than 70 million Swiss francs, a 1% saving on this amount would result in a saving of 700,000 Swiss francs per annum.</w:t>
      </w:r>
    </w:p>
    <w:p w:rsidR="00C85064" w:rsidRPr="007B5EFB" w:rsidRDefault="00C85064" w:rsidP="00C85064">
      <w:pPr>
        <w:pStyle w:val="ONUME"/>
        <w:keepLines/>
      </w:pPr>
      <w:r w:rsidRPr="007B5EFB">
        <w:rPr>
          <w:szCs w:val="22"/>
        </w:rPr>
        <w:t>Netting would further offer the opportunity for process automation, easier booking and reconciliation procedures, efficiency and control opportunities in relation to income data entry, would enhance cash collection and would facilitate liquidity management by the IB.</w:t>
      </w:r>
    </w:p>
    <w:p w:rsidR="00C85064" w:rsidRPr="007B5EFB" w:rsidRDefault="00C85064" w:rsidP="00C85064">
      <w:pPr>
        <w:pStyle w:val="ONUME"/>
      </w:pPr>
      <w:bookmarkStart w:id="48" w:name="_Ref402527993"/>
      <w:r w:rsidRPr="007B5EFB">
        <w:rPr>
          <w:szCs w:val="22"/>
        </w:rPr>
        <w:t>According to FTI Treasury, a netting solution would cost approximately 12,000 Swiss francs to implement (whether outsourced or in-house).  If outsourced, there would also be an annual administration fee of approximately 50,000 Swiss francs.  FTI Treasury has advised WIPO that carrying out the work in-house would be unlikely to reduce the annual fee as a large part of this relates to the technology required.  This technology is heavily discounted for outsourced suppliers.  An in-house netting solution would also require some staff time but this would not be significant.</w:t>
      </w:r>
      <w:bookmarkEnd w:id="48"/>
      <w:r w:rsidRPr="007B5EFB">
        <w:rPr>
          <w:szCs w:val="22"/>
        </w:rPr>
        <w:t xml:space="preserve"> </w:t>
      </w:r>
    </w:p>
    <w:p w:rsidR="00C85064" w:rsidRPr="007B5EFB" w:rsidRDefault="00C85064" w:rsidP="00C85064">
      <w:pPr>
        <w:pStyle w:val="ONUME"/>
        <w:keepLines/>
      </w:pPr>
      <w:r w:rsidRPr="007B5EFB">
        <w:rPr>
          <w:szCs w:val="22"/>
        </w:rPr>
        <w:t xml:space="preserve">Finally, it is recalled that the IB is currently running a pilot “eSearch-Copy” project, under which </w:t>
      </w:r>
      <w:r w:rsidRPr="007B5EFB">
        <w:t xml:space="preserve">the IB prepares and transmits search copies electronically to the ISA on behalf of the RO where both RO and ISA so agree, allowing for faster and more efficient transfer of search copies to the ISAs.  While a netting solution could be introduced independently from the implementation of the </w:t>
      </w:r>
      <w:r w:rsidRPr="007B5EFB">
        <w:rPr>
          <w:szCs w:val="22"/>
        </w:rPr>
        <w:t>eSearch-Copy project, ideally, both netting and the eSearch-Copy project should go “hand-in-hand” and be implemented together, allowing participating ROs to rely on only one actor, namely, the IB, for its main transactions vis-à-vis ISAs (the transmittal of search copies and the transfer of search fees) rather than, as at present, two or more (IB and all ISA competent to carry out international searches in respect of applications filed with the RO).</w:t>
      </w:r>
    </w:p>
    <w:p w:rsidR="00C85064" w:rsidRPr="007B5EFB" w:rsidRDefault="00C85064" w:rsidP="00533BD9">
      <w:pPr>
        <w:pStyle w:val="Heading2"/>
        <w:keepLines/>
      </w:pPr>
      <w:r w:rsidRPr="007B5EFB">
        <w:lastRenderedPageBreak/>
        <w:t>III.  other proposals</w:t>
      </w:r>
    </w:p>
    <w:p w:rsidR="00C85064" w:rsidRPr="007B5EFB" w:rsidRDefault="00C85064" w:rsidP="00533BD9">
      <w:pPr>
        <w:pStyle w:val="Heading3"/>
        <w:keepLines/>
      </w:pPr>
      <w:r w:rsidRPr="007B5EFB">
        <w:t>Adding a Margin When Setting Equivalent Amounts</w:t>
      </w:r>
    </w:p>
    <w:p w:rsidR="00C85064" w:rsidRPr="007B5EFB" w:rsidRDefault="00C85064" w:rsidP="00533BD9">
      <w:pPr>
        <w:pStyle w:val="ONUME"/>
        <w:keepNext/>
        <w:keepLines/>
        <w:tabs>
          <w:tab w:val="num" w:pos="851"/>
          <w:tab w:val="num" w:pos="6597"/>
        </w:tabs>
        <w:rPr>
          <w:szCs w:val="22"/>
        </w:rPr>
      </w:pPr>
      <w:bookmarkStart w:id="49" w:name="_Ref400547841"/>
      <w:r w:rsidRPr="007B5EFB">
        <w:rPr>
          <w:szCs w:val="22"/>
        </w:rPr>
        <w:t>One possible further way to reduce the risk for the IB’s (and thus the Organization’s) PCT fee income due to exchange rate fluctuations between freely convertible RO currencies and the Swiss franc and ISA currencies would be to add a small, low percentage margin to the equivalent amounts of the international filing fee and of the search fees, for the benefit of the IB and, if no netting structure were to be introduced, the ISA, respectively.  For example:  say, the current equivalent amount of the international filing fee in currency “XYZ” is 1000 “XYZ”;  adding a margin of 1 or 2 per cent to that equivalent amount in XYZ of the international filing fee would raise that amount from 1000 to 1010 or 1020 “XYZ”.  That additional margin of 10  or 20 “XYZ” per international filing fee would serve to soften the possible impact of exchange rate fluctuations on fee income of the IB.  Similarly, if no netting structure were to be introduced, such an additional margin per search fee would serve to soften the possible impact of exchange rate fluctuations on fee income of the ISA, resulting in fewer cases where that Authority would request reimbursement by the IB under Rule 16.1(e) of losses incurred.</w:t>
      </w:r>
      <w:bookmarkEnd w:id="49"/>
    </w:p>
    <w:p w:rsidR="00C85064" w:rsidRPr="007B5EFB" w:rsidRDefault="00C85064" w:rsidP="00C85064">
      <w:pPr>
        <w:pStyle w:val="Heading3"/>
        <w:keepLines/>
      </w:pPr>
      <w:r w:rsidRPr="007B5EFB">
        <w:t>Payment of the International Filing Fee in Swiss Francs and of the Search Fee in the Applicable ISA Currency</w:t>
      </w:r>
    </w:p>
    <w:p w:rsidR="00C85064" w:rsidRPr="007B5EFB" w:rsidRDefault="00C85064" w:rsidP="00C85064">
      <w:pPr>
        <w:pStyle w:val="ONUME"/>
        <w:keepNext/>
        <w:keepLines/>
        <w:tabs>
          <w:tab w:val="num" w:pos="851"/>
          <w:tab w:val="num" w:pos="6597"/>
        </w:tabs>
        <w:rPr>
          <w:szCs w:val="22"/>
        </w:rPr>
      </w:pPr>
      <w:bookmarkStart w:id="50" w:name="_Ref400547900"/>
      <w:r w:rsidRPr="007B5EFB">
        <w:rPr>
          <w:szCs w:val="22"/>
        </w:rPr>
        <w:t>While all proposals set out above aim at reducing the risk of exposure of PCT fee income to fluctuating exchange rates, one possible way of eliminating that risk altogether would be to enable or indeed require applicants to pay the international filing fee in Swiss francs and the search fee in the applicable ISA currency, either to the RO or directly to the IB and the ISA, respectively.</w:t>
      </w:r>
      <w:bookmarkEnd w:id="50"/>
    </w:p>
    <w:p w:rsidR="00C85064" w:rsidRPr="007B5EFB" w:rsidRDefault="00C85064" w:rsidP="00C85064">
      <w:pPr>
        <w:pStyle w:val="Heading4"/>
      </w:pPr>
      <w:r w:rsidRPr="007B5EFB">
        <w:t>Payment to the Receiving Office</w:t>
      </w:r>
    </w:p>
    <w:p w:rsidR="00C85064" w:rsidRPr="007B5EFB" w:rsidRDefault="00C85064" w:rsidP="00C85064">
      <w:pPr>
        <w:pStyle w:val="ONUME"/>
        <w:tabs>
          <w:tab w:val="num" w:pos="851"/>
          <w:tab w:val="num" w:pos="6597"/>
        </w:tabs>
        <w:rPr>
          <w:szCs w:val="22"/>
        </w:rPr>
      </w:pPr>
      <w:bookmarkStart w:id="51" w:name="_Ref400547948"/>
      <w:r w:rsidRPr="007B5EFB">
        <w:rPr>
          <w:szCs w:val="22"/>
        </w:rPr>
        <w:t>Already at present, several ROs allow for or even require payment of the international filing fee in Swiss francs and of the search fee in the applicable ISA currency.  In such a case, the RO simply transfers those fees in the currencies in which they have been paid to the IB and the ISA, respectively, and the issue of exchange rate fluctuations and subsequent loss of PCT fee income for the IB does not arise.</w:t>
      </w:r>
      <w:bookmarkEnd w:id="51"/>
    </w:p>
    <w:p w:rsidR="00C85064" w:rsidRPr="007B5EFB" w:rsidRDefault="00C85064" w:rsidP="00C85064">
      <w:pPr>
        <w:pStyle w:val="ONUME"/>
        <w:keepLines/>
        <w:tabs>
          <w:tab w:val="num" w:pos="851"/>
          <w:tab w:val="num" w:pos="6597"/>
        </w:tabs>
        <w:rPr>
          <w:rStyle w:val="st"/>
          <w:szCs w:val="22"/>
        </w:rPr>
      </w:pPr>
      <w:r w:rsidRPr="007B5EFB">
        <w:rPr>
          <w:szCs w:val="22"/>
        </w:rPr>
        <w:t xml:space="preserve">While it is not proposed to make it mandatory for an RO to allow for or require the payment of the international filing fee in Swiss francs and payment of the search fee in the applicable ISA currency, noting the various different financial circumstances in which ROs operate, the IB would like to strongly encourage all ROs which presently require payment of the international filing fee and of the search fee in a </w:t>
      </w:r>
      <w:r w:rsidRPr="007B5EFB">
        <w:rPr>
          <w:i/>
          <w:szCs w:val="22"/>
        </w:rPr>
        <w:t xml:space="preserve">freely convertible </w:t>
      </w:r>
      <w:r w:rsidRPr="007B5EFB">
        <w:rPr>
          <w:szCs w:val="22"/>
        </w:rPr>
        <w:t xml:space="preserve">local RO currency to review their current approach and consider collecting those fees in Swiss francs and the applicable ISA currency, respectively.  In the view of the IB, today’s electronic </w:t>
      </w:r>
      <w:r w:rsidRPr="007B5EFB">
        <w:rPr>
          <w:rStyle w:val="st"/>
          <w:color w:val="222222"/>
        </w:rPr>
        <w:t xml:space="preserve">e-commerce payment systems should make such an approach much more feasible than it would have been when the PCT fee payment system was first designed. </w:t>
      </w:r>
    </w:p>
    <w:p w:rsidR="00C85064" w:rsidRPr="007B5EFB" w:rsidRDefault="00C85064" w:rsidP="00C85064">
      <w:pPr>
        <w:pStyle w:val="ONUME"/>
        <w:tabs>
          <w:tab w:val="num" w:pos="851"/>
          <w:tab w:val="num" w:pos="6597"/>
        </w:tabs>
        <w:rPr>
          <w:szCs w:val="22"/>
        </w:rPr>
      </w:pPr>
      <w:r w:rsidRPr="007B5EFB">
        <w:rPr>
          <w:szCs w:val="22"/>
        </w:rPr>
        <w:t>Similarly, the IB would like to strongly encourage those ROs which presently require payment of the international filing fee and of the search fee not in their local (often not-freely convertible) RO currency but rather in a freely convertible currency different from the Swiss franc and the applicable ISA currency (notably, United States dollar) to equally review their current approach and consider collecting those fees in Swiss francs and the applicable ISA currency, respectively.</w:t>
      </w:r>
    </w:p>
    <w:p w:rsidR="00C85064" w:rsidRPr="007B5EFB" w:rsidRDefault="00C85064" w:rsidP="00C85064">
      <w:pPr>
        <w:pStyle w:val="ONUME"/>
        <w:keepLines/>
        <w:tabs>
          <w:tab w:val="num" w:pos="851"/>
          <w:tab w:val="num" w:pos="6597"/>
        </w:tabs>
        <w:rPr>
          <w:szCs w:val="22"/>
        </w:rPr>
      </w:pPr>
      <w:bookmarkStart w:id="52" w:name="_Ref400547950"/>
      <w:r w:rsidRPr="007B5EFB">
        <w:rPr>
          <w:rStyle w:val="st"/>
          <w:color w:val="222222"/>
        </w:rPr>
        <w:t xml:space="preserve">Furthermore, the IB would like to strongly encourage those ROs which </w:t>
      </w:r>
      <w:r w:rsidRPr="007B5EFB">
        <w:rPr>
          <w:szCs w:val="22"/>
        </w:rPr>
        <w:t xml:space="preserve">presently require payment of the international filing fee and of the search fee in a </w:t>
      </w:r>
      <w:r w:rsidRPr="007B5EFB">
        <w:rPr>
          <w:i/>
          <w:szCs w:val="22"/>
        </w:rPr>
        <w:t>not freely convertible</w:t>
      </w:r>
      <w:r w:rsidRPr="007B5EFB">
        <w:rPr>
          <w:szCs w:val="22"/>
        </w:rPr>
        <w:t xml:space="preserve"> local RO currency and subsequently convert those fees into a freely convertible currency different from the Swiss franc and the applicable ISA currency (notably, United States dollar or Euro) to review their current approach and consider converting those fees into Swiss francs and the applicable ISA currency, respectively.</w:t>
      </w:r>
      <w:bookmarkEnd w:id="52"/>
    </w:p>
    <w:p w:rsidR="00C85064" w:rsidRPr="007B5EFB" w:rsidRDefault="00C85064" w:rsidP="00C85064">
      <w:pPr>
        <w:pStyle w:val="Heading4"/>
        <w:keepLines/>
      </w:pPr>
      <w:r w:rsidRPr="007B5EFB">
        <w:lastRenderedPageBreak/>
        <w:t xml:space="preserve">ePCT Payment of Fees Directly to the </w:t>
      </w:r>
      <w:r w:rsidR="00EE5C75" w:rsidRPr="007B5EFB">
        <w:t>IB</w:t>
      </w:r>
      <w:r w:rsidRPr="007B5EFB">
        <w:t xml:space="preserve"> and to the International Searching Authority</w:t>
      </w:r>
    </w:p>
    <w:p w:rsidR="00C85064" w:rsidRPr="007B5EFB" w:rsidRDefault="00C85064" w:rsidP="00C85064">
      <w:pPr>
        <w:pStyle w:val="ONUME"/>
        <w:keepNext/>
        <w:keepLines/>
        <w:tabs>
          <w:tab w:val="num" w:pos="851"/>
          <w:tab w:val="num" w:pos="6597"/>
        </w:tabs>
        <w:rPr>
          <w:szCs w:val="22"/>
        </w:rPr>
      </w:pPr>
      <w:bookmarkStart w:id="53" w:name="_Ref400547903"/>
      <w:bookmarkStart w:id="54" w:name="_Ref404325552"/>
      <w:r w:rsidRPr="007B5EFB">
        <w:rPr>
          <w:szCs w:val="22"/>
        </w:rPr>
        <w:t>Within the context of the ePCT system, solutions are currently being explored that would allow applicants, at the time of filing using the ePCT-Filing system, and regardless of the RO with which the international application has been filed, to pay the international filing fee in Swiss francs to the IB and to pay the search fee in the applicable ISA currency to the ISA, for example, either by way of an online credit card transaction or by furnishing details of a current (deposit) account with WIPO or the ISA, as applicable, or possibly a bank transfer transaction</w:t>
      </w:r>
      <w:bookmarkEnd w:id="53"/>
      <w:r w:rsidRPr="007B5EFB">
        <w:rPr>
          <w:szCs w:val="22"/>
        </w:rPr>
        <w:t>.</w:t>
      </w:r>
      <w:bookmarkEnd w:id="54"/>
    </w:p>
    <w:p w:rsidR="00C85064" w:rsidRPr="007B5EFB" w:rsidRDefault="00C85064" w:rsidP="00C85064">
      <w:pPr>
        <w:pStyle w:val="Heading1"/>
        <w:keepLines/>
      </w:pPr>
      <w:r w:rsidRPr="007B5EFB">
        <w:t>Responses to this Circular</w:t>
      </w:r>
    </w:p>
    <w:p w:rsidR="00C85064" w:rsidRPr="007B5EFB" w:rsidRDefault="00C85064" w:rsidP="00C85064">
      <w:pPr>
        <w:pStyle w:val="ONUME"/>
        <w:keepNext/>
        <w:keepLines/>
        <w:tabs>
          <w:tab w:val="num" w:pos="851"/>
          <w:tab w:val="num" w:pos="6597"/>
        </w:tabs>
        <w:rPr>
          <w:szCs w:val="22"/>
        </w:rPr>
      </w:pPr>
      <w:r w:rsidRPr="007B5EFB">
        <w:rPr>
          <w:noProof/>
          <w:lang w:eastAsia="en-US"/>
        </w:rPr>
        <mc:AlternateContent>
          <mc:Choice Requires="wps">
            <w:drawing>
              <wp:anchor distT="0" distB="0" distL="114300" distR="114300" simplePos="0" relativeHeight="251659264" behindDoc="0" locked="0" layoutInCell="1" allowOverlap="1" wp14:anchorId="1160BF2B" wp14:editId="47927CEF">
                <wp:simplePos x="0" y="0"/>
                <wp:positionH relativeFrom="column">
                  <wp:posOffset>-686435</wp:posOffset>
                </wp:positionH>
                <wp:positionV relativeFrom="paragraph">
                  <wp:posOffset>11430</wp:posOffset>
                </wp:positionV>
                <wp:extent cx="317500" cy="1524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52400"/>
                        </a:xfrm>
                        <a:prstGeom prst="rect">
                          <a:avLst/>
                        </a:prstGeom>
                        <a:solidFill>
                          <a:scrgbClr r="0" g="0" b="0">
                            <a:alpha val="0"/>
                          </a:scrgbClr>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943AF8" w:rsidRPr="0067799B" w:rsidRDefault="00943AF8" w:rsidP="00C85064">
                            <w:pPr>
                              <w:jc w:val="right"/>
                            </w:pPr>
                            <w:r w:rsidRPr="0067799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54.05pt;margin-top:.9pt;width:2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" fillcolor="black" strokeweight=".5pt">
                <v:fill opacity="0"/>
                <v:stroke opacity="0" joinstyle="round"/>
                <v:path arrowok="t"/>
                <v:textbox style="mso-fit-shape-to-text:t" inset="0,0,0,0">
                  <w:txbxContent>
                    <w:p w:rsidR="00943AF8" w:rsidRPr="0067799B" w:rsidRDefault="00943AF8" w:rsidP="00C85064">
                      <w:pPr>
                        <w:jc w:val="right"/>
                      </w:pPr>
                      <w:r w:rsidRPr="0067799B">
                        <w:t xml:space="preserve">./. </w:t>
                      </w:r>
                    </w:p>
                  </w:txbxContent>
                </v:textbox>
              </v:shape>
            </w:pict>
          </mc:Fallback>
        </mc:AlternateContent>
      </w:r>
      <w:r w:rsidRPr="007B5EFB">
        <w:rPr>
          <w:szCs w:val="22"/>
        </w:rPr>
        <w:t>A Questionnaire covering the issues explored in this Circular is attached in Annex III.  Responses are invited to this Circular by completing the Questionnaire and returning it to the IB to Mr. Claus Matthes, Director, PCT Business Development Division (e</w:t>
      </w:r>
      <w:r w:rsidRPr="007B5EFB">
        <w:rPr>
          <w:szCs w:val="22"/>
        </w:rPr>
        <w:noBreakHyphen/>
        <w:t xml:space="preserve">mail:  </w:t>
      </w:r>
      <w:hyperlink r:id="rId19" w:history="1">
        <w:r w:rsidRPr="007B5EFB">
          <w:rPr>
            <w:rStyle w:val="Hyperlink"/>
            <w:szCs w:val="22"/>
          </w:rPr>
          <w:t>pctbdd@wipo.int</w:t>
        </w:r>
      </w:hyperlink>
      <w:proofErr w:type="gramStart"/>
      <w:r w:rsidRPr="007B5EFB">
        <w:rPr>
          <w:szCs w:val="22"/>
        </w:rPr>
        <w:t>;  fax</w:t>
      </w:r>
      <w:proofErr w:type="gramEnd"/>
      <w:r w:rsidRPr="007B5EFB">
        <w:rPr>
          <w:szCs w:val="22"/>
        </w:rPr>
        <w:t>:  +41-22-338 7150) by March 13, 2015.  Responses to this Questionnaire may be submitted in any of the six official languages of the United Nations (Arabic, Chinese, English, French, Russian and Spanish).</w:t>
      </w:r>
    </w:p>
    <w:p w:rsidR="00C85064" w:rsidRPr="007B5EFB" w:rsidRDefault="00C85064" w:rsidP="00C85064">
      <w:pPr>
        <w:pStyle w:val="ONUME"/>
        <w:keepLines/>
        <w:tabs>
          <w:tab w:val="num" w:pos="851"/>
          <w:tab w:val="num" w:pos="6597"/>
        </w:tabs>
        <w:rPr>
          <w:szCs w:val="22"/>
        </w:rPr>
      </w:pPr>
      <w:r w:rsidRPr="007B5EFB">
        <w:rPr>
          <w:szCs w:val="22"/>
        </w:rPr>
        <w:t>The IB will take any comments received by this date into account in developing any proposals to modify the current legal framework governing the payment of PCT fees and the establishment of equivalent amounts for consideration by the PCT Working Group in 2015.</w:t>
      </w:r>
    </w:p>
    <w:p w:rsidR="00C85064" w:rsidRPr="007B5EFB" w:rsidRDefault="00C85064" w:rsidP="00C85064">
      <w:pPr>
        <w:pStyle w:val="ONUME"/>
        <w:tabs>
          <w:tab w:val="num" w:pos="851"/>
          <w:tab w:val="num" w:pos="6597"/>
        </w:tabs>
        <w:rPr>
          <w:szCs w:val="22"/>
        </w:rPr>
      </w:pPr>
      <w:r w:rsidRPr="007B5EFB">
        <w:rPr>
          <w:szCs w:val="22"/>
        </w:rPr>
        <w:t>Any responses received to the Questionnaire will be presented in an anonymous fashion;  individual responses will not be attributed without the specific prior permission of the relevant Office or organization.</w:t>
      </w:r>
    </w:p>
    <w:p w:rsidR="00C85064" w:rsidRPr="007B5EFB" w:rsidRDefault="00C85064" w:rsidP="00C85064">
      <w:pPr>
        <w:ind w:left="5250"/>
        <w:rPr>
          <w:szCs w:val="22"/>
        </w:rPr>
      </w:pPr>
      <w:r w:rsidRPr="007B5EFB">
        <w:rPr>
          <w:szCs w:val="22"/>
        </w:rPr>
        <w:t>Yours sincerely,</w:t>
      </w:r>
    </w:p>
    <w:p w:rsidR="00C85064" w:rsidRPr="007B5EFB" w:rsidRDefault="00C85064" w:rsidP="00C85064">
      <w:pPr>
        <w:ind w:left="5250"/>
        <w:rPr>
          <w:szCs w:val="22"/>
        </w:rPr>
      </w:pPr>
    </w:p>
    <w:p w:rsidR="00C85064" w:rsidRPr="007B5EFB" w:rsidRDefault="00C85064" w:rsidP="00C85064">
      <w:pPr>
        <w:ind w:left="5250"/>
        <w:rPr>
          <w:szCs w:val="22"/>
        </w:rPr>
      </w:pPr>
    </w:p>
    <w:p w:rsidR="00C85064" w:rsidRPr="007B5EFB" w:rsidRDefault="00C85064" w:rsidP="00C85064">
      <w:pPr>
        <w:ind w:left="5250"/>
        <w:rPr>
          <w:szCs w:val="22"/>
        </w:rPr>
      </w:pPr>
    </w:p>
    <w:p w:rsidR="00C85064" w:rsidRPr="007B5EFB" w:rsidRDefault="00C85064" w:rsidP="00C85064">
      <w:pPr>
        <w:ind w:left="5250"/>
        <w:rPr>
          <w:szCs w:val="22"/>
        </w:rPr>
      </w:pPr>
    </w:p>
    <w:p w:rsidR="00C85064" w:rsidRPr="007B5EFB" w:rsidRDefault="00C85064" w:rsidP="00C85064">
      <w:pPr>
        <w:ind w:left="5250"/>
        <w:rPr>
          <w:szCs w:val="22"/>
        </w:rPr>
      </w:pPr>
      <w:r w:rsidRPr="007B5EFB">
        <w:rPr>
          <w:szCs w:val="22"/>
        </w:rPr>
        <w:t>Francis Gurry</w:t>
      </w:r>
    </w:p>
    <w:p w:rsidR="00C85064" w:rsidRPr="007B5EFB" w:rsidRDefault="00C85064" w:rsidP="00C85064">
      <w:pPr>
        <w:ind w:left="5250"/>
        <w:rPr>
          <w:szCs w:val="22"/>
        </w:rPr>
      </w:pPr>
      <w:r w:rsidRPr="007B5EFB">
        <w:rPr>
          <w:szCs w:val="22"/>
        </w:rPr>
        <w:t>Director General</w:t>
      </w:r>
    </w:p>
    <w:bookmarkEnd w:id="23"/>
    <w:p w:rsidR="00C85064" w:rsidRPr="007B5EFB" w:rsidRDefault="00C85064" w:rsidP="00C85064">
      <w:pPr>
        <w:rPr>
          <w:szCs w:val="22"/>
        </w:rPr>
      </w:pPr>
    </w:p>
    <w:p w:rsidR="00C85064" w:rsidRPr="007B5EFB" w:rsidRDefault="00C85064" w:rsidP="00C85064">
      <w:pPr>
        <w:rPr>
          <w:szCs w:val="22"/>
        </w:rPr>
      </w:pPr>
    </w:p>
    <w:p w:rsidR="00C85064" w:rsidRPr="007B5EFB" w:rsidRDefault="00C85064" w:rsidP="00C85064">
      <w:pPr>
        <w:ind w:left="1701" w:hanging="1695"/>
        <w:rPr>
          <w:szCs w:val="22"/>
        </w:rPr>
      </w:pPr>
      <w:r w:rsidRPr="007B5EFB">
        <w:rPr>
          <w:szCs w:val="22"/>
        </w:rPr>
        <w:t>Enclosures:</w:t>
      </w:r>
      <w:r w:rsidRPr="007B5EFB">
        <w:rPr>
          <w:szCs w:val="22"/>
        </w:rPr>
        <w:tab/>
        <w:t>Annex I</w:t>
      </w:r>
      <w:r w:rsidRPr="007B5EFB">
        <w:rPr>
          <w:szCs w:val="22"/>
        </w:rPr>
        <w:tab/>
        <w:t>Directives of the PCT Assembly Relating to the Establishment of Equivalent Amounts of Certain Fees</w:t>
      </w:r>
    </w:p>
    <w:p w:rsidR="00C85064" w:rsidRPr="007B5EFB" w:rsidRDefault="00C85064" w:rsidP="00C85064">
      <w:pPr>
        <w:rPr>
          <w:szCs w:val="22"/>
        </w:rPr>
      </w:pPr>
    </w:p>
    <w:p w:rsidR="00C85064" w:rsidRPr="007B5EFB" w:rsidRDefault="00C85064" w:rsidP="00C85064">
      <w:pPr>
        <w:ind w:left="1701" w:hanging="1695"/>
        <w:rPr>
          <w:szCs w:val="22"/>
        </w:rPr>
      </w:pPr>
      <w:r w:rsidRPr="007B5EFB">
        <w:rPr>
          <w:szCs w:val="22"/>
        </w:rPr>
        <w:tab/>
        <w:t>Annex II</w:t>
      </w:r>
      <w:r w:rsidRPr="007B5EFB">
        <w:rPr>
          <w:szCs w:val="22"/>
        </w:rPr>
        <w:tab/>
        <w:t>Excerpt from the Report of FTI Treasury:  Recommendations with Regard to Foreign Exchange Exposures of PCT Fee Income</w:t>
      </w:r>
    </w:p>
    <w:p w:rsidR="00C85064" w:rsidRPr="007B5EFB" w:rsidRDefault="00C85064" w:rsidP="00C85064">
      <w:pPr>
        <w:rPr>
          <w:szCs w:val="22"/>
        </w:rPr>
      </w:pPr>
    </w:p>
    <w:p w:rsidR="00C85064" w:rsidRPr="007B5EFB" w:rsidRDefault="00C85064" w:rsidP="00C85064">
      <w:pPr>
        <w:rPr>
          <w:szCs w:val="22"/>
        </w:rPr>
      </w:pPr>
      <w:r w:rsidRPr="007B5EFB">
        <w:rPr>
          <w:szCs w:val="22"/>
        </w:rPr>
        <w:tab/>
      </w:r>
      <w:r w:rsidRPr="007B5EFB">
        <w:rPr>
          <w:szCs w:val="22"/>
        </w:rPr>
        <w:tab/>
      </w:r>
      <w:r w:rsidRPr="007B5EFB">
        <w:rPr>
          <w:szCs w:val="22"/>
        </w:rPr>
        <w:tab/>
        <w:t>Annex III</w:t>
      </w:r>
      <w:r w:rsidRPr="007B5EFB">
        <w:rPr>
          <w:szCs w:val="22"/>
        </w:rPr>
        <w:tab/>
        <w:t>Questionnaire</w:t>
      </w:r>
    </w:p>
    <w:p w:rsidR="000F0CD5" w:rsidRPr="007B5EFB" w:rsidRDefault="000F0CD5" w:rsidP="00C85064">
      <w:pPr>
        <w:rPr>
          <w:szCs w:val="22"/>
        </w:rPr>
      </w:pPr>
      <w:r w:rsidRPr="007B5EFB">
        <w:rPr>
          <w:szCs w:val="22"/>
        </w:rPr>
        <w:br w:type="page"/>
      </w:r>
    </w:p>
    <w:p w:rsidR="000F0CD5" w:rsidRPr="007B5EFB" w:rsidRDefault="000F0CD5" w:rsidP="00C85064">
      <w:pPr>
        <w:rPr>
          <w:szCs w:val="22"/>
        </w:rPr>
      </w:pPr>
    </w:p>
    <w:p w:rsidR="00C85064" w:rsidRPr="007B5EFB" w:rsidRDefault="000F0CD5" w:rsidP="00C85064">
      <w:pPr>
        <w:pStyle w:val="Header"/>
        <w:ind w:right="-2"/>
        <w:jc w:val="center"/>
        <w:rPr>
          <w:szCs w:val="22"/>
        </w:rPr>
      </w:pPr>
      <w:r w:rsidRPr="007B5EFB">
        <w:rPr>
          <w:szCs w:val="22"/>
        </w:rPr>
        <w:t>A</w:t>
      </w:r>
      <w:r w:rsidR="00C85064" w:rsidRPr="007B5EFB">
        <w:rPr>
          <w:szCs w:val="22"/>
        </w:rPr>
        <w:t>nnex I to Circular C. PCT 1440</w:t>
      </w:r>
    </w:p>
    <w:p w:rsidR="00C85064" w:rsidRPr="007B5EFB" w:rsidRDefault="00C85064" w:rsidP="00C85064">
      <w:pPr>
        <w:pStyle w:val="Heading2"/>
        <w:ind w:right="-2"/>
        <w:jc w:val="center"/>
      </w:pPr>
      <w:r w:rsidRPr="007B5EFB">
        <w:t>Directives of the Assembly relating to the Establishment of Equivalent Amounts of Certain Fees</w:t>
      </w:r>
    </w:p>
    <w:p w:rsidR="00C85064" w:rsidRPr="007B5EFB" w:rsidRDefault="00C85064" w:rsidP="00C85064">
      <w:pPr>
        <w:ind w:right="-2"/>
        <w:jc w:val="center"/>
        <w:rPr>
          <w:i/>
          <w:szCs w:val="22"/>
        </w:rPr>
      </w:pPr>
      <w:r w:rsidRPr="007B5EFB">
        <w:rPr>
          <w:i/>
          <w:szCs w:val="22"/>
        </w:rPr>
        <w:t>(reproduced from Annex IV to document PCT/A/40/7)</w:t>
      </w:r>
    </w:p>
    <w:p w:rsidR="00C85064" w:rsidRPr="007B5EFB" w:rsidRDefault="00C85064" w:rsidP="00C85064">
      <w:pPr>
        <w:ind w:right="-2"/>
        <w:jc w:val="center"/>
        <w:rPr>
          <w:szCs w:val="22"/>
        </w:rPr>
      </w:pPr>
    </w:p>
    <w:p w:rsidR="00C85064" w:rsidRPr="007B5EFB" w:rsidRDefault="00C85064" w:rsidP="00C85064">
      <w:pPr>
        <w:ind w:right="-2"/>
        <w:rPr>
          <w:szCs w:val="22"/>
        </w:rPr>
      </w:pPr>
    </w:p>
    <w:p w:rsidR="00C85064" w:rsidRPr="007B5EFB" w:rsidRDefault="00C85064" w:rsidP="00C85064">
      <w:pPr>
        <w:pStyle w:val="ONUME"/>
        <w:numPr>
          <w:ilvl w:val="0"/>
          <w:numId w:val="0"/>
        </w:numPr>
        <w:ind w:right="-2"/>
      </w:pPr>
      <w:r w:rsidRPr="007B5EFB">
        <w:t>The Assembly establishes in the following terms the directives relating to the establishment of equivalent amounts of the international filing fee, the handling fee, the search fee and the supplementary search fee (see Rules 15.2(d)(i), 16.1(d)(i), 45</w:t>
      </w:r>
      <w:r w:rsidRPr="007B5EFB">
        <w:rPr>
          <w:i/>
        </w:rPr>
        <w:t>bis</w:t>
      </w:r>
      <w:r w:rsidRPr="007B5EFB">
        <w:t>.3(b) and 57.2(d)(i)), it being understood that, in the light of experience, the Assembly may at any time modify these directives:</w:t>
      </w:r>
    </w:p>
    <w:p w:rsidR="00C85064" w:rsidRPr="007B5EFB" w:rsidRDefault="00C85064" w:rsidP="00C85064">
      <w:pPr>
        <w:pStyle w:val="Heading4"/>
        <w:ind w:right="-2"/>
      </w:pPr>
      <w:r w:rsidRPr="007B5EFB">
        <w:t>Establishment of Equivalent Amounts</w:t>
      </w:r>
    </w:p>
    <w:p w:rsidR="00C85064" w:rsidRPr="007B5EFB" w:rsidRDefault="00C85064" w:rsidP="00C85064">
      <w:pPr>
        <w:ind w:right="-2"/>
        <w:rPr>
          <w:szCs w:val="22"/>
        </w:rPr>
      </w:pPr>
    </w:p>
    <w:p w:rsidR="00C85064" w:rsidRPr="007B5EFB" w:rsidRDefault="00C85064" w:rsidP="00C85064">
      <w:pPr>
        <w:ind w:right="-2"/>
        <w:rPr>
          <w:szCs w:val="22"/>
        </w:rPr>
      </w:pPr>
      <w:r w:rsidRPr="007B5EFB">
        <w:rPr>
          <w:szCs w:val="22"/>
        </w:rPr>
        <w:tab/>
        <w:t>(1)  The equivalent amounts of the international filing fee and the handling fee in any currency other than Swiss franc, and of the search fee and the supplementary search fee in any currency other than the fixed currency, shall be established by the Director General, in the case of:</w:t>
      </w:r>
    </w:p>
    <w:p w:rsidR="00C85064" w:rsidRPr="007B5EFB" w:rsidRDefault="00C85064" w:rsidP="00C85064">
      <w:pPr>
        <w:ind w:right="-2"/>
        <w:rPr>
          <w:szCs w:val="22"/>
        </w:rPr>
      </w:pPr>
    </w:p>
    <w:p w:rsidR="00C85064" w:rsidRPr="007B5EFB" w:rsidRDefault="00C85064" w:rsidP="00C85064">
      <w:pPr>
        <w:ind w:left="567" w:right="-2" w:hanging="567"/>
        <w:rPr>
          <w:szCs w:val="22"/>
        </w:rPr>
      </w:pPr>
      <w:r w:rsidRPr="007B5EFB">
        <w:rPr>
          <w:szCs w:val="22"/>
        </w:rPr>
        <w:tab/>
        <w:t>(i)</w:t>
      </w:r>
      <w:r w:rsidRPr="007B5EFB">
        <w:rPr>
          <w:szCs w:val="22"/>
        </w:rPr>
        <w:tab/>
        <w:t>the international filing fee, after consultation with each RO which prescribes payment of that fee in such currency;</w:t>
      </w:r>
    </w:p>
    <w:p w:rsidR="00C85064" w:rsidRPr="007B5EFB" w:rsidRDefault="00C85064" w:rsidP="00C85064">
      <w:pPr>
        <w:ind w:right="-2"/>
        <w:rPr>
          <w:szCs w:val="22"/>
        </w:rPr>
      </w:pPr>
    </w:p>
    <w:p w:rsidR="00C85064" w:rsidRPr="007B5EFB" w:rsidRDefault="00C85064" w:rsidP="00C85064">
      <w:pPr>
        <w:ind w:left="567" w:right="-2" w:hanging="567"/>
        <w:rPr>
          <w:szCs w:val="22"/>
        </w:rPr>
      </w:pPr>
      <w:r w:rsidRPr="007B5EFB">
        <w:rPr>
          <w:szCs w:val="22"/>
        </w:rPr>
        <w:tab/>
        <w:t>(ii)</w:t>
      </w:r>
      <w:r w:rsidRPr="007B5EFB">
        <w:rPr>
          <w:szCs w:val="22"/>
        </w:rPr>
        <w:tab/>
        <w:t>the search fee, after consultation with each RO which prescribes payment of that fee in such currency;</w:t>
      </w:r>
    </w:p>
    <w:p w:rsidR="00C85064" w:rsidRPr="007B5EFB" w:rsidRDefault="00C85064" w:rsidP="00C85064">
      <w:pPr>
        <w:ind w:right="-2"/>
        <w:rPr>
          <w:szCs w:val="22"/>
        </w:rPr>
      </w:pPr>
    </w:p>
    <w:p w:rsidR="00C85064" w:rsidRPr="007B5EFB" w:rsidRDefault="00C85064" w:rsidP="00C85064">
      <w:pPr>
        <w:ind w:left="567" w:right="-2" w:hanging="567"/>
        <w:rPr>
          <w:szCs w:val="22"/>
        </w:rPr>
      </w:pPr>
      <w:r w:rsidRPr="007B5EFB">
        <w:rPr>
          <w:szCs w:val="22"/>
        </w:rPr>
        <w:tab/>
        <w:t>(iii)</w:t>
      </w:r>
      <w:r w:rsidRPr="007B5EFB">
        <w:rPr>
          <w:szCs w:val="22"/>
        </w:rPr>
        <w:tab/>
        <w:t>the handling fee, after consultation with each IPEA which prescribes payment of that fee in such currency.</w:t>
      </w:r>
    </w:p>
    <w:p w:rsidR="00C85064" w:rsidRPr="007B5EFB" w:rsidRDefault="00C85064" w:rsidP="00C85064">
      <w:pPr>
        <w:ind w:right="-2"/>
        <w:rPr>
          <w:szCs w:val="22"/>
        </w:rPr>
      </w:pPr>
    </w:p>
    <w:p w:rsidR="00C85064" w:rsidRPr="007B5EFB" w:rsidRDefault="00C85064" w:rsidP="00C85064">
      <w:pPr>
        <w:ind w:right="-2"/>
        <w:rPr>
          <w:szCs w:val="22"/>
        </w:rPr>
      </w:pPr>
      <w:r w:rsidRPr="007B5EFB">
        <w:rPr>
          <w:szCs w:val="22"/>
        </w:rPr>
        <w:t>In the case of the international filing fee, the search fee and the handling fee, the equivalent amounts shall be established according to the exchange rates prevailing on the day preceding the day on which the consultations are initiated by the Director General.  In the case of the supplementary search fee, the equivalent amounts shall be established according to the exchange rates prevailing on the day on which the Director General receives the notification of the amount of the supplementary search fee or prevailing on the day two months prior to the entry into force of the supplementary search fee, whichever is the later.</w:t>
      </w:r>
    </w:p>
    <w:p w:rsidR="00C85064" w:rsidRPr="007B5EFB" w:rsidRDefault="00C85064" w:rsidP="00C85064">
      <w:pPr>
        <w:ind w:right="-2"/>
        <w:rPr>
          <w:szCs w:val="22"/>
        </w:rPr>
      </w:pPr>
    </w:p>
    <w:p w:rsidR="00C85064" w:rsidRPr="007B5EFB" w:rsidRDefault="00C85064" w:rsidP="00C85064">
      <w:pPr>
        <w:ind w:right="-2"/>
        <w:rPr>
          <w:szCs w:val="22"/>
        </w:rPr>
      </w:pPr>
      <w:r w:rsidRPr="007B5EFB">
        <w:rPr>
          <w:szCs w:val="22"/>
        </w:rPr>
        <w:tab/>
        <w:t>(2)  The amounts so established shall be the equivalent, in round figures,</w:t>
      </w:r>
    </w:p>
    <w:p w:rsidR="00C85064" w:rsidRPr="007B5EFB" w:rsidRDefault="00C85064" w:rsidP="00C85064">
      <w:pPr>
        <w:ind w:right="-2"/>
        <w:rPr>
          <w:szCs w:val="22"/>
        </w:rPr>
      </w:pPr>
    </w:p>
    <w:p w:rsidR="00C85064" w:rsidRPr="007B5EFB" w:rsidRDefault="00C85064" w:rsidP="00C85064">
      <w:pPr>
        <w:ind w:left="567" w:right="-2" w:hanging="567"/>
        <w:rPr>
          <w:szCs w:val="22"/>
        </w:rPr>
      </w:pPr>
      <w:r w:rsidRPr="007B5EFB">
        <w:rPr>
          <w:szCs w:val="22"/>
        </w:rPr>
        <w:tab/>
        <w:t>(i)</w:t>
      </w:r>
      <w:r w:rsidRPr="007B5EFB">
        <w:rPr>
          <w:szCs w:val="22"/>
        </w:rPr>
        <w:tab/>
        <w:t>of the amount of the international filing fee and of the handling fee, respectively, in Swiss franc set out in the Schedule of Fees;</w:t>
      </w:r>
    </w:p>
    <w:p w:rsidR="00C85064" w:rsidRPr="007B5EFB" w:rsidRDefault="00C85064" w:rsidP="00C85064">
      <w:pPr>
        <w:ind w:left="567" w:right="-2" w:hanging="567"/>
        <w:rPr>
          <w:szCs w:val="22"/>
        </w:rPr>
      </w:pPr>
    </w:p>
    <w:p w:rsidR="00C85064" w:rsidRPr="007B5EFB" w:rsidRDefault="00C85064" w:rsidP="00C85064">
      <w:pPr>
        <w:ind w:left="567" w:right="-2" w:hanging="567"/>
        <w:rPr>
          <w:szCs w:val="22"/>
        </w:rPr>
      </w:pPr>
      <w:r w:rsidRPr="007B5EFB">
        <w:rPr>
          <w:szCs w:val="22"/>
        </w:rPr>
        <w:tab/>
        <w:t>(ii)</w:t>
      </w:r>
      <w:r w:rsidRPr="007B5EFB">
        <w:rPr>
          <w:szCs w:val="22"/>
        </w:rPr>
        <w:tab/>
        <w:t>of the amount of the search fee and the supplementary search fee (if applicable) established by the ISA in the fixed currency.</w:t>
      </w:r>
    </w:p>
    <w:p w:rsidR="00C85064" w:rsidRPr="007B5EFB" w:rsidRDefault="00C85064" w:rsidP="00C85064">
      <w:pPr>
        <w:ind w:right="-2"/>
        <w:rPr>
          <w:szCs w:val="22"/>
        </w:rPr>
      </w:pPr>
    </w:p>
    <w:p w:rsidR="00C85064" w:rsidRPr="007B5EFB" w:rsidRDefault="00C85064" w:rsidP="00C85064">
      <w:pPr>
        <w:ind w:right="-2"/>
        <w:rPr>
          <w:szCs w:val="22"/>
        </w:rPr>
      </w:pPr>
      <w:r w:rsidRPr="007B5EFB">
        <w:rPr>
          <w:szCs w:val="22"/>
        </w:rPr>
        <w:t xml:space="preserve">They shall be notified by the IB to each RO, ISA and IPEA, as applicable, prescribing payment or establishing fees in the currency concerned and shall be published in the </w:t>
      </w:r>
      <w:r w:rsidRPr="007B5EFB">
        <w:rPr>
          <w:i/>
          <w:szCs w:val="22"/>
        </w:rPr>
        <w:t>Gazette</w:t>
      </w:r>
      <w:r w:rsidRPr="007B5EFB">
        <w:rPr>
          <w:szCs w:val="22"/>
        </w:rPr>
        <w:t>.</w:t>
      </w:r>
    </w:p>
    <w:p w:rsidR="00C85064" w:rsidRPr="007B5EFB" w:rsidRDefault="00C85064" w:rsidP="00C85064">
      <w:pPr>
        <w:pStyle w:val="Heading4"/>
        <w:keepLines/>
        <w:ind w:right="-2"/>
      </w:pPr>
      <w:r w:rsidRPr="007B5EFB">
        <w:lastRenderedPageBreak/>
        <w:t>Establishment of New Equivalent Amounts Consequential on Changes in the Amount of the Fee Concerned</w:t>
      </w:r>
    </w:p>
    <w:p w:rsidR="00C85064" w:rsidRPr="007B5EFB" w:rsidRDefault="00C85064" w:rsidP="00C85064">
      <w:pPr>
        <w:keepNext/>
        <w:keepLines/>
        <w:ind w:right="-2"/>
      </w:pPr>
    </w:p>
    <w:p w:rsidR="00C85064" w:rsidRPr="007B5EFB" w:rsidRDefault="00C85064" w:rsidP="00C85064">
      <w:pPr>
        <w:keepNext/>
        <w:keepLines/>
        <w:ind w:right="-2"/>
        <w:rPr>
          <w:szCs w:val="22"/>
        </w:rPr>
      </w:pPr>
      <w:r w:rsidRPr="007B5EFB">
        <w:rPr>
          <w:szCs w:val="22"/>
        </w:rPr>
        <w:tab/>
        <w:t xml:space="preserve">(3)  Paragraphs (1) and (2) shall apply </w:t>
      </w:r>
      <w:r w:rsidRPr="007B5EFB">
        <w:rPr>
          <w:i/>
          <w:szCs w:val="22"/>
        </w:rPr>
        <w:t>mutatis mutandis</w:t>
      </w:r>
      <w:r w:rsidRPr="007B5EFB">
        <w:rPr>
          <w:szCs w:val="22"/>
        </w:rPr>
        <w:t xml:space="preserve"> where the amount of the international filing fee, the handling fee, the search fee or the supplementary search fee is changed.  The new equivalent amounts in the prescribed currencies shall be applied from the same date as the changed amount of the international filing fee or of the handling fee set out in the amended Schedule of Fees, or from the same date as the changed amount of the search fee or the supplementary search fee in the fixed currency.</w:t>
      </w:r>
    </w:p>
    <w:p w:rsidR="00C85064" w:rsidRPr="007B5EFB" w:rsidRDefault="00C85064" w:rsidP="00C85064">
      <w:pPr>
        <w:pStyle w:val="Heading4"/>
        <w:ind w:right="-2"/>
      </w:pPr>
      <w:r w:rsidRPr="007B5EFB">
        <w:t>Establishment of New Equivalent Amounts Consequential on Changes in Exchange Rates</w:t>
      </w:r>
    </w:p>
    <w:p w:rsidR="00C85064" w:rsidRPr="007B5EFB" w:rsidRDefault="00C85064" w:rsidP="00C85064">
      <w:pPr>
        <w:ind w:right="-2"/>
      </w:pPr>
    </w:p>
    <w:p w:rsidR="00C85064" w:rsidRPr="007B5EFB" w:rsidRDefault="00C85064" w:rsidP="00C85064">
      <w:pPr>
        <w:ind w:right="-2"/>
        <w:rPr>
          <w:szCs w:val="22"/>
        </w:rPr>
      </w:pPr>
      <w:r w:rsidRPr="007B5EFB">
        <w:rPr>
          <w:szCs w:val="22"/>
        </w:rPr>
        <w:tab/>
        <w:t>(4)  In the month of October of each year, the Director General shall, where applicable, after consultations with the Offices or Authorities referred to in paragraph (1), establish new equivalent amounts of the international filing fee, the handling fee, the search fee and the supplementary search fee according to the exchange rates prevailing on the first Monday in the month of October.  Unless otherwise decided by the Director General, any adjustment under this paragraph shall enter into force on the first day of the subsequent calendar year.</w:t>
      </w:r>
    </w:p>
    <w:p w:rsidR="00C85064" w:rsidRPr="007B5EFB" w:rsidRDefault="00C85064" w:rsidP="00C85064">
      <w:pPr>
        <w:ind w:right="-2"/>
        <w:rPr>
          <w:szCs w:val="22"/>
        </w:rPr>
      </w:pPr>
    </w:p>
    <w:p w:rsidR="00C85064" w:rsidRPr="007B5EFB" w:rsidRDefault="00C85064" w:rsidP="00C85064">
      <w:pPr>
        <w:ind w:right="-2"/>
        <w:rPr>
          <w:szCs w:val="22"/>
        </w:rPr>
      </w:pPr>
      <w:r w:rsidRPr="007B5EFB">
        <w:rPr>
          <w:szCs w:val="22"/>
        </w:rPr>
        <w:tab/>
        <w:t xml:space="preserve">(5)  Where, for more than four consecutive Fridays (midday, Geneva time), the exchange rate between Swiss franc (in the case of the international filing fee and the handling fee) or the fixed currency (in the case of the search fee and the supplementary search fee) and any applicable prescribed currency is by at least 5% higher, or by at least 5% lower, than the last exchange rate applied, the Director General shall, where applicable, after consultations with the Offices or Authorities referred to in paragraph (1), establish new equivalent amounts of the international filing fee, the search fee, the supplementary search fee and/or the handling fee, as applicable, according to the exchange rate prevailing on the first Monday following the expiration of the period referred to in the first sentence of this paragraph.  The newly established amount shall become applicable two months after the date of its publication in the </w:t>
      </w:r>
      <w:r w:rsidRPr="007B5EFB">
        <w:rPr>
          <w:i/>
          <w:szCs w:val="22"/>
        </w:rPr>
        <w:t>Gazette</w:t>
      </w:r>
      <w:r w:rsidRPr="007B5EFB">
        <w:rPr>
          <w:szCs w:val="22"/>
        </w:rPr>
        <w:t>, provided that the ROs or the International Preliminary Examining Authorities concerned, as applicable, and the Director General may agree on a date falling during the said two-month period, in which case the said amount shall become applicable from that date.</w:t>
      </w:r>
    </w:p>
    <w:p w:rsidR="00C85064" w:rsidRPr="007B5EFB" w:rsidRDefault="00C85064" w:rsidP="00C85064">
      <w:pPr>
        <w:ind w:right="-2"/>
        <w:rPr>
          <w:szCs w:val="22"/>
        </w:rPr>
      </w:pPr>
    </w:p>
    <w:p w:rsidR="00C85064" w:rsidRPr="007B5EFB" w:rsidRDefault="00C85064" w:rsidP="00C85064">
      <w:pPr>
        <w:ind w:right="-2"/>
        <w:rPr>
          <w:szCs w:val="22"/>
        </w:rPr>
      </w:pPr>
    </w:p>
    <w:p w:rsidR="00533BD9" w:rsidRPr="007B5EFB" w:rsidRDefault="00C85064" w:rsidP="00533BD9">
      <w:pPr>
        <w:pStyle w:val="Endofdocument-Annex"/>
      </w:pPr>
      <w:r w:rsidRPr="007B5EFB">
        <w:t xml:space="preserve">[Annex II </w:t>
      </w:r>
      <w:r w:rsidRPr="007B5EFB">
        <w:rPr>
          <w:i/>
        </w:rPr>
        <w:t xml:space="preserve">[to Circular C. PCT 1440] </w:t>
      </w:r>
      <w:r w:rsidRPr="007B5EFB">
        <w:t>follows]</w:t>
      </w:r>
      <w:r w:rsidR="00533BD9" w:rsidRPr="007B5EFB">
        <w:br w:type="page"/>
      </w:r>
    </w:p>
    <w:p w:rsidR="00C85064" w:rsidRPr="007B5EFB" w:rsidRDefault="00C85064" w:rsidP="00C85064">
      <w:pPr>
        <w:pStyle w:val="Header"/>
        <w:tabs>
          <w:tab w:val="clear" w:pos="9072"/>
        </w:tabs>
        <w:jc w:val="center"/>
        <w:rPr>
          <w:szCs w:val="22"/>
        </w:rPr>
      </w:pPr>
      <w:r w:rsidRPr="007B5EFB">
        <w:rPr>
          <w:szCs w:val="22"/>
        </w:rPr>
        <w:lastRenderedPageBreak/>
        <w:t>Annex II to Circular C. PCT 1440</w:t>
      </w:r>
    </w:p>
    <w:p w:rsidR="00C85064" w:rsidRPr="007B5EFB" w:rsidRDefault="00C85064" w:rsidP="00C85064">
      <w:pPr>
        <w:pStyle w:val="Header"/>
        <w:tabs>
          <w:tab w:val="clear" w:pos="9072"/>
        </w:tabs>
        <w:jc w:val="center"/>
        <w:rPr>
          <w:szCs w:val="22"/>
        </w:rPr>
      </w:pPr>
    </w:p>
    <w:p w:rsidR="00C85064" w:rsidRPr="007B5EFB" w:rsidRDefault="00C85064" w:rsidP="00C85064">
      <w:pPr>
        <w:jc w:val="center"/>
        <w:rPr>
          <w:szCs w:val="22"/>
        </w:rPr>
      </w:pPr>
      <w:r w:rsidRPr="007B5EFB">
        <w:rPr>
          <w:szCs w:val="22"/>
        </w:rPr>
        <w:t>EXCERPT FROM THE REPORT OF FTI TREASURY:</w:t>
      </w:r>
    </w:p>
    <w:p w:rsidR="00C85064" w:rsidRPr="007B5EFB" w:rsidRDefault="00C85064" w:rsidP="00C85064">
      <w:pPr>
        <w:jc w:val="center"/>
        <w:rPr>
          <w:szCs w:val="22"/>
        </w:rPr>
      </w:pPr>
      <w:r w:rsidRPr="007B5EFB">
        <w:rPr>
          <w:szCs w:val="22"/>
        </w:rPr>
        <w:t xml:space="preserve">RECOMMENDATIONS WITH REGARD TO </w:t>
      </w:r>
      <w:r w:rsidRPr="007B5EFB">
        <w:rPr>
          <w:szCs w:val="22"/>
        </w:rPr>
        <w:br/>
        <w:t>FOREIGN EXCHANGE EXPOSURES OF PCT FEE INCOME</w:t>
      </w:r>
    </w:p>
    <w:p w:rsidR="00C85064" w:rsidRPr="007B5EFB" w:rsidRDefault="00C85064" w:rsidP="00C85064">
      <w:pPr>
        <w:rPr>
          <w:szCs w:val="22"/>
        </w:rPr>
      </w:pPr>
    </w:p>
    <w:p w:rsidR="00C85064" w:rsidRPr="007B5EFB" w:rsidRDefault="00C85064" w:rsidP="00C85064">
      <w:pPr>
        <w:rPr>
          <w:i/>
        </w:rPr>
      </w:pPr>
      <w:r w:rsidRPr="007B5EFB">
        <w:rPr>
          <w:i/>
        </w:rPr>
        <w:t>“Foreign Exchange Exposure and Risk Management</w:t>
      </w:r>
    </w:p>
    <w:p w:rsidR="00C85064" w:rsidRPr="007B5EFB" w:rsidRDefault="00C85064" w:rsidP="00C85064"/>
    <w:p w:rsidR="00C85064" w:rsidRPr="007B5EFB" w:rsidRDefault="00C85064" w:rsidP="00C85064">
      <w:pPr>
        <w:rPr>
          <w:szCs w:val="22"/>
        </w:rPr>
      </w:pPr>
      <w:r w:rsidRPr="007B5EFB">
        <w:rPr>
          <w:szCs w:val="22"/>
        </w:rPr>
        <w:t>“PCT income constitutes WIPO’s largest source of revenue (73.7% in 2012 or CHF 248.2 million) and gives rise to the significant foreign exchange risks arising in the organization.  No significant treasury issues are identified with Madrid and Hague systems.  The USD flows associated with Arbitration and Mediation are small in the overall WIPO context and consequently no significant treasury issues are identified with this service.  The main findings in the study in respect of foreign exchange exposure and risk management are:</w:t>
      </w:r>
    </w:p>
    <w:p w:rsidR="00C85064" w:rsidRPr="007B5EFB" w:rsidRDefault="00C85064" w:rsidP="00C85064">
      <w:pPr>
        <w:rPr>
          <w:szCs w:val="22"/>
        </w:rPr>
      </w:pPr>
    </w:p>
    <w:p w:rsidR="00C85064" w:rsidRPr="007B5EFB" w:rsidRDefault="00C85064" w:rsidP="00C85064">
      <w:pPr>
        <w:pStyle w:val="ListParagraph"/>
        <w:numPr>
          <w:ilvl w:val="0"/>
          <w:numId w:val="8"/>
        </w:numPr>
      </w:pPr>
      <w:r w:rsidRPr="007B5EFB">
        <w:t xml:space="preserve">“WIPO is exposed to significant risk as a result of foreign currency exposures.  The New Equivalent Amount process protects WIPO from long term structural changes in exchange rates, but WIPO is still exposed to short term volatilities.  This can have a significant impact on revenues with CHF 13 million FX loss being recorded in 2011.  </w:t>
      </w:r>
      <w:r w:rsidRPr="007B5EFB">
        <w:rPr>
          <w:szCs w:val="22"/>
        </w:rPr>
        <w:t>Based on the current budgeted figures, a negative move of just 0.5% in foreign exchange rates would eliminate the budgeted surplus operating result.</w:t>
      </w:r>
    </w:p>
    <w:p w:rsidR="00C85064" w:rsidRPr="007B5EFB" w:rsidRDefault="00C85064" w:rsidP="00C85064"/>
    <w:p w:rsidR="00C85064" w:rsidRPr="007B5EFB" w:rsidRDefault="00C85064" w:rsidP="00C85064">
      <w:pPr>
        <w:pStyle w:val="ListParagraph"/>
        <w:numPr>
          <w:ilvl w:val="0"/>
          <w:numId w:val="8"/>
        </w:numPr>
      </w:pPr>
      <w:r w:rsidRPr="007B5EFB">
        <w:t>“Value at risk relating to the PCT application fees based on forecast application volumes for the 2014/15 biennium and to a 95% confidence level is estimated at CHF 38,232,712.  Value at risk relating to the ISA non base currency fees based on 2012 volumes and to a 95% confidence level is estimated at CHF 8,915,917.</w:t>
      </w:r>
    </w:p>
    <w:p w:rsidR="00C85064" w:rsidRPr="007B5EFB" w:rsidRDefault="00C85064" w:rsidP="00C85064"/>
    <w:p w:rsidR="00C85064" w:rsidRPr="007B5EFB" w:rsidRDefault="00C85064" w:rsidP="00C85064">
      <w:pPr>
        <w:pStyle w:val="ListParagraph"/>
        <w:numPr>
          <w:ilvl w:val="0"/>
          <w:numId w:val="8"/>
        </w:numPr>
      </w:pPr>
      <w:r w:rsidRPr="007B5EFB">
        <w:t xml:space="preserve">“The key currency exposures in terms of PCT application fees are USD, EUR and JPY.  The key currency exposures in terms of ISA non-base currency fees are /EUR/USD, EUR/GBP and USD/KRW.  </w:t>
      </w:r>
    </w:p>
    <w:p w:rsidR="00C85064" w:rsidRPr="007B5EFB" w:rsidRDefault="00C85064" w:rsidP="00C85064"/>
    <w:p w:rsidR="00C85064" w:rsidRPr="007B5EFB" w:rsidRDefault="00C85064" w:rsidP="00C85064">
      <w:pPr>
        <w:pStyle w:val="ListParagraph"/>
        <w:numPr>
          <w:ilvl w:val="0"/>
          <w:numId w:val="8"/>
        </w:numPr>
      </w:pPr>
      <w:r w:rsidRPr="007B5EFB">
        <w:t>“The current accounting process means that hedging exposures on a net basis will not eliminate the FX gain/loss recorded in the P&amp;L</w:t>
      </w:r>
      <w:r w:rsidRPr="007B5EFB">
        <w:rPr>
          <w:rStyle w:val="FootnoteReference"/>
        </w:rPr>
        <w:footnoteReference w:id="8"/>
      </w:r>
      <w:r w:rsidRPr="007B5EFB">
        <w:t>.  Whilst the biennium budget may still be met, any offsetting gain/loss on the PCT income line would be reflected in either increased or decreased expenditure levels in CHF terms.</w:t>
      </w:r>
    </w:p>
    <w:p w:rsidR="00C85064" w:rsidRPr="007B5EFB" w:rsidRDefault="00C85064" w:rsidP="00C85064"/>
    <w:p w:rsidR="00C85064" w:rsidRPr="007B5EFB" w:rsidRDefault="00C85064" w:rsidP="00C85064">
      <w:pPr>
        <w:pStyle w:val="ListParagraph"/>
        <w:numPr>
          <w:ilvl w:val="0"/>
          <w:numId w:val="8"/>
        </w:numPr>
      </w:pPr>
      <w:r w:rsidRPr="007B5EFB">
        <w:t>“There are a wide range of hedging strategies available to WIPO.  However, the new equivalent amount process reduces the ability to accurately define FX exposures and in the case of some hedging strategies may result in an increased exposure to WIPO given certain market conditions and volatilities.  WIPO could look to implement a hedging strategy based purely on financial derivatives or could look to optimize a hedging strategy by altering some internal and external pricing processes.</w:t>
      </w:r>
    </w:p>
    <w:p w:rsidR="00C85064" w:rsidRPr="007B5EFB" w:rsidRDefault="00C85064" w:rsidP="00C85064">
      <w:pPr>
        <w:pStyle w:val="ListParagraph"/>
      </w:pPr>
    </w:p>
    <w:p w:rsidR="00C85064" w:rsidRPr="007B5EFB" w:rsidRDefault="00C85064" w:rsidP="00C85064">
      <w:pPr>
        <w:pStyle w:val="ListParagraph"/>
        <w:numPr>
          <w:ilvl w:val="0"/>
          <w:numId w:val="8"/>
        </w:numPr>
        <w:rPr>
          <w:b/>
          <w:szCs w:val="22"/>
        </w:rPr>
      </w:pPr>
      <w:r w:rsidRPr="007B5EFB">
        <w:t>“</w:t>
      </w:r>
      <w:r w:rsidRPr="007B5EFB">
        <w:rPr>
          <w:i/>
        </w:rPr>
        <w:t>This report recommends</w:t>
      </w:r>
      <w:r w:rsidRPr="007B5EFB">
        <w:t xml:space="preserve"> </w:t>
      </w:r>
      <w:r w:rsidRPr="007B5EFB">
        <w:rPr>
          <w:i/>
        </w:rPr>
        <w:t>that WIPO consider eliminating the New Equivalent Amount process and setting equivalent amounts for both PCT Application Fees and ISA non-base currency fees annually for a period of 12 months</w:t>
      </w:r>
      <w:r w:rsidRPr="007B5EFB">
        <w:t>.  This would provide more certainty of currency cash flows and significantly remove risks associated with hedging strategies.</w:t>
      </w:r>
    </w:p>
    <w:p w:rsidR="00AC7D6D" w:rsidRPr="007B5EFB" w:rsidRDefault="00AC7D6D" w:rsidP="00AC7D6D">
      <w:pPr>
        <w:pStyle w:val="ListParagraph"/>
        <w:rPr>
          <w:b/>
          <w:szCs w:val="22"/>
        </w:rPr>
      </w:pPr>
    </w:p>
    <w:p w:rsidR="00C85064" w:rsidRPr="007B5EFB" w:rsidRDefault="00C85064" w:rsidP="00C85064">
      <w:pPr>
        <w:pStyle w:val="ListParagraph"/>
        <w:numPr>
          <w:ilvl w:val="0"/>
          <w:numId w:val="8"/>
        </w:numPr>
        <w:rPr>
          <w:szCs w:val="22"/>
        </w:rPr>
      </w:pPr>
      <w:r w:rsidRPr="007B5EFB">
        <w:rPr>
          <w:szCs w:val="22"/>
        </w:rPr>
        <w:t xml:space="preserve">“This report recommends that WIPO consider implementing a hedging strategy based on net currency cash flows using Forward Contracts (subject to previous recommendation </w:t>
      </w:r>
      <w:r w:rsidRPr="007B5EFB">
        <w:rPr>
          <w:szCs w:val="22"/>
        </w:rPr>
        <w:lastRenderedPageBreak/>
        <w:t>being adopted).  We believe that this strategy would be the most suitable for implementation at WIPO for the following reasons:</w:t>
      </w:r>
    </w:p>
    <w:p w:rsidR="00C85064" w:rsidRPr="007B5EFB" w:rsidRDefault="00C85064" w:rsidP="00C85064">
      <w:pPr>
        <w:rPr>
          <w:szCs w:val="22"/>
        </w:rPr>
      </w:pPr>
    </w:p>
    <w:p w:rsidR="00C85064" w:rsidRPr="007B5EFB" w:rsidRDefault="00C85064" w:rsidP="00C85064">
      <w:pPr>
        <w:pStyle w:val="ListParagraph"/>
        <w:numPr>
          <w:ilvl w:val="0"/>
          <w:numId w:val="8"/>
        </w:numPr>
        <w:rPr>
          <w:szCs w:val="22"/>
        </w:rPr>
      </w:pPr>
      <w:r w:rsidRPr="007B5EFB">
        <w:rPr>
          <w:szCs w:val="22"/>
        </w:rPr>
        <w:t>“Using forward contracts will allow WIPO to lock into FX rates which are close to the equivalent amount rate without the upfront expense of purchasing options.</w:t>
      </w:r>
    </w:p>
    <w:p w:rsidR="00C85064" w:rsidRPr="007B5EFB" w:rsidRDefault="00C85064" w:rsidP="00C85064">
      <w:pPr>
        <w:pStyle w:val="ListParagraph"/>
        <w:rPr>
          <w:szCs w:val="22"/>
        </w:rPr>
      </w:pPr>
    </w:p>
    <w:p w:rsidR="00C85064" w:rsidRPr="007B5EFB" w:rsidRDefault="00C85064" w:rsidP="00C85064">
      <w:pPr>
        <w:pStyle w:val="ListParagraph"/>
        <w:numPr>
          <w:ilvl w:val="0"/>
          <w:numId w:val="8"/>
        </w:numPr>
        <w:rPr>
          <w:szCs w:val="22"/>
        </w:rPr>
      </w:pPr>
      <w:r w:rsidRPr="007B5EFB">
        <w:rPr>
          <w:szCs w:val="22"/>
        </w:rPr>
        <w:t>“The use of Forward Contract strategies are at the lower end of complexity for implementation.  The results are clear, transparent and easily understandable.</w:t>
      </w:r>
    </w:p>
    <w:p w:rsidR="00C85064" w:rsidRPr="007B5EFB" w:rsidRDefault="00C85064" w:rsidP="00C85064">
      <w:pPr>
        <w:pStyle w:val="ListParagraph"/>
        <w:rPr>
          <w:szCs w:val="22"/>
        </w:rPr>
      </w:pPr>
    </w:p>
    <w:p w:rsidR="00C85064" w:rsidRPr="007B5EFB" w:rsidRDefault="00C85064" w:rsidP="00C85064">
      <w:pPr>
        <w:pStyle w:val="ListParagraph"/>
        <w:numPr>
          <w:ilvl w:val="0"/>
          <w:numId w:val="8"/>
        </w:numPr>
        <w:rPr>
          <w:szCs w:val="22"/>
        </w:rPr>
      </w:pPr>
      <w:r w:rsidRPr="007B5EFB">
        <w:rPr>
          <w:szCs w:val="22"/>
        </w:rPr>
        <w:t>“Hedging the net currency flows will help WIPO meet the biennium budget financial goals.</w:t>
      </w:r>
    </w:p>
    <w:p w:rsidR="00C85064" w:rsidRPr="007B5EFB" w:rsidRDefault="00C85064" w:rsidP="00C85064">
      <w:pPr>
        <w:pStyle w:val="ListParagraph"/>
        <w:rPr>
          <w:szCs w:val="22"/>
        </w:rPr>
      </w:pPr>
    </w:p>
    <w:p w:rsidR="00C85064" w:rsidRPr="007B5EFB" w:rsidRDefault="00C85064" w:rsidP="00C85064">
      <w:pPr>
        <w:pStyle w:val="ListParagraph"/>
        <w:numPr>
          <w:ilvl w:val="0"/>
          <w:numId w:val="8"/>
        </w:numPr>
        <w:rPr>
          <w:b/>
          <w:szCs w:val="22"/>
        </w:rPr>
      </w:pPr>
      <w:r w:rsidRPr="007B5EFB">
        <w:rPr>
          <w:szCs w:val="22"/>
        </w:rPr>
        <w:t>“</w:t>
      </w:r>
      <w:r w:rsidRPr="007B5EFB">
        <w:rPr>
          <w:i/>
          <w:szCs w:val="22"/>
        </w:rPr>
        <w:t>This report recommends that WIPO consider using the blended hedge rate to set equivalent amounts.</w:t>
      </w:r>
      <w:r w:rsidRPr="007B5EFB">
        <w:rPr>
          <w:szCs w:val="22"/>
        </w:rPr>
        <w:t xml:space="preserve">  If WIPO uses the blended average weighted forward rate to set the equivalent amount rate then the premium/discount would be reflected in the equivalent amounts.  Therefore consideration should be given to using the average blended forward rate for setting equivalent amounts.</w:t>
      </w:r>
    </w:p>
    <w:p w:rsidR="00C85064" w:rsidRPr="007B5EFB" w:rsidRDefault="00C85064" w:rsidP="00C85064">
      <w:pPr>
        <w:pStyle w:val="ListParagraph"/>
        <w:rPr>
          <w:b/>
          <w:szCs w:val="22"/>
        </w:rPr>
      </w:pPr>
    </w:p>
    <w:p w:rsidR="00C85064" w:rsidRPr="007B5EFB" w:rsidRDefault="00C85064" w:rsidP="00C85064">
      <w:pPr>
        <w:pStyle w:val="ListParagraph"/>
        <w:numPr>
          <w:ilvl w:val="0"/>
          <w:numId w:val="8"/>
        </w:numPr>
        <w:rPr>
          <w:b/>
          <w:szCs w:val="22"/>
        </w:rPr>
      </w:pPr>
      <w:r w:rsidRPr="007B5EFB">
        <w:rPr>
          <w:szCs w:val="22"/>
        </w:rPr>
        <w:t>“</w:t>
      </w:r>
      <w:r w:rsidRPr="007B5EFB">
        <w:rPr>
          <w:i/>
          <w:szCs w:val="22"/>
        </w:rPr>
        <w:t>This report recommends that WIPO seek auditor’s opinion on application of hedge accounting to ISA non-base currency flows.</w:t>
      </w:r>
      <w:r w:rsidRPr="007B5EFB">
        <w:rPr>
          <w:szCs w:val="22"/>
        </w:rPr>
        <w:t xml:space="preserve">  If WIPO chooses to hedge the risk associated with the foreign currency exposures on ISA non-base currency fees, we would recommend that a clear audit opinion is sought from WIPO’s external auditors confirming that hedge accounting would be permissible under IPSAS.  It would be essential to receive this opinion in advance of embarking on any hedging strategy implementation.”</w:t>
      </w:r>
    </w:p>
    <w:p w:rsidR="00C85064" w:rsidRPr="007B5EFB" w:rsidRDefault="00C85064" w:rsidP="00C85064">
      <w:pPr>
        <w:pStyle w:val="ListParagraph"/>
        <w:rPr>
          <w:b/>
          <w:szCs w:val="22"/>
        </w:rPr>
      </w:pPr>
    </w:p>
    <w:p w:rsidR="00C85064" w:rsidRPr="007B5EFB" w:rsidRDefault="00C85064" w:rsidP="00C85064">
      <w:pPr>
        <w:ind w:left="720"/>
        <w:rPr>
          <w:szCs w:val="22"/>
        </w:rPr>
      </w:pPr>
      <w:r w:rsidRPr="007B5EFB">
        <w:rPr>
          <w:szCs w:val="22"/>
        </w:rPr>
        <w:t>“It is noted that the accuracy of the PCT filing volume forecast and the ability to forecast on a jurisdiction (and therefore currency) basis are key driving data variables for the implementation of any proposed foreign exchange hedging strategies.  Therefore the historical accuracy of these forecasts provides a strong confidence factor for any potential hedging strategies.”</w:t>
      </w:r>
    </w:p>
    <w:p w:rsidR="00C85064" w:rsidRPr="007B5EFB" w:rsidRDefault="00C85064" w:rsidP="00C85064">
      <w:pPr>
        <w:pStyle w:val="ListParagraph"/>
        <w:rPr>
          <w:szCs w:val="22"/>
        </w:rPr>
      </w:pPr>
    </w:p>
    <w:p w:rsidR="00C85064" w:rsidRPr="007B5EFB" w:rsidRDefault="00C85064" w:rsidP="00C85064">
      <w:pPr>
        <w:rPr>
          <w:i/>
        </w:rPr>
      </w:pPr>
      <w:r w:rsidRPr="007B5EFB">
        <w:rPr>
          <w:i/>
        </w:rPr>
        <w:t>“Added Value Services — Netting</w:t>
      </w:r>
    </w:p>
    <w:p w:rsidR="00C85064" w:rsidRPr="007B5EFB" w:rsidRDefault="00C85064" w:rsidP="00C85064"/>
    <w:p w:rsidR="00C85064" w:rsidRPr="007B5EFB" w:rsidRDefault="00C85064" w:rsidP="00C85064">
      <w:r w:rsidRPr="007B5EFB">
        <w:t xml:space="preserve">“WIPO has a </w:t>
      </w:r>
      <w:r w:rsidRPr="007B5EFB">
        <w:rPr>
          <w:bCs/>
          <w:sz w:val="21"/>
          <w:szCs w:val="21"/>
        </w:rPr>
        <w:t xml:space="preserve">Strategic Goal (II) to provide a premier global IP Service and is </w:t>
      </w:r>
      <w:r w:rsidRPr="007B5EFB">
        <w:t xml:space="preserve">committed to supporting the efficient administration of the Systems under its remit and seeks to add value to the process by introducing ways to enhance operations.  An example of this is the recent implementation of the Memorandum of Understanding between the European Patent Office (EPO), The United States Patent and Trademark Office (USPTO) and WIPO with regard to the improved management of PCT search fee transfers.  This pilot project is in the form of a ‘netting’ type solution.  However it should be recognized that this is a one way cash flow direction rather than a reciprocal arrangement which reduces the potential benefit to WIPO. </w:t>
      </w:r>
    </w:p>
    <w:p w:rsidR="00C85064" w:rsidRPr="007B5EFB" w:rsidRDefault="00C85064" w:rsidP="00C85064"/>
    <w:p w:rsidR="00C85064" w:rsidRPr="007B5EFB" w:rsidRDefault="00C85064" w:rsidP="00C85064">
      <w:r w:rsidRPr="007B5EFB">
        <w:t>“</w:t>
      </w:r>
      <w:r w:rsidRPr="007B5EFB">
        <w:rPr>
          <w:i/>
        </w:rPr>
        <w:t>This study recommends the introduction of netting structure for PCT cash flows covering all transactions between WIPO, ROs and ISAs that would be beneficial to all participants</w:t>
      </w:r>
      <w:r w:rsidRPr="007B5EFB">
        <w:t>.  While a netting technology/administration solution has an annual cost of around CHF 50,000, estimated minimum annual cost savings of CHF 730,000 (for which WIPO is liable for) makes the financial business case for this technology.  Apart from financial benefits, other significant benefits arise from efficiency savings, the functionality available, management and operational enhancements.”</w:t>
      </w:r>
    </w:p>
    <w:p w:rsidR="00A1006D" w:rsidRPr="007B5EFB" w:rsidRDefault="00C85064" w:rsidP="00C85064">
      <w:pPr>
        <w:pStyle w:val="Endofdocument-Annex"/>
      </w:pPr>
      <w:r w:rsidRPr="007B5EFB">
        <w:t xml:space="preserve">[Annex III </w:t>
      </w:r>
      <w:r w:rsidRPr="007B5EFB">
        <w:rPr>
          <w:i/>
        </w:rPr>
        <w:t>[to Circular C. PCT 1440]</w:t>
      </w:r>
      <w:r w:rsidRPr="007B5EFB">
        <w:t xml:space="preserve"> follows] </w:t>
      </w:r>
    </w:p>
    <w:p w:rsidR="00770CEC" w:rsidRPr="007B5EFB" w:rsidRDefault="00770CEC" w:rsidP="00C85064">
      <w:pPr>
        <w:pStyle w:val="Endofdocument-Annex"/>
      </w:pPr>
      <w:r w:rsidRPr="007B5EFB">
        <w:br w:type="page"/>
      </w:r>
    </w:p>
    <w:p w:rsidR="00770CEC" w:rsidRPr="007B5EFB" w:rsidRDefault="00770CEC" w:rsidP="00C85064">
      <w:pPr>
        <w:rPr>
          <w:szCs w:val="22"/>
        </w:rPr>
      </w:pPr>
    </w:p>
    <w:p w:rsidR="00C85064" w:rsidRPr="007B5EFB" w:rsidRDefault="00C85064" w:rsidP="00C85064">
      <w:pPr>
        <w:pStyle w:val="Header"/>
        <w:tabs>
          <w:tab w:val="clear" w:pos="9072"/>
        </w:tabs>
        <w:jc w:val="center"/>
        <w:rPr>
          <w:szCs w:val="22"/>
        </w:rPr>
      </w:pPr>
      <w:r w:rsidRPr="007B5EFB">
        <w:rPr>
          <w:szCs w:val="22"/>
        </w:rPr>
        <w:t>Annex III to Circular C. PCT 1440</w:t>
      </w:r>
    </w:p>
    <w:p w:rsidR="00C85064" w:rsidRPr="007B5EFB" w:rsidRDefault="00C85064" w:rsidP="00C85064">
      <w:pPr>
        <w:pStyle w:val="Heading2"/>
        <w:jc w:val="center"/>
      </w:pPr>
    </w:p>
    <w:p w:rsidR="00C85064" w:rsidRPr="007B5EFB" w:rsidRDefault="00C85064" w:rsidP="00C85064">
      <w:pPr>
        <w:pStyle w:val="Heading2"/>
        <w:jc w:val="center"/>
      </w:pPr>
      <w:r w:rsidRPr="007B5EFB">
        <w:t>Questionnaire</w:t>
      </w:r>
    </w:p>
    <w:p w:rsidR="00C85064" w:rsidRPr="007B5EFB" w:rsidRDefault="00C85064" w:rsidP="00C85064">
      <w:pPr>
        <w:pStyle w:val="Heading2"/>
        <w:jc w:val="center"/>
        <w:rPr>
          <w:bCs w:val="0"/>
          <w:iCs w:val="0"/>
        </w:rPr>
      </w:pPr>
      <w:r w:rsidRPr="007B5EFB">
        <w:t>PCT Fee Income</w:t>
      </w:r>
      <w:r w:rsidRPr="007B5EFB">
        <w:rPr>
          <w:bCs w:val="0"/>
          <w:iCs w:val="0"/>
        </w:rPr>
        <w:t xml:space="preserve">:  Possible Measures to Reduce </w:t>
      </w:r>
      <w:r w:rsidRPr="007B5EFB">
        <w:rPr>
          <w:bCs w:val="0"/>
          <w:iCs w:val="0"/>
        </w:rPr>
        <w:br/>
        <w:t>Exposure to Movements in Currency Exchange Rates</w:t>
      </w:r>
    </w:p>
    <w:p w:rsidR="00C85064" w:rsidRPr="007B5EFB" w:rsidRDefault="00C85064" w:rsidP="00C85064">
      <w:pPr>
        <w:pStyle w:val="Heading2"/>
        <w:jc w:val="center"/>
      </w:pPr>
    </w:p>
    <w:p w:rsidR="00C85064" w:rsidRPr="007B5EFB" w:rsidRDefault="00C85064" w:rsidP="00C85064"/>
    <w:p w:rsidR="00C85064" w:rsidRPr="007B5EFB" w:rsidRDefault="00C85064" w:rsidP="00C85064">
      <w:r w:rsidRPr="007B5EFB">
        <w:t>RESPONSE FROM:</w:t>
      </w:r>
    </w:p>
    <w:p w:rsidR="00C85064" w:rsidRPr="007B5EFB" w:rsidRDefault="00C85064" w:rsidP="00C85064"/>
    <w:p w:rsidR="00C85064" w:rsidRPr="007B5EFB" w:rsidRDefault="00C85064" w:rsidP="00C85064">
      <w:r w:rsidRPr="007B5EFB">
        <w:t xml:space="preserve">Name of responsible official:  </w:t>
      </w:r>
      <w:r w:rsidRPr="007B5EFB">
        <w:tab/>
      </w:r>
      <w:r w:rsidRPr="007B5EFB">
        <w:tab/>
      </w:r>
    </w:p>
    <w:p w:rsidR="00C85064" w:rsidRPr="007B5EFB" w:rsidRDefault="00C85064" w:rsidP="00C85064"/>
    <w:p w:rsidR="00C85064" w:rsidRPr="007B5EFB" w:rsidRDefault="00C85064" w:rsidP="00C85064">
      <w:r w:rsidRPr="007B5EFB">
        <w:t>On behalf of [Office]:</w:t>
      </w:r>
      <w:r w:rsidRPr="007B5EFB">
        <w:tab/>
      </w:r>
      <w:r w:rsidRPr="007B5EFB">
        <w:tab/>
      </w:r>
    </w:p>
    <w:p w:rsidR="00C85064" w:rsidRPr="007B5EFB" w:rsidRDefault="00C85064" w:rsidP="00C85064"/>
    <w:p w:rsidR="00C85064" w:rsidRPr="007B5EFB" w:rsidRDefault="00C85064" w:rsidP="00C85064"/>
    <w:p w:rsidR="00C85064" w:rsidRPr="007B5EFB" w:rsidRDefault="00C85064" w:rsidP="00C85064">
      <w:pPr>
        <w:spacing w:after="240"/>
      </w:pPr>
      <w:r w:rsidRPr="007B5EFB">
        <w:t xml:space="preserve">I.  SETTING EQUIVALENT AMOUNTS FOR </w:t>
      </w:r>
      <w:r w:rsidR="00F65289" w:rsidRPr="007B5EFB">
        <w:t>P</w:t>
      </w:r>
      <w:r w:rsidRPr="007B5EFB">
        <w:t>CT FEES FOR A FIXED PERIOD</w:t>
      </w:r>
    </w:p>
    <w:p w:rsidR="00C85064" w:rsidRPr="007B5EFB" w:rsidRDefault="00C85064" w:rsidP="00C85064">
      <w:r w:rsidRPr="007B5EFB">
        <w:t>Please provide your comments on the option of reducing the risk of exposure of PCT fee income to fluctuating exchange rates by changing the procedures related to the fixing of equivalent amounts of fees which would result in equivalent amounts of PCT fees only to be fixed once a year and thus equivalent amounts to remain unchanged for a period of 12 months, from January 1 to December 31 of any given calendar year, as discussed in paragraphs </w:t>
      </w:r>
      <w:r w:rsidR="00AC7D6D" w:rsidRPr="007B5EFB">
        <w:t>20</w:t>
      </w:r>
      <w:r w:rsidRPr="007B5EFB">
        <w:t xml:space="preserve"> to</w:t>
      </w:r>
      <w:r w:rsidR="00AC7D6D" w:rsidRPr="007B5EFB">
        <w:t> 36</w:t>
      </w:r>
      <w:r w:rsidRPr="007B5EFB">
        <w:t xml:space="preserve"> of the main body of this Circular.</w:t>
      </w:r>
    </w:p>
    <w:p w:rsidR="00C85064" w:rsidRPr="007B5EFB" w:rsidRDefault="00C85064" w:rsidP="00C85064">
      <w:r w:rsidRPr="007B5EFB">
        <w:br w:type="page"/>
      </w:r>
    </w:p>
    <w:p w:rsidR="00C85064" w:rsidRPr="007B5EFB" w:rsidRDefault="00C85064" w:rsidP="00C85064">
      <w:pPr>
        <w:pStyle w:val="Heading2"/>
        <w:spacing w:after="240"/>
        <w:ind w:right="-965"/>
      </w:pPr>
      <w:r w:rsidRPr="007B5EFB">
        <w:lastRenderedPageBreak/>
        <w:t>II.   introducing a “NETTING” structure for the transfer of fees</w:t>
      </w:r>
    </w:p>
    <w:p w:rsidR="00C85064" w:rsidRPr="007B5EFB" w:rsidRDefault="00C85064" w:rsidP="00C85064">
      <w:r w:rsidRPr="007B5EFB">
        <w:t xml:space="preserve">Please provide your comments on the option of </w:t>
      </w:r>
      <w:r w:rsidRPr="007B5EFB">
        <w:rPr>
          <w:szCs w:val="22"/>
        </w:rPr>
        <w:t xml:space="preserve">reducing the risk of exposure of PCT fee income to fluctuating exchange rates by </w:t>
      </w:r>
      <w:r w:rsidRPr="007B5EFB">
        <w:t>introducing a “netting structure” for all PCT fee transactions between the ROs, the ISA and the IB, as discussed in paragraphs </w:t>
      </w:r>
      <w:r w:rsidR="00AC7D6D" w:rsidRPr="007B5EFB">
        <w:t>37</w:t>
      </w:r>
      <w:r w:rsidRPr="007B5EFB">
        <w:t xml:space="preserve"> to </w:t>
      </w:r>
      <w:r w:rsidR="00AC7D6D" w:rsidRPr="007B5EFB">
        <w:t>53</w:t>
      </w:r>
      <w:r w:rsidRPr="007B5EFB">
        <w:t xml:space="preserve"> in the main body of this Circular.</w:t>
      </w:r>
    </w:p>
    <w:p w:rsidR="00C85064" w:rsidRPr="007B5EFB" w:rsidRDefault="00C85064" w:rsidP="00C85064">
      <w:pPr>
        <w:rPr>
          <w:bCs/>
          <w:iCs/>
          <w:caps/>
          <w:szCs w:val="28"/>
        </w:rPr>
      </w:pPr>
      <w:r w:rsidRPr="007B5EFB">
        <w:br w:type="page"/>
      </w:r>
    </w:p>
    <w:p w:rsidR="00C85064" w:rsidRPr="007B5EFB" w:rsidRDefault="00C85064" w:rsidP="00C85064">
      <w:pPr>
        <w:pStyle w:val="Heading2"/>
        <w:spacing w:after="240"/>
      </w:pPr>
      <w:r w:rsidRPr="007B5EFB">
        <w:lastRenderedPageBreak/>
        <w:t>III.  Adding a Margin when setting equivalent amounts of the international Filing Fee and Search Fee</w:t>
      </w:r>
    </w:p>
    <w:p w:rsidR="00C85064" w:rsidRPr="007B5EFB" w:rsidRDefault="00C85064" w:rsidP="00C85064">
      <w:r w:rsidRPr="007B5EFB">
        <w:t>Please provide your comments on the proposal to add a small, low percentage margin when establishing equivalent amounts of the international filing fee and search fee, as discussed in paragraph </w:t>
      </w:r>
      <w:r w:rsidR="00AC7D6D" w:rsidRPr="007B5EFB">
        <w:t>55</w:t>
      </w:r>
      <w:r w:rsidRPr="007B5EFB">
        <w:t xml:space="preserve"> of this Circular.</w:t>
      </w:r>
    </w:p>
    <w:p w:rsidR="00C85064" w:rsidRPr="007B5EFB" w:rsidRDefault="00C85064" w:rsidP="00C85064">
      <w:pPr>
        <w:pStyle w:val="ONUME"/>
        <w:tabs>
          <w:tab w:val="clear" w:pos="567"/>
        </w:tabs>
        <w:ind w:right="-2"/>
        <w:jc w:val="both"/>
      </w:pPr>
      <w:r w:rsidRPr="007B5EFB">
        <w:br w:type="page"/>
      </w:r>
    </w:p>
    <w:p w:rsidR="00C85064" w:rsidRPr="007B5EFB" w:rsidRDefault="00C85064" w:rsidP="00C85064">
      <w:pPr>
        <w:pStyle w:val="Heading2"/>
        <w:spacing w:after="240"/>
      </w:pPr>
      <w:r w:rsidRPr="007B5EFB">
        <w:lastRenderedPageBreak/>
        <w:t>IV.  </w:t>
      </w:r>
      <w:r w:rsidRPr="007B5EFB">
        <w:tab/>
        <w:t>Payment of the International Filing Fee in Swiss francs and of the Search Fee in the Applicable ISA Currency</w:t>
      </w:r>
    </w:p>
    <w:p w:rsidR="00C85064" w:rsidRPr="007B5EFB" w:rsidRDefault="00C85064" w:rsidP="00C85064">
      <w:r w:rsidRPr="007B5EFB">
        <w:t>Please provide your comments on the option of paying the international filing fee in Swiss francs and the search fee in the applicable ISA currency, either to the RO or directly to the IB and the ISA, respectively, as discussed in paragraphs </w:t>
      </w:r>
      <w:r w:rsidR="00AC7D6D" w:rsidRPr="007B5EFB">
        <w:t>56</w:t>
      </w:r>
      <w:r w:rsidRPr="007B5EFB">
        <w:t xml:space="preserve"> to </w:t>
      </w:r>
      <w:r w:rsidR="00AC7D6D" w:rsidRPr="007B5EFB">
        <w:t>61</w:t>
      </w:r>
      <w:r w:rsidRPr="007B5EFB">
        <w:t xml:space="preserve"> in the main body of this Circular.</w:t>
      </w:r>
    </w:p>
    <w:p w:rsidR="00C85064" w:rsidRPr="007B5EFB" w:rsidRDefault="00C85064" w:rsidP="00C85064">
      <w:r w:rsidRPr="007B5EFB">
        <w:t>In particular, please address the following issues:</w:t>
      </w:r>
    </w:p>
    <w:p w:rsidR="00C85064" w:rsidRPr="007B5EFB" w:rsidRDefault="00C85064" w:rsidP="00C85064"/>
    <w:p w:rsidR="00C85064" w:rsidRPr="007B5EFB" w:rsidRDefault="00C85064" w:rsidP="00C85064">
      <w:r w:rsidRPr="007B5EFB">
        <w:t xml:space="preserve">- </w:t>
      </w:r>
      <w:r w:rsidRPr="007B5EFB">
        <w:tab/>
        <w:t>Payment to the RO, as discussed in paragraphs </w:t>
      </w:r>
      <w:r w:rsidR="00AC7D6D" w:rsidRPr="007B5EFB">
        <w:t>57</w:t>
      </w:r>
      <w:r w:rsidRPr="007B5EFB">
        <w:t xml:space="preserve"> to </w:t>
      </w:r>
      <w:r w:rsidR="00AC7D6D" w:rsidRPr="007B5EFB">
        <w:t>60</w:t>
      </w:r>
      <w:r w:rsidRPr="007B5EFB">
        <w:t xml:space="preserve"> in the main body of this Circular. </w:t>
      </w:r>
    </w:p>
    <w:p w:rsidR="00C85064" w:rsidRPr="007B5EFB" w:rsidRDefault="00C85064" w:rsidP="00C85064"/>
    <w:p w:rsidR="00C85064" w:rsidRPr="007B5EFB" w:rsidRDefault="00C85064" w:rsidP="00C85064">
      <w:r w:rsidRPr="007B5EFB">
        <w:t>-</w:t>
      </w:r>
      <w:r w:rsidRPr="007B5EFB">
        <w:tab/>
        <w:t>ePCT-Filing payment of fees directly to the IB and to the ISA, as discussed in paragraph </w:t>
      </w:r>
      <w:r w:rsidR="00AC7D6D" w:rsidRPr="007B5EFB">
        <w:t>61</w:t>
      </w:r>
      <w:r w:rsidRPr="007B5EFB">
        <w:t xml:space="preserve"> in the main body of this Circular.</w:t>
      </w:r>
    </w:p>
    <w:p w:rsidR="00C85064" w:rsidRPr="007B5EFB" w:rsidRDefault="00C85064" w:rsidP="00C85064">
      <w:pPr>
        <w:ind w:right="-2"/>
      </w:pPr>
      <w:r w:rsidRPr="007B5EFB">
        <w:br w:type="page"/>
      </w:r>
    </w:p>
    <w:p w:rsidR="00C85064" w:rsidRPr="007B5EFB" w:rsidRDefault="00C85064" w:rsidP="00C85064">
      <w:pPr>
        <w:pStyle w:val="Heading2"/>
        <w:spacing w:after="240"/>
      </w:pPr>
      <w:r w:rsidRPr="007B5EFB">
        <w:lastRenderedPageBreak/>
        <w:t xml:space="preserve">V.  Other issues </w:t>
      </w:r>
    </w:p>
    <w:p w:rsidR="00C85064" w:rsidRPr="007B5EFB" w:rsidRDefault="00C85064" w:rsidP="00C85064">
      <w:r w:rsidRPr="007B5EFB">
        <w:t>Please provide any other comments you may have on the potential measures outlined in the Circular, or any other actions that could be taken to reduce the exposure of the IB and Offices acting in their various capacities under the PCT to movements in currency exchange rates.</w:t>
      </w:r>
    </w:p>
    <w:p w:rsidR="00C85064" w:rsidRPr="007B5EFB" w:rsidRDefault="00C85064" w:rsidP="00C85064"/>
    <w:p w:rsidR="00C85064" w:rsidRPr="007B5EFB" w:rsidRDefault="00C85064" w:rsidP="00C85064"/>
    <w:p w:rsidR="00C85064" w:rsidRPr="007B5EFB" w:rsidRDefault="00C85064" w:rsidP="00C85064">
      <w:pPr>
        <w:pStyle w:val="Endofdocument-Annex"/>
      </w:pPr>
      <w:r w:rsidRPr="007B5EFB">
        <w:t>[</w:t>
      </w:r>
      <w:r w:rsidR="00DC097F" w:rsidRPr="007B5EFB">
        <w:t xml:space="preserve">End of </w:t>
      </w:r>
      <w:r w:rsidRPr="007B5EFB">
        <w:t xml:space="preserve">Annex III </w:t>
      </w:r>
      <w:r w:rsidRPr="007B5EFB">
        <w:rPr>
          <w:i/>
        </w:rPr>
        <w:t>[of Circular C. PCT 1440]</w:t>
      </w:r>
      <w:r w:rsidRPr="007B5EFB">
        <w:t xml:space="preserve"> and of Circular]</w:t>
      </w:r>
    </w:p>
    <w:p w:rsidR="00C85064" w:rsidRPr="007B5EFB" w:rsidRDefault="00C85064" w:rsidP="00C85064">
      <w:pPr>
        <w:pStyle w:val="Endofdocument-Annex"/>
      </w:pPr>
    </w:p>
    <w:p w:rsidR="00C85064" w:rsidRPr="007B5EFB" w:rsidRDefault="00C85064" w:rsidP="00C85064">
      <w:pPr>
        <w:pStyle w:val="Endofdocument-Annex"/>
      </w:pPr>
    </w:p>
    <w:p w:rsidR="002E34D7" w:rsidRPr="007B5EFB" w:rsidRDefault="00BF63CB" w:rsidP="00C85064">
      <w:pPr>
        <w:pStyle w:val="Endofdocument-Annex"/>
        <w:sectPr w:rsidR="002E34D7" w:rsidRPr="007B5EFB" w:rsidSect="00C85064">
          <w:headerReference w:type="default" r:id="rId20"/>
          <w:headerReference w:type="first" r:id="rId21"/>
          <w:endnotePr>
            <w:numFmt w:val="decimal"/>
          </w:endnotePr>
          <w:pgSz w:w="11907" w:h="16840" w:code="9"/>
          <w:pgMar w:top="567" w:right="1134" w:bottom="1418" w:left="1418" w:header="510" w:footer="1021" w:gutter="0"/>
          <w:pgNumType w:start="1"/>
          <w:cols w:space="720"/>
          <w:titlePg/>
          <w:docGrid w:linePitch="299"/>
        </w:sectPr>
      </w:pPr>
      <w:r w:rsidRPr="007B5EFB">
        <w:t xml:space="preserve">[Annex </w:t>
      </w:r>
      <w:r w:rsidR="002E34D7" w:rsidRPr="007B5EFB">
        <w:t>II follows</w:t>
      </w:r>
      <w:r w:rsidRPr="007B5EFB">
        <w:t>]</w:t>
      </w:r>
    </w:p>
    <w:p w:rsidR="002E34D7" w:rsidRPr="007B5EFB" w:rsidRDefault="002E34D7" w:rsidP="002E34D7">
      <w:pPr>
        <w:pStyle w:val="RTitleMain"/>
        <w:spacing w:after="0"/>
        <w:rPr>
          <w:b w:val="0"/>
          <w:caps/>
        </w:rPr>
      </w:pPr>
      <w:r w:rsidRPr="007B5EFB">
        <w:rPr>
          <w:b w:val="0"/>
          <w:caps/>
        </w:rPr>
        <w:lastRenderedPageBreak/>
        <w:t>proposed modifications to the</w:t>
      </w:r>
    </w:p>
    <w:p w:rsidR="000B6F40" w:rsidRPr="007B5EFB" w:rsidRDefault="002E34D7" w:rsidP="002E34D7">
      <w:pPr>
        <w:pStyle w:val="RTitleMain"/>
        <w:keepNext w:val="0"/>
        <w:pageBreakBefore w:val="0"/>
        <w:spacing w:after="0"/>
        <w:rPr>
          <w:b w:val="0"/>
          <w:caps/>
        </w:rPr>
      </w:pPr>
      <w:r w:rsidRPr="007B5EFB">
        <w:rPr>
          <w:b w:val="0"/>
          <w:caps/>
        </w:rPr>
        <w:t>Directives of the Assembly Relating to the</w:t>
      </w:r>
    </w:p>
    <w:p w:rsidR="002E34D7" w:rsidRPr="007B5EFB" w:rsidRDefault="002E34D7" w:rsidP="002E34D7">
      <w:pPr>
        <w:pStyle w:val="RTitleMain"/>
        <w:keepNext w:val="0"/>
        <w:pageBreakBefore w:val="0"/>
        <w:spacing w:after="0"/>
        <w:rPr>
          <w:b w:val="0"/>
          <w:caps/>
        </w:rPr>
      </w:pPr>
      <w:r w:rsidRPr="007B5EFB">
        <w:rPr>
          <w:b w:val="0"/>
          <w:caps/>
        </w:rPr>
        <w:t>Establishment of Equivalent Amounts of Certain Fees</w:t>
      </w:r>
      <w:r w:rsidR="000B6F40" w:rsidRPr="007B5EFB">
        <w:rPr>
          <w:rStyle w:val="FootnoteReference"/>
          <w:b w:val="0"/>
          <w:caps/>
        </w:rPr>
        <w:footnoteReference w:id="9"/>
      </w:r>
    </w:p>
    <w:p w:rsidR="00ED09CE" w:rsidRPr="007B5EFB" w:rsidRDefault="00ED09CE" w:rsidP="00ED09CE">
      <w:pPr>
        <w:keepNext/>
        <w:ind w:right="-2"/>
        <w:jc w:val="center"/>
        <w:rPr>
          <w:szCs w:val="22"/>
        </w:rPr>
      </w:pPr>
    </w:p>
    <w:p w:rsidR="00ED09CE" w:rsidRPr="007B5EFB" w:rsidRDefault="00ED09CE" w:rsidP="00ED09CE">
      <w:pPr>
        <w:keepNext/>
        <w:ind w:right="-2"/>
        <w:jc w:val="center"/>
        <w:rPr>
          <w:szCs w:val="22"/>
        </w:rPr>
      </w:pPr>
    </w:p>
    <w:p w:rsidR="00ED09CE" w:rsidRPr="007B5EFB" w:rsidRDefault="00ED09CE" w:rsidP="00ED09CE">
      <w:pPr>
        <w:pStyle w:val="RPara"/>
        <w:keepNext/>
      </w:pPr>
      <w:r w:rsidRPr="007B5EFB">
        <w:t>The Assembly establishes in the following terms the directives relating to the establishment of equivalent amounts of the international filing fee, the handling fee, the search fee and the supplementary search fee (see Rules 15.2(d)(i), 16.1(d)(i), 45</w:t>
      </w:r>
      <w:r w:rsidRPr="007B5EFB">
        <w:rPr>
          <w:i/>
        </w:rPr>
        <w:t>bis</w:t>
      </w:r>
      <w:r w:rsidRPr="007B5EFB">
        <w:t>.3(b) and 57.2(d)(i)), it being understood that, in the light of experience, the Assembly may at any time modify these directives:</w:t>
      </w:r>
    </w:p>
    <w:p w:rsidR="00ED09CE" w:rsidRPr="007B5EFB" w:rsidRDefault="00ED09CE" w:rsidP="00ED09CE">
      <w:pPr>
        <w:pStyle w:val="RTitleSub"/>
        <w:rPr>
          <w:b/>
        </w:rPr>
      </w:pPr>
      <w:r w:rsidRPr="007B5EFB">
        <w:rPr>
          <w:b/>
        </w:rPr>
        <w:t>Establishment of Equivalent Amounts</w:t>
      </w:r>
    </w:p>
    <w:p w:rsidR="00ED09CE" w:rsidRPr="007B5EFB" w:rsidRDefault="00ED09CE" w:rsidP="00ED09CE">
      <w:pPr>
        <w:pStyle w:val="RPara"/>
        <w:keepNext/>
        <w:rPr>
          <w:rStyle w:val="RDeletedText"/>
        </w:rPr>
      </w:pPr>
      <w:r w:rsidRPr="007B5EFB">
        <w:t xml:space="preserve">(1)  The equivalent amounts of the international filing fee and the handling fee in any </w:t>
      </w:r>
      <w:r w:rsidRPr="007B5EFB">
        <w:rPr>
          <w:rStyle w:val="RInsertedText"/>
        </w:rPr>
        <w:t xml:space="preserve">prescribed </w:t>
      </w:r>
      <w:r w:rsidRPr="007B5EFB">
        <w:t xml:space="preserve">currency other than Swiss franc, and of the search fee and the supplementary search fee in any </w:t>
      </w:r>
      <w:r w:rsidRPr="007B5EFB">
        <w:rPr>
          <w:rStyle w:val="RInsertedText"/>
        </w:rPr>
        <w:t xml:space="preserve">prescribed </w:t>
      </w:r>
      <w:r w:rsidRPr="007B5EFB">
        <w:t>currency other than the fixed currency, shall be established by the Director General</w:t>
      </w:r>
      <w:r w:rsidRPr="007B5EFB">
        <w:rPr>
          <w:rStyle w:val="RInsertedText"/>
        </w:rPr>
        <w:t>.</w:t>
      </w:r>
      <w:r w:rsidRPr="007B5EFB">
        <w:rPr>
          <w:rStyle w:val="RDeletedText"/>
        </w:rPr>
        <w:t xml:space="preserve"> the case of:</w:t>
      </w:r>
    </w:p>
    <w:p w:rsidR="00ED09CE" w:rsidRPr="007B5EFB" w:rsidRDefault="00ED09CE" w:rsidP="00ED09CE">
      <w:pPr>
        <w:pStyle w:val="RPari"/>
        <w:rPr>
          <w:rStyle w:val="RDeletedText"/>
        </w:rPr>
      </w:pPr>
      <w:r w:rsidRPr="007B5EFB">
        <w:tab/>
      </w:r>
      <w:r w:rsidRPr="007B5EFB">
        <w:rPr>
          <w:rStyle w:val="RDeletedText"/>
        </w:rPr>
        <w:t>(i)</w:t>
      </w:r>
      <w:r w:rsidRPr="007B5EFB">
        <w:rPr>
          <w:rStyle w:val="RDeletedText"/>
        </w:rPr>
        <w:tab/>
        <w:t>the international filing fee, after consultation with each RO which prescribes payment of that fee in such currency;</w:t>
      </w:r>
    </w:p>
    <w:p w:rsidR="00ED09CE" w:rsidRPr="007B5EFB" w:rsidRDefault="00ED09CE" w:rsidP="00ED09CE">
      <w:pPr>
        <w:pStyle w:val="RPari"/>
        <w:rPr>
          <w:rStyle w:val="RDeletedText"/>
        </w:rPr>
      </w:pPr>
      <w:r w:rsidRPr="007B5EFB">
        <w:tab/>
      </w:r>
      <w:r w:rsidRPr="007B5EFB">
        <w:rPr>
          <w:rStyle w:val="RDeletedText"/>
        </w:rPr>
        <w:t>(ii)</w:t>
      </w:r>
      <w:r w:rsidRPr="007B5EFB">
        <w:rPr>
          <w:rStyle w:val="RDeletedText"/>
        </w:rPr>
        <w:tab/>
        <w:t>the search fee, after consultation with each RO which prescribes payment of that fee in such currency;</w:t>
      </w:r>
    </w:p>
    <w:p w:rsidR="00ED09CE" w:rsidRPr="007B5EFB" w:rsidRDefault="00ED09CE" w:rsidP="00ED09CE">
      <w:pPr>
        <w:pStyle w:val="RPari"/>
        <w:rPr>
          <w:rStyle w:val="RDeletedText"/>
        </w:rPr>
      </w:pPr>
      <w:r w:rsidRPr="007B5EFB">
        <w:tab/>
      </w:r>
      <w:r w:rsidRPr="007B5EFB">
        <w:rPr>
          <w:rStyle w:val="RDeletedText"/>
        </w:rPr>
        <w:t>(iii)</w:t>
      </w:r>
      <w:r w:rsidRPr="007B5EFB">
        <w:rPr>
          <w:rStyle w:val="RDeletedText"/>
        </w:rPr>
        <w:tab/>
        <w:t>the handling fee, after consultation with each IPEA which prescribes payment of that fee in such currency.</w:t>
      </w:r>
    </w:p>
    <w:p w:rsidR="00ED09CE" w:rsidRPr="007B5EFB" w:rsidRDefault="00ED09CE" w:rsidP="000B6F40">
      <w:pPr>
        <w:pStyle w:val="RPara"/>
        <w:keepNext/>
        <w:keepLines/>
        <w:rPr>
          <w:rStyle w:val="RInsertedText"/>
        </w:rPr>
      </w:pPr>
      <w:r w:rsidRPr="007B5EFB">
        <w:rPr>
          <w:rStyle w:val="RInsertedText"/>
        </w:rPr>
        <w:lastRenderedPageBreak/>
        <w:t>(2)  In the month of October of each year, the Director General shall establish:</w:t>
      </w:r>
    </w:p>
    <w:p w:rsidR="00ED09CE" w:rsidRPr="007B5EFB" w:rsidRDefault="00ED09CE" w:rsidP="00ED09CE">
      <w:pPr>
        <w:pStyle w:val="RPari"/>
        <w:rPr>
          <w:rStyle w:val="RInsertedText"/>
        </w:rPr>
      </w:pPr>
      <w:r w:rsidRPr="007B5EFB">
        <w:tab/>
      </w:r>
      <w:r w:rsidRPr="007B5EFB">
        <w:rPr>
          <w:rStyle w:val="RInsertedText"/>
        </w:rPr>
        <w:t>(i)</w:t>
      </w:r>
      <w:r w:rsidRPr="007B5EFB">
        <w:rPr>
          <w:rStyle w:val="RInsertedText"/>
        </w:rPr>
        <w:tab/>
        <w:t>the equivalent amounts in euro, Japanese yen and United States dollar of the international filing fee according to the blended hedge rates determined by the Director General prevailing on the first Monday in the month of October;</w:t>
      </w:r>
    </w:p>
    <w:p w:rsidR="00ED09CE" w:rsidRPr="007B5EFB" w:rsidRDefault="00ED09CE" w:rsidP="00ED09CE">
      <w:pPr>
        <w:pStyle w:val="RPari"/>
        <w:rPr>
          <w:rStyle w:val="RInsertedText"/>
        </w:rPr>
      </w:pPr>
      <w:r w:rsidRPr="007B5EFB">
        <w:tab/>
      </w:r>
      <w:r w:rsidRPr="007B5EFB">
        <w:rPr>
          <w:rStyle w:val="RInsertedText"/>
        </w:rPr>
        <w:t>(ii)</w:t>
      </w:r>
      <w:r w:rsidRPr="007B5EFB">
        <w:rPr>
          <w:rStyle w:val="RInsertedText"/>
        </w:rPr>
        <w:tab/>
        <w:t>the equivalent amounts in all other currencies of the international filing fee, and the equivalent amounts of the handling fee, the search fee and the supplementary search fee according to the exchange rates determined by the Director General prevailing on the first Monday in the month of October.</w:t>
      </w:r>
    </w:p>
    <w:p w:rsidR="00ED09CE" w:rsidRPr="007B5EFB" w:rsidRDefault="00ED09CE" w:rsidP="00ED09CE">
      <w:pPr>
        <w:pStyle w:val="RPara"/>
        <w:keepNext/>
        <w:keepLines/>
      </w:pPr>
      <w:r w:rsidRPr="007B5EFB">
        <w:rPr>
          <w:rStyle w:val="RInsertedText"/>
        </w:rPr>
        <w:t>(3)</w:t>
      </w:r>
      <w:r w:rsidRPr="007B5EFB">
        <w:rPr>
          <w:rStyle w:val="RDeletedText"/>
        </w:rPr>
        <w:t>(2)</w:t>
      </w:r>
      <w:r w:rsidRPr="007B5EFB">
        <w:t>  The amounts so established shall be the equivalent, in round figures</w:t>
      </w:r>
      <w:r w:rsidRPr="007B5EFB">
        <w:rPr>
          <w:rStyle w:val="RDeletedText"/>
        </w:rPr>
        <w:t>,</w:t>
      </w:r>
      <w:r w:rsidRPr="007B5EFB">
        <w:rPr>
          <w:rStyle w:val="RInsertedText"/>
        </w:rPr>
        <w:t>:</w:t>
      </w:r>
    </w:p>
    <w:p w:rsidR="00ED09CE" w:rsidRPr="007B5EFB" w:rsidRDefault="00ED09CE" w:rsidP="00ED09CE">
      <w:pPr>
        <w:pStyle w:val="RPari"/>
      </w:pPr>
      <w:r w:rsidRPr="007B5EFB">
        <w:tab/>
        <w:t>(i)</w:t>
      </w:r>
      <w:r w:rsidRPr="007B5EFB">
        <w:tab/>
        <w:t>of the amount of the international filing fee and of the handling fee, respectively, in Swiss franc set out in the Schedule of Fees;</w:t>
      </w:r>
    </w:p>
    <w:p w:rsidR="00ED09CE" w:rsidRPr="007B5EFB" w:rsidRDefault="00ED09CE" w:rsidP="00ED09CE">
      <w:pPr>
        <w:pStyle w:val="RPari"/>
      </w:pPr>
      <w:r w:rsidRPr="007B5EFB">
        <w:tab/>
        <w:t>(ii)</w:t>
      </w:r>
      <w:r w:rsidRPr="007B5EFB">
        <w:tab/>
        <w:t>of the amount of the search fee and the supplementary search fee (if applicable) established by the ISA in the fixed currency.</w:t>
      </w:r>
    </w:p>
    <w:p w:rsidR="00ED09CE" w:rsidRPr="007B5EFB" w:rsidRDefault="00ED09CE" w:rsidP="00ED09CE">
      <w:pPr>
        <w:pStyle w:val="RPara"/>
      </w:pPr>
      <w:r w:rsidRPr="007B5EFB">
        <w:rPr>
          <w:rStyle w:val="RInsertedText"/>
        </w:rPr>
        <w:t>(4)  The amounts so established</w:t>
      </w:r>
      <w:r w:rsidRPr="007B5EFB">
        <w:t xml:space="preserve"> </w:t>
      </w:r>
      <w:r w:rsidR="000B6F40" w:rsidRPr="007B5EFB">
        <w:rPr>
          <w:rStyle w:val="RDeletedText"/>
        </w:rPr>
        <w:t>They</w:t>
      </w:r>
      <w:r w:rsidR="000B6F40" w:rsidRPr="007B5EFB">
        <w:t xml:space="preserve"> </w:t>
      </w:r>
      <w:r w:rsidRPr="007B5EFB">
        <w:t>shall be notified by the</w:t>
      </w:r>
      <w:r w:rsidRPr="007B5EFB">
        <w:rPr>
          <w:rStyle w:val="RInsertedText"/>
        </w:rPr>
        <w:t xml:space="preserve"> International Bureau</w:t>
      </w:r>
      <w:r w:rsidRPr="007B5EFB">
        <w:t xml:space="preserve"> </w:t>
      </w:r>
      <w:r w:rsidRPr="007B5EFB">
        <w:rPr>
          <w:rStyle w:val="RDeletedText"/>
        </w:rPr>
        <w:t>IB</w:t>
      </w:r>
      <w:r w:rsidRPr="007B5EFB">
        <w:t xml:space="preserve"> to each </w:t>
      </w:r>
      <w:r w:rsidRPr="007B5EFB">
        <w:rPr>
          <w:rStyle w:val="RInsertedText"/>
        </w:rPr>
        <w:t>receiving Office, International Searching Authority</w:t>
      </w:r>
      <w:r w:rsidRPr="007B5EFB">
        <w:t xml:space="preserve"> </w:t>
      </w:r>
      <w:r w:rsidRPr="007B5EFB">
        <w:rPr>
          <w:rStyle w:val="RDeletedText"/>
        </w:rPr>
        <w:t>RO, ISA</w:t>
      </w:r>
      <w:r w:rsidRPr="007B5EFB">
        <w:t xml:space="preserve"> and </w:t>
      </w:r>
      <w:r w:rsidRPr="007B5EFB">
        <w:rPr>
          <w:rStyle w:val="RInsertedText"/>
        </w:rPr>
        <w:t>International Preliminary Examining Authority</w:t>
      </w:r>
      <w:r w:rsidRPr="007B5EFB">
        <w:t xml:space="preserve"> </w:t>
      </w:r>
      <w:r w:rsidRPr="007B5EFB">
        <w:rPr>
          <w:rStyle w:val="RDeletedText"/>
        </w:rPr>
        <w:t>IPEA</w:t>
      </w:r>
      <w:r w:rsidRPr="007B5EFB">
        <w:t xml:space="preserve">, as applicable, prescribing payment or establishing fees in the currency concerned and shall be published in the </w:t>
      </w:r>
      <w:r w:rsidRPr="007B5EFB">
        <w:rPr>
          <w:i/>
        </w:rPr>
        <w:t>Gazette</w:t>
      </w:r>
      <w:r w:rsidRPr="007B5EFB">
        <w:t>.</w:t>
      </w:r>
    </w:p>
    <w:p w:rsidR="00ED09CE" w:rsidRPr="007B5EFB" w:rsidRDefault="00ED09CE" w:rsidP="00ED09CE">
      <w:pPr>
        <w:pStyle w:val="RPara"/>
        <w:rPr>
          <w:rStyle w:val="RInsertedText"/>
        </w:rPr>
      </w:pPr>
      <w:r w:rsidRPr="007B5EFB">
        <w:rPr>
          <w:rStyle w:val="RInsertedText"/>
        </w:rPr>
        <w:t>(5)  Unless otherwise decided by the Director General, any equivalent amounts established under paragraph (2) shall enter into force on the first day of the subsequent calendar year.  Subject to paragraphs (6) to (10), any such established equivalent amounts shall remain in force until the last day of the subsequent calendar year.</w:t>
      </w:r>
    </w:p>
    <w:p w:rsidR="00ED09CE" w:rsidRPr="007B5EFB" w:rsidRDefault="00ED09CE" w:rsidP="00ED09CE">
      <w:pPr>
        <w:pStyle w:val="RTitleSub"/>
        <w:keepLines/>
        <w:rPr>
          <w:b/>
        </w:rPr>
      </w:pPr>
      <w:r w:rsidRPr="007B5EFB">
        <w:rPr>
          <w:b/>
        </w:rPr>
        <w:lastRenderedPageBreak/>
        <w:t>Establishment of New Equivalent Amounts</w:t>
      </w:r>
      <w:r w:rsidRPr="007B5EFB">
        <w:t xml:space="preserve"> </w:t>
      </w:r>
      <w:r w:rsidRPr="007B5EFB">
        <w:rPr>
          <w:rStyle w:val="RDeletedText"/>
        </w:rPr>
        <w:t>Consequential on Changes in the Amount of the Fee Concerned</w:t>
      </w:r>
    </w:p>
    <w:p w:rsidR="00ED09CE" w:rsidRPr="007B5EFB" w:rsidRDefault="00ED09CE" w:rsidP="00ED09CE">
      <w:pPr>
        <w:pStyle w:val="RPara"/>
        <w:keepNext/>
        <w:keepLines/>
      </w:pPr>
      <w:r w:rsidRPr="007B5EFB">
        <w:rPr>
          <w:rStyle w:val="RInsertedText"/>
        </w:rPr>
        <w:t>(6)</w:t>
      </w:r>
      <w:r w:rsidRPr="007B5EFB">
        <w:t> </w:t>
      </w:r>
      <w:r w:rsidRPr="007B5EFB">
        <w:rPr>
          <w:rStyle w:val="RDeletedText"/>
        </w:rPr>
        <w:t>(3)  Paragraphs (1) and (2) shall apply mutatis mutandis where</w:t>
      </w:r>
      <w:r w:rsidRPr="007B5EFB">
        <w:t xml:space="preserve"> </w:t>
      </w:r>
      <w:r w:rsidRPr="007B5EFB">
        <w:rPr>
          <w:rStyle w:val="RInsertedText"/>
        </w:rPr>
        <w:t>Where</w:t>
      </w:r>
      <w:r w:rsidRPr="007B5EFB">
        <w:t xml:space="preserve"> the amount of the international filing fee, the handling fee, the search fee or the supplementary search fee is changed</w:t>
      </w:r>
      <w:r w:rsidRPr="007B5EFB">
        <w:rPr>
          <w:rStyle w:val="RInsertedText"/>
        </w:rPr>
        <w:t>,</w:t>
      </w:r>
      <w:r w:rsidRPr="007B5EFB">
        <w:rPr>
          <w:rStyle w:val="RDeletedText"/>
        </w:rPr>
        <w:t>.</w:t>
      </w:r>
      <w:r w:rsidRPr="007B5EFB">
        <w:t xml:space="preserve"> </w:t>
      </w:r>
      <w:r w:rsidRPr="007B5EFB">
        <w:rPr>
          <w:rStyle w:val="RInsertedText"/>
        </w:rPr>
        <w:t>the Director General shall establish new equivalent amounts:</w:t>
      </w:r>
    </w:p>
    <w:p w:rsidR="00ED09CE" w:rsidRPr="007B5EFB" w:rsidRDefault="00ED09CE" w:rsidP="00ED09CE">
      <w:pPr>
        <w:pStyle w:val="RPari"/>
        <w:rPr>
          <w:rStyle w:val="RInsertedText"/>
        </w:rPr>
      </w:pPr>
      <w:r w:rsidRPr="007B5EFB">
        <w:tab/>
      </w:r>
      <w:r w:rsidRPr="007B5EFB">
        <w:rPr>
          <w:rStyle w:val="RInsertedText"/>
        </w:rPr>
        <w:t>(i)</w:t>
      </w:r>
      <w:r w:rsidRPr="007B5EFB">
        <w:rPr>
          <w:rStyle w:val="RInsertedText"/>
        </w:rPr>
        <w:tab/>
        <w:t>in the case of new equivalent amounts in euro, Japanese yen and United States dollar of the international filing fee according to the blended hedge rates determined by the Director General prevailing on the day two months prior to entry into force of the changed amount of the international filing fee as set out in the amended Schedule of Fees;</w:t>
      </w:r>
    </w:p>
    <w:p w:rsidR="00ED09CE" w:rsidRPr="007B5EFB" w:rsidRDefault="00ED09CE" w:rsidP="00ED09CE">
      <w:pPr>
        <w:pStyle w:val="RPari"/>
        <w:rPr>
          <w:rStyle w:val="RInsertedText"/>
        </w:rPr>
      </w:pPr>
      <w:r w:rsidRPr="007B5EFB">
        <w:tab/>
      </w:r>
      <w:r w:rsidRPr="007B5EFB">
        <w:rPr>
          <w:rStyle w:val="RInsertedText"/>
        </w:rPr>
        <w:t>(ii)</w:t>
      </w:r>
      <w:r w:rsidRPr="007B5EFB">
        <w:rPr>
          <w:rStyle w:val="RInsertedText"/>
        </w:rPr>
        <w:tab/>
        <w:t>in the case of new equivalent amounts in all other currencies of the international filing fee or in any prescribed currency of the handling fee, according to the exchange rates determined by the Director General prevailing on the day two months prior to entry into force of the changed amount of the international filing fee or of the handling fee, as applicable, as set out in the amended Schedule of Fees;</w:t>
      </w:r>
    </w:p>
    <w:p w:rsidR="00ED09CE" w:rsidRPr="007B5EFB" w:rsidRDefault="00ED09CE" w:rsidP="00ED09CE">
      <w:pPr>
        <w:pStyle w:val="RPari"/>
        <w:rPr>
          <w:rStyle w:val="RInsertedText"/>
        </w:rPr>
      </w:pPr>
      <w:r w:rsidRPr="007B5EFB">
        <w:tab/>
      </w:r>
      <w:r w:rsidRPr="007B5EFB">
        <w:rPr>
          <w:rStyle w:val="RInsertedText"/>
        </w:rPr>
        <w:t>(iii)</w:t>
      </w:r>
      <w:r w:rsidRPr="007B5EFB">
        <w:rPr>
          <w:rStyle w:val="RInsertedText"/>
        </w:rPr>
        <w:tab/>
        <w:t>in the case of new equivalent amounts of the search fee and the supplementary search fee, according to the exchange rates determined by the Director General prevailing on the day on which the Director General is notified of the new amount, or the day two months prior to the entry into force of the new amount, whichever is later.</w:t>
      </w:r>
    </w:p>
    <w:p w:rsidR="00ED09CE" w:rsidRPr="007B5EFB" w:rsidRDefault="00ED09CE" w:rsidP="00ED09CE">
      <w:pPr>
        <w:pStyle w:val="RPara"/>
        <w:keepLines/>
      </w:pPr>
      <w:r w:rsidRPr="007B5EFB">
        <w:rPr>
          <w:rStyle w:val="RInsertedText"/>
        </w:rPr>
        <w:t>(7)  </w:t>
      </w:r>
      <w:r w:rsidRPr="007B5EFB">
        <w:t xml:space="preserve">The new equivalent amounts in the prescribed currencies </w:t>
      </w:r>
      <w:r w:rsidRPr="007B5EFB">
        <w:rPr>
          <w:rStyle w:val="RDeletedText"/>
        </w:rPr>
        <w:t>shall be applied from</w:t>
      </w:r>
      <w:r w:rsidRPr="007B5EFB">
        <w:t xml:space="preserve"> </w:t>
      </w:r>
      <w:r w:rsidRPr="007B5EFB">
        <w:rPr>
          <w:rStyle w:val="RInsertedText"/>
        </w:rPr>
        <w:t>established in accordance with paragraph (6) shall enter into force on</w:t>
      </w:r>
      <w:r w:rsidRPr="007B5EFB">
        <w:t xml:space="preserve"> the same date as the changed amount of the international filing fee or of the handling fee set out in the amended Schedule of Fees, or </w:t>
      </w:r>
      <w:r w:rsidRPr="007B5EFB">
        <w:rPr>
          <w:rStyle w:val="RDeletedText"/>
        </w:rPr>
        <w:t>from</w:t>
      </w:r>
      <w:r w:rsidRPr="007B5EFB">
        <w:t xml:space="preserve"> </w:t>
      </w:r>
      <w:r w:rsidRPr="007B5EFB">
        <w:rPr>
          <w:rStyle w:val="RInsertedText"/>
        </w:rPr>
        <w:t>on</w:t>
      </w:r>
      <w:r w:rsidRPr="007B5EFB">
        <w:t xml:space="preserve"> the same date as the changed amount of the search fee or the supplementary search fee in the fixed currency.</w:t>
      </w:r>
    </w:p>
    <w:p w:rsidR="00ED09CE" w:rsidRPr="007B5EFB" w:rsidRDefault="00ED09CE" w:rsidP="00ED09CE">
      <w:pPr>
        <w:pStyle w:val="RPara"/>
        <w:keepLines/>
        <w:rPr>
          <w:rStyle w:val="RInsertedText"/>
        </w:rPr>
      </w:pPr>
      <w:r w:rsidRPr="007B5EFB">
        <w:rPr>
          <w:rStyle w:val="RInsertedText"/>
        </w:rPr>
        <w:lastRenderedPageBreak/>
        <w:t xml:space="preserve">(8)  Paragraphs (6)(ii) and (iii) shall apply </w:t>
      </w:r>
      <w:r w:rsidRPr="007B5EFB">
        <w:rPr>
          <w:rStyle w:val="RInsertedText"/>
          <w:i/>
        </w:rPr>
        <w:t>mutatis mutandis</w:t>
      </w:r>
      <w:r w:rsidRPr="007B5EFB">
        <w:rPr>
          <w:rStyle w:val="RInsertedText"/>
        </w:rPr>
        <w:t xml:space="preserve"> where an equivalent amount of any of the fees referred to in those paragraphs is required in a new prescribed currency for which an equivalent amount has not previously been established, provided that any such new equivalent amount shall enter into force on the same date as the new prescribed currency.</w:t>
      </w:r>
    </w:p>
    <w:p w:rsidR="00ED09CE" w:rsidRPr="007B5EFB" w:rsidRDefault="00ED09CE" w:rsidP="00ED09CE">
      <w:pPr>
        <w:pStyle w:val="RPara"/>
        <w:rPr>
          <w:rStyle w:val="RInsertedText"/>
        </w:rPr>
      </w:pPr>
      <w:r w:rsidRPr="007B5EFB">
        <w:rPr>
          <w:rStyle w:val="RInsertedText"/>
        </w:rPr>
        <w:t xml:space="preserve">(9)  Paragraphs (3) and (4) shall apply </w:t>
      </w:r>
      <w:r w:rsidRPr="007B5EFB">
        <w:rPr>
          <w:rStyle w:val="RInsertedText"/>
          <w:i/>
        </w:rPr>
        <w:t>mutatis mutandis</w:t>
      </w:r>
      <w:r w:rsidRPr="007B5EFB">
        <w:rPr>
          <w:rStyle w:val="RInsertedText"/>
        </w:rPr>
        <w:t xml:space="preserve"> to any new equivalent amount established under paragraphs (6) or (8).  Subject to paragraphs (6) and (10), any such newly established equivalent amount shall remain in force until the last day of the calendar year.</w:t>
      </w:r>
    </w:p>
    <w:p w:rsidR="00ED09CE" w:rsidRPr="007B5EFB" w:rsidRDefault="00ED09CE" w:rsidP="00ED09CE">
      <w:pPr>
        <w:pStyle w:val="RPara"/>
        <w:rPr>
          <w:rStyle w:val="RDeletedText"/>
        </w:rPr>
      </w:pPr>
      <w:r w:rsidRPr="007B5EFB">
        <w:rPr>
          <w:rStyle w:val="RDeletedText"/>
        </w:rPr>
        <w:t>(4)  In the month of October of each year, the Director General shall, where applicable, after consultations with the Offices or Authorities referred to in paragraph (1), establish new equivalent amounts of the international filing fee, the handling fee, the search fee and the supplementary search fee according to the exchange rates prevailing on the first Monday in the month of October.  Unless otherwise decided by the Director General, any adjustment under this paragraph shall enter into force on the first day of the subsequent calendar year.</w:t>
      </w:r>
    </w:p>
    <w:p w:rsidR="00ED09CE" w:rsidRPr="007B5EFB" w:rsidRDefault="00ED09CE" w:rsidP="00ED09CE">
      <w:pPr>
        <w:pStyle w:val="RPara"/>
      </w:pPr>
      <w:r w:rsidRPr="007B5EFB">
        <w:rPr>
          <w:rStyle w:val="RInsertedText"/>
        </w:rPr>
        <w:t>(10)</w:t>
      </w:r>
      <w:r w:rsidRPr="007B5EFB">
        <w:t xml:space="preserve"> </w:t>
      </w:r>
      <w:r w:rsidRPr="007B5EFB">
        <w:rPr>
          <w:rStyle w:val="RDeletedText"/>
        </w:rPr>
        <w:t>(5)</w:t>
      </w:r>
      <w:r w:rsidRPr="007B5EFB">
        <w:t>  </w:t>
      </w:r>
      <w:r w:rsidRPr="007B5EFB">
        <w:rPr>
          <w:rStyle w:val="RInsertedText"/>
        </w:rPr>
        <w:t>The Director General shall establish new equivalent amounts of the search fee and the supplementary search fee where</w:t>
      </w:r>
      <w:r w:rsidRPr="007B5EFB">
        <w:t xml:space="preserve"> </w:t>
      </w:r>
      <w:r w:rsidRPr="007B5EFB">
        <w:rPr>
          <w:rStyle w:val="RDeletedText"/>
        </w:rPr>
        <w:t>Where</w:t>
      </w:r>
      <w:r w:rsidRPr="007B5EFB">
        <w:rPr>
          <w:rStyle w:val="RDeletedText"/>
          <w:strike w:val="0"/>
        </w:rPr>
        <w:t xml:space="preserve">, </w:t>
      </w:r>
      <w:r w:rsidRPr="007B5EFB">
        <w:t>for more than four consecutive Fridays (midday, Geneva time), the exchange rate between</w:t>
      </w:r>
      <w:r w:rsidRPr="007B5EFB">
        <w:rPr>
          <w:rStyle w:val="RDeletedText"/>
          <w:strike w:val="0"/>
        </w:rPr>
        <w:t xml:space="preserve"> </w:t>
      </w:r>
      <w:r w:rsidRPr="007B5EFB">
        <w:rPr>
          <w:rStyle w:val="RDeletedText"/>
        </w:rPr>
        <w:t xml:space="preserve">Swiss franc (in the case of the international filing fee and the handling fee) or </w:t>
      </w:r>
      <w:r w:rsidRPr="007B5EFB">
        <w:t xml:space="preserve">the fixed currency </w:t>
      </w:r>
      <w:r w:rsidRPr="007B5EFB">
        <w:rPr>
          <w:rStyle w:val="RDeletedText"/>
        </w:rPr>
        <w:t xml:space="preserve">(in the case of the search fee and the supplementary search fee) </w:t>
      </w:r>
      <w:r w:rsidRPr="007B5EFB">
        <w:t>and any applicable prescribed currency is by at least 5% higher, or by at least 5% lower, than the last exchange rate applied</w:t>
      </w:r>
      <w:r w:rsidRPr="007B5EFB">
        <w:rPr>
          <w:rStyle w:val="RDeletedText"/>
        </w:rPr>
        <w:t>, the Director General shall, where applicable, after consultations with the Offices or Authorities referred to in paragraph (1), establish new equivalent amounts of the international filing fee, the search fee, the supplementary search fee and/or the handling fee, as applicable,</w:t>
      </w:r>
      <w:r w:rsidRPr="007B5EFB">
        <w:rPr>
          <w:rStyle w:val="RInsertedText"/>
        </w:rPr>
        <w:t xml:space="preserve">.  Such new equivalent amounts shall be established by the Director General </w:t>
      </w:r>
      <w:r w:rsidRPr="007B5EFB">
        <w:t xml:space="preserve">according to the exchange rate prevailing on the first Monday following the expiration of the period referred to in the first sentence of this paragraph.  </w:t>
      </w:r>
      <w:r w:rsidRPr="007B5EFB">
        <w:rPr>
          <w:rStyle w:val="RInsertedText"/>
        </w:rPr>
        <w:t xml:space="preserve">Paragraph 4 shall apply mutatis mutandis to such newly established amounts.  </w:t>
      </w:r>
      <w:r w:rsidRPr="007B5EFB">
        <w:t xml:space="preserve">The newly established amount shall become applicable two months after the date of its publication in the Gazette, provided </w:t>
      </w:r>
      <w:r w:rsidRPr="007B5EFB">
        <w:lastRenderedPageBreak/>
        <w:t xml:space="preserve">that the </w:t>
      </w:r>
      <w:r w:rsidRPr="007B5EFB">
        <w:rPr>
          <w:rStyle w:val="RDeletedText"/>
        </w:rPr>
        <w:t xml:space="preserve">ROs or the International Preliminary Examining Authorities concerned, as applicable, </w:t>
      </w:r>
      <w:r w:rsidRPr="007B5EFB">
        <w:rPr>
          <w:rStyle w:val="RInsertedText"/>
        </w:rPr>
        <w:t>receiving Offices concerned</w:t>
      </w:r>
      <w:r w:rsidRPr="007B5EFB">
        <w:rPr>
          <w:rStyle w:val="RDeletedText"/>
          <w:strike w:val="0"/>
        </w:rPr>
        <w:t xml:space="preserve"> </w:t>
      </w:r>
      <w:r w:rsidRPr="007B5EFB">
        <w:t>and the Director General may agree on a date falling during the said two-month period, in which case the said amount shall become applicable from that date.</w:t>
      </w:r>
    </w:p>
    <w:p w:rsidR="00ED09CE" w:rsidRPr="007B5EFB" w:rsidRDefault="00ED09CE" w:rsidP="00ED09CE">
      <w:pPr>
        <w:pStyle w:val="Endofdocument-Annex"/>
        <w:rPr>
          <w:szCs w:val="22"/>
        </w:rPr>
        <w:sectPr w:rsidR="00ED09CE" w:rsidRPr="007B5EFB" w:rsidSect="00C85064">
          <w:headerReference w:type="default" r:id="rId22"/>
          <w:headerReference w:type="first" r:id="rId23"/>
          <w:endnotePr>
            <w:numFmt w:val="decimal"/>
          </w:endnotePr>
          <w:pgSz w:w="11907" w:h="16840" w:code="9"/>
          <w:pgMar w:top="567" w:right="1134" w:bottom="1418" w:left="1418" w:header="510" w:footer="1021" w:gutter="0"/>
          <w:pgNumType w:start="1"/>
          <w:cols w:space="720"/>
          <w:titlePg/>
          <w:docGrid w:linePitch="299"/>
        </w:sectPr>
      </w:pPr>
      <w:r w:rsidRPr="007B5EFB">
        <w:rPr>
          <w:szCs w:val="22"/>
        </w:rPr>
        <w:t xml:space="preserve">[Annex </w:t>
      </w:r>
      <w:r w:rsidR="000B6F40" w:rsidRPr="007B5EFB">
        <w:rPr>
          <w:szCs w:val="22"/>
        </w:rPr>
        <w:t>I</w:t>
      </w:r>
      <w:r w:rsidRPr="007B5EFB">
        <w:rPr>
          <w:szCs w:val="22"/>
        </w:rPr>
        <w:t xml:space="preserve">II </w:t>
      </w:r>
      <w:r w:rsidR="000B6F40" w:rsidRPr="007B5EFB">
        <w:rPr>
          <w:szCs w:val="22"/>
        </w:rPr>
        <w:t>follows</w:t>
      </w:r>
      <w:r w:rsidRPr="007B5EFB">
        <w:rPr>
          <w:szCs w:val="22"/>
        </w:rPr>
        <w:t>]</w:t>
      </w:r>
    </w:p>
    <w:p w:rsidR="000B6F40" w:rsidRPr="007B5EFB" w:rsidRDefault="000B6F40" w:rsidP="000B6F40">
      <w:pPr>
        <w:pStyle w:val="RTitleMain"/>
        <w:spacing w:after="0"/>
        <w:rPr>
          <w:b w:val="0"/>
          <w:caps/>
        </w:rPr>
      </w:pPr>
      <w:r w:rsidRPr="007B5EFB">
        <w:rPr>
          <w:b w:val="0"/>
          <w:caps/>
        </w:rPr>
        <w:lastRenderedPageBreak/>
        <w:t>proposed modifications to the</w:t>
      </w:r>
    </w:p>
    <w:p w:rsidR="000B6F40" w:rsidRPr="007B5EFB" w:rsidRDefault="000B6F40" w:rsidP="000B6F40">
      <w:pPr>
        <w:jc w:val="center"/>
        <w:rPr>
          <w:caps/>
        </w:rPr>
      </w:pPr>
      <w:r w:rsidRPr="007B5EFB">
        <w:rPr>
          <w:caps/>
        </w:rPr>
        <w:t>Directives of the Assembly Relating to the</w:t>
      </w:r>
    </w:p>
    <w:p w:rsidR="000B6F40" w:rsidRPr="007B5EFB" w:rsidRDefault="000B6F40" w:rsidP="000B6F40">
      <w:pPr>
        <w:jc w:val="center"/>
        <w:rPr>
          <w:caps/>
        </w:rPr>
      </w:pPr>
    </w:p>
    <w:p w:rsidR="00ED09CE" w:rsidRPr="007B5EFB" w:rsidRDefault="000B6F40" w:rsidP="000B6F40">
      <w:pPr>
        <w:jc w:val="center"/>
        <w:rPr>
          <w:szCs w:val="22"/>
        </w:rPr>
      </w:pPr>
      <w:r w:rsidRPr="007B5EFB">
        <w:rPr>
          <w:caps/>
        </w:rPr>
        <w:t>Establishment of Equivalent Amounts of Certain Fees</w:t>
      </w:r>
    </w:p>
    <w:p w:rsidR="002E34D7" w:rsidRPr="007B5EFB" w:rsidRDefault="002E34D7" w:rsidP="002E34D7">
      <w:pPr>
        <w:ind w:right="-2"/>
        <w:jc w:val="center"/>
        <w:rPr>
          <w:szCs w:val="22"/>
        </w:rPr>
      </w:pPr>
    </w:p>
    <w:p w:rsidR="000B6F40" w:rsidRPr="007B5EFB" w:rsidRDefault="000B6F40" w:rsidP="000B6F40">
      <w:pPr>
        <w:jc w:val="center"/>
        <w:rPr>
          <w:caps/>
        </w:rPr>
      </w:pPr>
      <w:r w:rsidRPr="007B5EFB">
        <w:rPr>
          <w:caps/>
        </w:rPr>
        <w:t>(clean text)</w:t>
      </w:r>
    </w:p>
    <w:p w:rsidR="000B6F40" w:rsidRPr="007B5EFB" w:rsidRDefault="000B6F40" w:rsidP="000B6F40">
      <w:pPr>
        <w:jc w:val="center"/>
      </w:pPr>
    </w:p>
    <w:p w:rsidR="000B6F40" w:rsidRPr="007B5EFB" w:rsidRDefault="000B6F40" w:rsidP="000B6F40">
      <w:r w:rsidRPr="007B5EFB">
        <w:t>Proposed modifications to the Directives are set out in Annex II, in which additions and deletions are shown, respectively, by underlining and striking-through of the text concerned.  This Annex contains, for convenient reference, a “clean” text of the relevant provisions as they would stand after modification.</w:t>
      </w:r>
    </w:p>
    <w:p w:rsidR="000B6F40" w:rsidRPr="007B5EFB" w:rsidRDefault="000B6F40" w:rsidP="002E34D7">
      <w:pPr>
        <w:ind w:right="-2"/>
        <w:jc w:val="center"/>
        <w:rPr>
          <w:szCs w:val="22"/>
        </w:rPr>
      </w:pPr>
    </w:p>
    <w:p w:rsidR="000B6F40" w:rsidRPr="007B5EFB" w:rsidRDefault="000B6F40" w:rsidP="002E34D7">
      <w:pPr>
        <w:ind w:right="-2"/>
        <w:jc w:val="center"/>
        <w:rPr>
          <w:szCs w:val="22"/>
        </w:rPr>
      </w:pPr>
    </w:p>
    <w:p w:rsidR="000B6F40" w:rsidRPr="007B5EFB" w:rsidRDefault="000B6F40" w:rsidP="002E34D7">
      <w:pPr>
        <w:ind w:right="-2"/>
        <w:jc w:val="center"/>
        <w:rPr>
          <w:szCs w:val="22"/>
        </w:rPr>
      </w:pPr>
    </w:p>
    <w:p w:rsidR="000B6F40" w:rsidRPr="007B5EFB" w:rsidRDefault="000B6F40" w:rsidP="002E34D7">
      <w:pPr>
        <w:ind w:right="-2"/>
        <w:jc w:val="center"/>
        <w:rPr>
          <w:szCs w:val="22"/>
        </w:rPr>
      </w:pPr>
    </w:p>
    <w:p w:rsidR="002E34D7" w:rsidRPr="007B5EFB" w:rsidRDefault="002E34D7" w:rsidP="002E34D7">
      <w:pPr>
        <w:pStyle w:val="RPara"/>
      </w:pPr>
      <w:r w:rsidRPr="007B5EFB">
        <w:t>The Assembly establishes in the following terms the directives relating to the establishment of equivalent amounts of the international filing fee, the handling fee, the search fee and the supplementary search fee (see Rules 15.2(d)(i), 16.1(d)(i), 45</w:t>
      </w:r>
      <w:r w:rsidRPr="007B5EFB">
        <w:rPr>
          <w:i/>
        </w:rPr>
        <w:t>bis</w:t>
      </w:r>
      <w:r w:rsidRPr="007B5EFB">
        <w:t>.3(b) and 57.2(d)(i)), it being understood that, in the light of experience, the Assembly may at any time modify these directives:</w:t>
      </w:r>
    </w:p>
    <w:p w:rsidR="002E34D7" w:rsidRPr="007B5EFB" w:rsidRDefault="002E34D7" w:rsidP="002E34D7">
      <w:pPr>
        <w:pStyle w:val="RTitleSub"/>
        <w:rPr>
          <w:b/>
        </w:rPr>
      </w:pPr>
      <w:r w:rsidRPr="007B5EFB">
        <w:rPr>
          <w:b/>
        </w:rPr>
        <w:t>Establishment of Equivalent Amounts</w:t>
      </w:r>
    </w:p>
    <w:p w:rsidR="002E34D7" w:rsidRPr="007B5EFB" w:rsidRDefault="002E34D7" w:rsidP="002E34D7">
      <w:pPr>
        <w:pStyle w:val="RPara"/>
      </w:pPr>
      <w:r w:rsidRPr="007B5EFB">
        <w:t>(1)  The equivalent amounts of the international filing fee and the handling fee in any prescribed currency other than Swiss franc, and of the search fee and the supplementary search fee in any prescribed currency other than the fixed currency, shall be established by the Director General.</w:t>
      </w:r>
    </w:p>
    <w:p w:rsidR="002E34D7" w:rsidRPr="007B5EFB" w:rsidRDefault="002E34D7" w:rsidP="002E34D7">
      <w:pPr>
        <w:pStyle w:val="RPara"/>
        <w:keepLines/>
      </w:pPr>
      <w:r w:rsidRPr="007B5EFB">
        <w:t>(2)  In the month of October of each year, the Director General shall establish:</w:t>
      </w:r>
    </w:p>
    <w:p w:rsidR="002E34D7" w:rsidRPr="007B5EFB" w:rsidRDefault="002E34D7" w:rsidP="002E34D7">
      <w:pPr>
        <w:pStyle w:val="RPari"/>
      </w:pPr>
      <w:r w:rsidRPr="007B5EFB">
        <w:tab/>
        <w:t>(i)</w:t>
      </w:r>
      <w:r w:rsidRPr="007B5EFB">
        <w:tab/>
        <w:t>the equivalent amounts in euro, Japanese yen and United States dollar of the international filing fee according to the blended hedge rates determined by the Director General prevailing on the first Monday in the month of October;</w:t>
      </w:r>
    </w:p>
    <w:p w:rsidR="002E34D7" w:rsidRPr="007B5EFB" w:rsidRDefault="002E34D7" w:rsidP="000B6F40">
      <w:pPr>
        <w:pStyle w:val="RPari"/>
        <w:keepLines/>
      </w:pPr>
      <w:r w:rsidRPr="007B5EFB">
        <w:lastRenderedPageBreak/>
        <w:tab/>
        <w:t>(ii)</w:t>
      </w:r>
      <w:r w:rsidRPr="007B5EFB">
        <w:tab/>
        <w:t>the equivalent amounts in all other currencies of the international filing fee, and the equivalent amounts of the handling fee, the search fee and the supplementary search fee according to the exchange rates determined by the Director General prevailing on the first Monday in the month of October.</w:t>
      </w:r>
    </w:p>
    <w:p w:rsidR="002E34D7" w:rsidRPr="007B5EFB" w:rsidRDefault="002E34D7" w:rsidP="002E34D7">
      <w:pPr>
        <w:pStyle w:val="RPara"/>
        <w:keepNext/>
        <w:keepLines/>
      </w:pPr>
      <w:r w:rsidRPr="007B5EFB">
        <w:t>(3)  The amounts so established shall be the equivalent, in round figures:</w:t>
      </w:r>
    </w:p>
    <w:p w:rsidR="002E34D7" w:rsidRPr="007B5EFB" w:rsidRDefault="002E34D7" w:rsidP="002E34D7">
      <w:pPr>
        <w:pStyle w:val="RPari"/>
      </w:pPr>
      <w:r w:rsidRPr="007B5EFB">
        <w:tab/>
        <w:t>(i)</w:t>
      </w:r>
      <w:r w:rsidRPr="007B5EFB">
        <w:tab/>
        <w:t>of the amount of the international filing fee and of the handling fee, respectively, in Swiss franc set out in the Schedule of Fees;</w:t>
      </w:r>
    </w:p>
    <w:p w:rsidR="002E34D7" w:rsidRPr="007B5EFB" w:rsidRDefault="002E34D7" w:rsidP="002E34D7">
      <w:pPr>
        <w:pStyle w:val="RPari"/>
      </w:pPr>
      <w:r w:rsidRPr="007B5EFB">
        <w:tab/>
        <w:t>(ii)</w:t>
      </w:r>
      <w:r w:rsidRPr="007B5EFB">
        <w:tab/>
        <w:t>of the amount of the search fee and the supplementary search fee (if applicable) established by the ISA in the fixed currency.</w:t>
      </w:r>
    </w:p>
    <w:p w:rsidR="002E34D7" w:rsidRPr="007B5EFB" w:rsidRDefault="002E34D7" w:rsidP="002E34D7">
      <w:pPr>
        <w:pStyle w:val="RPara"/>
      </w:pPr>
      <w:r w:rsidRPr="007B5EFB">
        <w:t xml:space="preserve">(4)  The amounts so established shall be notified by the International Bureau to each receiving Office, International Searching Authority and International Preliminary Examining Authority, as applicable, prescribing payment or establishing fees in the currency concerned and shall be published in the </w:t>
      </w:r>
      <w:r w:rsidRPr="007B5EFB">
        <w:rPr>
          <w:i/>
        </w:rPr>
        <w:t>Gazette</w:t>
      </w:r>
      <w:r w:rsidRPr="007B5EFB">
        <w:t>.</w:t>
      </w:r>
    </w:p>
    <w:p w:rsidR="002E34D7" w:rsidRPr="007B5EFB" w:rsidRDefault="002E34D7" w:rsidP="002E34D7">
      <w:pPr>
        <w:pStyle w:val="RPara"/>
      </w:pPr>
      <w:r w:rsidRPr="007B5EFB">
        <w:t>(5)  Unless otherwise decided by the Director General, any equivalent amounts established under paragraph (2) shall enter into force on the first day of the subsequent calendar year.  Subject to paragraphs (6) to (10), any such established equivalent amounts shall remain in force until the last day of the subsequent calendar year.</w:t>
      </w:r>
    </w:p>
    <w:p w:rsidR="002E34D7" w:rsidRPr="007B5EFB" w:rsidRDefault="002E34D7" w:rsidP="002E34D7">
      <w:pPr>
        <w:pStyle w:val="RTitleSub"/>
        <w:keepLines/>
        <w:rPr>
          <w:b/>
        </w:rPr>
      </w:pPr>
      <w:r w:rsidRPr="007B5EFB">
        <w:rPr>
          <w:b/>
        </w:rPr>
        <w:t>Establishment of New Equivalent Amounts</w:t>
      </w:r>
    </w:p>
    <w:p w:rsidR="002E34D7" w:rsidRPr="007B5EFB" w:rsidRDefault="002E34D7" w:rsidP="002E34D7">
      <w:pPr>
        <w:pStyle w:val="RPara"/>
        <w:keepLines/>
      </w:pPr>
      <w:r w:rsidRPr="007B5EFB">
        <w:t>(6)  Where the amount of the international filing fee, the handling fee, the search fee or the supplementary search fee is changed, the Director General shall establish new equivalent amounts:</w:t>
      </w:r>
    </w:p>
    <w:p w:rsidR="002E34D7" w:rsidRPr="007B5EFB" w:rsidRDefault="002E34D7" w:rsidP="002E34D7">
      <w:pPr>
        <w:pStyle w:val="RPari"/>
      </w:pPr>
      <w:r w:rsidRPr="007B5EFB">
        <w:lastRenderedPageBreak/>
        <w:tab/>
        <w:t>(i)</w:t>
      </w:r>
      <w:r w:rsidRPr="007B5EFB">
        <w:tab/>
        <w:t>in the case of new equivalent amounts in euro, Japanese yen and United States dollar of the international filing fee according to the blended hedge rates determined by the Director General prevailing on the day two months prior to entry into force of the changed amount of the international filing fee as set out in the amended Schedule of Fees;</w:t>
      </w:r>
    </w:p>
    <w:p w:rsidR="002E34D7" w:rsidRPr="007B5EFB" w:rsidRDefault="002E34D7" w:rsidP="002E34D7">
      <w:pPr>
        <w:pStyle w:val="RPari"/>
      </w:pPr>
      <w:r w:rsidRPr="007B5EFB">
        <w:tab/>
        <w:t>(ii)</w:t>
      </w:r>
      <w:r w:rsidRPr="007B5EFB">
        <w:tab/>
        <w:t>in the case of new equivalent amounts in all other currencies of the international filing fee or in any prescribed currency of the handling fee, according to the exchange rates determined by the Director General prevailing on the day two months prior to entry into force of the changed amount of the international filing fee or of the handling fee, as applicable, as set out in the amended Schedule of Fees;</w:t>
      </w:r>
    </w:p>
    <w:p w:rsidR="002E34D7" w:rsidRPr="007B5EFB" w:rsidRDefault="002E34D7" w:rsidP="002E34D7">
      <w:pPr>
        <w:pStyle w:val="RPari"/>
      </w:pPr>
      <w:r w:rsidRPr="007B5EFB">
        <w:tab/>
        <w:t>(iii)</w:t>
      </w:r>
      <w:r w:rsidRPr="007B5EFB">
        <w:tab/>
        <w:t>in the case of new equivalent amounts of the search fee and the supplementary search fee, according to the exchange rates determined by the Director General prevailing on the day on which the Director General is notified of the new amount, or the day two months prior to the entry into force of the new amount, whichever is later.</w:t>
      </w:r>
    </w:p>
    <w:p w:rsidR="002E34D7" w:rsidRPr="007B5EFB" w:rsidRDefault="002E34D7" w:rsidP="002E34D7">
      <w:pPr>
        <w:pStyle w:val="RPara"/>
        <w:keepLines/>
      </w:pPr>
      <w:r w:rsidRPr="007B5EFB">
        <w:t>(7)  The new equivalent amounts in the prescribed currencies established in accordance with paragraph (6) shall enter into force on the same date as the changed amount of the international filing fee or of the handling fee set out in the amended Schedule of Fees, or on the same date as the changed amount of the search fee or the supplementary search fee in the fixed currency.</w:t>
      </w:r>
    </w:p>
    <w:p w:rsidR="002E34D7" w:rsidRPr="007B5EFB" w:rsidRDefault="002E34D7" w:rsidP="002E34D7">
      <w:pPr>
        <w:pStyle w:val="RPara"/>
        <w:keepLines/>
      </w:pPr>
      <w:r w:rsidRPr="007B5EFB">
        <w:t xml:space="preserve">(8)  Paragraphs (6)(ii) and (iii) shall apply </w:t>
      </w:r>
      <w:r w:rsidRPr="007B5EFB">
        <w:rPr>
          <w:i/>
        </w:rPr>
        <w:t>mutatis mutandis</w:t>
      </w:r>
      <w:r w:rsidRPr="007B5EFB">
        <w:t xml:space="preserve"> where an equivalent amount of any of the fees referred to in those paragraphs is required in a new prescribed currency for which an equivalent amount has not previously been established, provided that any such new equivalent amount shall enter into force on the same date as the new prescribed currency.</w:t>
      </w:r>
    </w:p>
    <w:p w:rsidR="002E34D7" w:rsidRPr="007B5EFB" w:rsidRDefault="002E34D7" w:rsidP="002E34D7">
      <w:pPr>
        <w:pStyle w:val="RPara"/>
      </w:pPr>
      <w:r w:rsidRPr="007B5EFB">
        <w:lastRenderedPageBreak/>
        <w:t xml:space="preserve">(9)  Paragraphs (3) and (4) shall apply </w:t>
      </w:r>
      <w:r w:rsidRPr="007B5EFB">
        <w:rPr>
          <w:i/>
        </w:rPr>
        <w:t>mutatis mutandis</w:t>
      </w:r>
      <w:r w:rsidRPr="007B5EFB">
        <w:t xml:space="preserve"> to any new equivalent amount established under paragraphs (6) or (8).  Subject to paragraphs (6) and (10), any such newly established equivalent amount shall remain in force until the last day of the calendar year.</w:t>
      </w:r>
    </w:p>
    <w:p w:rsidR="002E34D7" w:rsidRPr="007B5EFB" w:rsidRDefault="002E34D7" w:rsidP="002E34D7">
      <w:pPr>
        <w:pStyle w:val="RPara"/>
      </w:pPr>
      <w:r w:rsidRPr="007B5EFB">
        <w:t>(10)  The Director General shall establish new equivalent amounts of the search fee and the supplementary search fee where, for more than four consecutive Fridays (midday, Geneva time), the exchange rate between the fixed currency  and any applicable prescribed currency is by at least 5% higher, or by at least 5% lower, than the last exchange rate applied.  Such new equivalent amounts shall be established by the Director General according to the exchange rate prevailing on the first Monday following the expiration of the period referred to in the first sentence of this paragraph.  Paragraph 4 shall apply mutatis mutandis to such newly established amounts.  The newly established amount shall become applicable two months after the date of its publication in the Gazette, provided that the receiving Offices concerned and the Director General may agree on a date falling during the said two-month period, in which case the said amount shall become applicable from that date.</w:t>
      </w:r>
    </w:p>
    <w:p w:rsidR="002E34D7" w:rsidRPr="009B0815" w:rsidRDefault="002E34D7" w:rsidP="002E34D7">
      <w:pPr>
        <w:pStyle w:val="Endofdocument-Annex"/>
        <w:rPr>
          <w:szCs w:val="22"/>
        </w:rPr>
      </w:pPr>
      <w:r w:rsidRPr="007B5EFB">
        <w:rPr>
          <w:szCs w:val="22"/>
        </w:rPr>
        <w:t xml:space="preserve">[End of Annex </w:t>
      </w:r>
      <w:r w:rsidR="000B6F40" w:rsidRPr="007B5EFB">
        <w:rPr>
          <w:szCs w:val="22"/>
        </w:rPr>
        <w:t>I</w:t>
      </w:r>
      <w:r w:rsidRPr="007B5EFB">
        <w:rPr>
          <w:szCs w:val="22"/>
        </w:rPr>
        <w:t>II and of document]</w:t>
      </w:r>
    </w:p>
    <w:sectPr w:rsidR="002E34D7" w:rsidRPr="009B0815" w:rsidSect="00C85064">
      <w:headerReference w:type="default" r:id="rId24"/>
      <w:headerReference w:type="first" r:id="rId25"/>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AF8" w:rsidRDefault="00943AF8">
      <w:r>
        <w:separator/>
      </w:r>
    </w:p>
  </w:endnote>
  <w:endnote w:type="continuationSeparator" w:id="0">
    <w:p w:rsidR="00943AF8" w:rsidRDefault="00943AF8" w:rsidP="003B38C1">
      <w:r>
        <w:separator/>
      </w:r>
    </w:p>
    <w:p w:rsidR="00943AF8" w:rsidRPr="003B38C1" w:rsidRDefault="00943AF8" w:rsidP="003B38C1">
      <w:pPr>
        <w:spacing w:after="60"/>
        <w:rPr>
          <w:sz w:val="17"/>
        </w:rPr>
      </w:pPr>
      <w:r>
        <w:rPr>
          <w:sz w:val="17"/>
        </w:rPr>
        <w:t>[Endnote continued from previous page]</w:t>
      </w:r>
    </w:p>
  </w:endnote>
  <w:endnote w:type="continuationNotice" w:id="1">
    <w:p w:rsidR="00943AF8" w:rsidRPr="003B38C1" w:rsidRDefault="00943AF8"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AF8" w:rsidRDefault="00943AF8">
      <w:r>
        <w:separator/>
      </w:r>
    </w:p>
  </w:footnote>
  <w:footnote w:type="continuationSeparator" w:id="0">
    <w:p w:rsidR="00943AF8" w:rsidRDefault="00943AF8" w:rsidP="008B60B2">
      <w:r>
        <w:separator/>
      </w:r>
    </w:p>
    <w:p w:rsidR="00943AF8" w:rsidRPr="00ED77FB" w:rsidRDefault="00943AF8" w:rsidP="008B60B2">
      <w:pPr>
        <w:spacing w:after="60"/>
        <w:rPr>
          <w:sz w:val="17"/>
          <w:szCs w:val="17"/>
        </w:rPr>
      </w:pPr>
      <w:r w:rsidRPr="00ED77FB">
        <w:rPr>
          <w:sz w:val="17"/>
          <w:szCs w:val="17"/>
        </w:rPr>
        <w:t>[Footnote continued from previous page]</w:t>
      </w:r>
    </w:p>
  </w:footnote>
  <w:footnote w:type="continuationNotice" w:id="1">
    <w:p w:rsidR="00943AF8" w:rsidRPr="00ED77FB" w:rsidRDefault="00943AF8" w:rsidP="008B60B2">
      <w:pPr>
        <w:spacing w:before="60"/>
        <w:jc w:val="right"/>
        <w:rPr>
          <w:sz w:val="17"/>
          <w:szCs w:val="17"/>
        </w:rPr>
      </w:pPr>
      <w:r w:rsidRPr="00ED77FB">
        <w:rPr>
          <w:sz w:val="17"/>
          <w:szCs w:val="17"/>
        </w:rPr>
        <w:t>[Footnote continued on next page]</w:t>
      </w:r>
    </w:p>
  </w:footnote>
  <w:footnote w:id="2">
    <w:p w:rsidR="00943AF8" w:rsidRPr="00952FCC" w:rsidRDefault="00943AF8">
      <w:pPr>
        <w:pStyle w:val="FootnoteText"/>
      </w:pPr>
      <w:r>
        <w:rPr>
          <w:rStyle w:val="FootnoteReference"/>
        </w:rPr>
        <w:footnoteRef/>
      </w:r>
      <w:r>
        <w:t xml:space="preserve"> </w:t>
      </w:r>
      <w:r>
        <w:tab/>
        <w:t>For the purposes of this example only, the spot rate used is that of November 24, 2014, not that of October 6, 2014.</w:t>
      </w:r>
    </w:p>
  </w:footnote>
  <w:footnote w:id="3">
    <w:p w:rsidR="00943AF8" w:rsidRDefault="00943AF8" w:rsidP="00C85064">
      <w:pPr>
        <w:pStyle w:val="FootnoteText"/>
      </w:pPr>
      <w:r>
        <w:rPr>
          <w:rStyle w:val="FootnoteReference"/>
        </w:rPr>
        <w:footnoteRef/>
      </w:r>
      <w:r>
        <w:tab/>
        <w:t>Some of the issues set out in the present Circular also arise in the context of the handling fee (which is for the benefit of the IB) and of the supplementary international search fee (which is for the benefit of the Supplementary ISA).  However, so as to not overcomplicate the issues set out in the present Circular, this Circular does not cover those fees.  Should the proposals set out in the present Circular find sufficient support in general, the IB will include more detailed proposals also covering the handling fee and the supplementary international search fee in any further Circular or any document for consideration by the PCT Working Group.</w:t>
      </w:r>
    </w:p>
  </w:footnote>
  <w:footnote w:id="4">
    <w:p w:rsidR="00943AF8" w:rsidRPr="00CF5B94" w:rsidRDefault="00943AF8" w:rsidP="00C85064">
      <w:pPr>
        <w:pStyle w:val="FootnoteText"/>
      </w:pPr>
      <w:r>
        <w:rPr>
          <w:rStyle w:val="FootnoteReference"/>
        </w:rPr>
        <w:footnoteRef/>
      </w:r>
      <w:r>
        <w:t xml:space="preserve"> </w:t>
      </w:r>
      <w:r>
        <w:tab/>
        <w:t>See PCT Rules 15.2(d)(ii) and 16.1(d)(ii).</w:t>
      </w:r>
    </w:p>
  </w:footnote>
  <w:footnote w:id="5">
    <w:p w:rsidR="00943AF8" w:rsidRPr="00CF5B94" w:rsidRDefault="00943AF8" w:rsidP="00C85064">
      <w:pPr>
        <w:pStyle w:val="FootnoteText"/>
      </w:pPr>
      <w:r>
        <w:rPr>
          <w:rStyle w:val="FootnoteReference"/>
        </w:rPr>
        <w:footnoteRef/>
      </w:r>
      <w:r>
        <w:t xml:space="preserve"> </w:t>
      </w:r>
      <w:r>
        <w:tab/>
        <w:t>See PCT Rules 15.2(d)(i) and 16.1(d)(i).</w:t>
      </w:r>
    </w:p>
  </w:footnote>
  <w:footnote w:id="6">
    <w:p w:rsidR="00943AF8" w:rsidRPr="00CF5B94" w:rsidRDefault="00943AF8" w:rsidP="00C85064">
      <w:pPr>
        <w:pStyle w:val="FootnoteText"/>
      </w:pPr>
      <w:r>
        <w:rPr>
          <w:rStyle w:val="FootnoteReference"/>
        </w:rPr>
        <w:footnoteRef/>
      </w:r>
      <w:r>
        <w:t xml:space="preserve"> </w:t>
      </w:r>
      <w:r>
        <w:tab/>
        <w:t>PCT Rules 15.3 and 16.1(f).</w:t>
      </w:r>
    </w:p>
  </w:footnote>
  <w:footnote w:id="7">
    <w:p w:rsidR="00943AF8" w:rsidRPr="002A499C" w:rsidRDefault="00943AF8" w:rsidP="00C85064">
      <w:pPr>
        <w:pStyle w:val="FootnoteText"/>
      </w:pPr>
      <w:r>
        <w:rPr>
          <w:rStyle w:val="FootnoteReference"/>
        </w:rPr>
        <w:footnoteRef/>
      </w:r>
      <w:r>
        <w:t xml:space="preserve"> </w:t>
      </w:r>
      <w:r>
        <w:tab/>
        <w:t>See PCT Rule 16</w:t>
      </w:r>
      <w:r w:rsidRPr="00FA4F35">
        <w:rPr>
          <w:i/>
        </w:rPr>
        <w:t>bis</w:t>
      </w:r>
      <w:r>
        <w:t>.1.</w:t>
      </w:r>
    </w:p>
  </w:footnote>
  <w:footnote w:id="8">
    <w:p w:rsidR="00943AF8" w:rsidRPr="00FF0792" w:rsidRDefault="00943AF8" w:rsidP="00C85064">
      <w:pPr>
        <w:pStyle w:val="FootnoteText"/>
      </w:pPr>
      <w:r>
        <w:rPr>
          <w:rStyle w:val="FootnoteReference"/>
        </w:rPr>
        <w:footnoteRef/>
      </w:r>
      <w:r>
        <w:t xml:space="preserve"> </w:t>
      </w:r>
      <w:r>
        <w:tab/>
        <w:t>“P&amp;L” is the acronym commonly used to represent the ‘Profit and Loss Account’, which is a financial statement showing the financial results (income less expenditure) generated during a period.  The equivalent statement, at WIPO, is the “Statement of Financial Performance”.</w:t>
      </w:r>
    </w:p>
  </w:footnote>
  <w:footnote w:id="9">
    <w:p w:rsidR="00943AF8" w:rsidRPr="000B6F40" w:rsidRDefault="00943AF8">
      <w:pPr>
        <w:pStyle w:val="FootnoteText"/>
      </w:pPr>
      <w:r>
        <w:rPr>
          <w:rStyle w:val="FootnoteReference"/>
        </w:rPr>
        <w:footnoteRef/>
      </w:r>
      <w:r>
        <w:tab/>
        <w:t xml:space="preserve"> </w:t>
      </w:r>
      <w:r w:rsidRPr="00BD7F1C">
        <w:rPr>
          <w:szCs w:val="18"/>
        </w:rPr>
        <w:t>Proposed additions and deletions are indicated, respectively, by underlining and striking through the text concerned.  A “clean” copy of the proposed amended provisions (without underlining or striking through) appears in Annex II</w:t>
      </w:r>
      <w:r>
        <w:rPr>
          <w:szCs w:val="18"/>
        </w:rPr>
        <w:t>I</w:t>
      </w:r>
      <w:r w:rsidRPr="00BD7F1C">
        <w:rPr>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AF8" w:rsidRDefault="00943AF8" w:rsidP="00477D6B">
    <w:pPr>
      <w:jc w:val="right"/>
    </w:pPr>
    <w:r>
      <w:t>PCT/WG/8/15</w:t>
    </w:r>
  </w:p>
  <w:p w:rsidR="00943AF8" w:rsidRDefault="00943AF8" w:rsidP="00477D6B">
    <w:pPr>
      <w:jc w:val="right"/>
    </w:pPr>
    <w:r>
      <w:t xml:space="preserve">page </w:t>
    </w:r>
    <w:r>
      <w:fldChar w:fldCharType="begin"/>
    </w:r>
    <w:r>
      <w:instrText xml:space="preserve"> PAGE  \* MERGEFORMAT </w:instrText>
    </w:r>
    <w:r>
      <w:fldChar w:fldCharType="separate"/>
    </w:r>
    <w:r w:rsidR="008431A0">
      <w:rPr>
        <w:noProof/>
      </w:rPr>
      <w:t>11</w:t>
    </w:r>
    <w:r>
      <w:fldChar w:fldCharType="end"/>
    </w:r>
  </w:p>
  <w:p w:rsidR="00943AF8" w:rsidRDefault="00943AF8"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AF8" w:rsidRDefault="00943AF8" w:rsidP="00A1006D">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AF8" w:rsidRPr="00CC626A" w:rsidRDefault="00943AF8" w:rsidP="00BF63CB">
    <w:pPr>
      <w:pStyle w:val="Header"/>
      <w:jc w:val="right"/>
    </w:pPr>
    <w:r w:rsidRPr="00CC626A">
      <w:t>PCT/WG/8/15</w:t>
    </w:r>
  </w:p>
  <w:p w:rsidR="00943AF8" w:rsidRPr="00CC626A" w:rsidRDefault="00943AF8" w:rsidP="00BF63CB">
    <w:pPr>
      <w:pStyle w:val="Header"/>
      <w:jc w:val="right"/>
      <w:rPr>
        <w:noProof/>
      </w:rPr>
    </w:pPr>
    <w:r w:rsidRPr="00CC626A">
      <w:t xml:space="preserve">Annex I, page </w:t>
    </w:r>
    <w:r w:rsidRPr="00DC097F">
      <w:rPr>
        <w:lang w:val="fr-CH"/>
      </w:rPr>
      <w:fldChar w:fldCharType="begin"/>
    </w:r>
    <w:r w:rsidRPr="00CC626A">
      <w:instrText xml:space="preserve"> PAGE   \* MERGEFORMAT </w:instrText>
    </w:r>
    <w:r w:rsidRPr="00DC097F">
      <w:rPr>
        <w:lang w:val="fr-CH"/>
      </w:rPr>
      <w:fldChar w:fldCharType="separate"/>
    </w:r>
    <w:r w:rsidR="008431A0">
      <w:rPr>
        <w:noProof/>
      </w:rPr>
      <w:t>26</w:t>
    </w:r>
    <w:r w:rsidRPr="00DC097F">
      <w:rPr>
        <w:noProof/>
        <w:lang w:val="fr-CH"/>
      </w:rPr>
      <w:fldChar w:fldCharType="end"/>
    </w:r>
    <w:bookmarkStart w:id="55" w:name="_Ref418082523"/>
    <w:bookmarkStart w:id="56" w:name="_Ref416189390"/>
  </w:p>
  <w:bookmarkEnd w:id="55"/>
  <w:bookmarkEnd w:id="56"/>
  <w:p w:rsidR="00943AF8" w:rsidRPr="00CC626A" w:rsidRDefault="00943AF8" w:rsidP="00BF63CB">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AF8" w:rsidRDefault="00943AF8" w:rsidP="00CD5785">
    <w:pPr>
      <w:pStyle w:val="Header"/>
      <w:jc w:val="right"/>
      <w:rPr>
        <w:lang w:val="fr-CH"/>
      </w:rPr>
    </w:pPr>
    <w:r>
      <w:rPr>
        <w:lang w:val="fr-CH"/>
      </w:rPr>
      <w:t>PCT/WG/8/15</w:t>
    </w:r>
  </w:p>
  <w:p w:rsidR="00943AF8" w:rsidRPr="00DC097F" w:rsidRDefault="00943AF8" w:rsidP="00CD5785">
    <w:pPr>
      <w:pStyle w:val="Header"/>
      <w:jc w:val="right"/>
      <w:rPr>
        <w:lang w:val="fr-CH"/>
      </w:rPr>
    </w:pPr>
    <w:r>
      <w:rPr>
        <w:lang w:val="fr-CH"/>
      </w:rPr>
      <w:t>ANNEX 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AF8" w:rsidRPr="00E00CCB" w:rsidRDefault="00943AF8" w:rsidP="008E5544">
    <w:pPr>
      <w:jc w:val="right"/>
      <w:rPr>
        <w:lang w:val="fr-CH"/>
      </w:rPr>
    </w:pPr>
    <w:r w:rsidRPr="00E00CCB">
      <w:rPr>
        <w:lang w:val="fr-CH"/>
      </w:rPr>
      <w:t>PCT/WG/8/</w:t>
    </w:r>
    <w:r>
      <w:rPr>
        <w:lang w:val="fr-CH"/>
      </w:rPr>
      <w:t>15</w:t>
    </w:r>
  </w:p>
  <w:p w:rsidR="00943AF8" w:rsidRPr="00E00CCB" w:rsidRDefault="00943AF8" w:rsidP="008E5544">
    <w:pPr>
      <w:pStyle w:val="Header"/>
      <w:jc w:val="right"/>
      <w:rPr>
        <w:lang w:val="fr-CH"/>
      </w:rPr>
    </w:pPr>
    <w:r w:rsidRPr="00E00CCB">
      <w:rPr>
        <w:lang w:val="fr-CH"/>
      </w:rPr>
      <w:t>Annex I</w:t>
    </w:r>
    <w:r>
      <w:rPr>
        <w:lang w:val="fr-CH"/>
      </w:rPr>
      <w:t>I</w:t>
    </w:r>
    <w:r w:rsidRPr="00E00CCB">
      <w:rPr>
        <w:lang w:val="fr-CH"/>
      </w:rPr>
      <w:t xml:space="preserve">, page </w:t>
    </w:r>
    <w:r>
      <w:fldChar w:fldCharType="begin"/>
    </w:r>
    <w:r w:rsidRPr="00E00CCB">
      <w:rPr>
        <w:lang w:val="fr-CH"/>
      </w:rPr>
      <w:instrText xml:space="preserve"> PAGE   \* MERGEFORMAT </w:instrText>
    </w:r>
    <w:r>
      <w:fldChar w:fldCharType="separate"/>
    </w:r>
    <w:r w:rsidR="008431A0">
      <w:rPr>
        <w:noProof/>
        <w:lang w:val="fr-CH"/>
      </w:rPr>
      <w:t>5</w:t>
    </w:r>
    <w:r>
      <w:rPr>
        <w:noProof/>
      </w:rPr>
      <w:fldChar w:fldCharType="end"/>
    </w:r>
  </w:p>
  <w:p w:rsidR="00943AF8" w:rsidRPr="00E00CCB" w:rsidRDefault="00943AF8" w:rsidP="008E5544">
    <w:pPr>
      <w:pStyle w:val="Header"/>
      <w:jc w:val="right"/>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AF8" w:rsidRDefault="00943AF8" w:rsidP="008E5544">
    <w:pPr>
      <w:jc w:val="right"/>
    </w:pPr>
    <w:r>
      <w:t>PCT/WG/8/15</w:t>
    </w:r>
  </w:p>
  <w:p w:rsidR="00943AF8" w:rsidRDefault="00943AF8" w:rsidP="00C85064">
    <w:pPr>
      <w:pStyle w:val="Header"/>
      <w:jc w:val="right"/>
    </w:pPr>
    <w:r>
      <w:t>ANNEX II</w:t>
    </w:r>
  </w:p>
  <w:p w:rsidR="00943AF8" w:rsidRDefault="00943AF8" w:rsidP="008E5544">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AF8" w:rsidRPr="00E00CCB" w:rsidRDefault="00943AF8" w:rsidP="008E5544">
    <w:pPr>
      <w:jc w:val="right"/>
      <w:rPr>
        <w:lang w:val="fr-CH"/>
      </w:rPr>
    </w:pPr>
    <w:r w:rsidRPr="00E00CCB">
      <w:rPr>
        <w:lang w:val="fr-CH"/>
      </w:rPr>
      <w:t>PCT/WG/8/</w:t>
    </w:r>
    <w:r>
      <w:rPr>
        <w:lang w:val="fr-CH"/>
      </w:rPr>
      <w:t>15</w:t>
    </w:r>
  </w:p>
  <w:p w:rsidR="00943AF8" w:rsidRPr="00E00CCB" w:rsidRDefault="00943AF8" w:rsidP="008E5544">
    <w:pPr>
      <w:pStyle w:val="Header"/>
      <w:jc w:val="right"/>
      <w:rPr>
        <w:lang w:val="fr-CH"/>
      </w:rPr>
    </w:pPr>
    <w:r w:rsidRPr="00E00CCB">
      <w:rPr>
        <w:lang w:val="fr-CH"/>
      </w:rPr>
      <w:t>Annex I</w:t>
    </w:r>
    <w:r>
      <w:rPr>
        <w:lang w:val="fr-CH"/>
      </w:rPr>
      <w:t>II</w:t>
    </w:r>
    <w:r w:rsidRPr="00E00CCB">
      <w:rPr>
        <w:lang w:val="fr-CH"/>
      </w:rPr>
      <w:t xml:space="preserve">, page </w:t>
    </w:r>
    <w:r>
      <w:fldChar w:fldCharType="begin"/>
    </w:r>
    <w:r w:rsidRPr="00E00CCB">
      <w:rPr>
        <w:lang w:val="fr-CH"/>
      </w:rPr>
      <w:instrText xml:space="preserve"> PAGE   \* MERGEFORMAT </w:instrText>
    </w:r>
    <w:r>
      <w:fldChar w:fldCharType="separate"/>
    </w:r>
    <w:r w:rsidR="008431A0">
      <w:rPr>
        <w:noProof/>
        <w:lang w:val="fr-CH"/>
      </w:rPr>
      <w:t>4</w:t>
    </w:r>
    <w:r>
      <w:rPr>
        <w:noProof/>
      </w:rPr>
      <w:fldChar w:fldCharType="end"/>
    </w:r>
  </w:p>
  <w:p w:rsidR="00943AF8" w:rsidRPr="00E00CCB" w:rsidRDefault="00943AF8" w:rsidP="008E5544">
    <w:pPr>
      <w:pStyle w:val="Header"/>
      <w:jc w:val="right"/>
      <w:rPr>
        <w:lang w:val="fr-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AF8" w:rsidRDefault="00943AF8" w:rsidP="008E5544">
    <w:pPr>
      <w:jc w:val="right"/>
    </w:pPr>
    <w:r>
      <w:t>PCT/WG/8/15</w:t>
    </w:r>
  </w:p>
  <w:p w:rsidR="00943AF8" w:rsidRDefault="00943AF8" w:rsidP="00C85064">
    <w:pPr>
      <w:pStyle w:val="Header"/>
      <w:jc w:val="right"/>
    </w:pPr>
    <w:r>
      <w:t>ANNEX III</w:t>
    </w:r>
  </w:p>
  <w:p w:rsidR="00943AF8" w:rsidRDefault="00943AF8" w:rsidP="008E554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0614309"/>
    <w:multiLevelType w:val="hybridMultilevel"/>
    <w:tmpl w:val="D626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313F0"/>
    <w:multiLevelType w:val="hybridMultilevel"/>
    <w:tmpl w:val="8F08B8B6"/>
    <w:lvl w:ilvl="0" w:tplc="B2087C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D29E3"/>
    <w:multiLevelType w:val="multilevel"/>
    <w:tmpl w:val="056A2682"/>
    <w:lvl w:ilvl="0">
      <w:start w:val="1"/>
      <w:numFmt w:val="decimal"/>
      <w:lvlRestart w:val="0"/>
      <w:pStyle w:val="ONUME"/>
      <w:lvlText w:val="%1."/>
      <w:lvlJc w:val="left"/>
      <w:pPr>
        <w:tabs>
          <w:tab w:val="num" w:pos="6237"/>
        </w:tabs>
        <w:ind w:left="5670" w:firstLine="0"/>
      </w:pPr>
      <w:rPr>
        <w:rFonts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E203ED3"/>
    <w:multiLevelType w:val="hybridMultilevel"/>
    <w:tmpl w:val="0100DD74"/>
    <w:lvl w:ilvl="0" w:tplc="636457FE">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0"/>
  </w:num>
  <w:num w:numId="4">
    <w:abstractNumId w:val="7"/>
  </w:num>
  <w:num w:numId="5">
    <w:abstractNumId w:val="3"/>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2"/>
  </w:num>
  <w:num w:numId="11">
    <w:abstractNumId w:val="3"/>
  </w:num>
  <w:num w:numId="12">
    <w:abstractNumId w:val="3"/>
  </w:num>
  <w:num w:numId="13">
    <w:abstractNumId w:val="3"/>
  </w:num>
  <w:num w:numId="14">
    <w:abstractNumId w:val="3"/>
  </w:num>
  <w:num w:numId="15">
    <w:abstractNumId w:val="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9830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B10"/>
    <w:rsid w:val="0001263B"/>
    <w:rsid w:val="00043CAA"/>
    <w:rsid w:val="000440D0"/>
    <w:rsid w:val="00052957"/>
    <w:rsid w:val="000557C6"/>
    <w:rsid w:val="00066336"/>
    <w:rsid w:val="00075432"/>
    <w:rsid w:val="00081FA8"/>
    <w:rsid w:val="00083EDA"/>
    <w:rsid w:val="000855D1"/>
    <w:rsid w:val="00086679"/>
    <w:rsid w:val="000909D1"/>
    <w:rsid w:val="000968ED"/>
    <w:rsid w:val="000A17C1"/>
    <w:rsid w:val="000B368E"/>
    <w:rsid w:val="000B6F40"/>
    <w:rsid w:val="000D58B6"/>
    <w:rsid w:val="000F0CD5"/>
    <w:rsid w:val="000F2961"/>
    <w:rsid w:val="000F5E56"/>
    <w:rsid w:val="000F7267"/>
    <w:rsid w:val="00112D6A"/>
    <w:rsid w:val="0011497C"/>
    <w:rsid w:val="00115887"/>
    <w:rsid w:val="001362EE"/>
    <w:rsid w:val="00143D35"/>
    <w:rsid w:val="00165D04"/>
    <w:rsid w:val="001828F7"/>
    <w:rsid w:val="001832A6"/>
    <w:rsid w:val="00186A81"/>
    <w:rsid w:val="001B5224"/>
    <w:rsid w:val="001F6A26"/>
    <w:rsid w:val="001F7E12"/>
    <w:rsid w:val="002351D7"/>
    <w:rsid w:val="00244F8E"/>
    <w:rsid w:val="00251809"/>
    <w:rsid w:val="002634C4"/>
    <w:rsid w:val="00283329"/>
    <w:rsid w:val="002928D3"/>
    <w:rsid w:val="00295228"/>
    <w:rsid w:val="002964C7"/>
    <w:rsid w:val="002A01F7"/>
    <w:rsid w:val="002D1A98"/>
    <w:rsid w:val="002E2357"/>
    <w:rsid w:val="002E34D7"/>
    <w:rsid w:val="002F0AEF"/>
    <w:rsid w:val="002F1FE6"/>
    <w:rsid w:val="002F4E68"/>
    <w:rsid w:val="00312F7F"/>
    <w:rsid w:val="00322265"/>
    <w:rsid w:val="003237B9"/>
    <w:rsid w:val="003422B4"/>
    <w:rsid w:val="00344160"/>
    <w:rsid w:val="00344F96"/>
    <w:rsid w:val="00351781"/>
    <w:rsid w:val="00361450"/>
    <w:rsid w:val="003673CF"/>
    <w:rsid w:val="0037345C"/>
    <w:rsid w:val="00377FE2"/>
    <w:rsid w:val="003806CB"/>
    <w:rsid w:val="003845C1"/>
    <w:rsid w:val="003856A8"/>
    <w:rsid w:val="003A2A01"/>
    <w:rsid w:val="003A6F89"/>
    <w:rsid w:val="003A786D"/>
    <w:rsid w:val="003B048F"/>
    <w:rsid w:val="003B080F"/>
    <w:rsid w:val="003B38C1"/>
    <w:rsid w:val="003B7426"/>
    <w:rsid w:val="003E06BC"/>
    <w:rsid w:val="003E4A6C"/>
    <w:rsid w:val="00413D1D"/>
    <w:rsid w:val="0042379F"/>
    <w:rsid w:val="00423E3E"/>
    <w:rsid w:val="00424263"/>
    <w:rsid w:val="00427AF4"/>
    <w:rsid w:val="004526C3"/>
    <w:rsid w:val="004531AF"/>
    <w:rsid w:val="004647DA"/>
    <w:rsid w:val="00474062"/>
    <w:rsid w:val="00477D6B"/>
    <w:rsid w:val="0048264C"/>
    <w:rsid w:val="004A46E3"/>
    <w:rsid w:val="004B0CE7"/>
    <w:rsid w:val="004F594D"/>
    <w:rsid w:val="005019FF"/>
    <w:rsid w:val="00514E20"/>
    <w:rsid w:val="005167E4"/>
    <w:rsid w:val="00517D5F"/>
    <w:rsid w:val="0053057A"/>
    <w:rsid w:val="00533BD9"/>
    <w:rsid w:val="00537915"/>
    <w:rsid w:val="0055766D"/>
    <w:rsid w:val="00560A29"/>
    <w:rsid w:val="005613A5"/>
    <w:rsid w:val="005723A2"/>
    <w:rsid w:val="00591A28"/>
    <w:rsid w:val="0059796F"/>
    <w:rsid w:val="005A0207"/>
    <w:rsid w:val="005A182A"/>
    <w:rsid w:val="005B5B4C"/>
    <w:rsid w:val="005B5F52"/>
    <w:rsid w:val="005B6D04"/>
    <w:rsid w:val="005C6649"/>
    <w:rsid w:val="005F057C"/>
    <w:rsid w:val="00605827"/>
    <w:rsid w:val="0063178F"/>
    <w:rsid w:val="00646050"/>
    <w:rsid w:val="00660832"/>
    <w:rsid w:val="006713CA"/>
    <w:rsid w:val="00676C5C"/>
    <w:rsid w:val="00684874"/>
    <w:rsid w:val="006D2887"/>
    <w:rsid w:val="006D5325"/>
    <w:rsid w:val="006E2CBC"/>
    <w:rsid w:val="006F3331"/>
    <w:rsid w:val="00722B89"/>
    <w:rsid w:val="0074252F"/>
    <w:rsid w:val="00743CA0"/>
    <w:rsid w:val="00744B77"/>
    <w:rsid w:val="00762ADA"/>
    <w:rsid w:val="00763369"/>
    <w:rsid w:val="00770CEC"/>
    <w:rsid w:val="007B0DE1"/>
    <w:rsid w:val="007B5EFB"/>
    <w:rsid w:val="007C1325"/>
    <w:rsid w:val="007D0757"/>
    <w:rsid w:val="007D1613"/>
    <w:rsid w:val="007E09AB"/>
    <w:rsid w:val="007F0430"/>
    <w:rsid w:val="007F3FD7"/>
    <w:rsid w:val="007F544D"/>
    <w:rsid w:val="00810906"/>
    <w:rsid w:val="00813807"/>
    <w:rsid w:val="008176EE"/>
    <w:rsid w:val="0083181E"/>
    <w:rsid w:val="00842406"/>
    <w:rsid w:val="008431A0"/>
    <w:rsid w:val="00844B05"/>
    <w:rsid w:val="00854261"/>
    <w:rsid w:val="0085474A"/>
    <w:rsid w:val="00860051"/>
    <w:rsid w:val="00860E8E"/>
    <w:rsid w:val="00873EB4"/>
    <w:rsid w:val="0088049A"/>
    <w:rsid w:val="00891B9C"/>
    <w:rsid w:val="008A496F"/>
    <w:rsid w:val="008B08E5"/>
    <w:rsid w:val="008B2CC1"/>
    <w:rsid w:val="008B60B2"/>
    <w:rsid w:val="008C033B"/>
    <w:rsid w:val="008C774D"/>
    <w:rsid w:val="008D006C"/>
    <w:rsid w:val="008D7499"/>
    <w:rsid w:val="008D7B3F"/>
    <w:rsid w:val="008E5544"/>
    <w:rsid w:val="008F647B"/>
    <w:rsid w:val="009005C3"/>
    <w:rsid w:val="00902B10"/>
    <w:rsid w:val="0090527E"/>
    <w:rsid w:val="0090731E"/>
    <w:rsid w:val="00910B50"/>
    <w:rsid w:val="00916EE2"/>
    <w:rsid w:val="00934A45"/>
    <w:rsid w:val="00937C70"/>
    <w:rsid w:val="00943AF8"/>
    <w:rsid w:val="009452A6"/>
    <w:rsid w:val="00952FCC"/>
    <w:rsid w:val="00961C3A"/>
    <w:rsid w:val="00966A22"/>
    <w:rsid w:val="0096722F"/>
    <w:rsid w:val="00967C5B"/>
    <w:rsid w:val="009715E3"/>
    <w:rsid w:val="0097369F"/>
    <w:rsid w:val="00980843"/>
    <w:rsid w:val="009A2CF0"/>
    <w:rsid w:val="009B0815"/>
    <w:rsid w:val="009D1450"/>
    <w:rsid w:val="009E2791"/>
    <w:rsid w:val="009E3F6F"/>
    <w:rsid w:val="009F465E"/>
    <w:rsid w:val="009F499F"/>
    <w:rsid w:val="00A017A4"/>
    <w:rsid w:val="00A1006D"/>
    <w:rsid w:val="00A42DAF"/>
    <w:rsid w:val="00A44FDD"/>
    <w:rsid w:val="00A45BD8"/>
    <w:rsid w:val="00A54177"/>
    <w:rsid w:val="00A678B2"/>
    <w:rsid w:val="00A7162D"/>
    <w:rsid w:val="00A869B7"/>
    <w:rsid w:val="00A8714C"/>
    <w:rsid w:val="00A926A1"/>
    <w:rsid w:val="00AB122D"/>
    <w:rsid w:val="00AB517A"/>
    <w:rsid w:val="00AC205C"/>
    <w:rsid w:val="00AC2972"/>
    <w:rsid w:val="00AC7D6D"/>
    <w:rsid w:val="00AE02B6"/>
    <w:rsid w:val="00AE1969"/>
    <w:rsid w:val="00AF0A6B"/>
    <w:rsid w:val="00AF459B"/>
    <w:rsid w:val="00AF4B77"/>
    <w:rsid w:val="00AF7FDC"/>
    <w:rsid w:val="00B05A69"/>
    <w:rsid w:val="00B2193F"/>
    <w:rsid w:val="00B2204B"/>
    <w:rsid w:val="00B324E6"/>
    <w:rsid w:val="00B63CCC"/>
    <w:rsid w:val="00B81C2B"/>
    <w:rsid w:val="00B9734B"/>
    <w:rsid w:val="00BA224C"/>
    <w:rsid w:val="00BA59E4"/>
    <w:rsid w:val="00BB41F2"/>
    <w:rsid w:val="00BC35D0"/>
    <w:rsid w:val="00BF63CB"/>
    <w:rsid w:val="00C11BFE"/>
    <w:rsid w:val="00C24FB5"/>
    <w:rsid w:val="00C26178"/>
    <w:rsid w:val="00C27CDD"/>
    <w:rsid w:val="00C54AEC"/>
    <w:rsid w:val="00C60782"/>
    <w:rsid w:val="00C71A44"/>
    <w:rsid w:val="00C8134D"/>
    <w:rsid w:val="00C82B86"/>
    <w:rsid w:val="00C849E5"/>
    <w:rsid w:val="00C85064"/>
    <w:rsid w:val="00C85EDF"/>
    <w:rsid w:val="00C94B3B"/>
    <w:rsid w:val="00CA0E75"/>
    <w:rsid w:val="00CA3B5A"/>
    <w:rsid w:val="00CA552D"/>
    <w:rsid w:val="00CB48BB"/>
    <w:rsid w:val="00CB6A81"/>
    <w:rsid w:val="00CC2C82"/>
    <w:rsid w:val="00CC3269"/>
    <w:rsid w:val="00CC626A"/>
    <w:rsid w:val="00CD5785"/>
    <w:rsid w:val="00CE6DD6"/>
    <w:rsid w:val="00CF777D"/>
    <w:rsid w:val="00D01ABF"/>
    <w:rsid w:val="00D07757"/>
    <w:rsid w:val="00D303C5"/>
    <w:rsid w:val="00D45252"/>
    <w:rsid w:val="00D52791"/>
    <w:rsid w:val="00D71B4D"/>
    <w:rsid w:val="00D831D1"/>
    <w:rsid w:val="00D93D55"/>
    <w:rsid w:val="00DB5A07"/>
    <w:rsid w:val="00DB7233"/>
    <w:rsid w:val="00DC097F"/>
    <w:rsid w:val="00DC63E5"/>
    <w:rsid w:val="00DD7D41"/>
    <w:rsid w:val="00DF23FE"/>
    <w:rsid w:val="00E00CCB"/>
    <w:rsid w:val="00E17BE1"/>
    <w:rsid w:val="00E2766F"/>
    <w:rsid w:val="00E32CA7"/>
    <w:rsid w:val="00E335FE"/>
    <w:rsid w:val="00E37677"/>
    <w:rsid w:val="00E40391"/>
    <w:rsid w:val="00E40B02"/>
    <w:rsid w:val="00E61979"/>
    <w:rsid w:val="00E6688D"/>
    <w:rsid w:val="00E80428"/>
    <w:rsid w:val="00EB35C3"/>
    <w:rsid w:val="00EB416A"/>
    <w:rsid w:val="00EC38D0"/>
    <w:rsid w:val="00EC4340"/>
    <w:rsid w:val="00EC4E49"/>
    <w:rsid w:val="00EC51CC"/>
    <w:rsid w:val="00ED09CE"/>
    <w:rsid w:val="00ED0EF1"/>
    <w:rsid w:val="00ED577C"/>
    <w:rsid w:val="00ED77FB"/>
    <w:rsid w:val="00EE45FA"/>
    <w:rsid w:val="00EE4FE9"/>
    <w:rsid w:val="00EE5C75"/>
    <w:rsid w:val="00EE6A7B"/>
    <w:rsid w:val="00EF1D94"/>
    <w:rsid w:val="00F2288C"/>
    <w:rsid w:val="00F41F91"/>
    <w:rsid w:val="00F52F56"/>
    <w:rsid w:val="00F5463E"/>
    <w:rsid w:val="00F65289"/>
    <w:rsid w:val="00F66152"/>
    <w:rsid w:val="00F8321A"/>
    <w:rsid w:val="00F9679D"/>
    <w:rsid w:val="00FB6F28"/>
    <w:rsid w:val="00FC5B79"/>
    <w:rsid w:val="00FD759A"/>
    <w:rsid w:val="00FE2BCD"/>
    <w:rsid w:val="00FF47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tabs>
        <w:tab w:val="clear" w:pos="6237"/>
        <w:tab w:val="num" w:pos="567"/>
      </w:tabs>
      <w:ind w:left="0"/>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Heading1Char">
    <w:name w:val="Heading 1 Char"/>
    <w:basedOn w:val="DefaultParagraphFont"/>
    <w:link w:val="Heading1"/>
    <w:rsid w:val="00C85064"/>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C85064"/>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C85064"/>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C85064"/>
    <w:rPr>
      <w:rFonts w:ascii="Arial" w:eastAsia="SimSun" w:hAnsi="Arial" w:cs="Arial"/>
      <w:bCs/>
      <w:i/>
      <w:sz w:val="22"/>
      <w:szCs w:val="28"/>
      <w:lang w:eastAsia="zh-CN"/>
    </w:rPr>
  </w:style>
  <w:style w:type="character" w:customStyle="1" w:styleId="FooterChar">
    <w:name w:val="Footer Char"/>
    <w:basedOn w:val="DefaultParagraphFont"/>
    <w:link w:val="Footer"/>
    <w:semiHidden/>
    <w:rsid w:val="00C85064"/>
    <w:rPr>
      <w:rFonts w:ascii="Arial" w:eastAsia="SimSun" w:hAnsi="Arial" w:cs="Arial"/>
      <w:sz w:val="22"/>
      <w:lang w:eastAsia="zh-CN"/>
    </w:rPr>
  </w:style>
  <w:style w:type="character" w:customStyle="1" w:styleId="FootnoteTextChar">
    <w:name w:val="Footnote Text Char"/>
    <w:basedOn w:val="DefaultParagraphFont"/>
    <w:link w:val="FootnoteText"/>
    <w:uiPriority w:val="99"/>
    <w:semiHidden/>
    <w:rsid w:val="00C85064"/>
    <w:rPr>
      <w:rFonts w:ascii="Arial" w:eastAsia="SimSun" w:hAnsi="Arial" w:cs="Arial"/>
      <w:sz w:val="18"/>
      <w:lang w:eastAsia="zh-CN"/>
    </w:rPr>
  </w:style>
  <w:style w:type="character" w:customStyle="1" w:styleId="HeaderChar">
    <w:name w:val="Header Char"/>
    <w:basedOn w:val="DefaultParagraphFont"/>
    <w:link w:val="Header"/>
    <w:locked/>
    <w:rsid w:val="00C85064"/>
    <w:rPr>
      <w:rFonts w:ascii="Arial" w:eastAsia="SimSun" w:hAnsi="Arial" w:cs="Arial"/>
      <w:sz w:val="22"/>
      <w:lang w:eastAsia="zh-CN"/>
    </w:rPr>
  </w:style>
  <w:style w:type="character" w:customStyle="1" w:styleId="ONUMEChar">
    <w:name w:val="ONUM E Char"/>
    <w:link w:val="ONUME"/>
    <w:uiPriority w:val="99"/>
    <w:locked/>
    <w:rsid w:val="00C85064"/>
    <w:rPr>
      <w:rFonts w:ascii="Arial" w:eastAsia="SimSun" w:hAnsi="Arial" w:cs="Arial"/>
      <w:sz w:val="22"/>
      <w:lang w:eastAsia="zh-CN"/>
    </w:rPr>
  </w:style>
  <w:style w:type="paragraph" w:customStyle="1" w:styleId="RComment">
    <w:name w:val="RComment"/>
    <w:basedOn w:val="Normal"/>
    <w:next w:val="Normal"/>
    <w:rsid w:val="00C85064"/>
    <w:pPr>
      <w:tabs>
        <w:tab w:val="left" w:pos="567"/>
      </w:tabs>
      <w:spacing w:after="600"/>
    </w:pPr>
    <w:rPr>
      <w:rFonts w:eastAsia="Times New Roman"/>
      <w:szCs w:val="22"/>
      <w:lang w:eastAsia="en-US"/>
    </w:rPr>
  </w:style>
  <w:style w:type="character" w:customStyle="1" w:styleId="RDeletedText">
    <w:name w:val="RDeletedText"/>
    <w:basedOn w:val="DefaultParagraphFont"/>
    <w:rsid w:val="00C85064"/>
    <w:rPr>
      <w:strike/>
      <w:color w:val="FF0000"/>
    </w:rPr>
  </w:style>
  <w:style w:type="character" w:customStyle="1" w:styleId="RInsertedText">
    <w:name w:val="RInsertedText"/>
    <w:basedOn w:val="DefaultParagraphFont"/>
    <w:rsid w:val="00C85064"/>
    <w:rPr>
      <w:color w:val="0000FF"/>
      <w:u w:val="single"/>
    </w:rPr>
  </w:style>
  <w:style w:type="paragraph" w:customStyle="1" w:styleId="RPara">
    <w:name w:val="RPar(a)"/>
    <w:basedOn w:val="Normal"/>
    <w:link w:val="RParaChar"/>
    <w:rsid w:val="00C85064"/>
    <w:pPr>
      <w:tabs>
        <w:tab w:val="left" w:pos="567"/>
      </w:tabs>
      <w:spacing w:after="360" w:line="480" w:lineRule="auto"/>
    </w:pPr>
    <w:rPr>
      <w:rFonts w:eastAsia="Times New Roman"/>
      <w:szCs w:val="22"/>
      <w:lang w:eastAsia="en-US"/>
    </w:rPr>
  </w:style>
  <w:style w:type="character" w:customStyle="1" w:styleId="RParaChar">
    <w:name w:val="RPar(a) Char"/>
    <w:basedOn w:val="DefaultParagraphFont"/>
    <w:link w:val="RPara"/>
    <w:rsid w:val="00C85064"/>
    <w:rPr>
      <w:rFonts w:ascii="Arial" w:hAnsi="Arial" w:cs="Arial"/>
      <w:sz w:val="22"/>
      <w:szCs w:val="22"/>
    </w:rPr>
  </w:style>
  <w:style w:type="paragraph" w:customStyle="1" w:styleId="RPari">
    <w:name w:val="RPar(i)"/>
    <w:basedOn w:val="Normal"/>
    <w:link w:val="RPariChar"/>
    <w:rsid w:val="00C85064"/>
    <w:pPr>
      <w:tabs>
        <w:tab w:val="right" w:pos="1276"/>
        <w:tab w:val="left" w:pos="1418"/>
      </w:tabs>
      <w:spacing w:after="360" w:line="480" w:lineRule="auto"/>
    </w:pPr>
    <w:rPr>
      <w:rFonts w:eastAsia="Times New Roman"/>
      <w:szCs w:val="22"/>
      <w:lang w:eastAsia="en-US"/>
    </w:rPr>
  </w:style>
  <w:style w:type="character" w:customStyle="1" w:styleId="RPariChar">
    <w:name w:val="RPar(i) Char"/>
    <w:basedOn w:val="DefaultParagraphFont"/>
    <w:link w:val="RPari"/>
    <w:rsid w:val="00C85064"/>
    <w:rPr>
      <w:rFonts w:ascii="Arial" w:hAnsi="Arial" w:cs="Arial"/>
      <w:sz w:val="22"/>
      <w:szCs w:val="22"/>
    </w:rPr>
  </w:style>
  <w:style w:type="paragraph" w:customStyle="1" w:styleId="RTitleMain">
    <w:name w:val="RTitle(Main)"/>
    <w:basedOn w:val="Normal"/>
    <w:next w:val="RPara"/>
    <w:rsid w:val="00C85064"/>
    <w:pPr>
      <w:keepNext/>
      <w:pageBreakBefore/>
      <w:tabs>
        <w:tab w:val="left" w:pos="57"/>
      </w:tabs>
      <w:spacing w:after="360" w:line="480" w:lineRule="auto"/>
      <w:jc w:val="center"/>
    </w:pPr>
    <w:rPr>
      <w:rFonts w:eastAsia="Times New Roman"/>
      <w:b/>
      <w:szCs w:val="22"/>
      <w:lang w:eastAsia="en-US"/>
    </w:rPr>
  </w:style>
  <w:style w:type="paragraph" w:customStyle="1" w:styleId="RTitleSub">
    <w:name w:val="RTitle(Sub)"/>
    <w:basedOn w:val="Normal"/>
    <w:next w:val="RPara"/>
    <w:rsid w:val="00C85064"/>
    <w:pPr>
      <w:keepNext/>
      <w:tabs>
        <w:tab w:val="left" w:pos="567"/>
      </w:tabs>
      <w:spacing w:after="360" w:line="480" w:lineRule="auto"/>
    </w:pPr>
    <w:rPr>
      <w:rFonts w:eastAsia="Times New Roman"/>
      <w:i/>
      <w:szCs w:val="22"/>
      <w:lang w:eastAsia="en-US"/>
    </w:rPr>
  </w:style>
  <w:style w:type="paragraph" w:customStyle="1" w:styleId="DateSignatureAligned">
    <w:name w:val="Date / Signature Aligned"/>
    <w:basedOn w:val="Normal"/>
    <w:uiPriority w:val="99"/>
    <w:rsid w:val="00C85064"/>
    <w:pPr>
      <w:ind w:left="5250"/>
    </w:pPr>
  </w:style>
  <w:style w:type="character" w:styleId="Hyperlink">
    <w:name w:val="Hyperlink"/>
    <w:basedOn w:val="DefaultParagraphFont"/>
    <w:unhideWhenUsed/>
    <w:rsid w:val="00C85064"/>
    <w:rPr>
      <w:strike w:val="0"/>
      <w:dstrike w:val="0"/>
      <w:color w:val="auto"/>
      <w:u w:val="none"/>
      <w:effect w:val="none"/>
    </w:rPr>
  </w:style>
  <w:style w:type="character" w:styleId="FootnoteReference">
    <w:name w:val="footnote reference"/>
    <w:basedOn w:val="DefaultParagraphFont"/>
    <w:unhideWhenUsed/>
    <w:rsid w:val="00C85064"/>
    <w:rPr>
      <w:vertAlign w:val="superscript"/>
    </w:rPr>
  </w:style>
  <w:style w:type="character" w:customStyle="1" w:styleId="st">
    <w:name w:val="st"/>
    <w:basedOn w:val="DefaultParagraphFont"/>
    <w:uiPriority w:val="99"/>
    <w:rsid w:val="00C85064"/>
    <w:rPr>
      <w:rFonts w:cs="Times New Roman"/>
    </w:rPr>
  </w:style>
  <w:style w:type="paragraph" w:styleId="ListParagraph">
    <w:name w:val="List Paragraph"/>
    <w:basedOn w:val="Normal"/>
    <w:uiPriority w:val="34"/>
    <w:qFormat/>
    <w:rsid w:val="00C85064"/>
    <w:pPr>
      <w:ind w:left="720"/>
      <w:contextualSpacing/>
    </w:pPr>
  </w:style>
  <w:style w:type="table" w:styleId="TableGrid">
    <w:name w:val="Table Grid"/>
    <w:basedOn w:val="TableNormal"/>
    <w:rsid w:val="00CD5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B5224"/>
    <w:rPr>
      <w:sz w:val="16"/>
      <w:szCs w:val="16"/>
    </w:rPr>
  </w:style>
  <w:style w:type="paragraph" w:styleId="CommentSubject">
    <w:name w:val="annotation subject"/>
    <w:basedOn w:val="CommentText"/>
    <w:next w:val="CommentText"/>
    <w:link w:val="CommentSubjectChar"/>
    <w:rsid w:val="001B5224"/>
    <w:rPr>
      <w:b/>
      <w:bCs/>
      <w:sz w:val="20"/>
    </w:rPr>
  </w:style>
  <w:style w:type="character" w:customStyle="1" w:styleId="CommentTextChar">
    <w:name w:val="Comment Text Char"/>
    <w:basedOn w:val="DefaultParagraphFont"/>
    <w:link w:val="CommentText"/>
    <w:semiHidden/>
    <w:rsid w:val="001B5224"/>
    <w:rPr>
      <w:rFonts w:ascii="Arial" w:eastAsia="SimSun" w:hAnsi="Arial" w:cs="Arial"/>
      <w:sz w:val="18"/>
      <w:lang w:eastAsia="zh-CN"/>
    </w:rPr>
  </w:style>
  <w:style w:type="character" w:customStyle="1" w:styleId="CommentSubjectChar">
    <w:name w:val="Comment Subject Char"/>
    <w:basedOn w:val="CommentTextChar"/>
    <w:link w:val="CommentSubject"/>
    <w:rsid w:val="001B5224"/>
    <w:rPr>
      <w:rFonts w:ascii="Arial" w:eastAsia="SimSun" w:hAnsi="Arial" w:cs="Arial"/>
      <w:b/>
      <w:bCs/>
      <w:sz w:val="18"/>
      <w:lang w:eastAsia="zh-CN"/>
    </w:rPr>
  </w:style>
  <w:style w:type="paragraph" w:styleId="Revision">
    <w:name w:val="Revision"/>
    <w:hidden/>
    <w:uiPriority w:val="99"/>
    <w:semiHidden/>
    <w:rsid w:val="001B5224"/>
    <w:rPr>
      <w:rFonts w:ascii="Arial" w:eastAsia="SimSun" w:hAnsi="Arial" w:cs="Arial"/>
      <w:sz w:val="22"/>
      <w:lang w:eastAsia="zh-CN"/>
    </w:rPr>
  </w:style>
  <w:style w:type="paragraph" w:styleId="BalloonText">
    <w:name w:val="Balloon Text"/>
    <w:basedOn w:val="Normal"/>
    <w:link w:val="BalloonTextChar"/>
    <w:rsid w:val="001B5224"/>
    <w:rPr>
      <w:rFonts w:ascii="Tahoma" w:hAnsi="Tahoma" w:cs="Tahoma"/>
      <w:sz w:val="16"/>
      <w:szCs w:val="16"/>
    </w:rPr>
  </w:style>
  <w:style w:type="character" w:customStyle="1" w:styleId="BalloonTextChar">
    <w:name w:val="Balloon Text Char"/>
    <w:basedOn w:val="DefaultParagraphFont"/>
    <w:link w:val="BalloonText"/>
    <w:rsid w:val="001B5224"/>
    <w:rPr>
      <w:rFonts w:ascii="Tahoma" w:eastAsia="SimSu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tabs>
        <w:tab w:val="clear" w:pos="6237"/>
        <w:tab w:val="num" w:pos="567"/>
      </w:tabs>
      <w:ind w:left="0"/>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Heading1Char">
    <w:name w:val="Heading 1 Char"/>
    <w:basedOn w:val="DefaultParagraphFont"/>
    <w:link w:val="Heading1"/>
    <w:rsid w:val="00C85064"/>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C85064"/>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C85064"/>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C85064"/>
    <w:rPr>
      <w:rFonts w:ascii="Arial" w:eastAsia="SimSun" w:hAnsi="Arial" w:cs="Arial"/>
      <w:bCs/>
      <w:i/>
      <w:sz w:val="22"/>
      <w:szCs w:val="28"/>
      <w:lang w:eastAsia="zh-CN"/>
    </w:rPr>
  </w:style>
  <w:style w:type="character" w:customStyle="1" w:styleId="FooterChar">
    <w:name w:val="Footer Char"/>
    <w:basedOn w:val="DefaultParagraphFont"/>
    <w:link w:val="Footer"/>
    <w:semiHidden/>
    <w:rsid w:val="00C85064"/>
    <w:rPr>
      <w:rFonts w:ascii="Arial" w:eastAsia="SimSun" w:hAnsi="Arial" w:cs="Arial"/>
      <w:sz w:val="22"/>
      <w:lang w:eastAsia="zh-CN"/>
    </w:rPr>
  </w:style>
  <w:style w:type="character" w:customStyle="1" w:styleId="FootnoteTextChar">
    <w:name w:val="Footnote Text Char"/>
    <w:basedOn w:val="DefaultParagraphFont"/>
    <w:link w:val="FootnoteText"/>
    <w:uiPriority w:val="99"/>
    <w:semiHidden/>
    <w:rsid w:val="00C85064"/>
    <w:rPr>
      <w:rFonts w:ascii="Arial" w:eastAsia="SimSun" w:hAnsi="Arial" w:cs="Arial"/>
      <w:sz w:val="18"/>
      <w:lang w:eastAsia="zh-CN"/>
    </w:rPr>
  </w:style>
  <w:style w:type="character" w:customStyle="1" w:styleId="HeaderChar">
    <w:name w:val="Header Char"/>
    <w:basedOn w:val="DefaultParagraphFont"/>
    <w:link w:val="Header"/>
    <w:locked/>
    <w:rsid w:val="00C85064"/>
    <w:rPr>
      <w:rFonts w:ascii="Arial" w:eastAsia="SimSun" w:hAnsi="Arial" w:cs="Arial"/>
      <w:sz w:val="22"/>
      <w:lang w:eastAsia="zh-CN"/>
    </w:rPr>
  </w:style>
  <w:style w:type="character" w:customStyle="1" w:styleId="ONUMEChar">
    <w:name w:val="ONUM E Char"/>
    <w:link w:val="ONUME"/>
    <w:uiPriority w:val="99"/>
    <w:locked/>
    <w:rsid w:val="00C85064"/>
    <w:rPr>
      <w:rFonts w:ascii="Arial" w:eastAsia="SimSun" w:hAnsi="Arial" w:cs="Arial"/>
      <w:sz w:val="22"/>
      <w:lang w:eastAsia="zh-CN"/>
    </w:rPr>
  </w:style>
  <w:style w:type="paragraph" w:customStyle="1" w:styleId="RComment">
    <w:name w:val="RComment"/>
    <w:basedOn w:val="Normal"/>
    <w:next w:val="Normal"/>
    <w:rsid w:val="00C85064"/>
    <w:pPr>
      <w:tabs>
        <w:tab w:val="left" w:pos="567"/>
      </w:tabs>
      <w:spacing w:after="600"/>
    </w:pPr>
    <w:rPr>
      <w:rFonts w:eastAsia="Times New Roman"/>
      <w:szCs w:val="22"/>
      <w:lang w:eastAsia="en-US"/>
    </w:rPr>
  </w:style>
  <w:style w:type="character" w:customStyle="1" w:styleId="RDeletedText">
    <w:name w:val="RDeletedText"/>
    <w:basedOn w:val="DefaultParagraphFont"/>
    <w:rsid w:val="00C85064"/>
    <w:rPr>
      <w:strike/>
      <w:color w:val="FF0000"/>
    </w:rPr>
  </w:style>
  <w:style w:type="character" w:customStyle="1" w:styleId="RInsertedText">
    <w:name w:val="RInsertedText"/>
    <w:basedOn w:val="DefaultParagraphFont"/>
    <w:rsid w:val="00C85064"/>
    <w:rPr>
      <w:color w:val="0000FF"/>
      <w:u w:val="single"/>
    </w:rPr>
  </w:style>
  <w:style w:type="paragraph" w:customStyle="1" w:styleId="RPara">
    <w:name w:val="RPar(a)"/>
    <w:basedOn w:val="Normal"/>
    <w:link w:val="RParaChar"/>
    <w:rsid w:val="00C85064"/>
    <w:pPr>
      <w:tabs>
        <w:tab w:val="left" w:pos="567"/>
      </w:tabs>
      <w:spacing w:after="360" w:line="480" w:lineRule="auto"/>
    </w:pPr>
    <w:rPr>
      <w:rFonts w:eastAsia="Times New Roman"/>
      <w:szCs w:val="22"/>
      <w:lang w:eastAsia="en-US"/>
    </w:rPr>
  </w:style>
  <w:style w:type="character" w:customStyle="1" w:styleId="RParaChar">
    <w:name w:val="RPar(a) Char"/>
    <w:basedOn w:val="DefaultParagraphFont"/>
    <w:link w:val="RPara"/>
    <w:rsid w:val="00C85064"/>
    <w:rPr>
      <w:rFonts w:ascii="Arial" w:hAnsi="Arial" w:cs="Arial"/>
      <w:sz w:val="22"/>
      <w:szCs w:val="22"/>
    </w:rPr>
  </w:style>
  <w:style w:type="paragraph" w:customStyle="1" w:styleId="RPari">
    <w:name w:val="RPar(i)"/>
    <w:basedOn w:val="Normal"/>
    <w:link w:val="RPariChar"/>
    <w:rsid w:val="00C85064"/>
    <w:pPr>
      <w:tabs>
        <w:tab w:val="right" w:pos="1276"/>
        <w:tab w:val="left" w:pos="1418"/>
      </w:tabs>
      <w:spacing w:after="360" w:line="480" w:lineRule="auto"/>
    </w:pPr>
    <w:rPr>
      <w:rFonts w:eastAsia="Times New Roman"/>
      <w:szCs w:val="22"/>
      <w:lang w:eastAsia="en-US"/>
    </w:rPr>
  </w:style>
  <w:style w:type="character" w:customStyle="1" w:styleId="RPariChar">
    <w:name w:val="RPar(i) Char"/>
    <w:basedOn w:val="DefaultParagraphFont"/>
    <w:link w:val="RPari"/>
    <w:rsid w:val="00C85064"/>
    <w:rPr>
      <w:rFonts w:ascii="Arial" w:hAnsi="Arial" w:cs="Arial"/>
      <w:sz w:val="22"/>
      <w:szCs w:val="22"/>
    </w:rPr>
  </w:style>
  <w:style w:type="paragraph" w:customStyle="1" w:styleId="RTitleMain">
    <w:name w:val="RTitle(Main)"/>
    <w:basedOn w:val="Normal"/>
    <w:next w:val="RPara"/>
    <w:rsid w:val="00C85064"/>
    <w:pPr>
      <w:keepNext/>
      <w:pageBreakBefore/>
      <w:tabs>
        <w:tab w:val="left" w:pos="57"/>
      </w:tabs>
      <w:spacing w:after="360" w:line="480" w:lineRule="auto"/>
      <w:jc w:val="center"/>
    </w:pPr>
    <w:rPr>
      <w:rFonts w:eastAsia="Times New Roman"/>
      <w:b/>
      <w:szCs w:val="22"/>
      <w:lang w:eastAsia="en-US"/>
    </w:rPr>
  </w:style>
  <w:style w:type="paragraph" w:customStyle="1" w:styleId="RTitleSub">
    <w:name w:val="RTitle(Sub)"/>
    <w:basedOn w:val="Normal"/>
    <w:next w:val="RPara"/>
    <w:rsid w:val="00C85064"/>
    <w:pPr>
      <w:keepNext/>
      <w:tabs>
        <w:tab w:val="left" w:pos="567"/>
      </w:tabs>
      <w:spacing w:after="360" w:line="480" w:lineRule="auto"/>
    </w:pPr>
    <w:rPr>
      <w:rFonts w:eastAsia="Times New Roman"/>
      <w:i/>
      <w:szCs w:val="22"/>
      <w:lang w:eastAsia="en-US"/>
    </w:rPr>
  </w:style>
  <w:style w:type="paragraph" w:customStyle="1" w:styleId="DateSignatureAligned">
    <w:name w:val="Date / Signature Aligned"/>
    <w:basedOn w:val="Normal"/>
    <w:uiPriority w:val="99"/>
    <w:rsid w:val="00C85064"/>
    <w:pPr>
      <w:ind w:left="5250"/>
    </w:pPr>
  </w:style>
  <w:style w:type="character" w:styleId="Hyperlink">
    <w:name w:val="Hyperlink"/>
    <w:basedOn w:val="DefaultParagraphFont"/>
    <w:unhideWhenUsed/>
    <w:rsid w:val="00C85064"/>
    <w:rPr>
      <w:strike w:val="0"/>
      <w:dstrike w:val="0"/>
      <w:color w:val="auto"/>
      <w:u w:val="none"/>
      <w:effect w:val="none"/>
    </w:rPr>
  </w:style>
  <w:style w:type="character" w:styleId="FootnoteReference">
    <w:name w:val="footnote reference"/>
    <w:basedOn w:val="DefaultParagraphFont"/>
    <w:unhideWhenUsed/>
    <w:rsid w:val="00C85064"/>
    <w:rPr>
      <w:vertAlign w:val="superscript"/>
    </w:rPr>
  </w:style>
  <w:style w:type="character" w:customStyle="1" w:styleId="st">
    <w:name w:val="st"/>
    <w:basedOn w:val="DefaultParagraphFont"/>
    <w:uiPriority w:val="99"/>
    <w:rsid w:val="00C85064"/>
    <w:rPr>
      <w:rFonts w:cs="Times New Roman"/>
    </w:rPr>
  </w:style>
  <w:style w:type="paragraph" w:styleId="ListParagraph">
    <w:name w:val="List Paragraph"/>
    <w:basedOn w:val="Normal"/>
    <w:uiPriority w:val="34"/>
    <w:qFormat/>
    <w:rsid w:val="00C85064"/>
    <w:pPr>
      <w:ind w:left="720"/>
      <w:contextualSpacing/>
    </w:pPr>
  </w:style>
  <w:style w:type="table" w:styleId="TableGrid">
    <w:name w:val="Table Grid"/>
    <w:basedOn w:val="TableNormal"/>
    <w:rsid w:val="00CD5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B5224"/>
    <w:rPr>
      <w:sz w:val="16"/>
      <w:szCs w:val="16"/>
    </w:rPr>
  </w:style>
  <w:style w:type="paragraph" w:styleId="CommentSubject">
    <w:name w:val="annotation subject"/>
    <w:basedOn w:val="CommentText"/>
    <w:next w:val="CommentText"/>
    <w:link w:val="CommentSubjectChar"/>
    <w:rsid w:val="001B5224"/>
    <w:rPr>
      <w:b/>
      <w:bCs/>
      <w:sz w:val="20"/>
    </w:rPr>
  </w:style>
  <w:style w:type="character" w:customStyle="1" w:styleId="CommentTextChar">
    <w:name w:val="Comment Text Char"/>
    <w:basedOn w:val="DefaultParagraphFont"/>
    <w:link w:val="CommentText"/>
    <w:semiHidden/>
    <w:rsid w:val="001B5224"/>
    <w:rPr>
      <w:rFonts w:ascii="Arial" w:eastAsia="SimSun" w:hAnsi="Arial" w:cs="Arial"/>
      <w:sz w:val="18"/>
      <w:lang w:eastAsia="zh-CN"/>
    </w:rPr>
  </w:style>
  <w:style w:type="character" w:customStyle="1" w:styleId="CommentSubjectChar">
    <w:name w:val="Comment Subject Char"/>
    <w:basedOn w:val="CommentTextChar"/>
    <w:link w:val="CommentSubject"/>
    <w:rsid w:val="001B5224"/>
    <w:rPr>
      <w:rFonts w:ascii="Arial" w:eastAsia="SimSun" w:hAnsi="Arial" w:cs="Arial"/>
      <w:b/>
      <w:bCs/>
      <w:sz w:val="18"/>
      <w:lang w:eastAsia="zh-CN"/>
    </w:rPr>
  </w:style>
  <w:style w:type="paragraph" w:styleId="Revision">
    <w:name w:val="Revision"/>
    <w:hidden/>
    <w:uiPriority w:val="99"/>
    <w:semiHidden/>
    <w:rsid w:val="001B5224"/>
    <w:rPr>
      <w:rFonts w:ascii="Arial" w:eastAsia="SimSun" w:hAnsi="Arial" w:cs="Arial"/>
      <w:sz w:val="22"/>
      <w:lang w:eastAsia="zh-CN"/>
    </w:rPr>
  </w:style>
  <w:style w:type="paragraph" w:styleId="BalloonText">
    <w:name w:val="Balloon Text"/>
    <w:basedOn w:val="Normal"/>
    <w:link w:val="BalloonTextChar"/>
    <w:rsid w:val="001B5224"/>
    <w:rPr>
      <w:rFonts w:ascii="Tahoma" w:hAnsi="Tahoma" w:cs="Tahoma"/>
      <w:sz w:val="16"/>
      <w:szCs w:val="16"/>
    </w:rPr>
  </w:style>
  <w:style w:type="character" w:customStyle="1" w:styleId="BalloonTextChar">
    <w:name w:val="Balloon Text Char"/>
    <w:basedOn w:val="DefaultParagraphFont"/>
    <w:link w:val="BalloonText"/>
    <w:rsid w:val="001B5224"/>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Slide1.sld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hyperlink" Target="mailto:pctbdd@wipo.in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WG%208%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7602D-DBE8-4AEA-A5CD-6DA42EA7C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WG 8 (E)</Template>
  <TotalTime>55</TotalTime>
  <Pages>46</Pages>
  <Words>18333</Words>
  <Characters>92425</Characters>
  <Application>Microsoft Office Word</Application>
  <DocSecurity>0</DocSecurity>
  <Lines>770</Lines>
  <Paragraphs>221</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110537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PCT Fee Income:  Possible Measures to Reduce Exposure to Movements in Currency Exchange Rates</dc:subject>
  <dc:creator>RICHARDSON Michael</dc:creator>
  <cp:lastModifiedBy>MARLOW Thomas</cp:lastModifiedBy>
  <cp:revision>14</cp:revision>
  <cp:lastPrinted>2015-05-14T08:39:00Z</cp:lastPrinted>
  <dcterms:created xsi:type="dcterms:W3CDTF">2015-05-11T10:04:00Z</dcterms:created>
  <dcterms:modified xsi:type="dcterms:W3CDTF">2015-05-14T08:40:00Z</dcterms:modified>
</cp:coreProperties>
</file>